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936" w:firstLineChars="300"/>
        <w:rPr>
          <w:rFonts w:eastAsia="仿宋_GB2312"/>
          <w:sz w:val="32"/>
          <w:szCs w:val="32"/>
        </w:rPr>
      </w:pPr>
    </w:p>
    <w:p>
      <w:pPr>
        <w:spacing w:line="579" w:lineRule="exact"/>
        <w:rPr>
          <w:rFonts w:ascii="黑体" w:hAnsi="黑体" w:eastAsia="黑体" w:cs="黑体"/>
          <w:sz w:val="32"/>
          <w:szCs w:val="32"/>
        </w:rPr>
      </w:pPr>
      <w:r>
        <w:rPr>
          <w:rFonts w:hint="eastAsia" w:ascii="黑体" w:hAnsi="黑体" w:eastAsia="黑体" w:cs="黑体"/>
          <w:sz w:val="32"/>
          <w:szCs w:val="32"/>
        </w:rPr>
        <w:t>附件</w:t>
      </w:r>
    </w:p>
    <w:p>
      <w:pPr>
        <w:spacing w:line="579" w:lineRule="exact"/>
        <w:rPr>
          <w:rFonts w:ascii="仿宋_GB2312" w:hAnsi="仿宋_GB2312" w:eastAsia="仿宋_GB2312" w:cs="仿宋_GB2312"/>
          <w:sz w:val="32"/>
          <w:szCs w:val="32"/>
        </w:rPr>
      </w:pPr>
    </w:p>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和平区</w:t>
      </w:r>
      <w:r>
        <w:rPr>
          <w:rFonts w:hint="eastAsia" w:ascii="方正小标宋简体" w:hAnsi="方正小标宋简体" w:eastAsia="方正小标宋简体" w:cs="方正小标宋简体"/>
          <w:sz w:val="44"/>
          <w:szCs w:val="44"/>
        </w:rPr>
        <w:t>“免申即享”政策清单（2024年版）</w:t>
      </w:r>
    </w:p>
    <w:p>
      <w:pPr>
        <w:spacing w:line="579" w:lineRule="exact"/>
      </w:pPr>
    </w:p>
    <w:tbl>
      <w:tblPr>
        <w:tblStyle w:val="9"/>
        <w:tblW w:w="5109" w:type="pct"/>
        <w:tblInd w:w="0" w:type="dxa"/>
        <w:tblLayout w:type="fixed"/>
        <w:tblCellMar>
          <w:top w:w="0" w:type="dxa"/>
          <w:left w:w="108" w:type="dxa"/>
          <w:bottom w:w="0" w:type="dxa"/>
          <w:right w:w="108" w:type="dxa"/>
        </w:tblCellMar>
      </w:tblPr>
      <w:tblGrid>
        <w:gridCol w:w="654"/>
        <w:gridCol w:w="856"/>
        <w:gridCol w:w="3877"/>
        <w:gridCol w:w="1731"/>
        <w:gridCol w:w="2412"/>
        <w:gridCol w:w="1798"/>
        <w:gridCol w:w="1221"/>
        <w:gridCol w:w="2560"/>
      </w:tblGrid>
      <w:tr>
        <w:tblPrEx>
          <w:tblCellMar>
            <w:top w:w="0" w:type="dxa"/>
            <w:left w:w="108" w:type="dxa"/>
            <w:bottom w:w="0" w:type="dxa"/>
            <w:right w:w="108" w:type="dxa"/>
          </w:tblCellMar>
        </w:tblPrEx>
        <w:trPr>
          <w:cantSplit/>
          <w:trHeight w:val="839" w:hRule="atLeast"/>
          <w:tblHeader/>
        </w:trPr>
        <w:tc>
          <w:tcPr>
            <w:tcW w:w="21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序号</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主管部门</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政策内容</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涉及政务服务事项名称</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政策依据</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实施部门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咨询电话</w:t>
            </w: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宋体" w:eastAsia="黑体" w:cs="黑体"/>
                <w:color w:val="000000"/>
                <w:sz w:val="24"/>
                <w:highlight w:val="none"/>
              </w:rPr>
            </w:pPr>
            <w:r>
              <w:rPr>
                <w:rFonts w:hint="eastAsia" w:ascii="黑体" w:hAnsi="宋体" w:eastAsia="黑体" w:cs="黑体"/>
                <w:color w:val="000000"/>
                <w:kern w:val="0"/>
                <w:sz w:val="24"/>
                <w:highlight w:val="none"/>
                <w:lang w:bidi="ar"/>
              </w:rPr>
              <w:t>备注</w:t>
            </w:r>
          </w:p>
        </w:tc>
      </w:tr>
      <w:tr>
        <w:tblPrEx>
          <w:tblCellMar>
            <w:top w:w="0" w:type="dxa"/>
            <w:left w:w="108" w:type="dxa"/>
            <w:bottom w:w="0" w:type="dxa"/>
            <w:right w:w="108" w:type="dxa"/>
          </w:tblCellMar>
        </w:tblPrEx>
        <w:trPr>
          <w:cantSplit/>
          <w:trHeight w:val="2544"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eastAsia="黑体"/>
                <w:color w:val="000000"/>
                <w:sz w:val="24"/>
                <w:highlight w:val="none"/>
              </w:rPr>
            </w:pPr>
            <w:r>
              <w:rPr>
                <w:rFonts w:eastAsia="黑体"/>
                <w:color w:val="000000"/>
                <w:kern w:val="0"/>
                <w:sz w:val="24"/>
                <w:highlight w:val="none"/>
                <w:lang w:bidi="ar"/>
              </w:rPr>
              <w:t>1</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市人社局</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领取社会保险待遇资格确认坚持信息比对为主、现场核实为辅，寓认证于无形、寓认证于服务的基本原则。人社部门主要通过内部数据比对，与公安、司法、民政、交通运输、卫生健康、医保、法院等部门进行数据共享，推动人脸识别等自助认证方式，确认领取社会保险待遇资格状态。</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领取养老金人员待遇资格认证</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《关于印发〈领取社会保险待遇资格确认经办规程（暂行）〉的通知》（人社厅发</w:t>
            </w:r>
            <w:r>
              <w:rPr>
                <w:rFonts w:eastAsia="仿宋_GB2312"/>
                <w:color w:val="000000"/>
                <w:kern w:val="0"/>
                <w:sz w:val="24"/>
                <w:highlight w:val="none"/>
                <w:lang w:bidi="ar"/>
              </w:rPr>
              <w:t>〔2018〕107</w:t>
            </w:r>
            <w:r>
              <w:rPr>
                <w:rFonts w:hint="eastAsia" w:ascii="仿宋_GB2312" w:hAnsi="宋体" w:eastAsia="仿宋_GB2312" w:cs="仿宋_GB2312"/>
                <w:color w:val="000000"/>
                <w:kern w:val="0"/>
                <w:sz w:val="24"/>
                <w:highlight w:val="none"/>
                <w:lang w:bidi="ar"/>
              </w:rPr>
              <w:t>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区社保分中心</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022</w:t>
            </w:r>
            <w:r>
              <w:rPr>
                <w:rFonts w:hint="eastAsia" w:eastAsia="仿宋_GB2312"/>
                <w:color w:val="000000"/>
                <w:kern w:val="0"/>
                <w:sz w:val="24"/>
                <w:highlight w:val="none"/>
                <w:lang w:bidi="ar"/>
              </w:rPr>
              <w:t>-</w:t>
            </w:r>
          </w:p>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23030596</w:t>
            </w:r>
          </w:p>
        </w:tc>
        <w:tc>
          <w:tcPr>
            <w:tcW w:w="84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申</w:t>
            </w:r>
            <w:r>
              <w:rPr>
                <w:rFonts w:hint="eastAsia" w:eastAsia="仿宋_GB2312"/>
                <w:color w:val="000000"/>
                <w:kern w:val="0"/>
                <w:sz w:val="24"/>
                <w:highlight w:val="none"/>
                <w:lang w:bidi="ar"/>
              </w:rPr>
              <w:t>请人也可通过线上天津人力社保APP、12333APP、微信、支付宝等渠道、线下社保服务大厅、街乡镇党群服务中心、社银一体化网点、工商银行</w:t>
            </w:r>
            <w:r>
              <w:rPr>
                <w:rFonts w:hint="eastAsia" w:ascii="仿宋_GB2312" w:hAnsi="宋体" w:eastAsia="仿宋_GB2312" w:cs="仿宋_GB2312"/>
                <w:color w:val="000000"/>
                <w:kern w:val="0"/>
                <w:sz w:val="24"/>
                <w:highlight w:val="none"/>
                <w:lang w:bidi="ar"/>
              </w:rPr>
              <w:t>网点等进行自助认证。</w:t>
            </w:r>
          </w:p>
        </w:tc>
      </w:tr>
      <w:tr>
        <w:tblPrEx>
          <w:tblCellMar>
            <w:top w:w="0" w:type="dxa"/>
            <w:left w:w="108" w:type="dxa"/>
            <w:bottom w:w="0" w:type="dxa"/>
            <w:right w:w="108" w:type="dxa"/>
          </w:tblCellMar>
        </w:tblPrEx>
        <w:trPr>
          <w:cantSplit/>
          <w:trHeight w:val="1040" w:hRule="atLeast"/>
        </w:trPr>
        <w:tc>
          <w:tcPr>
            <w:tcW w:w="216" w:type="pct"/>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w:t>
            </w:r>
          </w:p>
        </w:tc>
        <w:tc>
          <w:tcPr>
            <w:tcW w:w="283" w:type="pct"/>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市规划资源局</w:t>
            </w:r>
          </w:p>
        </w:tc>
        <w:tc>
          <w:tcPr>
            <w:tcW w:w="1283" w:type="pct"/>
            <w:vMerge w:val="restart"/>
            <w:tcBorders>
              <w:top w:val="single" w:color="000000" w:sz="4" w:space="0"/>
              <w:left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对于简易低风险项目，局部管线接驳服务无需办理工程规划事项。</w:t>
            </w:r>
          </w:p>
        </w:tc>
        <w:tc>
          <w:tcPr>
            <w:tcW w:w="572" w:type="pct"/>
            <w:tcBorders>
              <w:top w:val="single" w:color="000000" w:sz="4" w:space="0"/>
              <w:left w:val="single" w:color="000000" w:sz="4" w:space="0"/>
              <w:bottom w:val="single" w:color="auto" w:sz="4" w:space="0"/>
              <w:right w:val="single" w:color="000000" w:sz="4" w:space="0"/>
            </w:tcBorders>
            <w:vAlign w:val="center"/>
          </w:tcPr>
          <w:p>
            <w:pPr>
              <w:widowControl/>
              <w:spacing w:line="300" w:lineRule="exact"/>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bidi="ar"/>
              </w:rPr>
              <w:t>用地预审与选址意见书</w:t>
            </w:r>
          </w:p>
        </w:tc>
        <w:tc>
          <w:tcPr>
            <w:tcW w:w="798" w:type="pct"/>
            <w:vMerge w:val="restart"/>
            <w:tcBorders>
              <w:top w:val="single" w:color="000000" w:sz="4" w:space="0"/>
              <w:left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《关于印发天津市工程建设项目</w:t>
            </w:r>
            <w:r>
              <w:rPr>
                <w:rFonts w:eastAsia="仿宋_GB2312"/>
                <w:color w:val="000000"/>
                <w:kern w:val="0"/>
                <w:sz w:val="24"/>
                <w:highlight w:val="none"/>
                <w:lang w:bidi="ar"/>
              </w:rPr>
              <w:t>“清单制+告知承诺制”审批改革实施方案的通知》（津住建政务〔2020〕16号）</w:t>
            </w:r>
          </w:p>
        </w:tc>
        <w:tc>
          <w:tcPr>
            <w:tcW w:w="595" w:type="pct"/>
            <w:vMerge w:val="restart"/>
            <w:tcBorders>
              <w:top w:val="single" w:color="000000" w:sz="4" w:space="0"/>
              <w:left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各级规划资源部门</w:t>
            </w:r>
          </w:p>
        </w:tc>
        <w:tc>
          <w:tcPr>
            <w:tcW w:w="404" w:type="pct"/>
            <w:vMerge w:val="restart"/>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022</w:t>
            </w:r>
            <w:r>
              <w:rPr>
                <w:rFonts w:hint="eastAsia" w:eastAsia="仿宋_GB2312"/>
                <w:color w:val="000000"/>
                <w:kern w:val="0"/>
                <w:sz w:val="24"/>
                <w:highlight w:val="none"/>
                <w:lang w:bidi="ar"/>
              </w:rPr>
              <w:t>-</w:t>
            </w:r>
          </w:p>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63083198</w:t>
            </w:r>
          </w:p>
        </w:tc>
        <w:tc>
          <w:tcPr>
            <w:tcW w:w="847" w:type="pct"/>
            <w:vMerge w:val="restart"/>
            <w:tcBorders>
              <w:top w:val="single" w:color="000000" w:sz="4" w:space="0"/>
              <w:left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1150" w:hRule="atLeast"/>
        </w:trPr>
        <w:tc>
          <w:tcPr>
            <w:tcW w:w="216" w:type="pct"/>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bidi="ar"/>
              </w:rPr>
            </w:pPr>
          </w:p>
        </w:tc>
        <w:tc>
          <w:tcPr>
            <w:tcW w:w="283" w:type="pct"/>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仿宋_GB2312" w:hAnsi="宋体" w:eastAsia="仿宋_GB2312" w:cs="仿宋_GB2312"/>
                <w:color w:val="000000"/>
                <w:kern w:val="0"/>
                <w:sz w:val="24"/>
                <w:highlight w:val="none"/>
                <w:lang w:bidi="ar"/>
              </w:rPr>
            </w:pPr>
          </w:p>
        </w:tc>
        <w:tc>
          <w:tcPr>
            <w:tcW w:w="1283" w:type="pct"/>
            <w:vMerge w:val="continue"/>
            <w:tcBorders>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olor w:val="000000"/>
                <w:kern w:val="0"/>
                <w:sz w:val="24"/>
                <w:highlight w:val="none"/>
                <w:lang w:bidi="ar"/>
              </w:rPr>
            </w:pPr>
          </w:p>
        </w:tc>
        <w:tc>
          <w:tcPr>
            <w:tcW w:w="572" w:type="pct"/>
            <w:tcBorders>
              <w:top w:val="single" w:color="auto"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olor w:val="000000"/>
                <w:kern w:val="0"/>
                <w:sz w:val="24"/>
                <w:highlight w:val="none"/>
                <w:lang w:bidi="ar"/>
              </w:rPr>
            </w:pPr>
            <w:r>
              <w:rPr>
                <w:rFonts w:hint="eastAsia" w:eastAsia="仿宋_GB2312"/>
                <w:color w:val="000000"/>
                <w:kern w:val="0"/>
                <w:sz w:val="24"/>
                <w:highlight w:val="none"/>
                <w:lang w:bidi="ar"/>
              </w:rPr>
              <w:t>建设工程规划许可证</w:t>
            </w:r>
            <w:bookmarkStart w:id="0" w:name="_GoBack"/>
            <w:bookmarkEnd w:id="0"/>
          </w:p>
        </w:tc>
        <w:tc>
          <w:tcPr>
            <w:tcW w:w="798" w:type="pct"/>
            <w:vMerge w:val="continue"/>
            <w:tcBorders>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olor w:val="000000"/>
                <w:kern w:val="0"/>
                <w:sz w:val="24"/>
                <w:highlight w:val="none"/>
                <w:lang w:bidi="ar"/>
              </w:rPr>
            </w:pPr>
          </w:p>
        </w:tc>
        <w:tc>
          <w:tcPr>
            <w:tcW w:w="595" w:type="pct"/>
            <w:vMerge w:val="continue"/>
            <w:tcBorders>
              <w:left w:val="single" w:color="000000" w:sz="4" w:space="0"/>
              <w:bottom w:val="single" w:color="000000" w:sz="4" w:space="0"/>
              <w:right w:val="single" w:color="000000" w:sz="4" w:space="0"/>
            </w:tcBorders>
            <w:vAlign w:val="center"/>
          </w:tcPr>
          <w:p>
            <w:pPr>
              <w:widowControl/>
              <w:spacing w:line="300" w:lineRule="exact"/>
              <w:textAlignment w:val="center"/>
              <w:rPr>
                <w:rFonts w:hint="eastAsia" w:ascii="仿宋_GB2312" w:hAnsi="宋体" w:eastAsia="仿宋_GB2312" w:cs="仿宋_GB2312"/>
                <w:color w:val="000000"/>
                <w:kern w:val="0"/>
                <w:sz w:val="24"/>
                <w:highlight w:val="none"/>
                <w:lang w:bidi="ar"/>
              </w:rPr>
            </w:pPr>
          </w:p>
        </w:tc>
        <w:tc>
          <w:tcPr>
            <w:tcW w:w="404" w:type="pct"/>
            <w:vMerge w:val="continue"/>
            <w:tcBorders>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p>
        </w:tc>
        <w:tc>
          <w:tcPr>
            <w:tcW w:w="847" w:type="pct"/>
            <w:vMerge w:val="continue"/>
            <w:tcBorders>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10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val="en-US" w:eastAsia="zh-CN" w:bidi="ar"/>
              </w:rPr>
              <w:t>3</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市规划资源局</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对于原线路径不变的电力线路重建、原线改造或增容、原杆塔挂线、原线路杆塔改造、原线下保护区内立杆塔、既有电力设施（电力排管、沟槽、隧道、综合管廊等）展放线缆等情况，不再办理规划审批手续</w:t>
            </w:r>
            <w:r>
              <w:rPr>
                <w:rFonts w:eastAsia="仿宋_GB2312"/>
                <w:color w:val="000000"/>
                <w:kern w:val="0"/>
                <w:sz w:val="24"/>
                <w:highlight w:val="none"/>
                <w:lang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《关于印发〈持续优化电力工程建设项目政务服务工作方案〉的通知》（津政服〔</w:t>
            </w:r>
            <w:r>
              <w:rPr>
                <w:rFonts w:eastAsia="仿宋_GB2312"/>
                <w:color w:val="000000"/>
                <w:kern w:val="0"/>
                <w:sz w:val="24"/>
                <w:highlight w:val="none"/>
                <w:lang w:bidi="ar"/>
              </w:rPr>
              <w:t>2020〕15号）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022</w:t>
            </w:r>
            <w:r>
              <w:rPr>
                <w:rFonts w:hint="eastAsia" w:eastAsia="仿宋_GB2312"/>
                <w:color w:val="000000"/>
                <w:kern w:val="0"/>
                <w:sz w:val="24"/>
                <w:highlight w:val="none"/>
                <w:lang w:bidi="ar"/>
              </w:rPr>
              <w:t>-</w:t>
            </w:r>
          </w:p>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63083198</w:t>
            </w:r>
          </w:p>
        </w:tc>
        <w:tc>
          <w:tcPr>
            <w:tcW w:w="847"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104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olor w:val="000000"/>
                <w:kern w:val="0"/>
                <w:sz w:val="24"/>
                <w:highlight w:val="none"/>
                <w:lang w:val="en" w:eastAsia="zh-CN" w:bidi="ar"/>
              </w:rPr>
            </w:pPr>
            <w:r>
              <w:rPr>
                <w:rFonts w:hint="eastAsia" w:eastAsia="仿宋_GB2312"/>
                <w:color w:val="000000"/>
                <w:kern w:val="0"/>
                <w:sz w:val="24"/>
                <w:highlight w:val="none"/>
                <w:lang w:bidi="ar"/>
              </w:rPr>
              <w:t>建设工程规划许可证</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867"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val="en-US" w:eastAsia="zh-CN" w:bidi="ar"/>
              </w:rPr>
              <w:t>4</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市规划资源局</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对路径长度不大于</w:t>
            </w:r>
            <w:r>
              <w:rPr>
                <w:rFonts w:eastAsia="仿宋_GB2312"/>
                <w:color w:val="000000"/>
                <w:kern w:val="0"/>
                <w:sz w:val="24"/>
                <w:highlight w:val="none"/>
                <w:lang w:bidi="ar"/>
              </w:rPr>
              <w:t>200米的35千伏及以下电力线路工程，不再办理规划审批手续。</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《关于印发〈持续优化电力工程建设项目政务服务工作方案〉的通知》（津政服〔</w:t>
            </w:r>
            <w:r>
              <w:rPr>
                <w:rFonts w:eastAsia="仿宋_GB2312"/>
                <w:color w:val="000000"/>
                <w:kern w:val="0"/>
                <w:sz w:val="24"/>
                <w:highlight w:val="none"/>
                <w:lang w:bidi="ar"/>
              </w:rPr>
              <w:t>2020〕15号）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022</w:t>
            </w:r>
            <w:r>
              <w:rPr>
                <w:rFonts w:hint="eastAsia" w:eastAsia="仿宋_GB2312"/>
                <w:color w:val="000000"/>
                <w:kern w:val="0"/>
                <w:sz w:val="24"/>
                <w:highlight w:val="none"/>
                <w:lang w:bidi="ar"/>
              </w:rPr>
              <w:t>-</w:t>
            </w:r>
          </w:p>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63083198</w:t>
            </w:r>
          </w:p>
        </w:tc>
        <w:tc>
          <w:tcPr>
            <w:tcW w:w="847"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85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2111"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市规划资源局</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原挖原换的市政管网项目，可不办理建设工程规划许可证</w:t>
            </w:r>
            <w:r>
              <w:rPr>
                <w:rFonts w:eastAsia="仿宋_GB2312"/>
                <w:color w:val="000000"/>
                <w:kern w:val="0"/>
                <w:sz w:val="24"/>
                <w:highlight w:val="none"/>
                <w:lang w:bidi="ar"/>
              </w:rPr>
              <w:t>。</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w:t>
            </w:r>
            <w:r>
              <w:rPr>
                <w:rFonts w:eastAsia="仿宋_GB2312"/>
                <w:color w:val="000000"/>
                <w:kern w:val="0"/>
                <w:sz w:val="24"/>
                <w:highlight w:val="none"/>
                <w:lang w:bidi="ar"/>
              </w:rPr>
              <w:t>2018〕22号）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各级规划资源部门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022</w:t>
            </w:r>
            <w:r>
              <w:rPr>
                <w:rFonts w:hint="eastAsia" w:eastAsia="仿宋_GB2312"/>
                <w:color w:val="000000"/>
                <w:kern w:val="0"/>
                <w:sz w:val="24"/>
                <w:highlight w:val="none"/>
                <w:lang w:bidi="ar"/>
              </w:rPr>
              <w:t>-</w:t>
            </w:r>
          </w:p>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63083198</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9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val="en-US" w:eastAsia="zh-CN" w:bidi="ar"/>
              </w:rPr>
              <w:t>6</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市规划资源局</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eastAsia="仿宋_GB2312"/>
                <w:color w:val="000000"/>
                <w:kern w:val="0"/>
                <w:sz w:val="24"/>
                <w:highlight w:val="none"/>
                <w:lang w:bidi="ar"/>
              </w:rPr>
              <w:t>160千瓦（kW</w:t>
            </w:r>
            <w:r>
              <w:rPr>
                <w:rFonts w:hint="eastAsia" w:eastAsia="仿宋_GB2312"/>
                <w:color w:val="000000"/>
                <w:kern w:val="0"/>
                <w:sz w:val="24"/>
                <w:highlight w:val="none"/>
                <w:lang w:bidi="ar"/>
              </w:rPr>
              <w:t>）</w:t>
            </w:r>
            <w:r>
              <w:rPr>
                <w:rFonts w:eastAsia="仿宋_GB2312"/>
                <w:color w:val="000000"/>
                <w:kern w:val="0"/>
                <w:sz w:val="24"/>
                <w:highlight w:val="none"/>
                <w:lang w:bidi="ar"/>
              </w:rPr>
              <w:t>及以下低压工商业等所有外部电源工程，不再办理建设工程规划许可事项。</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w:t>
            </w:r>
            <w:r>
              <w:rPr>
                <w:rFonts w:eastAsia="仿宋_GB2312"/>
                <w:color w:val="000000"/>
                <w:kern w:val="0"/>
                <w:sz w:val="24"/>
                <w:highlight w:val="none"/>
                <w:lang w:bidi="ar"/>
              </w:rPr>
              <w:t>2018〕22号）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022</w:t>
            </w:r>
            <w:r>
              <w:rPr>
                <w:rFonts w:hint="eastAsia" w:eastAsia="仿宋_GB2312"/>
                <w:color w:val="000000"/>
                <w:kern w:val="0"/>
                <w:sz w:val="24"/>
                <w:highlight w:val="none"/>
                <w:lang w:bidi="ar"/>
              </w:rPr>
              <w:t>-</w:t>
            </w:r>
          </w:p>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63083198</w:t>
            </w:r>
          </w:p>
        </w:tc>
        <w:tc>
          <w:tcPr>
            <w:tcW w:w="847"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9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9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val="en-US" w:eastAsia="zh-CN" w:bidi="ar"/>
              </w:rPr>
              <w:t>7</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市规划资源局</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对于我市简易低风险项目或长度在</w:t>
            </w:r>
            <w:r>
              <w:rPr>
                <w:rFonts w:eastAsia="仿宋_GB2312"/>
                <w:color w:val="000000"/>
                <w:kern w:val="0"/>
                <w:sz w:val="24"/>
                <w:highlight w:val="none"/>
                <w:lang w:bidi="ar"/>
              </w:rPr>
              <w:t>200米以下的供水排水接入配套工程不再办理工程规划相关行政许可事项。</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《关于印发〈进一步优化供排水接入配套工程中政务服务实施方案〉的通知》（津水政服〔</w:t>
            </w:r>
            <w:r>
              <w:rPr>
                <w:rFonts w:eastAsia="仿宋_GB2312"/>
                <w:color w:val="000000"/>
                <w:kern w:val="0"/>
                <w:sz w:val="24"/>
                <w:highlight w:val="none"/>
                <w:lang w:bidi="ar"/>
              </w:rPr>
              <w:t>2021〕1号）</w:t>
            </w:r>
          </w:p>
        </w:tc>
        <w:tc>
          <w:tcPr>
            <w:tcW w:w="59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各级规划资源部门</w:t>
            </w:r>
          </w:p>
        </w:tc>
        <w:tc>
          <w:tcPr>
            <w:tcW w:w="40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022</w:t>
            </w:r>
            <w:r>
              <w:rPr>
                <w:rFonts w:hint="eastAsia" w:eastAsia="仿宋_GB2312"/>
                <w:color w:val="000000"/>
                <w:kern w:val="0"/>
                <w:sz w:val="24"/>
                <w:highlight w:val="none"/>
                <w:lang w:bidi="ar"/>
              </w:rPr>
              <w:t>-</w:t>
            </w:r>
          </w:p>
          <w:p>
            <w:pPr>
              <w:widowControl/>
              <w:spacing w:line="300" w:lineRule="exact"/>
              <w:jc w:val="center"/>
              <w:textAlignment w:val="center"/>
              <w:rPr>
                <w:rFonts w:eastAsia="仿宋_GB2312"/>
                <w:color w:val="000000"/>
                <w:kern w:val="0"/>
                <w:sz w:val="24"/>
                <w:highlight w:val="none"/>
                <w:lang w:bidi="ar"/>
              </w:rPr>
            </w:pPr>
            <w:r>
              <w:rPr>
                <w:rFonts w:eastAsia="仿宋_GB2312"/>
                <w:color w:val="000000"/>
                <w:kern w:val="0"/>
                <w:sz w:val="24"/>
                <w:highlight w:val="none"/>
                <w:lang w:bidi="ar"/>
              </w:rPr>
              <w:t>63083198</w:t>
            </w:r>
          </w:p>
        </w:tc>
        <w:tc>
          <w:tcPr>
            <w:tcW w:w="847"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9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bidi="ar"/>
              </w:rPr>
              <w:t>建设工程规划许可证</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c>
          <w:tcPr>
            <w:tcW w:w="404"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color w:val="000000"/>
                <w:sz w:val="24"/>
                <w:highlight w:val="none"/>
              </w:rPr>
            </w:pPr>
          </w:p>
        </w:tc>
      </w:tr>
      <w:tr>
        <w:tblPrEx>
          <w:tblCellMar>
            <w:top w:w="0" w:type="dxa"/>
            <w:left w:w="108" w:type="dxa"/>
            <w:bottom w:w="0" w:type="dxa"/>
            <w:right w:w="108" w:type="dxa"/>
          </w:tblCellMar>
        </w:tblPrEx>
        <w:trPr>
          <w:cantSplit/>
          <w:trHeight w:val="2040"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val="en-US" w:eastAsia="zh-CN" w:bidi="ar"/>
              </w:rPr>
              <w:t>8</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市住建委</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1000平方米以下的装饰装修工程（文物和优秀历史建筑工程除外）不再办理施工许可证；500平方米以下的建筑工程不再办理施工许可证。</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建设工程施工许可</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《天津市人民政府关于印发天津市工程建设项目审批制度改革试点实施方案的通知》（津政发〔2018〕22号）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市住房城乡建设委、各区行政审批局</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24538412</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12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val="en-US" w:eastAsia="zh-CN" w:bidi="ar"/>
              </w:rPr>
              <w:t>9</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市城市管理委</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160千瓦（kW）及以下低压工商业等所有外部电源工程，不再办理建设工程规划许可、临时占用绿化用地许可、占用挖掘道路许可等审批事项，只要明确破路方案、破绿方案、占路保护及不低于原设计标准的恢复方式即可施工。</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《天津市人民政府关于印发天津市工程建设项目审批制度改革试点实施方案的通知》（津政发〔2018〕22号）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24538892</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172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临时占用、挖掘城市道路及依附城市道路建设管线、杆线等设施许可</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24538466</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232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highlight w:val="none"/>
                <w:lang w:val="en-US" w:eastAsia="zh-CN" w:bidi="ar"/>
              </w:rPr>
            </w:pPr>
            <w:r>
              <w:rPr>
                <w:rFonts w:hint="eastAsia" w:eastAsia="仿宋_GB2312"/>
                <w:color w:val="000000"/>
                <w:kern w:val="0"/>
                <w:sz w:val="24"/>
                <w:highlight w:val="none"/>
                <w:lang w:val="en-US" w:eastAsia="zh-CN" w:bidi="ar"/>
              </w:rPr>
              <w:t>10</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市城市管理委</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于新装、增容等配套服务的35千伏及以下电压等级，长度在200米及以下的配套电力线性工程，不再办理核准、规划、临时占用绿化用地、占用挖掘城市道路等审批事项。涉及占掘道路、占用、破坏城市绿地，建设管理单位在明确破路、破绿方案、占路保护方案，并与相关设施养护管理部门签订管理协议，凡涉及公共安全的，在征得公安机关交通管理部门同意，并承诺不低于原设计标准的方式恢复被破道路、被占绿地后即可施工。建设项目建设期内使用临时电供电的架空电力线性工程参照执行。</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《关于印发〈简化中低压等级配套电力线性工程审批流程实施方案〉的函》（津政务函〔2019〕53号）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24538892</w:t>
            </w:r>
          </w:p>
        </w:tc>
        <w:tc>
          <w:tcPr>
            <w:tcW w:w="847"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2706"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临时占用、挖掘城市道路及依附城市道路建设管线、杆线等设施许可</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24538466</w:t>
            </w: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7660"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highlight w:val="none"/>
                <w:lang w:val="en-US" w:eastAsia="zh-CN" w:bidi="ar"/>
              </w:rPr>
            </w:pPr>
            <w:r>
              <w:rPr>
                <w:rFonts w:hint="eastAsia" w:eastAsia="仿宋_GB2312"/>
                <w:color w:val="000000"/>
                <w:kern w:val="0"/>
                <w:sz w:val="24"/>
                <w:highlight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市城市管理委</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涉及占用城市绿地建设的通信基站，单站址建设高度不超过45米，占地面积不超过10平方米。其中基站铁塔占地面积不超过5平方米；配套机柜不超过4个，占地面积不超过5平方米。市内六区单站址建设高度不超过35米，占地面积不超过5平方米。其中基站铁塔占地面积不超过2平方米；配套机柜不超过2个，占地面积不超过3平方米（其他行政区结合本区域实际参照执行）。此类基站无需办理规划审批事项，在不影响绿地和城市景观的前提下，建设单位凭通信管理部门出具的通信基站建设证明、各区人民政府批复的通信基站站址专项规划作为建设通信基站的文件依据，无需办理涉及城市绿地、树木许可，建设单位凭以上材料与绿地管理单位沟通后进场施工，绿地管理单位配合做好有关工作。</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工程建设涉及城市绿地、树木许可</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《关于优化通信基站站址建设行政审批工作的通知》（津政务发〔2020〕25号）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24538892</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214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eastAsia="仿宋_GB2312"/>
                <w:color w:val="000000"/>
                <w:kern w:val="0"/>
                <w:sz w:val="24"/>
                <w:highlight w:val="none"/>
                <w:lang w:val="en-US" w:eastAsia="zh-CN" w:bidi="ar"/>
              </w:rPr>
            </w:pPr>
            <w:r>
              <w:rPr>
                <w:rFonts w:hint="eastAsia" w:eastAsia="仿宋_GB2312"/>
                <w:color w:val="000000"/>
                <w:kern w:val="0"/>
                <w:sz w:val="24"/>
                <w:highlight w:val="none"/>
                <w:lang w:val="en-US" w:eastAsia="zh-CN" w:bidi="ar"/>
              </w:rPr>
              <w:t>12</w:t>
            </w:r>
          </w:p>
        </w:tc>
        <w:tc>
          <w:tcPr>
            <w:tcW w:w="28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市城市管理委</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路径长度不大于200米的35千伏及以下电力线路工程，不再办理规划审批手续、临时占用绿化用地、占用挖掘城市道路等审批事项。涉及占掘道路、占用、破坏城市绿地，建设管理单位应明确破路、破绿方案、占路保护方案，并与相关设施养护管理部门签订管理协议。涉及公共安全的，在征得公安交通管理部门同意，且承诺以不低于原设计标准的方式恢复被破道路、被占绿地后即可施工。</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《关于印发〈持续优化电力工程建设项目政务服务工作方案〉的通知》（津政服〔2020〕15号）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24538892</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224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临时占用、挖掘城市道路及依附城市道路建设管线、杆线等设施许可</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24538466</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120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highlight w:val="none"/>
                <w:lang w:val="en-US" w:eastAsia="zh-CN" w:bidi="ar"/>
              </w:rPr>
            </w:pPr>
            <w:r>
              <w:rPr>
                <w:rFonts w:hint="eastAsia" w:eastAsia="仿宋_GB2312"/>
                <w:color w:val="000000"/>
                <w:kern w:val="0"/>
                <w:sz w:val="24"/>
                <w:highlight w:val="none"/>
                <w:lang w:val="en-US" w:eastAsia="zh-CN" w:bidi="ar"/>
              </w:rPr>
              <w:t>13</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市城市管理委</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小时总用气量小于25立方米且不涉及外线的项目、接入中低压燃气管线长度200米及以内（不含过桥）的局部接驳项目，不再办理临时占用、挖掘城市道路和临时占用绿地许可事项，建设单位与养护管理部门签订管理协议（涉及交通安全的，还需征得公安交管部门同意）即可施工。</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《关于印发〈进一步优化营商环境深化用气报装改革实施方案〉的通知》（津城管服〔2020〕106号）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24538892</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198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临时占用、挖掘城市道路及依附城市道路建设管线、杆线等设施许可</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24538466</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2940" w:hRule="atLeast"/>
        </w:trPr>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highlight w:val="none"/>
                <w:lang w:val="en-US" w:eastAsia="zh-CN" w:bidi="ar"/>
              </w:rPr>
            </w:pPr>
            <w:r>
              <w:rPr>
                <w:rFonts w:hint="eastAsia" w:eastAsia="仿宋_GB2312"/>
                <w:color w:val="000000"/>
                <w:kern w:val="0"/>
                <w:sz w:val="24"/>
                <w:highlight w:val="none"/>
                <w:lang w:val="en-US" w:eastAsia="zh-CN" w:bidi="ar"/>
              </w:rPr>
              <w:t>14</w:t>
            </w:r>
          </w:p>
        </w:tc>
        <w:tc>
          <w:tcPr>
            <w:tcW w:w="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市城市管理委</w:t>
            </w:r>
          </w:p>
        </w:tc>
        <w:tc>
          <w:tcPr>
            <w:tcW w:w="1283"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对于我市简易低风险项目或长度在200米以下的供水排水接入配套工程不再办理工程规划相关行政许可事项；对于我市简易低风险项目或供水连接水管直径不大于30厘米，排水连接水管直径不大于50厘米，长度在200米以下的局部管线接驳工程，不再办理项目备案，占用挖掘城市道路、临时占用城市绿化用地等行政许可事项。涉及占用挖掘城市道路、临时占用城市绿化用地的，建设单位提供破路方案、破绿方案、占路保护方案，确定管线的后期养护管理单位，与相关设施养护管理部门签订管理协议（凡涉及交通安全、迁移一般树木的，施工前需征得公安交管、城市管理部门同意），并承诺不低于原设计标准恢复被占绿地后，即可施工。</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《关于印发〈进一步优化供排水接入配套工程中政务服务实施方案〉的通知》（津水政服〔2021〕1号）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24538892</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3880" w:hRule="atLeast"/>
        </w:trPr>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eastAsia="仿宋_GB2312"/>
                <w:color w:val="000000"/>
                <w:kern w:val="0"/>
                <w:sz w:val="24"/>
                <w:highlight w:val="none"/>
                <w:lang w:bidi="ar"/>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仿宋_GB2312"/>
                <w:color w:val="000000"/>
                <w:sz w:val="24"/>
                <w:highlight w:val="none"/>
              </w:rPr>
            </w:pPr>
          </w:p>
        </w:tc>
        <w:tc>
          <w:tcPr>
            <w:tcW w:w="1283"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临时占用、挖掘城市道路及依附城市道路建设管线、杆线等设施许可</w:t>
            </w:r>
          </w:p>
        </w:tc>
        <w:tc>
          <w:tcPr>
            <w:tcW w:w="798"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rPr>
                <w:rFonts w:eastAsia="仿宋_GB2312"/>
                <w:color w:val="000000"/>
                <w:kern w:val="0"/>
                <w:sz w:val="24"/>
                <w:highlight w:val="none"/>
                <w:lang w:bidi="ar"/>
              </w:rPr>
            </w:pP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各级城市道路养护管理部门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24538466</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r>
        <w:tblPrEx>
          <w:tblCellMar>
            <w:top w:w="0" w:type="dxa"/>
            <w:left w:w="108" w:type="dxa"/>
            <w:bottom w:w="0" w:type="dxa"/>
            <w:right w:w="108" w:type="dxa"/>
          </w:tblCellMar>
        </w:tblPrEx>
        <w:trPr>
          <w:cantSplit/>
          <w:trHeight w:val="7666" w:hRule="atLeast"/>
        </w:trPr>
        <w:tc>
          <w:tcPr>
            <w:tcW w:w="216"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eastAsia="仿宋_GB2312"/>
                <w:color w:val="000000"/>
                <w:kern w:val="0"/>
                <w:sz w:val="24"/>
                <w:highlight w:val="none"/>
                <w:lang w:val="en-US" w:eastAsia="zh-CN" w:bidi="ar"/>
              </w:rPr>
            </w:pPr>
            <w:r>
              <w:rPr>
                <w:rFonts w:hint="eastAsia" w:eastAsia="仿宋_GB2312"/>
                <w:color w:val="000000"/>
                <w:kern w:val="0"/>
                <w:sz w:val="24"/>
                <w:highlight w:val="none"/>
                <w:lang w:val="en-US" w:eastAsia="zh-CN" w:bidi="ar"/>
              </w:rPr>
              <w:t>15</w:t>
            </w:r>
          </w:p>
        </w:tc>
        <w:tc>
          <w:tcPr>
            <w:tcW w:w="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市城市管理委</w:t>
            </w:r>
          </w:p>
        </w:tc>
        <w:tc>
          <w:tcPr>
            <w:tcW w:w="12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明确电力工程项目涉绿相关工程费用，电力工程项目在占用城市绿地时，要提前与产权单位沟通，优化占绿方案，最大限度保护现有城市树木，经产权单位同意并与其签订赔偿协议后方可施工。路径长度不大于200米的110千伏及以上电力线路工程临时占用城市绿化用地的，依据规划资源部门审批的行政许可手续核定占用绿地位置并与产权单位签订赔偿协议后即可施工，不再办理相关审批手续，涉及树木迁移的，应当事先告知城市管理主管部门，并报送符合有关标准规范的城市树木迁移方案。实现电源送出功能的环网箱、控制箱、杆塔等电力设施永久占用绿化用地的，依据规划资源部门审批的行政许可手续核定占用绿地位置并与产权单位签订赔偿协议后即可施工，涉及树木迁移的，应当事先告知城市管理主管部门，并报送符合有关标准规范的城市树木迁移方案。</w:t>
            </w:r>
          </w:p>
        </w:tc>
        <w:tc>
          <w:tcPr>
            <w:tcW w:w="57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《深化电力领域审批制度改革优化电力工程建设审批流程工作方案》（津政服〔2022〕15号）</w:t>
            </w:r>
          </w:p>
        </w:tc>
        <w:tc>
          <w:tcPr>
            <w:tcW w:w="595"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各级树木、绿地养护管理部门</w:t>
            </w:r>
          </w:p>
        </w:tc>
        <w:tc>
          <w:tcPr>
            <w:tcW w:w="404"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022-</w:t>
            </w:r>
          </w:p>
          <w:p>
            <w:pPr>
              <w:widowControl/>
              <w:spacing w:line="300" w:lineRule="exact"/>
              <w:jc w:val="center"/>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24538892</w:t>
            </w:r>
          </w:p>
        </w:tc>
        <w:tc>
          <w:tcPr>
            <w:tcW w:w="847"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_GB2312" w:hAnsi="宋体" w:eastAsia="仿宋_GB2312" w:cs="仿宋_GB2312"/>
                <w:color w:val="000000"/>
                <w:sz w:val="24"/>
                <w:highlight w:val="none"/>
              </w:rPr>
            </w:pPr>
          </w:p>
        </w:tc>
      </w:tr>
    </w:tbl>
    <w:tbl>
      <w:tblPr>
        <w:tblStyle w:val="10"/>
        <w:tblpPr w:leftFromText="180" w:rightFromText="180" w:vertAnchor="text" w:tblpX="15812" w:tblpY="-20871"/>
        <w:tblOverlap w:val="never"/>
        <w:tblW w:w="4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pStyle w:val="2"/>
              <w:spacing w:line="600" w:lineRule="exact"/>
              <w:jc w:val="both"/>
              <w:rPr>
                <w:rFonts w:ascii="仿宋_GB2312" w:eastAsia="仿宋_GB2312"/>
                <w:sz w:val="28"/>
                <w:szCs w:val="28"/>
                <w:vertAlign w:val="baseline"/>
              </w:rPr>
            </w:pPr>
          </w:p>
        </w:tc>
      </w:tr>
    </w:tbl>
    <w:p>
      <w:pPr>
        <w:pStyle w:val="2"/>
        <w:spacing w:line="600" w:lineRule="exact"/>
        <w:jc w:val="both"/>
        <w:rPr>
          <w:rFonts w:ascii="仿宋_GB2312" w:eastAsia="仿宋_GB2312"/>
          <w:sz w:val="28"/>
          <w:szCs w:val="28"/>
        </w:rPr>
      </w:pPr>
    </w:p>
    <w:sectPr>
      <w:headerReference r:id="rId3" w:type="first"/>
      <w:footerReference r:id="rId6" w:type="first"/>
      <w:footerReference r:id="rId4" w:type="default"/>
      <w:footerReference r:id="rId5" w:type="even"/>
      <w:pgSz w:w="16838" w:h="11906" w:orient="landscape"/>
      <w:pgMar w:top="1134" w:right="1134" w:bottom="1134" w:left="1134" w:header="851" w:footer="1417" w:gutter="0"/>
      <w:pgNumType w:fmt="decimal"/>
      <w:cols w:space="0" w:num="1"/>
      <w:titlePg/>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rPr>
                          </w:pPr>
                          <w:r>
                            <w:rPr>
                              <w:rStyle w:val="13"/>
                              <w:rFonts w:hint="eastAsia" w:asciiTheme="minorEastAsia" w:hAnsiTheme="minorEastAsia" w:eastAsiaTheme="minorEastAsia" w:cstheme="minorEastAsia"/>
                              <w:color w:val="FFFFFF"/>
                              <w:sz w:val="28"/>
                              <w:szCs w:val="28"/>
                            </w:rPr>
                            <w:t>–—</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Style w:val="13"/>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2</w:t>
                          </w:r>
                          <w:r>
                            <w:rPr>
                              <w:rStyle w:val="13"/>
                              <w:rFonts w:hint="eastAsia" w:asciiTheme="minorEastAsia" w:hAnsiTheme="minorEastAsia" w:eastAsiaTheme="minorEastAsia" w:cstheme="minorEastAsia"/>
                              <w:sz w:val="28"/>
                              <w:szCs w:val="28"/>
                            </w:rPr>
                            <w:fldChar w:fldCharType="end"/>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color w:val="FFFFFF"/>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rPr>
                    </w:pPr>
                    <w:r>
                      <w:rPr>
                        <w:rStyle w:val="13"/>
                        <w:rFonts w:hint="eastAsia" w:asciiTheme="minorEastAsia" w:hAnsiTheme="minorEastAsia" w:eastAsiaTheme="minorEastAsia" w:cstheme="minorEastAsia"/>
                        <w:color w:val="FFFFFF"/>
                        <w:sz w:val="28"/>
                        <w:szCs w:val="28"/>
                      </w:rPr>
                      <w:t>–—</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Style w:val="13"/>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2</w:t>
                    </w:r>
                    <w:r>
                      <w:rPr>
                        <w:rStyle w:val="13"/>
                        <w:rFonts w:hint="eastAsia" w:asciiTheme="minorEastAsia" w:hAnsiTheme="minorEastAsia" w:eastAsiaTheme="minorEastAsia" w:cstheme="minorEastAsia"/>
                        <w:sz w:val="28"/>
                        <w:szCs w:val="28"/>
                      </w:rPr>
                      <w:fldChar w:fldCharType="end"/>
                    </w:r>
                    <w:r>
                      <w:rPr>
                        <w:rStyle w:val="13"/>
                        <w:rFonts w:hint="eastAsia" w:asciiTheme="minorEastAsia" w:hAnsiTheme="minorEastAsia" w:eastAsiaTheme="minorEastAsia" w:cstheme="minorEastAsia"/>
                        <w:sz w:val="28"/>
                        <w:szCs w:val="28"/>
                        <w:lang w:val="en-US" w:eastAsia="zh-CN"/>
                      </w:rPr>
                      <w:t xml:space="preserve"> </w:t>
                    </w:r>
                    <w:r>
                      <w:rPr>
                        <w:rStyle w:val="13"/>
                        <w:rFonts w:hint="eastAsia" w:asciiTheme="minorEastAsia" w:hAnsiTheme="minorEastAsia" w:eastAsiaTheme="minorEastAsia" w:cstheme="minorEastAsia"/>
                        <w:sz w:val="28"/>
                        <w:szCs w:val="28"/>
                      </w:rPr>
                      <w:t>—</w:t>
                    </w:r>
                    <w:r>
                      <w:rPr>
                        <w:rStyle w:val="13"/>
                        <w:rFonts w:hint="eastAsia" w:asciiTheme="minorEastAsia" w:hAnsiTheme="minorEastAsia" w:eastAsiaTheme="minorEastAsia" w:cstheme="minor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00762465"/>
    <w:rsid w:val="00003019"/>
    <w:rsid w:val="00010637"/>
    <w:rsid w:val="00013643"/>
    <w:rsid w:val="00027FFE"/>
    <w:rsid w:val="00040652"/>
    <w:rsid w:val="000738F6"/>
    <w:rsid w:val="00094794"/>
    <w:rsid w:val="0009519F"/>
    <w:rsid w:val="000B117A"/>
    <w:rsid w:val="000D52E7"/>
    <w:rsid w:val="000E4B1A"/>
    <w:rsid w:val="00137174"/>
    <w:rsid w:val="00143FCC"/>
    <w:rsid w:val="00154773"/>
    <w:rsid w:val="0015554C"/>
    <w:rsid w:val="001714A3"/>
    <w:rsid w:val="0017541E"/>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96ADE"/>
    <w:rsid w:val="004A5A26"/>
    <w:rsid w:val="004C7427"/>
    <w:rsid w:val="004D39E8"/>
    <w:rsid w:val="004D6680"/>
    <w:rsid w:val="004F4AA7"/>
    <w:rsid w:val="004F5E90"/>
    <w:rsid w:val="005218F2"/>
    <w:rsid w:val="00525F2C"/>
    <w:rsid w:val="00542B19"/>
    <w:rsid w:val="005567D0"/>
    <w:rsid w:val="005600E7"/>
    <w:rsid w:val="005B0058"/>
    <w:rsid w:val="005D3006"/>
    <w:rsid w:val="005E69EE"/>
    <w:rsid w:val="005F3A8E"/>
    <w:rsid w:val="005F4D29"/>
    <w:rsid w:val="00635C3F"/>
    <w:rsid w:val="0064104E"/>
    <w:rsid w:val="006503B8"/>
    <w:rsid w:val="00652BD5"/>
    <w:rsid w:val="006601DC"/>
    <w:rsid w:val="0066755A"/>
    <w:rsid w:val="00670B65"/>
    <w:rsid w:val="00671B95"/>
    <w:rsid w:val="006A7735"/>
    <w:rsid w:val="006C5546"/>
    <w:rsid w:val="006D6618"/>
    <w:rsid w:val="006F2918"/>
    <w:rsid w:val="007065AA"/>
    <w:rsid w:val="00720A1E"/>
    <w:rsid w:val="007221C5"/>
    <w:rsid w:val="00723A84"/>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5AD2"/>
    <w:rsid w:val="008270A5"/>
    <w:rsid w:val="00833925"/>
    <w:rsid w:val="008404E0"/>
    <w:rsid w:val="00841AE5"/>
    <w:rsid w:val="00857373"/>
    <w:rsid w:val="00867EF1"/>
    <w:rsid w:val="00870DD9"/>
    <w:rsid w:val="00872E49"/>
    <w:rsid w:val="00895934"/>
    <w:rsid w:val="008A50FD"/>
    <w:rsid w:val="008C219B"/>
    <w:rsid w:val="008C4AAE"/>
    <w:rsid w:val="008D6EA2"/>
    <w:rsid w:val="00914A93"/>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0728"/>
    <w:rsid w:val="00A41C28"/>
    <w:rsid w:val="00A615C5"/>
    <w:rsid w:val="00A70823"/>
    <w:rsid w:val="00A96D5F"/>
    <w:rsid w:val="00AB2037"/>
    <w:rsid w:val="00AD1D07"/>
    <w:rsid w:val="00AE3E48"/>
    <w:rsid w:val="00B04F37"/>
    <w:rsid w:val="00B05156"/>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8442C"/>
    <w:rsid w:val="00CD5A45"/>
    <w:rsid w:val="00CD7BD7"/>
    <w:rsid w:val="00CE7D5C"/>
    <w:rsid w:val="00CF5D50"/>
    <w:rsid w:val="00D35382"/>
    <w:rsid w:val="00D466C8"/>
    <w:rsid w:val="00D61942"/>
    <w:rsid w:val="00D7354D"/>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17AD327D"/>
    <w:rsid w:val="236757DC"/>
    <w:rsid w:val="2DCB9863"/>
    <w:rsid w:val="37E36F12"/>
    <w:rsid w:val="3F7FCC52"/>
    <w:rsid w:val="5FFF28FC"/>
    <w:rsid w:val="6BDBF5C8"/>
    <w:rsid w:val="7DDC8016"/>
    <w:rsid w:val="BBDF0987"/>
    <w:rsid w:val="BEFF5A94"/>
    <w:rsid w:val="BFAC46E4"/>
    <w:rsid w:val="CFFF3769"/>
    <w:rsid w:val="EBF931BD"/>
    <w:rsid w:val="EFCD34E4"/>
    <w:rsid w:val="EFFDCB44"/>
    <w:rsid w:val="F2F77C37"/>
    <w:rsid w:val="FF7BC722"/>
    <w:rsid w:val="FFBF9D6E"/>
    <w:rsid w:val="FFFD9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Body Text Indent"/>
    <w:basedOn w:val="1"/>
    <w:qFormat/>
    <w:uiPriority w:val="0"/>
    <w:pPr>
      <w:ind w:firstLine="360"/>
    </w:pPr>
    <w:rPr>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footnote reference"/>
    <w:semiHidden/>
    <w:qFormat/>
    <w:uiPriority w:val="0"/>
    <w:rPr>
      <w:vertAlign w:val="superscript"/>
    </w:rPr>
  </w:style>
  <w:style w:type="paragraph" w:customStyle="1" w:styleId="15">
    <w:name w:val="默认段落字体 Para Char Char Char Char Char Char Char"/>
    <w:basedOn w:val="1"/>
    <w:qFormat/>
    <w:uiPriority w:val="0"/>
    <w:rPr>
      <w:rFonts w:ascii="Tahoma" w:hAnsi="Tahoma"/>
      <w:sz w:val="24"/>
      <w:szCs w:val="20"/>
    </w:rPr>
  </w:style>
  <w:style w:type="paragraph" w:customStyle="1" w:styleId="16">
    <w:name w:val="列出段落1"/>
    <w:basedOn w:val="1"/>
    <w:qFormat/>
    <w:uiPriority w:val="0"/>
    <w:pPr>
      <w:ind w:firstLine="420" w:firstLineChars="200"/>
    </w:pPr>
    <w:rPr>
      <w:rFonts w:ascii="Calibri" w:hAnsi="Calibri"/>
      <w:szCs w:val="22"/>
    </w:rPr>
  </w:style>
  <w:style w:type="paragraph" w:customStyle="1" w:styleId="17">
    <w:name w:val="样式2"/>
    <w:basedOn w:val="1"/>
    <w:link w:val="18"/>
    <w:qFormat/>
    <w:uiPriority w:val="0"/>
    <w:pPr>
      <w:jc w:val="center"/>
    </w:pPr>
    <w:rPr>
      <w:rFonts w:ascii="方正小标宋简体" w:hAnsi="Calibri" w:eastAsia="方正小标宋简体"/>
      <w:color w:val="FF0000"/>
      <w:w w:val="50"/>
      <w:sz w:val="110"/>
      <w:szCs w:val="110"/>
    </w:rPr>
  </w:style>
  <w:style w:type="character" w:customStyle="1" w:styleId="18">
    <w:name w:val="样式2 Char"/>
    <w:basedOn w:val="11"/>
    <w:link w:val="17"/>
    <w:qFormat/>
    <w:uiPriority w:val="0"/>
    <w:rPr>
      <w:rFonts w:ascii="方正小标宋简体" w:hAnsi="Calibri" w:eastAsia="方正小标宋简体"/>
      <w:color w:val="FF0000"/>
      <w:w w:val="50"/>
      <w:kern w:val="2"/>
      <w:sz w:val="110"/>
      <w:szCs w:val="110"/>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 w:type="character" w:customStyle="1" w:styleId="27">
    <w:name w:val="font31"/>
    <w:basedOn w:val="11"/>
    <w:qFormat/>
    <w:uiPriority w:val="0"/>
    <w:rPr>
      <w:rFonts w:hint="eastAsia" w:ascii="仿宋_GB2312" w:eastAsia="仿宋_GB2312" w:cs="仿宋_GB2312"/>
      <w:color w:val="000000"/>
      <w:sz w:val="24"/>
      <w:szCs w:val="24"/>
      <w:u w:val="none"/>
    </w:rPr>
  </w:style>
  <w:style w:type="character" w:customStyle="1" w:styleId="28">
    <w:name w:val="font161"/>
    <w:basedOn w:val="11"/>
    <w:qFormat/>
    <w:uiPriority w:val="0"/>
    <w:rPr>
      <w:rFonts w:hint="default" w:ascii="Times New Roman" w:hAnsi="Times New Roman" w:cs="Times New Roman"/>
      <w:color w:val="000000"/>
      <w:sz w:val="24"/>
      <w:szCs w:val="24"/>
      <w:u w:val="none"/>
    </w:rPr>
  </w:style>
  <w:style w:type="character" w:customStyle="1" w:styleId="29">
    <w:name w:val="font131"/>
    <w:basedOn w:val="11"/>
    <w:qFormat/>
    <w:uiPriority w:val="0"/>
    <w:rPr>
      <w:rFonts w:hint="eastAsia" w:ascii="仿宋_GB2312" w:eastAsia="仿宋_GB2312" w:cs="仿宋_GB2312"/>
      <w:color w:val="000000"/>
      <w:sz w:val="24"/>
      <w:szCs w:val="24"/>
      <w:u w:val="none"/>
    </w:rPr>
  </w:style>
  <w:style w:type="character" w:customStyle="1" w:styleId="30">
    <w:name w:val="font51"/>
    <w:basedOn w:val="11"/>
    <w:qFormat/>
    <w:uiPriority w:val="0"/>
    <w:rPr>
      <w:rFonts w:hint="eastAsia" w:ascii="仿宋_GB2312" w:eastAsia="仿宋_GB2312" w:cs="仿宋_GB2312"/>
      <w:color w:val="000000"/>
      <w:sz w:val="24"/>
      <w:szCs w:val="24"/>
      <w:u w:val="none"/>
    </w:rPr>
  </w:style>
  <w:style w:type="character" w:customStyle="1" w:styleId="31">
    <w:name w:val="font171"/>
    <w:basedOn w:val="11"/>
    <w:qFormat/>
    <w:uiPriority w:val="0"/>
    <w:rPr>
      <w:rFonts w:ascii="方正隶书_GBK" w:hAnsi="方正隶书_GBK" w:eastAsia="方正隶书_GBK" w:cs="方正隶书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wsc</Company>
  <Pages>19</Pages>
  <Words>8157</Words>
  <Characters>9100</Characters>
  <Lines>70</Lines>
  <Paragraphs>19</Paragraphs>
  <TotalTime>4</TotalTime>
  <ScaleCrop>false</ScaleCrop>
  <LinksUpToDate>false</LinksUpToDate>
  <CharactersWithSpaces>9108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2020-09-18T11:37:00Z</dcterms:created>
  <dc:creator>edi</dc:creator>
  <cp:lastModifiedBy>greatwall</cp:lastModifiedBy>
  <cp:lastPrinted>2024-09-26T23:55:00Z</cp:lastPrinted>
  <dcterms:modified xsi:type="dcterms:W3CDTF">2024-09-30T14:53:02Z</dcterms:modified>
  <dc:title>津商务贸发函〔2009〕1号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F47CFA65467F40C2802327BE4DE29C81_12</vt:lpwstr>
  </property>
</Properties>
</file>