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420" w:lineRule="atLeast"/>
        <w:jc w:val="center"/>
        <w:rPr>
          <w:rFonts w:hint="eastAsia" w:ascii="宋体" w:hAnsi="宋体" w:cs="宋体"/>
          <w:b/>
          <w:bCs/>
          <w:color w:val="auto"/>
          <w:sz w:val="44"/>
          <w:szCs w:val="44"/>
          <w:shd w:val="clear" w:color="auto" w:fill="FFFFFF"/>
        </w:rPr>
      </w:pPr>
      <w:r>
        <w:rPr>
          <w:rFonts w:hint="eastAsia" w:ascii="宋体" w:hAnsi="宋体" w:cs="宋体"/>
          <w:b/>
          <w:bCs/>
          <w:color w:val="auto"/>
          <w:sz w:val="44"/>
          <w:szCs w:val="44"/>
          <w:shd w:val="clear" w:color="auto" w:fill="FFFFFF"/>
          <w:lang w:eastAsia="zh-CN"/>
        </w:rPr>
        <w:t>和平区生态环境局</w:t>
      </w:r>
      <w:r>
        <w:rPr>
          <w:rFonts w:hint="eastAsia" w:ascii="宋体" w:hAnsi="宋体" w:cs="宋体"/>
          <w:b/>
          <w:bCs/>
          <w:color w:val="auto"/>
          <w:sz w:val="44"/>
          <w:szCs w:val="44"/>
          <w:shd w:val="clear" w:color="auto" w:fill="FFFFFF"/>
        </w:rPr>
        <w:t>政府信息公开工作</w:t>
      </w:r>
    </w:p>
    <w:p>
      <w:pPr>
        <w:pStyle w:val="2"/>
        <w:widowControl/>
        <w:shd w:val="clear" w:color="auto" w:fill="FFFFFF"/>
        <w:spacing w:before="0" w:beforeAutospacing="0" w:after="0" w:afterAutospacing="0" w:line="420" w:lineRule="atLeast"/>
        <w:jc w:val="center"/>
        <w:rPr>
          <w:rFonts w:ascii="宋体"/>
          <w:color w:val="auto"/>
        </w:rPr>
      </w:pPr>
      <w:r>
        <w:rPr>
          <w:rFonts w:hint="eastAsia" w:ascii="宋体" w:hAnsi="宋体" w:cs="宋体"/>
          <w:b/>
          <w:bCs/>
          <w:color w:val="auto"/>
          <w:sz w:val="44"/>
          <w:szCs w:val="44"/>
          <w:shd w:val="clear" w:color="auto" w:fill="FFFFFF"/>
          <w:lang w:val="en-US" w:eastAsia="zh-CN"/>
        </w:rPr>
        <w:t>2021</w:t>
      </w:r>
      <w:r>
        <w:rPr>
          <w:rFonts w:hint="eastAsia" w:ascii="宋体" w:hAnsi="宋体" w:cs="宋体"/>
          <w:b/>
          <w:bCs/>
          <w:color w:val="auto"/>
          <w:sz w:val="44"/>
          <w:szCs w:val="44"/>
          <w:shd w:val="clear" w:color="auto" w:fill="FFFFFF"/>
        </w:rPr>
        <w:t>年度报告</w:t>
      </w:r>
    </w:p>
    <w:p>
      <w:pPr>
        <w:pStyle w:val="2"/>
        <w:widowControl/>
        <w:shd w:val="clear" w:color="auto" w:fill="FFFFFF"/>
        <w:spacing w:before="0" w:beforeAutospacing="0" w:after="0" w:afterAutospacing="0" w:line="420" w:lineRule="atLeast"/>
        <w:ind w:firstLine="420"/>
        <w:jc w:val="both"/>
        <w:rPr>
          <w:rFonts w:ascii="宋体"/>
          <w:color w:val="auto"/>
        </w:rPr>
      </w:pPr>
      <w:r>
        <w:rPr>
          <w:rFonts w:ascii="宋体" w:hAnsi="宋体" w:cs="宋体"/>
          <w:color w:val="auto"/>
        </w:rPr>
        <w:t xml:space="preserve"> </w:t>
      </w:r>
    </w:p>
    <w:p>
      <w:pPr>
        <w:pStyle w:val="2"/>
        <w:widowControl/>
        <w:shd w:val="clear" w:color="auto" w:fill="FFFFFF"/>
        <w:spacing w:before="0" w:beforeAutospacing="0" w:after="0" w:afterAutospacing="0" w:line="420" w:lineRule="atLeast"/>
        <w:ind w:firstLine="420"/>
        <w:jc w:val="both"/>
        <w:rPr>
          <w:rFonts w:ascii="宋体"/>
          <w:color w:val="auto"/>
        </w:rPr>
      </w:pPr>
      <w:r>
        <w:rPr>
          <w:rFonts w:hint="eastAsia" w:ascii="黑体" w:hAnsi="黑体" w:eastAsia="黑体" w:cs="黑体"/>
          <w:b w:val="0"/>
          <w:bCs w:val="0"/>
          <w:color w:val="auto"/>
          <w:sz w:val="32"/>
          <w:szCs w:val="32"/>
          <w:shd w:val="clear" w:color="auto" w:fill="FFFFFF"/>
        </w:rPr>
        <w:t>一、总体情况</w:t>
      </w:r>
    </w:p>
    <w:p>
      <w:pPr>
        <w:spacing w:line="560" w:lineRule="exact"/>
        <w:ind w:firstLine="640" w:firstLineChars="200"/>
        <w:rPr>
          <w:rFonts w:eastAsia="仿宋_GB2312"/>
          <w:sz w:val="32"/>
          <w:szCs w:val="32"/>
        </w:rPr>
      </w:pPr>
      <w:r>
        <w:rPr>
          <w:rFonts w:eastAsia="仿宋_GB2312"/>
          <w:sz w:val="32"/>
          <w:szCs w:val="32"/>
        </w:rPr>
        <w:t>为了进一步加强</w:t>
      </w:r>
      <w:r>
        <w:rPr>
          <w:rFonts w:hint="eastAsia" w:eastAsia="仿宋_GB2312"/>
          <w:sz w:val="32"/>
          <w:szCs w:val="32"/>
        </w:rPr>
        <w:t>生态</w:t>
      </w:r>
      <w:r>
        <w:rPr>
          <w:rFonts w:eastAsia="仿宋_GB2312"/>
          <w:sz w:val="32"/>
          <w:szCs w:val="32"/>
        </w:rPr>
        <w:t>环境保护政务公开工作，按照《</w:t>
      </w:r>
      <w:r>
        <w:rPr>
          <w:rFonts w:hint="eastAsia" w:eastAsia="仿宋_GB2312"/>
          <w:sz w:val="32"/>
          <w:szCs w:val="32"/>
          <w:lang w:eastAsia="zh-CN"/>
        </w:rPr>
        <w:t>关于做好</w:t>
      </w:r>
      <w:r>
        <w:rPr>
          <w:rFonts w:hint="eastAsia" w:eastAsia="仿宋_GB2312"/>
          <w:sz w:val="32"/>
          <w:szCs w:val="32"/>
          <w:lang w:val="en-US" w:eastAsia="zh-CN"/>
        </w:rPr>
        <w:t>2021</w:t>
      </w:r>
      <w:r>
        <w:rPr>
          <w:rFonts w:hint="eastAsia" w:eastAsia="仿宋_GB2312"/>
          <w:sz w:val="32"/>
          <w:szCs w:val="32"/>
        </w:rPr>
        <w:t>年</w:t>
      </w:r>
      <w:r>
        <w:rPr>
          <w:rFonts w:hint="eastAsia" w:eastAsia="仿宋_GB2312"/>
          <w:sz w:val="32"/>
          <w:szCs w:val="32"/>
          <w:lang w:eastAsia="zh-CN"/>
        </w:rPr>
        <w:t>度我</w:t>
      </w:r>
      <w:r>
        <w:rPr>
          <w:rFonts w:hint="eastAsia" w:eastAsia="仿宋_GB2312"/>
          <w:sz w:val="32"/>
          <w:szCs w:val="32"/>
        </w:rPr>
        <w:t>区</w:t>
      </w:r>
      <w:r>
        <w:rPr>
          <w:rFonts w:hint="eastAsia" w:eastAsia="仿宋_GB2312"/>
          <w:sz w:val="32"/>
          <w:szCs w:val="32"/>
          <w:lang w:eastAsia="zh-CN"/>
        </w:rPr>
        <w:t>行政机关政府信息公开年度报告编制发布工作的通知</w:t>
      </w:r>
      <w:r>
        <w:rPr>
          <w:rFonts w:eastAsia="仿宋_GB2312"/>
          <w:sz w:val="32"/>
          <w:szCs w:val="32"/>
        </w:rPr>
        <w:t>》文件要求，区</w:t>
      </w:r>
      <w:r>
        <w:rPr>
          <w:rFonts w:hint="eastAsia" w:eastAsia="仿宋_GB2312"/>
          <w:sz w:val="32"/>
          <w:szCs w:val="32"/>
        </w:rPr>
        <w:t>生态环境</w:t>
      </w:r>
      <w:r>
        <w:rPr>
          <w:rFonts w:eastAsia="仿宋_GB2312"/>
          <w:sz w:val="32"/>
          <w:szCs w:val="32"/>
        </w:rPr>
        <w:t>局结合本局实际，对本年度政务公开重点工作情况</w:t>
      </w:r>
      <w:r>
        <w:rPr>
          <w:rFonts w:hint="eastAsia" w:eastAsia="仿宋_GB2312"/>
          <w:sz w:val="32"/>
          <w:szCs w:val="32"/>
        </w:rPr>
        <w:t>进行</w:t>
      </w:r>
      <w:r>
        <w:rPr>
          <w:rFonts w:eastAsia="仿宋_GB2312"/>
          <w:sz w:val="32"/>
          <w:szCs w:val="32"/>
        </w:rPr>
        <w:t>汇总，现将情况报告如下：</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（一）加强领导，健立政务公开工作机构</w:t>
      </w:r>
    </w:p>
    <w:p>
      <w:pPr>
        <w:spacing w:line="560" w:lineRule="exact"/>
        <w:ind w:firstLine="640" w:firstLineChars="200"/>
        <w:rPr>
          <w:rFonts w:eastAsia="仿宋_GB2312"/>
          <w:sz w:val="32"/>
          <w:szCs w:val="32"/>
        </w:rPr>
      </w:pPr>
      <w:r>
        <w:rPr>
          <w:rFonts w:eastAsia="仿宋_GB2312"/>
          <w:sz w:val="32"/>
          <w:szCs w:val="32"/>
        </w:rPr>
        <w:t>一是</w:t>
      </w:r>
      <w:r>
        <w:rPr>
          <w:rFonts w:hint="eastAsia" w:eastAsia="仿宋_GB2312"/>
          <w:sz w:val="32"/>
          <w:szCs w:val="32"/>
          <w:lang w:eastAsia="zh-CN"/>
        </w:rPr>
        <w:t>及时调整</w:t>
      </w:r>
      <w:r>
        <w:rPr>
          <w:rFonts w:hint="eastAsia" w:eastAsia="仿宋_GB2312"/>
          <w:sz w:val="32"/>
          <w:szCs w:val="32"/>
        </w:rPr>
        <w:t>生态</w:t>
      </w:r>
      <w:r>
        <w:rPr>
          <w:rFonts w:eastAsia="仿宋_GB2312"/>
          <w:sz w:val="32"/>
          <w:szCs w:val="32"/>
        </w:rPr>
        <w:t>环境保护政务公开工作领导小组。</w:t>
      </w:r>
      <w:r>
        <w:rPr>
          <w:rFonts w:hint="eastAsia" w:eastAsia="仿宋_GB2312"/>
          <w:sz w:val="32"/>
          <w:szCs w:val="32"/>
          <w:lang w:eastAsia="zh-CN"/>
        </w:rPr>
        <w:t>由于人事变动，及时调整领导小组组长、</w:t>
      </w:r>
      <w:r>
        <w:rPr>
          <w:rFonts w:eastAsia="仿宋_GB2312"/>
          <w:sz w:val="32"/>
          <w:szCs w:val="32"/>
        </w:rPr>
        <w:t>副组长，小组成员，统筹领导本局政务公开工作。</w:t>
      </w:r>
    </w:p>
    <w:p>
      <w:pPr>
        <w:spacing w:line="560" w:lineRule="exact"/>
        <w:ind w:firstLine="640" w:firstLineChars="200"/>
        <w:rPr>
          <w:rFonts w:eastAsia="仿宋_GB2312"/>
          <w:sz w:val="32"/>
          <w:szCs w:val="32"/>
        </w:rPr>
      </w:pPr>
      <w:r>
        <w:rPr>
          <w:rFonts w:eastAsia="仿宋_GB2312"/>
          <w:sz w:val="32"/>
          <w:szCs w:val="32"/>
        </w:rPr>
        <w:t>二是建立</w:t>
      </w:r>
      <w:r>
        <w:rPr>
          <w:rFonts w:hint="eastAsia" w:eastAsia="仿宋_GB2312"/>
          <w:sz w:val="32"/>
          <w:szCs w:val="32"/>
        </w:rPr>
        <w:t>生态</w:t>
      </w:r>
      <w:r>
        <w:rPr>
          <w:rFonts w:eastAsia="仿宋_GB2312"/>
          <w:sz w:val="32"/>
          <w:szCs w:val="32"/>
        </w:rPr>
        <w:t>环境保护政务公开科室责任制度和信息员制度。局各科</w:t>
      </w:r>
      <w:r>
        <w:rPr>
          <w:rFonts w:hint="eastAsia" w:eastAsia="仿宋_GB2312"/>
          <w:sz w:val="32"/>
          <w:szCs w:val="32"/>
        </w:rPr>
        <w:t>、</w:t>
      </w:r>
      <w:r>
        <w:rPr>
          <w:rFonts w:eastAsia="仿宋_GB2312"/>
          <w:sz w:val="32"/>
          <w:szCs w:val="32"/>
        </w:rPr>
        <w:t>室</w:t>
      </w:r>
      <w:r>
        <w:rPr>
          <w:rFonts w:hint="eastAsia" w:eastAsia="仿宋_GB2312"/>
          <w:sz w:val="32"/>
          <w:szCs w:val="32"/>
        </w:rPr>
        <w:t>、</w:t>
      </w:r>
      <w:r>
        <w:rPr>
          <w:rFonts w:eastAsia="仿宋_GB2312"/>
          <w:sz w:val="32"/>
          <w:szCs w:val="32"/>
        </w:rPr>
        <w:t>队</w:t>
      </w:r>
      <w:r>
        <w:rPr>
          <w:rFonts w:hint="eastAsia" w:eastAsia="仿宋_GB2312"/>
          <w:sz w:val="32"/>
          <w:szCs w:val="32"/>
        </w:rPr>
        <w:t>、中心</w:t>
      </w:r>
      <w:r>
        <w:rPr>
          <w:rFonts w:eastAsia="仿宋_GB2312"/>
          <w:sz w:val="32"/>
          <w:szCs w:val="32"/>
        </w:rPr>
        <w:t>负责人是本</w:t>
      </w:r>
      <w:r>
        <w:rPr>
          <w:rFonts w:hint="eastAsia" w:eastAsia="仿宋_GB2312"/>
          <w:sz w:val="32"/>
          <w:szCs w:val="32"/>
        </w:rPr>
        <w:t>科室</w:t>
      </w:r>
      <w:r>
        <w:rPr>
          <w:rFonts w:eastAsia="仿宋_GB2312"/>
          <w:sz w:val="32"/>
          <w:szCs w:val="32"/>
        </w:rPr>
        <w:t>信息公开工作责任人，对本</w:t>
      </w:r>
      <w:r>
        <w:rPr>
          <w:rFonts w:hint="eastAsia" w:eastAsia="仿宋_GB2312"/>
          <w:sz w:val="32"/>
          <w:szCs w:val="32"/>
        </w:rPr>
        <w:t>部门</w:t>
      </w:r>
      <w:r>
        <w:rPr>
          <w:rFonts w:eastAsia="仿宋_GB2312"/>
          <w:sz w:val="32"/>
          <w:szCs w:val="32"/>
        </w:rPr>
        <w:t>报送的各类公开信息的真实性、准确性和合法性负责。各科</w:t>
      </w:r>
      <w:r>
        <w:rPr>
          <w:rFonts w:hint="eastAsia" w:eastAsia="仿宋_GB2312"/>
          <w:sz w:val="32"/>
          <w:szCs w:val="32"/>
        </w:rPr>
        <w:t>、</w:t>
      </w:r>
      <w:r>
        <w:rPr>
          <w:rFonts w:eastAsia="仿宋_GB2312"/>
          <w:sz w:val="32"/>
          <w:szCs w:val="32"/>
        </w:rPr>
        <w:t>室</w:t>
      </w:r>
      <w:r>
        <w:rPr>
          <w:rFonts w:hint="eastAsia" w:eastAsia="仿宋_GB2312"/>
          <w:sz w:val="32"/>
          <w:szCs w:val="32"/>
        </w:rPr>
        <w:t>、</w:t>
      </w:r>
      <w:r>
        <w:rPr>
          <w:rFonts w:eastAsia="仿宋_GB2312"/>
          <w:sz w:val="32"/>
          <w:szCs w:val="32"/>
        </w:rPr>
        <w:t>队</w:t>
      </w:r>
      <w:r>
        <w:rPr>
          <w:rFonts w:hint="eastAsia" w:eastAsia="仿宋_GB2312"/>
          <w:sz w:val="32"/>
          <w:szCs w:val="32"/>
        </w:rPr>
        <w:t>、中心</w:t>
      </w:r>
      <w:r>
        <w:rPr>
          <w:rFonts w:eastAsia="仿宋_GB2312"/>
          <w:sz w:val="32"/>
          <w:szCs w:val="32"/>
        </w:rPr>
        <w:t>指定专门信息员负责信息的撰写、整理、修改、报送等具体工作。</w:t>
      </w:r>
    </w:p>
    <w:p>
      <w:pPr>
        <w:spacing w:line="560" w:lineRule="exact"/>
        <w:ind w:firstLine="640" w:firstLineChars="200"/>
        <w:rPr>
          <w:rFonts w:eastAsia="仿宋_GB2312"/>
          <w:sz w:val="32"/>
          <w:szCs w:val="32"/>
        </w:rPr>
      </w:pPr>
      <w:r>
        <w:rPr>
          <w:rFonts w:eastAsia="仿宋_GB2312"/>
          <w:sz w:val="32"/>
          <w:szCs w:val="32"/>
        </w:rPr>
        <w:t>三是实行信息公开监督考核制度。局政务公开工作领导小组负责监督检查和指导，对各科</w:t>
      </w:r>
      <w:r>
        <w:rPr>
          <w:rFonts w:hint="eastAsia" w:eastAsia="仿宋_GB2312"/>
          <w:sz w:val="32"/>
          <w:szCs w:val="32"/>
        </w:rPr>
        <w:t>、</w:t>
      </w:r>
      <w:r>
        <w:rPr>
          <w:rFonts w:eastAsia="仿宋_GB2312"/>
          <w:sz w:val="32"/>
          <w:szCs w:val="32"/>
        </w:rPr>
        <w:t>室</w:t>
      </w:r>
      <w:r>
        <w:rPr>
          <w:rFonts w:hint="eastAsia" w:eastAsia="仿宋_GB2312"/>
          <w:sz w:val="32"/>
          <w:szCs w:val="32"/>
        </w:rPr>
        <w:t>、</w:t>
      </w:r>
      <w:r>
        <w:rPr>
          <w:rFonts w:eastAsia="仿宋_GB2312"/>
          <w:sz w:val="32"/>
          <w:szCs w:val="32"/>
        </w:rPr>
        <w:t>队</w:t>
      </w:r>
      <w:r>
        <w:rPr>
          <w:rFonts w:hint="eastAsia" w:eastAsia="仿宋_GB2312"/>
          <w:sz w:val="32"/>
          <w:szCs w:val="32"/>
        </w:rPr>
        <w:t>、中心</w:t>
      </w:r>
      <w:r>
        <w:rPr>
          <w:rFonts w:eastAsia="仿宋_GB2312"/>
          <w:sz w:val="32"/>
          <w:szCs w:val="32"/>
        </w:rPr>
        <w:t>主动公开信息数量进行</w:t>
      </w:r>
      <w:r>
        <w:rPr>
          <w:rFonts w:hint="eastAsia" w:eastAsia="仿宋_GB2312"/>
          <w:sz w:val="32"/>
          <w:szCs w:val="32"/>
        </w:rPr>
        <w:t>统计</w:t>
      </w:r>
      <w:r>
        <w:rPr>
          <w:rFonts w:eastAsia="仿宋_GB2312"/>
          <w:sz w:val="32"/>
          <w:szCs w:val="32"/>
        </w:rPr>
        <w:t>、排名和通报，对排名靠前的</w:t>
      </w:r>
      <w:r>
        <w:rPr>
          <w:rFonts w:hint="eastAsia" w:eastAsia="仿宋_GB2312"/>
          <w:sz w:val="32"/>
          <w:szCs w:val="32"/>
        </w:rPr>
        <w:t>部门</w:t>
      </w:r>
      <w:r>
        <w:rPr>
          <w:rFonts w:eastAsia="仿宋_GB2312"/>
          <w:sz w:val="32"/>
          <w:szCs w:val="32"/>
        </w:rPr>
        <w:t>及信息员进行表彰，并作为年度工作考核的参考依据。</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（二）完善制度，细化信息公开工作机制</w:t>
      </w:r>
    </w:p>
    <w:p>
      <w:pPr>
        <w:spacing w:line="560" w:lineRule="exact"/>
        <w:ind w:firstLine="640" w:firstLineChars="200"/>
        <w:rPr>
          <w:rFonts w:eastAsia="仿宋_GB2312"/>
          <w:sz w:val="32"/>
          <w:szCs w:val="32"/>
        </w:rPr>
      </w:pPr>
      <w:r>
        <w:rPr>
          <w:rFonts w:eastAsia="仿宋_GB2312"/>
          <w:sz w:val="32"/>
          <w:szCs w:val="32"/>
        </w:rPr>
        <w:t>一是</w:t>
      </w:r>
      <w:r>
        <w:rPr>
          <w:rFonts w:hint="eastAsia" w:eastAsia="仿宋_GB2312"/>
          <w:sz w:val="32"/>
          <w:szCs w:val="32"/>
          <w:lang w:eastAsia="zh-CN"/>
        </w:rPr>
        <w:t>严格落实制度要求</w:t>
      </w:r>
      <w:r>
        <w:rPr>
          <w:rFonts w:eastAsia="仿宋_GB2312"/>
          <w:sz w:val="32"/>
          <w:szCs w:val="32"/>
        </w:rPr>
        <w:t>。修订</w:t>
      </w:r>
      <w:r>
        <w:rPr>
          <w:rFonts w:hint="eastAsia" w:eastAsia="仿宋_GB2312"/>
          <w:sz w:val="32"/>
          <w:szCs w:val="32"/>
          <w:lang w:eastAsia="zh-CN"/>
        </w:rPr>
        <w:t>完善办公地点、办公时间、联系方式以及内设机构及下设机构职责等信息</w:t>
      </w:r>
      <w:r>
        <w:rPr>
          <w:rFonts w:eastAsia="仿宋_GB2312"/>
          <w:sz w:val="32"/>
          <w:szCs w:val="32"/>
        </w:rPr>
        <w:t>，</w:t>
      </w:r>
      <w:r>
        <w:rPr>
          <w:rFonts w:hint="eastAsia" w:eastAsia="仿宋_GB2312"/>
          <w:sz w:val="32"/>
          <w:szCs w:val="32"/>
          <w:lang w:eastAsia="zh-CN"/>
        </w:rPr>
        <w:t>做到应公开尽公开，以信息公开拓宽为民服务渠道，</w:t>
      </w:r>
      <w:r>
        <w:rPr>
          <w:rFonts w:eastAsia="仿宋_GB2312"/>
          <w:sz w:val="32"/>
          <w:szCs w:val="32"/>
        </w:rPr>
        <w:t>不断规范全局信息公开工作。</w:t>
      </w:r>
    </w:p>
    <w:p>
      <w:pPr>
        <w:spacing w:line="560" w:lineRule="exact"/>
        <w:ind w:firstLine="640" w:firstLineChars="200"/>
        <w:rPr>
          <w:rFonts w:eastAsia="仿宋_GB2312"/>
          <w:sz w:val="32"/>
          <w:szCs w:val="32"/>
        </w:rPr>
      </w:pPr>
      <w:r>
        <w:rPr>
          <w:rFonts w:eastAsia="仿宋_GB2312"/>
          <w:sz w:val="32"/>
          <w:szCs w:val="32"/>
        </w:rPr>
        <w:t>二是明确内容。根据国务院、市政府、</w:t>
      </w:r>
      <w:r>
        <w:rPr>
          <w:rFonts w:hint="eastAsia" w:eastAsia="仿宋_GB2312"/>
          <w:sz w:val="32"/>
          <w:szCs w:val="32"/>
        </w:rPr>
        <w:t>生态环境</w:t>
      </w:r>
      <w:r>
        <w:rPr>
          <w:rFonts w:eastAsia="仿宋_GB2312"/>
          <w:sz w:val="32"/>
          <w:szCs w:val="32"/>
        </w:rPr>
        <w:t>部及市</w:t>
      </w:r>
      <w:r>
        <w:rPr>
          <w:rFonts w:hint="eastAsia" w:eastAsia="仿宋_GB2312"/>
          <w:sz w:val="32"/>
          <w:szCs w:val="32"/>
        </w:rPr>
        <w:t>生态环境</w:t>
      </w:r>
      <w:r>
        <w:rPr>
          <w:rFonts w:eastAsia="仿宋_GB2312"/>
          <w:sz w:val="32"/>
          <w:szCs w:val="32"/>
        </w:rPr>
        <w:t>局关于</w:t>
      </w:r>
      <w:r>
        <w:rPr>
          <w:rFonts w:hint="eastAsia" w:eastAsia="仿宋_GB2312"/>
          <w:sz w:val="32"/>
          <w:szCs w:val="32"/>
        </w:rPr>
        <w:t>生态</w:t>
      </w:r>
      <w:r>
        <w:rPr>
          <w:rFonts w:eastAsia="仿宋_GB2312"/>
          <w:sz w:val="32"/>
          <w:szCs w:val="32"/>
        </w:rPr>
        <w:t>环境保护政务公开工作的一系列重要要求，我局明确了信息公开的范围与内容，包括：</w:t>
      </w:r>
      <w:r>
        <w:rPr>
          <w:rFonts w:hint="eastAsia" w:eastAsia="仿宋_GB2312"/>
          <w:sz w:val="32"/>
          <w:szCs w:val="32"/>
        </w:rPr>
        <w:t>生态环境保护</w:t>
      </w:r>
      <w:r>
        <w:rPr>
          <w:rFonts w:eastAsia="仿宋_GB2312"/>
          <w:sz w:val="32"/>
          <w:szCs w:val="32"/>
        </w:rPr>
        <w:t>工作信息、</w:t>
      </w:r>
      <w:r>
        <w:rPr>
          <w:rFonts w:hint="eastAsia" w:eastAsia="仿宋_GB2312"/>
          <w:sz w:val="32"/>
          <w:szCs w:val="32"/>
          <w:lang w:eastAsia="zh-CN"/>
        </w:rPr>
        <w:t>环境执法</w:t>
      </w:r>
      <w:r>
        <w:rPr>
          <w:rFonts w:hint="eastAsia" w:eastAsia="仿宋_GB2312"/>
          <w:sz w:val="32"/>
          <w:szCs w:val="32"/>
        </w:rPr>
        <w:t>、</w:t>
      </w:r>
      <w:r>
        <w:rPr>
          <w:rFonts w:eastAsia="仿宋_GB2312"/>
          <w:sz w:val="32"/>
          <w:szCs w:val="32"/>
        </w:rPr>
        <w:t>环境监测、环境管理、重特大突发环境事件、环境行政处罚等，努力把群众最关心、最需要了解的事项作为信息公开重点。</w:t>
      </w:r>
    </w:p>
    <w:p>
      <w:pPr>
        <w:spacing w:line="560" w:lineRule="exact"/>
        <w:ind w:firstLine="640" w:firstLineChars="200"/>
        <w:rPr>
          <w:rFonts w:eastAsia="仿宋_GB2312"/>
          <w:sz w:val="32"/>
          <w:szCs w:val="32"/>
        </w:rPr>
      </w:pPr>
      <w:r>
        <w:rPr>
          <w:rFonts w:eastAsia="仿宋_GB2312"/>
          <w:sz w:val="32"/>
          <w:szCs w:val="32"/>
        </w:rPr>
        <w:t>三是加强审查。我局坚持“先审查、后公开”和“一事一审”原则，明确规定未经局主要负责人审核的信息，一律不得公开。对于局发文件，正式发文时需明确标注“此件主动公开”或“此件不公开”，文件形成后经局领导审阅方能公开。同时，制定保密审查制度，严格按照国家有关法律法规及市、区有关规定做好政务信息的保密审查，确保“涉密信息不公开，公开信息不涉密”。</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（三）主动公开，推进环境保护信息公开</w:t>
      </w:r>
    </w:p>
    <w:p>
      <w:pPr>
        <w:spacing w:line="560" w:lineRule="exact"/>
        <w:ind w:firstLine="640" w:firstLineChars="200"/>
        <w:rPr>
          <w:rFonts w:eastAsia="仿宋_GB2312"/>
          <w:sz w:val="32"/>
          <w:szCs w:val="32"/>
        </w:rPr>
      </w:pPr>
      <w:r>
        <w:rPr>
          <w:rFonts w:eastAsia="仿宋_GB2312"/>
          <w:sz w:val="32"/>
          <w:szCs w:val="32"/>
        </w:rPr>
        <w:t>一是依法主动公开。利用区政府信息公开系统平台，今年以来，我局完成公开信息</w:t>
      </w:r>
      <w:r>
        <w:rPr>
          <w:rFonts w:hint="eastAsia" w:eastAsia="仿宋_GB2312"/>
          <w:sz w:val="32"/>
          <w:szCs w:val="32"/>
          <w:lang w:val="en-US" w:eastAsia="zh-CN"/>
        </w:rPr>
        <w:t>112</w:t>
      </w:r>
      <w:bookmarkStart w:id="0" w:name="_GoBack"/>
      <w:bookmarkEnd w:id="0"/>
      <w:r>
        <w:rPr>
          <w:rFonts w:eastAsia="仿宋_GB2312"/>
          <w:sz w:val="32"/>
          <w:szCs w:val="32"/>
        </w:rPr>
        <w:t>件，其中</w:t>
      </w:r>
      <w:r>
        <w:rPr>
          <w:rFonts w:hint="eastAsia" w:eastAsia="仿宋_GB2312"/>
          <w:sz w:val="32"/>
          <w:szCs w:val="32"/>
        </w:rPr>
        <w:t>天津市环保督察信访件</w:t>
      </w:r>
      <w:r>
        <w:rPr>
          <w:rFonts w:hint="eastAsia" w:eastAsia="仿宋_GB2312"/>
          <w:sz w:val="32"/>
          <w:szCs w:val="32"/>
          <w:lang w:val="en-US" w:eastAsia="zh-CN"/>
        </w:rPr>
        <w:t>33</w:t>
      </w:r>
      <w:r>
        <w:rPr>
          <w:rFonts w:eastAsia="仿宋_GB2312"/>
          <w:sz w:val="32"/>
          <w:szCs w:val="32"/>
        </w:rPr>
        <w:t>件</w:t>
      </w:r>
      <w:r>
        <w:rPr>
          <w:rFonts w:hint="eastAsia" w:eastAsia="仿宋_GB2312"/>
          <w:sz w:val="32"/>
          <w:szCs w:val="32"/>
        </w:rPr>
        <w:t>，</w:t>
      </w:r>
      <w:r>
        <w:rPr>
          <w:rFonts w:eastAsia="仿宋_GB2312"/>
          <w:sz w:val="32"/>
          <w:szCs w:val="32"/>
        </w:rPr>
        <w:t>环保工作信息</w:t>
      </w:r>
      <w:r>
        <w:rPr>
          <w:rFonts w:hint="eastAsia" w:eastAsia="仿宋_GB2312"/>
          <w:sz w:val="32"/>
          <w:szCs w:val="32"/>
          <w:lang w:val="en-US" w:eastAsia="zh-CN"/>
        </w:rPr>
        <w:t>79</w:t>
      </w:r>
      <w:r>
        <w:rPr>
          <w:rFonts w:eastAsia="仿宋_GB2312"/>
          <w:sz w:val="32"/>
          <w:szCs w:val="32"/>
        </w:rPr>
        <w:t>件，行政处罚决定书</w:t>
      </w:r>
      <w:r>
        <w:rPr>
          <w:rFonts w:hint="eastAsia" w:eastAsia="仿宋_GB2312"/>
          <w:sz w:val="32"/>
          <w:szCs w:val="32"/>
          <w:lang w:val="en-US" w:eastAsia="zh-CN"/>
        </w:rPr>
        <w:t>14</w:t>
      </w:r>
      <w:r>
        <w:rPr>
          <w:rFonts w:eastAsia="仿宋_GB2312"/>
          <w:sz w:val="32"/>
          <w:szCs w:val="32"/>
        </w:rPr>
        <w:t>件。做到了“应公开、尽公开”。同时，我局及时向区政府信息公开查阅服务中心提供了纸质文件。</w:t>
      </w:r>
    </w:p>
    <w:p>
      <w:pPr>
        <w:spacing w:line="560" w:lineRule="exact"/>
        <w:ind w:firstLine="640" w:firstLineChars="200"/>
        <w:rPr>
          <w:rFonts w:eastAsia="仿宋_GB2312"/>
          <w:sz w:val="32"/>
          <w:szCs w:val="32"/>
        </w:rPr>
      </w:pPr>
      <w:r>
        <w:rPr>
          <w:rFonts w:eastAsia="仿宋_GB2312"/>
          <w:sz w:val="32"/>
          <w:szCs w:val="32"/>
        </w:rPr>
        <w:t>二是依申请公开情况。本年度，我局接到依申请公开信息请求</w:t>
      </w:r>
      <w:r>
        <w:rPr>
          <w:rFonts w:hint="eastAsia" w:eastAsia="仿宋_GB2312"/>
          <w:sz w:val="32"/>
          <w:szCs w:val="32"/>
          <w:lang w:val="en-US" w:eastAsia="zh-CN"/>
        </w:rPr>
        <w:t>3</w:t>
      </w:r>
      <w:r>
        <w:rPr>
          <w:rFonts w:hint="eastAsia" w:eastAsia="仿宋_GB2312"/>
          <w:sz w:val="32"/>
          <w:szCs w:val="32"/>
        </w:rPr>
        <w:t>件，已按要求进行回复</w:t>
      </w:r>
      <w:r>
        <w:rPr>
          <w:rFonts w:eastAsia="仿宋_GB2312"/>
          <w:sz w:val="32"/>
          <w:szCs w:val="32"/>
        </w:rPr>
        <w:t>。</w:t>
      </w:r>
    </w:p>
    <w:p>
      <w:pPr>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shd w:val="clear" w:color="auto" w:fill="FFFFFF"/>
        </w:rPr>
        <w:br w:type="page"/>
      </w:r>
    </w:p>
    <w:p>
      <w:pPr>
        <w:pStyle w:val="2"/>
        <w:widowControl/>
        <w:shd w:val="clear" w:color="auto" w:fill="FFFFFF"/>
        <w:spacing w:before="0" w:beforeAutospacing="0" w:after="0" w:afterAutospacing="0" w:line="420" w:lineRule="atLeast"/>
        <w:ind w:firstLine="420"/>
        <w:jc w:val="both"/>
        <w:rPr>
          <w:rFonts w:ascii="宋体"/>
          <w:color w:val="333333"/>
        </w:rPr>
      </w:pPr>
      <w:r>
        <w:rPr>
          <w:rFonts w:hint="eastAsia" w:ascii="黑体" w:hAnsi="黑体" w:eastAsia="黑体" w:cs="黑体"/>
          <w:b w:val="0"/>
          <w:bCs w:val="0"/>
          <w:color w:val="auto"/>
          <w:sz w:val="32"/>
          <w:szCs w:val="32"/>
          <w:shd w:val="clear" w:color="auto" w:fill="FFFFFF"/>
        </w:rPr>
        <w:t>二、主动公开政府信息情况</w:t>
      </w:r>
    </w:p>
    <w:p>
      <w:pPr>
        <w:pStyle w:val="2"/>
        <w:widowControl/>
        <w:shd w:val="clear" w:color="auto" w:fill="FFFFFF"/>
        <w:spacing w:before="0" w:beforeAutospacing="0" w:after="0" w:afterAutospacing="0" w:line="420" w:lineRule="atLeast"/>
        <w:ind w:firstLine="420"/>
        <w:jc w:val="both"/>
        <w:rPr>
          <w:rFonts w:ascii="宋体"/>
          <w:color w:val="333333"/>
        </w:rPr>
      </w:pPr>
      <w:r>
        <w:rPr>
          <w:rFonts w:ascii="宋体" w:hAnsi="宋体" w:cs="宋体"/>
          <w:color w:val="333333"/>
        </w:rPr>
        <w:t xml:space="preserve"> </w:t>
      </w: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本年制发件数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val="en-US" w:eastAsia="zh-CN"/>
              </w:rPr>
            </w:pPr>
            <w:r>
              <w:rPr>
                <w:rFonts w:hint="eastAsia" w:ascii="宋体" w:hAnsi="宋体" w:cs="宋体"/>
                <w:color w:val="333333"/>
                <w:kern w:val="0"/>
                <w:sz w:val="20"/>
                <w:szCs w:val="20"/>
              </w:rPr>
              <w:t>　　</w:t>
            </w:r>
            <w:r>
              <w:rPr>
                <w:rFonts w:hint="eastAsia" w:ascii="宋体" w:hAnsi="宋体" w:cs="宋体"/>
                <w:color w:val="333333"/>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ascii="宋体"/>
                <w:color w:val="333333"/>
                <w:kern w:val="0"/>
                <w:sz w:val="20"/>
                <w:szCs w:val="20"/>
              </w:rPr>
              <w:t> </w:t>
            </w:r>
            <w:r>
              <w:rPr>
                <w:rFonts w:hint="eastAsia" w:ascii="宋体"/>
                <w:color w:val="333333"/>
                <w:kern w:val="0"/>
                <w:sz w:val="20"/>
                <w:szCs w:val="20"/>
                <w:lang w:val="en-US" w:eastAsia="zh-CN"/>
              </w:rPr>
              <w:t>0</w:t>
            </w:r>
            <w:r>
              <w:rPr>
                <w:rFonts w:hint="eastAsia" w:ascii="宋体" w:hAnsi="宋体" w:cs="宋体"/>
                <w:color w:val="333333"/>
                <w:kern w:val="0"/>
                <w:sz w:val="20"/>
                <w:szCs w:val="20"/>
              </w:rPr>
              <w:t>　</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eastAsia="zh-CN"/>
              </w:rPr>
            </w:pPr>
            <w:r>
              <w:rPr>
                <w:rFonts w:hint="eastAsia" w:ascii="Calibri" w:hAnsi="Calibri" w:cs="Calibri"/>
                <w:color w:val="333333"/>
                <w:kern w:val="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val="en-US" w:eastAsia="zh-CN"/>
              </w:rPr>
            </w:pPr>
            <w:r>
              <w:rPr>
                <w:rFonts w:hint="eastAsia" w:ascii="宋体" w:hAnsi="宋体" w:cs="宋体"/>
                <w:color w:val="333333"/>
                <w:kern w:val="0"/>
                <w:sz w:val="20"/>
                <w:szCs w:val="20"/>
              </w:rPr>
              <w:t>　　</w:t>
            </w:r>
            <w:r>
              <w:rPr>
                <w:rFonts w:hint="eastAsia" w:ascii="宋体" w:hAnsi="宋体" w:cs="宋体"/>
                <w:color w:val="333333"/>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eastAsia="zh-CN"/>
              </w:rPr>
            </w:pPr>
            <w:r>
              <w:rPr>
                <w:rFonts w:hint="eastAsia" w:ascii="宋体"/>
                <w:color w:val="333333"/>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eastAsia="zh-CN"/>
              </w:rPr>
            </w:pPr>
            <w:r>
              <w:rPr>
                <w:rFonts w:hint="eastAsia" w:ascii="Calibri" w:hAnsi="Calibri" w:cs="Calibri"/>
                <w:color w:val="333333"/>
                <w:kern w:val="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val="en-US" w:eastAsia="zh-CN"/>
              </w:rPr>
            </w:pPr>
            <w:r>
              <w:rPr>
                <w:rFonts w:ascii="Calibri" w:hAnsi="Calibri" w:cs="Calibri"/>
                <w:color w:val="333333"/>
                <w:kern w:val="0"/>
              </w:rPr>
              <w:t> </w:t>
            </w:r>
            <w:r>
              <w:rPr>
                <w:rFonts w:hint="eastAsia" w:ascii="Calibri" w:hAnsi="Calibri" w:cs="Calibri"/>
                <w:color w:val="333333"/>
                <w:kern w:val="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default" w:eastAsia="宋体"/>
                <w:color w:val="333333"/>
                <w:lang w:val="en-US" w:eastAsia="zh-CN"/>
              </w:rPr>
            </w:pPr>
            <w:r>
              <w:rPr>
                <w:rFonts w:hint="eastAsia" w:ascii="宋体" w:hAnsi="宋体" w:cs="宋体"/>
                <w:color w:val="333333"/>
                <w:kern w:val="0"/>
                <w:sz w:val="20"/>
                <w:szCs w:val="20"/>
              </w:rPr>
              <w:t>　</w:t>
            </w:r>
            <w:r>
              <w:rPr>
                <w:rFonts w:hint="eastAsia" w:ascii="宋体" w:hAnsi="宋体" w:cs="宋体"/>
                <w:color w:val="333333"/>
                <w:kern w:val="0"/>
                <w:sz w:val="20"/>
                <w:szCs w:val="20"/>
                <w:lang w:val="en-US" w:eastAsia="zh-CN"/>
              </w:rPr>
              <w:t>14</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val="en-US" w:eastAsia="zh-CN"/>
              </w:rPr>
            </w:pPr>
            <w:r>
              <w:rPr>
                <w:rFonts w:hint="eastAsia" w:ascii="宋体" w:hAnsi="宋体" w:cs="宋体"/>
                <w:color w:val="333333"/>
                <w:kern w:val="0"/>
                <w:sz w:val="20"/>
                <w:szCs w:val="20"/>
              </w:rPr>
              <w:t>　</w:t>
            </w:r>
            <w:r>
              <w:rPr>
                <w:rFonts w:hint="eastAsia" w:ascii="宋体" w:hAnsi="宋体" w:cs="宋体"/>
                <w:color w:val="333333"/>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widowControl/>
        <w:jc w:val="left"/>
      </w:pPr>
      <w:r>
        <w:t xml:space="preserve"> </w:t>
      </w:r>
    </w:p>
    <w:p>
      <w:pPr>
        <w:pStyle w:val="2"/>
        <w:widowControl/>
        <w:shd w:val="clear" w:color="auto" w:fill="FFFFFF"/>
        <w:spacing w:before="0" w:beforeAutospacing="0" w:after="0" w:afterAutospacing="0" w:line="420" w:lineRule="atLeast"/>
        <w:ind w:firstLine="42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shd w:val="clear" w:color="auto" w:fill="FFFFFF"/>
        </w:rPr>
        <w:t>三、收到和处理政府信息公开申请情况</w:t>
      </w:r>
    </w:p>
    <w:p>
      <w:pPr>
        <w:pStyle w:val="2"/>
        <w:widowControl/>
        <w:shd w:val="clear" w:color="auto" w:fill="FFFFFF"/>
        <w:spacing w:before="0" w:beforeAutospacing="0" w:after="0" w:afterAutospacing="0" w:line="420" w:lineRule="atLeast"/>
        <w:ind w:firstLine="420"/>
        <w:jc w:val="both"/>
        <w:rPr>
          <w:rFonts w:ascii="宋体"/>
          <w:color w:val="333333"/>
        </w:rPr>
      </w:pPr>
      <w:r>
        <w:rPr>
          <w:rFonts w:ascii="宋体" w:hAnsi="宋体" w:cs="宋体"/>
          <w:color w:val="333333"/>
        </w:rPr>
        <w:t xml:space="preserve"> </w:t>
      </w:r>
    </w:p>
    <w:tbl>
      <w:tblPr>
        <w:tblStyle w:val="3"/>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spacing w:line="420" w:lineRule="atLeast"/>
              <w:jc w:val="left"/>
              <w:rPr>
                <w:color w:val="333333"/>
              </w:rPr>
            </w:pPr>
            <w:r>
              <w:rPr>
                <w:rFonts w:hint="eastAsia" w:ascii="楷体" w:hAnsi="楷体" w:eastAsia="楷体" w:cs="楷体"/>
                <w:color w:val="333333"/>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color w:val="333333"/>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single" w:color="auto" w:sz="8" w:space="0"/>
              <w:right w:val="single" w:color="auto" w:sz="8" w:space="0"/>
            </w:tcBorders>
            <w:vAlign w:val="center"/>
          </w:tcPr>
          <w:p>
            <w:pPr>
              <w:widowControl/>
              <w:jc w:val="left"/>
              <w:rPr>
                <w:color w:val="333333"/>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商业</w:t>
            </w:r>
          </w:p>
          <w:p>
            <w:pPr>
              <w:widowControl/>
              <w:spacing w:line="420" w:lineRule="atLeast"/>
              <w:jc w:val="center"/>
              <w:rPr>
                <w:color w:val="333333"/>
              </w:rPr>
            </w:pPr>
            <w:r>
              <w:rPr>
                <w:rFonts w:hint="eastAsia" w:ascii="宋体" w:hAnsi="宋体" w:cs="宋体"/>
                <w:color w:val="333333"/>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科研</w:t>
            </w:r>
          </w:p>
          <w:p>
            <w:pPr>
              <w:widowControl/>
              <w:spacing w:line="420" w:lineRule="atLeast"/>
              <w:jc w:val="center"/>
              <w:rPr>
                <w:color w:val="333333"/>
              </w:rPr>
            </w:pPr>
            <w:r>
              <w:rPr>
                <w:rFonts w:hint="eastAsia" w:ascii="宋体" w:hAnsi="宋体" w:cs="宋体"/>
                <w:color w:val="333333"/>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s="宋体"/>
                <w:color w:val="333333"/>
                <w:kern w:val="0"/>
                <w:sz w:val="20"/>
                <w:szCs w:val="20"/>
              </w:rPr>
              <w:t>其他</w:t>
            </w:r>
          </w:p>
        </w:tc>
        <w:tc>
          <w:tcPr>
            <w:tcW w:w="689" w:type="dxa"/>
            <w:vMerge w:val="continue"/>
            <w:tcBorders>
              <w:top w:val="single" w:color="auto" w:sz="8" w:space="0"/>
              <w:left w:val="nil"/>
              <w:bottom w:val="inset" w:color="auto" w:sz="8" w:space="0"/>
              <w:right w:val="single" w:color="auto" w:sz="8" w:space="0"/>
            </w:tcBorders>
            <w:vAlign w:val="center"/>
          </w:tcPr>
          <w:p>
            <w:pPr>
              <w:widowControl/>
              <w:jc w:val="left"/>
              <w:rPr>
                <w:color w:val="333333"/>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2</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hint="eastAsia" w:ascii="Calibri" w:hAnsi="Calibri" w:cs="Calibri"/>
                <w:color w:val="333333"/>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（二）部分公开</w:t>
            </w:r>
            <w:r>
              <w:rPr>
                <w:rFonts w:hint="eastAsia" w:ascii="楷体" w:hAnsi="楷体" w:eastAsia="楷体" w:cs="楷体"/>
                <w:color w:val="333333"/>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1.</w:t>
            </w:r>
            <w:r>
              <w:rPr>
                <w:rFonts w:hint="eastAsia" w:ascii="宋体" w:hAnsi="宋体" w:cs="宋体"/>
                <w:color w:val="333333"/>
                <w:kern w:val="0"/>
                <w:sz w:val="20"/>
                <w:szCs w:val="20"/>
              </w:rPr>
              <w:t>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2.</w:t>
            </w:r>
            <w:r>
              <w:rPr>
                <w:rFonts w:hint="eastAsia" w:ascii="宋体" w:hAnsi="宋体" w:cs="宋体"/>
                <w:color w:val="333333"/>
                <w:kern w:val="0"/>
                <w:sz w:val="20"/>
                <w:szCs w:val="20"/>
              </w:rPr>
              <w:t>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3.</w:t>
            </w:r>
            <w:r>
              <w:rPr>
                <w:rFonts w:hint="eastAsia" w:ascii="宋体" w:hAnsi="宋体" w:cs="宋体"/>
                <w:color w:val="333333"/>
                <w:kern w:val="0"/>
                <w:sz w:val="20"/>
                <w:szCs w:val="20"/>
              </w:rPr>
              <w:t>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4.</w:t>
            </w:r>
            <w:r>
              <w:rPr>
                <w:rFonts w:hint="eastAsia" w:ascii="宋体" w:hAnsi="宋体" w:cs="宋体"/>
                <w:color w:val="333333"/>
                <w:kern w:val="0"/>
                <w:sz w:val="20"/>
                <w:szCs w:val="20"/>
              </w:rPr>
              <w:t>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hint="eastAsia" w:ascii="Calibri" w:hAnsi="Calibri" w:cs="Calibri"/>
                <w:color w:val="333333"/>
                <w:kern w:val="0"/>
                <w:sz w:val="20"/>
                <w:szCs w:val="20"/>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5.</w:t>
            </w:r>
            <w:r>
              <w:rPr>
                <w:rFonts w:hint="eastAsia" w:ascii="宋体" w:hAnsi="宋体" w:cs="宋体"/>
                <w:color w:val="333333"/>
                <w:kern w:val="0"/>
                <w:sz w:val="20"/>
                <w:szCs w:val="20"/>
              </w:rPr>
              <w:t>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6.</w:t>
            </w:r>
            <w:r>
              <w:rPr>
                <w:rFonts w:hint="eastAsia" w:ascii="宋体" w:hAnsi="宋体" w:cs="宋体"/>
                <w:color w:val="333333"/>
                <w:kern w:val="0"/>
                <w:sz w:val="20"/>
                <w:szCs w:val="20"/>
              </w:rPr>
              <w:t>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7.</w:t>
            </w:r>
            <w:r>
              <w:rPr>
                <w:rFonts w:hint="eastAsia" w:ascii="宋体" w:hAnsi="宋体" w:cs="宋体"/>
                <w:color w:val="333333"/>
                <w:kern w:val="0"/>
                <w:sz w:val="20"/>
                <w:szCs w:val="20"/>
              </w:rPr>
              <w:t>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8.</w:t>
            </w:r>
            <w:r>
              <w:rPr>
                <w:rFonts w:hint="eastAsia" w:ascii="宋体" w:hAnsi="宋体" w:cs="宋体"/>
                <w:color w:val="333333"/>
                <w:kern w:val="0"/>
                <w:sz w:val="20"/>
                <w:szCs w:val="20"/>
              </w:rPr>
              <w:t>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1.</w:t>
            </w:r>
            <w:r>
              <w:rPr>
                <w:rFonts w:hint="eastAsia" w:ascii="宋体" w:hAnsi="宋体" w:cs="宋体"/>
                <w:color w:val="333333"/>
                <w:kern w:val="0"/>
                <w:sz w:val="20"/>
                <w:szCs w:val="20"/>
              </w:rPr>
              <w:t>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2.</w:t>
            </w:r>
            <w:r>
              <w:rPr>
                <w:rFonts w:hint="eastAsia" w:ascii="宋体" w:hAnsi="宋体" w:cs="宋体"/>
                <w:color w:val="333333"/>
                <w:kern w:val="0"/>
                <w:sz w:val="20"/>
                <w:szCs w:val="20"/>
              </w:rPr>
              <w:t>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3.</w:t>
            </w:r>
            <w:r>
              <w:rPr>
                <w:rFonts w:hint="eastAsia" w:ascii="宋体" w:hAnsi="宋体" w:cs="宋体"/>
                <w:color w:val="333333"/>
                <w:kern w:val="0"/>
                <w:sz w:val="20"/>
                <w:szCs w:val="20"/>
              </w:rPr>
              <w:t>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1.</w:t>
            </w:r>
            <w:r>
              <w:rPr>
                <w:rFonts w:hint="eastAsia" w:ascii="宋体" w:hAnsi="宋体" w:cs="宋体"/>
                <w:color w:val="333333"/>
                <w:kern w:val="0"/>
                <w:sz w:val="20"/>
                <w:szCs w:val="20"/>
              </w:rPr>
              <w:t>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2.</w:t>
            </w:r>
            <w:r>
              <w:rPr>
                <w:rFonts w:hint="eastAsia" w:ascii="宋体" w:hAnsi="宋体" w:cs="宋体"/>
                <w:color w:val="333333"/>
                <w:kern w:val="0"/>
                <w:sz w:val="20"/>
                <w:szCs w:val="20"/>
              </w:rPr>
              <w:t>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3.</w:t>
            </w:r>
            <w:r>
              <w:rPr>
                <w:rFonts w:hint="eastAsia" w:ascii="宋体" w:hAnsi="宋体" w:cs="宋体"/>
                <w:color w:val="333333"/>
                <w:kern w:val="0"/>
                <w:sz w:val="20"/>
                <w:szCs w:val="20"/>
              </w:rPr>
              <w:t>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ascii="宋体" w:hAnsi="宋体" w:cs="宋体"/>
                <w:color w:val="333333"/>
                <w:kern w:val="0"/>
                <w:sz w:val="20"/>
                <w:szCs w:val="20"/>
              </w:rPr>
              <w:t>4.</w:t>
            </w:r>
            <w:r>
              <w:rPr>
                <w:rFonts w:hint="eastAsia" w:ascii="宋体" w:hAnsi="宋体" w:cs="宋体"/>
                <w:color w:val="333333"/>
                <w:kern w:val="0"/>
                <w:sz w:val="20"/>
                <w:szCs w:val="20"/>
              </w:rPr>
              <w:t>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rPr>
                <w:color w:val="333333"/>
              </w:rPr>
            </w:pPr>
            <w:r>
              <w:rPr>
                <w:rFonts w:ascii="宋体" w:hAnsi="宋体" w:cs="宋体"/>
                <w:color w:val="333333"/>
                <w:kern w:val="0"/>
                <w:sz w:val="20"/>
                <w:szCs w:val="20"/>
              </w:rPr>
              <w:t>5.</w:t>
            </w:r>
            <w:r>
              <w:rPr>
                <w:rFonts w:hint="eastAsia" w:ascii="宋体" w:hAnsi="宋体" w:cs="宋体"/>
                <w:color w:val="333333"/>
                <w:kern w:val="0"/>
                <w:sz w:val="20"/>
                <w:szCs w:val="20"/>
              </w:rPr>
              <w:t>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inset"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rPr>
                <w:color w:val="333333"/>
              </w:rPr>
            </w:pPr>
            <w:r>
              <w:rPr>
                <w:rFonts w:ascii="宋体" w:hAnsi="宋体" w:cs="宋体"/>
                <w:color w:val="333333"/>
                <w:kern w:val="0"/>
                <w:sz w:val="20"/>
                <w:szCs w:val="20"/>
              </w:rPr>
              <w:t>1.</w:t>
            </w:r>
            <w:r>
              <w:rPr>
                <w:rFonts w:hint="eastAsia" w:ascii="宋体" w:hAnsi="宋体" w:cs="宋体"/>
                <w:color w:val="333333"/>
                <w:kern w:val="0"/>
                <w:sz w:val="20"/>
                <w:szCs w:val="20"/>
              </w:rPr>
              <w:t>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rPr>
                <w:color w:val="333333"/>
              </w:rPr>
            </w:pPr>
            <w:r>
              <w:rPr>
                <w:rFonts w:ascii="宋体" w:hAnsi="宋体" w:cs="宋体"/>
                <w:color w:val="333333"/>
                <w:kern w:val="0"/>
                <w:sz w:val="20"/>
                <w:szCs w:val="20"/>
              </w:rPr>
              <w:t>2.</w:t>
            </w:r>
            <w:r>
              <w:rPr>
                <w:rFonts w:hint="eastAsia" w:ascii="宋体" w:hAnsi="宋体" w:cs="宋体"/>
                <w:color w:val="333333"/>
                <w:kern w:val="0"/>
                <w:sz w:val="20"/>
                <w:szCs w:val="20"/>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0" w:type="auto"/>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ascii="宋体" w:hAnsi="宋体" w:cs="宋体"/>
                <w:color w:val="333333"/>
                <w:kern w:val="0"/>
                <w:sz w:val="20"/>
                <w:szCs w:val="20"/>
              </w:rPr>
              <w:t>3.</w:t>
            </w:r>
            <w:r>
              <w:rPr>
                <w:rFonts w:hint="eastAsia" w:ascii="宋体" w:hAnsi="宋体" w:cs="宋体"/>
                <w:color w:val="333333"/>
                <w:kern w:val="0"/>
                <w:sz w:val="20"/>
                <w:szCs w:val="20"/>
              </w:rPr>
              <w:t>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hint="eastAsia" w:ascii="Calibri" w:hAnsi="Calibri" w:cs="Calibri"/>
                <w:color w:val="333333"/>
                <w:kern w:val="0"/>
                <w:sz w:val="20"/>
                <w:szCs w:val="20"/>
                <w:lang w:val="en-US" w:eastAsia="zh-CN"/>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s="宋体"/>
                <w:color w:val="333333"/>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r>
              <w:rPr>
                <w:rFonts w:ascii="Calibri" w:hAnsi="Calibri" w:cs="Calibri"/>
                <w:color w:val="333333"/>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bottom"/>
          </w:tcPr>
          <w:p>
            <w:pPr>
              <w:jc w:val="center"/>
              <w:rPr>
                <w:rFonts w:hint="default" w:ascii="宋体" w:eastAsia="宋体"/>
                <w:sz w:val="24"/>
                <w:szCs w:val="24"/>
                <w:lang w:val="en-US" w:eastAsia="zh-CN"/>
              </w:rPr>
            </w:pPr>
            <w:r>
              <w:rPr>
                <w:rFonts w:hint="default" w:ascii="Calibri" w:hAnsi="Calibri" w:cs="Calibri"/>
                <w:color w:val="333333"/>
                <w:kern w:val="0"/>
                <w:sz w:val="20"/>
                <w:szCs w:val="20"/>
                <w:lang w:val="en-US" w:eastAsia="zh-CN"/>
              </w:rPr>
              <w:t>0</w:t>
            </w:r>
          </w:p>
        </w:tc>
      </w:tr>
    </w:tbl>
    <w:p>
      <w:pPr>
        <w:widowControl/>
        <w:shd w:val="clear" w:color="auto" w:fill="FFFFFF"/>
        <w:jc w:val="center"/>
        <w:rPr>
          <w:rFonts w:ascii="宋体"/>
          <w:color w:val="333333"/>
          <w:sz w:val="24"/>
          <w:szCs w:val="24"/>
        </w:rPr>
      </w:pPr>
      <w:r>
        <w:rPr>
          <w:rFonts w:ascii="宋体" w:hAnsi="宋体" w:cs="宋体"/>
          <w:color w:val="333333"/>
          <w:sz w:val="24"/>
          <w:szCs w:val="24"/>
        </w:rPr>
        <w:t xml:space="preserve"> </w:t>
      </w:r>
    </w:p>
    <w:p>
      <w:pPr>
        <w:pStyle w:val="2"/>
        <w:widowControl/>
        <w:shd w:val="clear" w:color="auto" w:fill="FFFFFF"/>
        <w:spacing w:before="0" w:beforeAutospacing="0" w:after="0" w:afterAutospacing="0" w:line="420" w:lineRule="atLeast"/>
        <w:ind w:firstLine="42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shd w:val="clear" w:color="auto" w:fill="FFFFFF"/>
        </w:rPr>
        <w:t>四、政府信息公开行政复议、行政诉讼情况</w:t>
      </w:r>
    </w:p>
    <w:p>
      <w:pPr>
        <w:widowControl/>
        <w:shd w:val="clear" w:color="auto" w:fill="FFFFFF"/>
        <w:jc w:val="center"/>
        <w:rPr>
          <w:rFonts w:ascii="宋体"/>
          <w:color w:val="333333"/>
          <w:sz w:val="24"/>
          <w:szCs w:val="24"/>
        </w:rPr>
      </w:pPr>
      <w:r>
        <w:rPr>
          <w:rFonts w:ascii="宋体" w:hAnsi="宋体" w:cs="宋体"/>
          <w:color w:val="333333"/>
          <w:sz w:val="24"/>
          <w:szCs w:val="24"/>
        </w:rPr>
        <w:t xml:space="preserve"> </w:t>
      </w:r>
    </w:p>
    <w:tbl>
      <w:tblPr>
        <w:tblStyle w:val="3"/>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行政复议</w:t>
            </w:r>
          </w:p>
        </w:tc>
        <w:tc>
          <w:tcPr>
            <w:tcW w:w="642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结果维持</w:t>
            </w:r>
          </w:p>
        </w:tc>
        <w:tc>
          <w:tcPr>
            <w:tcW w:w="6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结果</w:t>
            </w:r>
            <w:r>
              <w:rPr>
                <w:rFonts w:ascii="宋体"/>
                <w:color w:val="333333"/>
                <w:kern w:val="0"/>
                <w:sz w:val="20"/>
                <w:szCs w:val="20"/>
              </w:rPr>
              <w:br w:type="textWrapping"/>
            </w:r>
            <w:r>
              <w:rPr>
                <w:rFonts w:hint="eastAsia" w:ascii="宋体" w:hAnsi="宋体" w:cs="宋体"/>
                <w:color w:val="333333"/>
                <w:kern w:val="0"/>
                <w:sz w:val="20"/>
                <w:szCs w:val="20"/>
              </w:rPr>
              <w:t>纠正</w:t>
            </w:r>
          </w:p>
        </w:tc>
        <w:tc>
          <w:tcPr>
            <w:tcW w:w="64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其他</w:t>
            </w:r>
            <w:r>
              <w:rPr>
                <w:rFonts w:ascii="宋体"/>
                <w:color w:val="333333"/>
                <w:kern w:val="0"/>
                <w:sz w:val="20"/>
                <w:szCs w:val="20"/>
              </w:rPr>
              <w:br w:type="textWrapping"/>
            </w:r>
            <w:r>
              <w:rPr>
                <w:rFonts w:hint="eastAsia" w:ascii="宋体" w:hAnsi="宋体" w:cs="宋体"/>
                <w:color w:val="333333"/>
                <w:kern w:val="0"/>
                <w:sz w:val="20"/>
                <w:szCs w:val="20"/>
              </w:rPr>
              <w:t>结果</w:t>
            </w:r>
          </w:p>
        </w:tc>
        <w:tc>
          <w:tcPr>
            <w:tcW w:w="64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尚未</w:t>
            </w:r>
            <w:r>
              <w:rPr>
                <w:rFonts w:ascii="宋体"/>
                <w:color w:val="333333"/>
                <w:kern w:val="0"/>
                <w:sz w:val="20"/>
                <w:szCs w:val="20"/>
              </w:rPr>
              <w:br w:type="textWrapping"/>
            </w:r>
            <w:r>
              <w:rPr>
                <w:rFonts w:hint="eastAsia" w:ascii="宋体" w:hAnsi="宋体" w:cs="宋体"/>
                <w:color w:val="333333"/>
                <w:kern w:val="0"/>
                <w:sz w:val="20"/>
                <w:szCs w:val="20"/>
              </w:rPr>
              <w:t>审结</w:t>
            </w:r>
          </w:p>
        </w:tc>
        <w:tc>
          <w:tcPr>
            <w:tcW w:w="64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总计</w:t>
            </w:r>
          </w:p>
        </w:tc>
        <w:tc>
          <w:tcPr>
            <w:tcW w:w="3213"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未经复议直接起诉</w:t>
            </w:r>
          </w:p>
        </w:tc>
        <w:tc>
          <w:tcPr>
            <w:tcW w:w="321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color w:val="333333"/>
              </w:rPr>
            </w:pPr>
          </w:p>
        </w:tc>
        <w:tc>
          <w:tcPr>
            <w:tcW w:w="0" w:type="auto"/>
            <w:vMerge w:val="continue"/>
            <w:tcBorders>
              <w:top w:val="nil"/>
              <w:left w:val="nil"/>
              <w:bottom w:val="single" w:color="auto" w:sz="8" w:space="0"/>
              <w:right w:val="single" w:color="auto" w:sz="8" w:space="0"/>
            </w:tcBorders>
            <w:vAlign w:val="center"/>
          </w:tcPr>
          <w:p>
            <w:pPr>
              <w:widowControl/>
              <w:jc w:val="left"/>
              <w:rPr>
                <w:color w:val="333333"/>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color w:val="333333"/>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color w:val="333333"/>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color w:val="333333"/>
              </w:rPr>
            </w:pP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结果</w:t>
            </w:r>
            <w:r>
              <w:rPr>
                <w:rFonts w:ascii="宋体"/>
                <w:color w:val="333333"/>
                <w:kern w:val="0"/>
                <w:sz w:val="20"/>
                <w:szCs w:val="20"/>
              </w:rPr>
              <w:br w:type="textWrapping"/>
            </w:r>
            <w:r>
              <w:rPr>
                <w:rFonts w:hint="eastAsia" w:ascii="宋体" w:hAnsi="宋体" w:cs="宋体"/>
                <w:color w:val="333333"/>
                <w:kern w:val="0"/>
                <w:sz w:val="20"/>
                <w:szCs w:val="20"/>
              </w:rPr>
              <w:t>维持</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结果</w:t>
            </w:r>
            <w:r>
              <w:rPr>
                <w:rFonts w:ascii="宋体"/>
                <w:color w:val="333333"/>
                <w:kern w:val="0"/>
                <w:sz w:val="20"/>
                <w:szCs w:val="20"/>
              </w:rPr>
              <w:br w:type="textWrapping"/>
            </w:r>
            <w:r>
              <w:rPr>
                <w:rFonts w:hint="eastAsia" w:ascii="宋体" w:hAnsi="宋体" w:cs="宋体"/>
                <w:color w:val="333333"/>
                <w:kern w:val="0"/>
                <w:sz w:val="20"/>
                <w:szCs w:val="20"/>
              </w:rPr>
              <w:t>纠正</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其他</w:t>
            </w:r>
            <w:r>
              <w:rPr>
                <w:rFonts w:ascii="宋体"/>
                <w:color w:val="333333"/>
                <w:kern w:val="0"/>
                <w:sz w:val="20"/>
                <w:szCs w:val="20"/>
              </w:rPr>
              <w:br w:type="textWrapping"/>
            </w:r>
            <w:r>
              <w:rPr>
                <w:rFonts w:hint="eastAsia" w:ascii="宋体" w:hAnsi="宋体" w:cs="宋体"/>
                <w:color w:val="333333"/>
                <w:kern w:val="0"/>
                <w:sz w:val="20"/>
                <w:szCs w:val="20"/>
              </w:rPr>
              <w:t>结果</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尚未</w:t>
            </w:r>
            <w:r>
              <w:rPr>
                <w:rFonts w:ascii="宋体"/>
                <w:color w:val="333333"/>
                <w:kern w:val="0"/>
                <w:sz w:val="20"/>
                <w:szCs w:val="20"/>
              </w:rPr>
              <w:br w:type="textWrapping"/>
            </w:r>
            <w:r>
              <w:rPr>
                <w:rFonts w:hint="eastAsia" w:ascii="宋体" w:hAnsi="宋体" w:cs="宋体"/>
                <w:color w:val="333333"/>
                <w:kern w:val="0"/>
                <w:sz w:val="20"/>
                <w:szCs w:val="20"/>
              </w:rPr>
              <w:t>审结</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总计</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结果</w:t>
            </w:r>
            <w:r>
              <w:rPr>
                <w:rFonts w:ascii="宋体"/>
                <w:color w:val="333333"/>
                <w:kern w:val="0"/>
                <w:sz w:val="20"/>
                <w:szCs w:val="20"/>
              </w:rPr>
              <w:br w:type="textWrapping"/>
            </w:r>
            <w:r>
              <w:rPr>
                <w:rFonts w:hint="eastAsia" w:ascii="宋体" w:hAnsi="宋体" w:cs="宋体"/>
                <w:color w:val="333333"/>
                <w:kern w:val="0"/>
                <w:sz w:val="20"/>
                <w:szCs w:val="20"/>
              </w:rPr>
              <w:t>维持</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结果</w:t>
            </w:r>
            <w:r>
              <w:rPr>
                <w:rFonts w:ascii="宋体"/>
                <w:color w:val="333333"/>
                <w:kern w:val="0"/>
                <w:sz w:val="20"/>
                <w:szCs w:val="20"/>
              </w:rPr>
              <w:br w:type="textWrapping"/>
            </w:r>
            <w:r>
              <w:rPr>
                <w:rFonts w:hint="eastAsia" w:ascii="宋体" w:hAnsi="宋体" w:cs="宋体"/>
                <w:color w:val="333333"/>
                <w:kern w:val="0"/>
                <w:sz w:val="20"/>
                <w:szCs w:val="20"/>
              </w:rPr>
              <w:t>纠正</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其他</w:t>
            </w:r>
            <w:r>
              <w:rPr>
                <w:rFonts w:ascii="宋体"/>
                <w:color w:val="333333"/>
                <w:kern w:val="0"/>
                <w:sz w:val="20"/>
                <w:szCs w:val="20"/>
              </w:rPr>
              <w:br w:type="textWrapping"/>
            </w:r>
            <w:r>
              <w:rPr>
                <w:rFonts w:hint="eastAsia" w:ascii="宋体" w:hAnsi="宋体" w:cs="宋体"/>
                <w:color w:val="333333"/>
                <w:kern w:val="0"/>
                <w:sz w:val="20"/>
                <w:szCs w:val="20"/>
              </w:rPr>
              <w:t>结果</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尚未</w:t>
            </w:r>
            <w:r>
              <w:rPr>
                <w:rFonts w:ascii="宋体"/>
                <w:color w:val="333333"/>
                <w:kern w:val="0"/>
                <w:sz w:val="20"/>
                <w:szCs w:val="20"/>
              </w:rPr>
              <w:br w:type="textWrapping"/>
            </w:r>
            <w:r>
              <w:rPr>
                <w:rFonts w:hint="eastAsia" w:ascii="宋体" w:hAnsi="宋体" w:cs="宋体"/>
                <w:color w:val="333333"/>
                <w:kern w:val="0"/>
                <w:sz w:val="20"/>
                <w:szCs w:val="20"/>
              </w:rPr>
              <w:t>审结</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s="宋体"/>
                <w:color w:val="333333"/>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r>
              <w:rPr>
                <w:rFonts w:ascii="黑体" w:hAnsi="宋体" w:eastAsia="黑体"/>
                <w:color w:val="333333"/>
                <w:kern w:val="0"/>
                <w:sz w:val="20"/>
                <w:szCs w:val="20"/>
              </w:rPr>
              <w:t> </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p>
        </w:tc>
        <w:tc>
          <w:tcPr>
            <w:tcW w:w="6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黑体" w:hAnsi="宋体" w:eastAsia="黑体"/>
                <w:color w:val="333333"/>
                <w:kern w:val="0"/>
                <w:sz w:val="20"/>
                <w:szCs w:val="20"/>
                <w:lang w:val="en-US" w:eastAsia="zh-CN"/>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sz w:val="24"/>
                <w:szCs w:val="24"/>
              </w:rPr>
            </w:pPr>
            <w:r>
              <w:rPr>
                <w:rFonts w:hint="eastAsia" w:ascii="黑体" w:hAnsi="宋体" w:eastAsia="黑体"/>
                <w:color w:val="333333"/>
                <w:kern w:val="0"/>
                <w:sz w:val="20"/>
                <w:szCs w:val="20"/>
                <w:lang w:val="en-US" w:eastAsia="zh-CN"/>
              </w:rPr>
              <w:t>0</w:t>
            </w:r>
          </w:p>
        </w:tc>
      </w:tr>
    </w:tbl>
    <w:p>
      <w:pPr>
        <w:widowControl/>
        <w:jc w:val="left"/>
      </w:pPr>
      <w:r>
        <w:t xml:space="preserve"> </w:t>
      </w:r>
    </w:p>
    <w:p>
      <w:pPr>
        <w:pStyle w:val="2"/>
        <w:widowControl/>
        <w:shd w:val="clear" w:color="auto" w:fill="FFFFFF"/>
        <w:spacing w:before="0" w:beforeAutospacing="0" w:after="0" w:afterAutospacing="0" w:line="420" w:lineRule="atLeast"/>
        <w:ind w:firstLine="420"/>
        <w:jc w:val="both"/>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五、存在的主要问题及改进情况</w:t>
      </w:r>
    </w:p>
    <w:p>
      <w:pPr>
        <w:pStyle w:val="2"/>
        <w:keepNext w:val="0"/>
        <w:keepLines w:val="0"/>
        <w:widowControl/>
        <w:suppressLineNumbers w:val="0"/>
        <w:spacing w:before="0" w:beforeAutospacing="0" w:after="0" w:afterAutospacing="0" w:line="555" w:lineRule="atLeast"/>
        <w:ind w:left="0" w:right="0" w:firstLine="645"/>
        <w:rPr>
          <w:rFonts w:ascii="sans-serif" w:hAnsi="sans-serif" w:eastAsia="sans-serif" w:cs="sans-serif"/>
          <w:i w:val="0"/>
          <w:caps w:val="0"/>
          <w:color w:val="000000"/>
          <w:spacing w:val="0"/>
          <w:sz w:val="27"/>
          <w:szCs w:val="27"/>
        </w:rPr>
      </w:pPr>
      <w:r>
        <w:rPr>
          <w:rFonts w:ascii="仿宋_GB2312" w:hAnsi="sans-serif" w:eastAsia="仿宋_GB2312" w:cs="仿宋_GB2312"/>
          <w:i w:val="0"/>
          <w:caps w:val="0"/>
          <w:color w:val="000000"/>
          <w:spacing w:val="0"/>
          <w:sz w:val="31"/>
          <w:szCs w:val="31"/>
        </w:rPr>
        <w:t>当前生态环境保护工作面临着新形势新要求，公众对生态环境保护</w:t>
      </w:r>
      <w:r>
        <w:rPr>
          <w:rFonts w:hint="eastAsia" w:ascii="仿宋_GB2312" w:hAnsi="sans-serif" w:eastAsia="仿宋_GB2312" w:cs="仿宋_GB2312"/>
          <w:i w:val="0"/>
          <w:caps w:val="0"/>
          <w:color w:val="000000"/>
          <w:spacing w:val="0"/>
          <w:sz w:val="31"/>
          <w:szCs w:val="31"/>
        </w:rPr>
        <w:t>信息的需求也不断增多，</w:t>
      </w:r>
      <w:r>
        <w:rPr>
          <w:rFonts w:ascii="仿宋_GB2312" w:hAnsi="sans-serif" w:eastAsia="仿宋_GB2312" w:cs="仿宋_GB2312"/>
          <w:i w:val="0"/>
          <w:caps w:val="0"/>
          <w:color w:val="000000"/>
          <w:spacing w:val="0"/>
          <w:sz w:val="31"/>
          <w:szCs w:val="31"/>
        </w:rPr>
        <w:t>主动公开的内容需要进一步深化。</w:t>
      </w:r>
      <w:r>
        <w:rPr>
          <w:rFonts w:hint="eastAsia" w:ascii="仿宋_GB2312" w:hAnsi="sans-serif" w:eastAsia="仿宋_GB2312" w:cs="仿宋_GB2312"/>
          <w:i w:val="0"/>
          <w:caps w:val="0"/>
          <w:color w:val="000000"/>
          <w:spacing w:val="0"/>
          <w:sz w:val="31"/>
          <w:szCs w:val="31"/>
        </w:rPr>
        <w:t>我们下一步工作中需改进的重点</w:t>
      </w:r>
      <w:r>
        <w:rPr>
          <w:rFonts w:hint="eastAsia" w:ascii="仿宋_GB2312" w:hAnsi="sans-serif" w:eastAsia="仿宋_GB2312" w:cs="仿宋_GB2312"/>
          <w:i w:val="0"/>
          <w:caps w:val="0"/>
          <w:color w:val="000000"/>
          <w:spacing w:val="0"/>
          <w:sz w:val="31"/>
          <w:szCs w:val="31"/>
          <w:lang w:eastAsia="zh-CN"/>
        </w:rPr>
        <w:t>将围绕</w:t>
      </w:r>
      <w:r>
        <w:rPr>
          <w:rFonts w:hint="eastAsia" w:ascii="仿宋_GB2312" w:hAnsi="sans-serif" w:eastAsia="仿宋_GB2312" w:cs="仿宋_GB2312"/>
          <w:i w:val="0"/>
          <w:caps w:val="0"/>
          <w:color w:val="000000"/>
          <w:spacing w:val="0"/>
          <w:sz w:val="31"/>
          <w:szCs w:val="31"/>
        </w:rPr>
        <w:t>如何进一步落实</w:t>
      </w:r>
      <w:r>
        <w:rPr>
          <w:rFonts w:hint="eastAsia" w:ascii="仿宋_GB2312" w:hAnsi="sans-serif" w:eastAsia="仿宋_GB2312" w:cs="仿宋_GB2312"/>
          <w:i w:val="0"/>
          <w:caps w:val="0"/>
          <w:color w:val="000000"/>
          <w:spacing w:val="0"/>
          <w:sz w:val="31"/>
          <w:szCs w:val="31"/>
          <w:lang w:eastAsia="zh-CN"/>
        </w:rPr>
        <w:t>“</w:t>
      </w:r>
      <w:r>
        <w:rPr>
          <w:rFonts w:hint="eastAsia" w:ascii="仿宋_GB2312" w:hAnsi="sans-serif" w:eastAsia="仿宋_GB2312" w:cs="仿宋_GB2312"/>
          <w:i w:val="0"/>
          <w:caps w:val="0"/>
          <w:color w:val="000000"/>
          <w:spacing w:val="0"/>
          <w:sz w:val="31"/>
          <w:szCs w:val="31"/>
        </w:rPr>
        <w:t>公开为原则，不公开为例外</w:t>
      </w:r>
      <w:r>
        <w:rPr>
          <w:rFonts w:hint="default" w:ascii="Times New Roman" w:hAnsi="Times New Roman" w:eastAsia="sans-serif" w:cs="Times New Roman"/>
          <w:i w:val="0"/>
          <w:caps w:val="0"/>
          <w:color w:val="000000"/>
          <w:spacing w:val="0"/>
          <w:sz w:val="31"/>
          <w:szCs w:val="31"/>
        </w:rPr>
        <w:t>”</w:t>
      </w:r>
      <w:r>
        <w:rPr>
          <w:rFonts w:hint="eastAsia" w:ascii="仿宋_GB2312" w:hAnsi="sans-serif" w:eastAsia="仿宋_GB2312" w:cs="仿宋_GB2312"/>
          <w:i w:val="0"/>
          <w:caps w:val="0"/>
          <w:color w:val="000000"/>
          <w:spacing w:val="0"/>
          <w:sz w:val="31"/>
          <w:szCs w:val="31"/>
        </w:rPr>
        <w:t>的原则，把广大公众急需了解和知晓的信息主动公开，充分保障群众环境知情权</w:t>
      </w:r>
      <w:r>
        <w:rPr>
          <w:rFonts w:hint="eastAsia" w:ascii="仿宋_GB2312" w:hAnsi="sans-serif" w:eastAsia="仿宋_GB2312" w:cs="仿宋_GB2312"/>
          <w:i w:val="0"/>
          <w:caps w:val="0"/>
          <w:color w:val="000000"/>
          <w:spacing w:val="0"/>
          <w:sz w:val="31"/>
          <w:szCs w:val="31"/>
          <w:lang w:eastAsia="zh-CN"/>
        </w:rPr>
        <w:t>进行</w:t>
      </w:r>
      <w:r>
        <w:rPr>
          <w:rFonts w:hint="eastAsia" w:ascii="仿宋_GB2312" w:hAnsi="sans-serif" w:eastAsia="仿宋_GB2312" w:cs="仿宋_GB2312"/>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31"/>
          <w:szCs w:val="31"/>
        </w:rPr>
        <w:t>针对</w:t>
      </w:r>
      <w:r>
        <w:rPr>
          <w:rFonts w:hint="eastAsia" w:ascii="仿宋_GB2312" w:hAnsi="sans-serif" w:eastAsia="仿宋_GB2312" w:cs="仿宋_GB2312"/>
          <w:i w:val="0"/>
          <w:caps w:val="0"/>
          <w:color w:val="000000"/>
          <w:spacing w:val="0"/>
          <w:sz w:val="31"/>
          <w:szCs w:val="31"/>
          <w:lang w:eastAsia="zh-CN"/>
        </w:rPr>
        <w:t>目前存在的</w:t>
      </w:r>
      <w:r>
        <w:rPr>
          <w:rFonts w:hint="eastAsia" w:ascii="仿宋_GB2312" w:hAnsi="sans-serif" w:eastAsia="仿宋_GB2312" w:cs="仿宋_GB2312"/>
          <w:i w:val="0"/>
          <w:caps w:val="0"/>
          <w:color w:val="000000"/>
          <w:spacing w:val="0"/>
          <w:sz w:val="31"/>
          <w:szCs w:val="31"/>
        </w:rPr>
        <w:t>问题，今后需要加强以下工作：</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31"/>
          <w:szCs w:val="31"/>
        </w:rPr>
        <w:t>一是</w:t>
      </w:r>
      <w:r>
        <w:rPr>
          <w:rFonts w:hint="eastAsia" w:ascii="仿宋_GB2312" w:hAnsi="sans-serif" w:eastAsia="仿宋_GB2312" w:cs="仿宋_GB2312"/>
          <w:i w:val="0"/>
          <w:caps w:val="0"/>
          <w:color w:val="000000"/>
          <w:spacing w:val="0"/>
          <w:sz w:val="31"/>
          <w:szCs w:val="31"/>
          <w:lang w:eastAsia="zh-CN"/>
        </w:rPr>
        <w:t>丰富信息公开的内容</w:t>
      </w:r>
      <w:r>
        <w:rPr>
          <w:rFonts w:hint="eastAsia" w:ascii="仿宋_GB2312" w:hAnsi="sans-serif" w:eastAsia="仿宋_GB2312" w:cs="仿宋_GB2312"/>
          <w:i w:val="0"/>
          <w:caps w:val="0"/>
          <w:color w:val="000000"/>
          <w:spacing w:val="0"/>
          <w:sz w:val="31"/>
          <w:szCs w:val="31"/>
        </w:rPr>
        <w:t>。要根据有关法律法规及上级要求，围绕当前生态文明建设、污染防治攻坚战等生态环境保护热点和重点工作，进一步细化政府信息公开范围和内容，努力主动把公众密切关注的政府信息编入信息公开目录并严格落实好主动公开工作。</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31"/>
          <w:szCs w:val="31"/>
        </w:rPr>
        <w:t>二是</w:t>
      </w:r>
      <w:r>
        <w:rPr>
          <w:rFonts w:hint="eastAsia" w:ascii="仿宋_GB2312" w:hAnsi="sans-serif" w:eastAsia="仿宋_GB2312" w:cs="仿宋_GB2312"/>
          <w:i w:val="0"/>
          <w:caps w:val="0"/>
          <w:color w:val="000000"/>
          <w:spacing w:val="0"/>
          <w:sz w:val="31"/>
          <w:szCs w:val="31"/>
          <w:lang w:eastAsia="zh-CN"/>
        </w:rPr>
        <w:t>扩展</w:t>
      </w:r>
      <w:r>
        <w:rPr>
          <w:rFonts w:hint="eastAsia" w:ascii="仿宋_GB2312" w:hAnsi="sans-serif" w:eastAsia="仿宋_GB2312" w:cs="仿宋_GB2312"/>
          <w:i w:val="0"/>
          <w:caps w:val="0"/>
          <w:color w:val="000000"/>
          <w:spacing w:val="0"/>
          <w:sz w:val="31"/>
          <w:szCs w:val="31"/>
        </w:rPr>
        <w:t>公开渠道</w:t>
      </w:r>
      <w:r>
        <w:rPr>
          <w:rFonts w:hint="eastAsia" w:ascii="仿宋_GB2312" w:hAnsi="sans-serif" w:eastAsia="仿宋_GB2312" w:cs="仿宋_GB2312"/>
          <w:i w:val="0"/>
          <w:caps w:val="0"/>
          <w:color w:val="000000"/>
          <w:spacing w:val="0"/>
          <w:sz w:val="31"/>
          <w:szCs w:val="31"/>
          <w:lang w:eastAsia="zh-CN"/>
        </w:rPr>
        <w:t>，创新公开形式</w:t>
      </w:r>
      <w:r>
        <w:rPr>
          <w:rFonts w:hint="eastAsia" w:ascii="仿宋_GB2312" w:hAnsi="sans-serif" w:eastAsia="仿宋_GB2312" w:cs="仿宋_GB2312"/>
          <w:i w:val="0"/>
          <w:caps w:val="0"/>
          <w:color w:val="000000"/>
          <w:spacing w:val="0"/>
          <w:sz w:val="31"/>
          <w:szCs w:val="31"/>
        </w:rPr>
        <w:t>。除了继续利用信息公开平台公开信息之外，要通过微信公众号、微博等形式，进一步把公众关注多、咨询多的政策法规和相关办事程序主动公开，把环保热点问题背后的相关理论、政策及时宣传，把生态文明与环境保护的理念、知识大力普及。</w:t>
      </w:r>
    </w:p>
    <w:p>
      <w:pPr>
        <w:pStyle w:val="2"/>
        <w:widowControl/>
        <w:shd w:val="clear" w:color="auto" w:fill="FFFFFF"/>
        <w:spacing w:before="0" w:beforeAutospacing="0" w:after="0" w:afterAutospacing="0" w:line="420" w:lineRule="atLeast"/>
        <w:ind w:firstLine="420"/>
        <w:jc w:val="both"/>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六、其他需要报告的事项</w:t>
      </w:r>
    </w:p>
    <w:p>
      <w:pPr>
        <w:spacing w:line="540" w:lineRule="exact"/>
        <w:ind w:firstLine="620" w:firstLineChars="200"/>
        <w:rPr>
          <w:rFonts w:hint="eastAsia" w:ascii="仿宋_GB2312" w:hAnsi="sans-serif" w:eastAsia="仿宋_GB2312" w:cs="仿宋_GB2312"/>
          <w:i w:val="0"/>
          <w:caps w:val="0"/>
          <w:color w:val="000000"/>
          <w:spacing w:val="0"/>
          <w:kern w:val="0"/>
          <w:sz w:val="31"/>
          <w:szCs w:val="31"/>
          <w:lang w:val="en-US" w:eastAsia="zh-CN" w:bidi="ar-SA"/>
        </w:rPr>
      </w:pPr>
      <w:r>
        <w:rPr>
          <w:rFonts w:hint="eastAsia" w:ascii="仿宋_GB2312" w:hAnsi="sans-serif" w:eastAsia="仿宋_GB2312" w:cs="仿宋_GB2312"/>
          <w:i w:val="0"/>
          <w:caps w:val="0"/>
          <w:color w:val="000000"/>
          <w:spacing w:val="0"/>
          <w:kern w:val="0"/>
          <w:sz w:val="31"/>
          <w:szCs w:val="31"/>
          <w:lang w:val="en-US" w:eastAsia="zh-CN" w:bidi="ar-SA"/>
        </w:rPr>
        <w:t xml:space="preserve">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F10"/>
    <w:rsid w:val="002C69AC"/>
    <w:rsid w:val="007B033D"/>
    <w:rsid w:val="00853F10"/>
    <w:rsid w:val="008A605D"/>
    <w:rsid w:val="009179CA"/>
    <w:rsid w:val="00C30413"/>
    <w:rsid w:val="0CF448E7"/>
    <w:rsid w:val="129C4C7E"/>
    <w:rsid w:val="14725734"/>
    <w:rsid w:val="18F7433F"/>
    <w:rsid w:val="26214B3A"/>
    <w:rsid w:val="281C4E65"/>
    <w:rsid w:val="29E500C3"/>
    <w:rsid w:val="29E867AF"/>
    <w:rsid w:val="312B706C"/>
    <w:rsid w:val="392458D2"/>
    <w:rsid w:val="41C568DB"/>
    <w:rsid w:val="5165372E"/>
    <w:rsid w:val="52080892"/>
    <w:rsid w:val="58841C70"/>
    <w:rsid w:val="5D1C3F74"/>
    <w:rsid w:val="600F651F"/>
    <w:rsid w:val="62514F9F"/>
    <w:rsid w:val="63FA6CE6"/>
    <w:rsid w:val="6A9510B3"/>
    <w:rsid w:val="6ACA6342"/>
    <w:rsid w:val="6BB20BA3"/>
    <w:rsid w:val="6F52475D"/>
    <w:rsid w:val="77127FC6"/>
    <w:rsid w:val="782E12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BYJ.TJ</Company>
  <Pages>3</Pages>
  <Words>209</Words>
  <Characters>1192</Characters>
  <Lines>0</Lines>
  <Paragraphs>0</Paragraphs>
  <TotalTime>76</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2022-01-05T02:55:00Z</dcterms:created>
  <dc:creator>1303</dc:creator>
  <cp:lastModifiedBy>刘佳卿</cp:lastModifiedBy>
  <cp:lastPrinted>2022-01-11T02:18:00Z</cp:lastPrinted>
  <dcterms:modified xsi:type="dcterms:W3CDTF">2022-01-12T01:28:53Z</dcterms:modified>
  <dc:title>政府信息公开工作年度报告格式模板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