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（九）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在国家食品安全监督抽检中，涉及天津市和平区岳中应餐馆经营的产品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油条（自制）</w:t>
      </w:r>
      <w:r>
        <w:rPr>
          <w:rFonts w:hint="eastAsia" w:ascii="仿宋" w:hAnsi="仿宋" w:eastAsia="仿宋" w:cs="仿宋"/>
          <w:sz w:val="32"/>
          <w:szCs w:val="32"/>
        </w:rPr>
        <w:t>判定不合格（抽样单编号：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SC21120000001835933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,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shd w:val="clear" w:fill="FFFFFF"/>
        </w:rPr>
        <w:t>现将不合格食品核查处置情况通告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如下：  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一、天津市和平区豫南板面店经营的产品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油条（自制）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油条（自制）</w:t>
      </w:r>
      <w:r>
        <w:rPr>
          <w:rFonts w:hint="eastAsia" w:ascii="仿宋" w:hAnsi="仿宋" w:eastAsia="仿宋" w:cs="仿宋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单(非网络)（抽样单编号：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SC21120000001835933</w:t>
      </w:r>
      <w:r>
        <w:rPr>
          <w:rFonts w:hint="eastAsia" w:ascii="仿宋" w:hAnsi="仿宋" w:eastAsia="仿宋" w:cs="仿宋"/>
          <w:sz w:val="32"/>
          <w:szCs w:val="32"/>
        </w:rPr>
        <w:t>），日期：2020-0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铝的残留量</w:t>
      </w:r>
      <w:r>
        <w:rPr>
          <w:rFonts w:hint="eastAsia" w:ascii="仿宋" w:hAnsi="仿宋" w:eastAsia="仿宋" w:cs="仿宋"/>
          <w:sz w:val="32"/>
          <w:szCs w:val="32"/>
        </w:rPr>
        <w:t>项目不符合GB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标准要求，检验结论为不合格。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（二）对企业违法违规行为依法处罚情况。收到天津市食品安全检测技术研究院《检验报告》【No：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TFI-06787-2021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】后，</w:t>
      </w:r>
      <w:r>
        <w:rPr>
          <w:rFonts w:hint="eastAsia" w:ascii="仿宋" w:hAnsi="仿宋" w:eastAsia="仿宋" w:cs="仿宋"/>
          <w:sz w:val="32"/>
          <w:szCs w:val="32"/>
        </w:rPr>
        <w:t>天津市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和平区</w:t>
      </w:r>
      <w:r>
        <w:rPr>
          <w:rFonts w:hint="eastAsia" w:ascii="仿宋" w:hAnsi="仿宋" w:eastAsia="仿宋" w:cs="仿宋"/>
          <w:sz w:val="32"/>
          <w:szCs w:val="32"/>
        </w:rPr>
        <w:t>市场监管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实施现场检查。经查，当事人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加工</w:t>
      </w:r>
      <w:r>
        <w:rPr>
          <w:rFonts w:hint="eastAsia" w:ascii="仿宋" w:hAnsi="仿宋" w:eastAsia="仿宋" w:cs="仿宋"/>
          <w:sz w:val="32"/>
          <w:szCs w:val="32"/>
        </w:rPr>
        <w:t>不合格批次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炸油条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kg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，截止执法人员送达报告当天，涉案批次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油条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全部销售，无库存。当事人售出该产品后，没有收到过发生有害反应的反馈信息。当事人在接到不合格报告后，对该批次产品采取召回措施，出具召回公告，在店内进行召回。由于产品销售时间较长，未召回产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当事人的上述行为违反了《中华人民共和国食品安全法》第三十四条第（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）项的规定，依据《中华人民共和国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刑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法》第一百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四十三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条、《中华人民共和国行政处罚法》第二十二条和《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行政执法机关移送涉嫌犯罪案件的规定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》第三条的规定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，将此案移送天津市公安局和平分局依法审查，同时将有关材料抄送天津市和平区人民检察院。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5126" w:firstLineChars="160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F5A31"/>
    <w:rsid w:val="251A222D"/>
    <w:rsid w:val="2F837ECB"/>
    <w:rsid w:val="315345B6"/>
    <w:rsid w:val="31D50C84"/>
    <w:rsid w:val="3921284D"/>
    <w:rsid w:val="6EC62217"/>
    <w:rsid w:val="7A4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dcterms:modified xsi:type="dcterms:W3CDTF">2021-09-20T00:53:21Z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A9F47B2F5EFE4943BA7713CED0A05AA0</vt:lpwstr>
  </property>
</Properties>
</file>