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60" w:type="dxa"/>
        <w:tblLook w:val="04A0" w:firstRow="1" w:lastRow="0" w:firstColumn="1" w:lastColumn="0" w:noHBand="0" w:noVBand="1"/>
      </w:tblPr>
      <w:tblGrid>
        <w:gridCol w:w="580"/>
        <w:gridCol w:w="1840"/>
        <w:gridCol w:w="1500"/>
        <w:gridCol w:w="5714"/>
        <w:gridCol w:w="2226"/>
        <w:gridCol w:w="3100"/>
      </w:tblGrid>
      <w:tr w:rsidR="00851BC9" w:rsidRPr="00851BC9" w14:paraId="67FA806A" w14:textId="77777777" w:rsidTr="00851BC9">
        <w:trPr>
          <w:trHeight w:val="528"/>
        </w:trPr>
        <w:tc>
          <w:tcPr>
            <w:tcW w:w="1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6BA5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14:ligatures w14:val="none"/>
              </w:rPr>
              <w:t>天津市和平区政府性基金目录清单</w:t>
            </w:r>
          </w:p>
        </w:tc>
      </w:tr>
      <w:tr w:rsidR="00851BC9" w:rsidRPr="00851BC9" w14:paraId="740C3FD0" w14:textId="77777777" w:rsidTr="00851BC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5CCB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9C01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  <w:t>项目名称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BE69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  <w:t>资金管理方式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9922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  <w:t>政策依据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A922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  <w:t>征收方式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59E3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b/>
                <w:bCs/>
                <w:kern w:val="0"/>
                <w:sz w:val="22"/>
                <w14:ligatures w14:val="none"/>
              </w:rPr>
              <w:t>征收标准</w:t>
            </w:r>
          </w:p>
        </w:tc>
      </w:tr>
      <w:tr w:rsidR="00851BC9" w:rsidRPr="00851BC9" w14:paraId="076585DF" w14:textId="77777777" w:rsidTr="00851BC9">
        <w:trPr>
          <w:trHeight w:val="21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136A" w14:textId="77777777" w:rsidR="00851BC9" w:rsidRPr="00851BC9" w:rsidRDefault="00851BC9" w:rsidP="00851BC9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7EEF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教育费附加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5DDB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缴入中央和地方国库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7BE3" w14:textId="77777777" w:rsidR="00851BC9" w:rsidRPr="00851BC9" w:rsidRDefault="00851BC9" w:rsidP="00851BC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《中华人民共和国教育法》，国发〔1986〕50号（国务院令第60号修改发布），国发明电〔1994〕2号、23号，财综〔2007〕53号，国发〔2010〕35号，财税〔2010〕103号，财税〔2016〕12号，财税〔2019〕13号，财税〔2019〕21号，财税〔2019〕22号，财税〔2019〕46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B1CC" w14:textId="77777777" w:rsidR="00851BC9" w:rsidRPr="00851BC9" w:rsidRDefault="00851BC9" w:rsidP="00851BC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按单位和个人实际缴纳增值税、消费税税额计征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9C08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3%</w:t>
            </w:r>
          </w:p>
        </w:tc>
      </w:tr>
      <w:tr w:rsidR="00851BC9" w:rsidRPr="00851BC9" w14:paraId="39379F70" w14:textId="77777777" w:rsidTr="00851BC9">
        <w:trPr>
          <w:trHeight w:val="37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80DF" w14:textId="77777777" w:rsidR="00851BC9" w:rsidRPr="00851BC9" w:rsidRDefault="00851BC9" w:rsidP="00851BC9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C214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地方教育附加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55A6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缴入地方国库</w:t>
            </w:r>
          </w:p>
        </w:tc>
        <w:tc>
          <w:tcPr>
            <w:tcW w:w="5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C015" w14:textId="77777777" w:rsidR="00851BC9" w:rsidRPr="00851BC9" w:rsidRDefault="00851BC9" w:rsidP="00851BC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《中华人民共和国教育法》，财综〔2001〕58号，</w:t>
            </w:r>
            <w:proofErr w:type="gramStart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财综函〔2003〕</w:t>
            </w:r>
            <w:proofErr w:type="gramEnd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2号、9号、10号、12号、13号、14号、15号、16号、18号，财综〔2004〕73号，</w:t>
            </w:r>
            <w:proofErr w:type="gramStart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财综函〔2005〕</w:t>
            </w:r>
            <w:proofErr w:type="gramEnd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33号，财综〔2006〕2号、61号，</w:t>
            </w:r>
            <w:proofErr w:type="gramStart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财综函〔2006〕</w:t>
            </w:r>
            <w:proofErr w:type="gramEnd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9号，</w:t>
            </w:r>
            <w:proofErr w:type="gramStart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财综函〔2007〕</w:t>
            </w:r>
            <w:proofErr w:type="gramEnd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45号，财综〔2007〕53号，</w:t>
            </w:r>
            <w:proofErr w:type="gramStart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财综函〔2008〕</w:t>
            </w:r>
            <w:proofErr w:type="gramEnd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7号，</w:t>
            </w:r>
            <w:proofErr w:type="gramStart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财综函〔2010〕</w:t>
            </w:r>
            <w:proofErr w:type="gramEnd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2号、3号、7号、8号、11号、71号、72号、73号、75号、76号、78号、79号、80号，财综〔2010〕98号，</w:t>
            </w:r>
            <w:proofErr w:type="gramStart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财综函〔2011〕</w:t>
            </w:r>
            <w:proofErr w:type="gramEnd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1号、2号、3号、4号、5号、6号、7号、8号、9号、10号、11号、12号、13号、15号、16号、17号、57号，财税〔2016〕12号，财税〔2018〕70号，财税〔2019〕13号，财税〔2019〕21号，财税〔2019〕22号，财税〔2019〕46号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CC5A" w14:textId="77777777" w:rsidR="00851BC9" w:rsidRPr="00851BC9" w:rsidRDefault="00851BC9" w:rsidP="00851B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按单位和个人实际缴纳增值税、消费税税额计征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9A06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2%</w:t>
            </w:r>
          </w:p>
        </w:tc>
      </w:tr>
      <w:tr w:rsidR="00851BC9" w:rsidRPr="00851BC9" w14:paraId="53C1CDE3" w14:textId="77777777" w:rsidTr="00851BC9">
        <w:trPr>
          <w:trHeight w:val="248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5B90" w14:textId="77777777" w:rsidR="00851BC9" w:rsidRPr="00851BC9" w:rsidRDefault="00851BC9" w:rsidP="00851BC9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6EE9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残疾人就业保障金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EB6A" w14:textId="77777777" w:rsidR="00851BC9" w:rsidRPr="00851BC9" w:rsidRDefault="00851BC9" w:rsidP="00851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缴入地方国库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0446" w14:textId="77777777" w:rsidR="00851BC9" w:rsidRPr="00851BC9" w:rsidRDefault="00851BC9" w:rsidP="00851BC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《残疾人就业条例》，财税〔2015〕72号，财综〔2001〕16号，财税〔2017〕18号，财税〔2018〕39号，2019年公告第98号，财政部公告2023年第8号，《天津市残疾人就业条例》，税</w:t>
            </w:r>
            <w:proofErr w:type="gramStart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总办发</w:t>
            </w:r>
            <w:proofErr w:type="gramEnd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〔2015〕206号，津财</w:t>
            </w:r>
            <w:proofErr w:type="gramStart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规</w:t>
            </w:r>
            <w:proofErr w:type="gramEnd"/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〔2021〕15号，津财综〔2023〕20号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9ED6" w14:textId="77777777" w:rsidR="00851BC9" w:rsidRPr="00851BC9" w:rsidRDefault="00851BC9" w:rsidP="00851BC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按上年用人单位安排残疾人就业未达到规定比例的差额人数征收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546E" w14:textId="77777777" w:rsidR="00851BC9" w:rsidRPr="00851BC9" w:rsidRDefault="00851BC9" w:rsidP="00851BC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</w:pPr>
            <w:r w:rsidRPr="00851BC9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用人单位在职职工平均工资未超过当地社会平均工资2倍（含）的，征收标准为用人单位在职职工年平均工资；超过当地社会平均工资2倍的，征收标准为当地社会平均工资2倍</w:t>
            </w:r>
          </w:p>
        </w:tc>
      </w:tr>
    </w:tbl>
    <w:p w14:paraId="27295CFE" w14:textId="77777777" w:rsidR="0088308C" w:rsidRPr="00851BC9" w:rsidRDefault="0088308C">
      <w:pPr>
        <w:rPr>
          <w:rFonts w:hint="eastAsia"/>
        </w:rPr>
      </w:pPr>
    </w:p>
    <w:sectPr w:rsidR="0088308C" w:rsidRPr="00851BC9" w:rsidSect="00851BC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C9"/>
    <w:rsid w:val="001A737D"/>
    <w:rsid w:val="00851BC9"/>
    <w:rsid w:val="0088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3224"/>
  <w15:chartTrackingRefBased/>
  <w15:docId w15:val="{542F4EF0-4FF5-45D1-906A-FC7A2C3B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1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C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C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C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C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C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C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B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BC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BC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51BC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B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B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B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B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B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1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Binarychia</dc:creator>
  <cp:keywords/>
  <dc:description/>
  <cp:lastModifiedBy>Binarychia</cp:lastModifiedBy>
  <cp:revision>2</cp:revision>
  <dcterms:created xsi:type="dcterms:W3CDTF">2024-07-03T03:01:00Z</dcterms:created>
  <dcterms:modified xsi:type="dcterms:W3CDTF">2024-07-03T03:03:00Z</dcterms:modified>
</cp:coreProperties>
</file>