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天津市和平区财政局2023年度部门决算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（一）贯彻执行国家和市有关财政、税收、国有资产管理工作的法律、法规、规章和方针、政策，拟订财政中长期发展规划，研究制定财政规章制度，并组织实施。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（二）参与拟订重大经济政策，提出综合平衡财力的建议。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承担各项财政收支管理的责任。负责编制年度预决算草案，组织预算执行。向区人民代表大会报告预算及执行情况，向区人大常委会报告调整预算、决算。组织制定经费支出标准、定额，负责批复部门和单位的年度预决算，会同有关部门推进财政预决算信息公开。</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（四）负责政府非税收入管理，负责政府性基金管理。按规定管理行政事业性收费，管理财政票据。承担政府性债务管理。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（五）贯彻执行有关国库管理制度、国库集中收付制度，按照规定开展国库业务并做好国库现金管理。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（六）会同有关部门管理财政社会保障和就业支出。贯彻执行有关社会保障资金（基金）的财务管理规定，编制社会保障预决算草案。组织实施对社会保障资金（基金）使用的财政监督。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（七）负责财政性基本建设项目的财政财务管理。拟订财政性基本建设支出预算。负责财政投资评审工作。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（八）负责拟订行政事业单位国有资产管理规章制度，按规定管理行政事业单位国有资产。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（九）负责审核和汇编国有资本经营预算草案，监缴区级企业国有资本收益。组织实施企业财务制度和促进产业发展的财政政策。</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（十）负责管理会计工作，监督和规范会计行为，执行国家统一的会计制度，管理各类会计人员。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（十一）负责税源管理工作，研究、涵养、开发税源，推动协税护税和税源建设。参与制定、执行、评估产业促进制度。</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（十二）负责拟订财政管理信息化建设中长期规划，组织实施“金财工程”建设。开展财税理论政策研究，负责财政宣传。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（十三）负责执行政府采购政策，管理政府采购工作。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（十四）负责本系统安全生产管理工作。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（十五）配合有关部门为招商引资工作提供支持保障。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（十六）负责本系统人才队伍建设。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（十七）承办区委、区政府交办的其他事项。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中心主要职责：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（一）承担实施集中采购目录内的政府采购工作，协助政府采购管理部门开展政府采购培训、监督检查等工作；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（二）承担预算项目评审工作，跟踪区本级项目支出的运用情况，提出完善区本级项目支出标准的意见和建议，检查资金使用情况等；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（三）承担本区国库集中支付业务，办理资金结算支付手续，监管区属行政事业单位会计及银行账户信息等；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（四）承担布置、编制、批复部门预算，部门预算调整变更，部门预算信息公开等相关事务性工作。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天津市和平区财政局内设10个职能科室；下辖</w:t>
      </w:r>
      <w:r>
        <w:rPr>
          <w:rFonts w:hint="eastAsia" w:ascii="Times New Roman" w:hAnsi="Times New Roman" w:eastAsia="仿宋_GB2312" w:cs="仿宋_GB2312"/>
          <w:sz w:val="30"/>
          <w:szCs w:val="30"/>
          <w:lang w:val="en-US" w:eastAsia="zh-CN"/>
        </w:rPr>
        <w:t>1</w:t>
      </w:r>
      <w:r>
        <w:rPr>
          <w:rFonts w:hint="eastAsia" w:ascii="Times New Roman" w:hAnsi="Times New Roman" w:eastAsia="仿宋_GB2312" w:cs="仿宋_GB2312"/>
          <w:sz w:val="30"/>
          <w:szCs w:val="30"/>
        </w:rPr>
        <w:t>个预算单位。纳入天津市和平区财政局2023年度部门决算编制范围的单位包括：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1.天津市和平区财政局（本级）；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2.天津市和平区财政服务中心。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1.天津市和平区财政局2023年度国有资本经营预算财政拨款收入支出决算表为空表。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2.天津市和平区财政局2023年度财政拨款“三公”经费支出决算表为空表。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天津市和平区财政局2023年度收入、支出决算总计</w:t>
      </w:r>
      <w:r>
        <w:rPr>
          <w:rFonts w:hint="eastAsia" w:ascii="Times New Roman" w:hAnsi="Times New Roman" w:eastAsia="仿宋_GB2312" w:cs="仿宋_GB2312"/>
          <w:sz w:val="30"/>
          <w:szCs w:val="30"/>
        </w:rPr>
        <w:t>19,949,524.04元，与2022年度相比，收、支总计各减少2,830,394.81元，下降12.42%，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：在职干部退休。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17,302,871.90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年度相比减少2,827,164.81元，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：在职干部退休。</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16,752,707.62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96.82</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546,577.00元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3.16%；</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国有资本经营预算财政拨款收入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上级补助收入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eastAsia="仿宋_GB2312"/>
          <w:sz w:val="30"/>
          <w:szCs w:val="30"/>
        </w:rPr>
        <w:t>附属单位上缴收入</w:t>
      </w:r>
      <w:r>
        <w:rPr>
          <w:rFonts w:hint="eastAsia" w:ascii="Times New Roman" w:hAnsi="Times New Roman" w:eastAsia="仿宋_GB2312" w:cs="仿宋_GB2312"/>
          <w:sz w:val="30"/>
          <w:szCs w:val="30"/>
          <w:lang w:val="zh-CN"/>
        </w:rPr>
        <w:t>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3,587.28元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年度本年支出合计17,304,859.12元，与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年度相比减少2,828,407.59元，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在职干部退休。</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12,928,404.48元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占74.71%；</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4,376,454.64元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占25.29%；</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上缴上级支出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对附属单位补助支出</w:t>
      </w:r>
      <w:r>
        <w:rPr>
          <w:rFonts w:hint="eastAsia" w:ascii="Times New Roman" w:hAnsi="Times New Roman" w:eastAsia="仿宋_GB2312" w:cs="仿宋_GB2312"/>
          <w:sz w:val="30"/>
          <w:szCs w:val="30"/>
        </w:rPr>
        <w:t>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19,945,936.76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年度相比，财政拨款收、支总计各减少2,829,182.09元，下降12.42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在职干部退休。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计16,755,107.62元，占本年支出合计的96.82%，与2022年度相比，一般公共预算财政拨款支出减少2,982,271.09元，下降15.11%，</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：在职干部退休。</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16,755,107.62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一般公共服务支出14555876.11元，占86.87%；社会保障和就业支出1267861.98</w:t>
      </w:r>
      <w:r>
        <w:rPr>
          <w:rFonts w:hint="eastAsia" w:ascii="Times New Roman" w:hAnsi="Times New Roman" w:eastAsia="仿宋_GB2312" w:cs="仿宋_GB2312"/>
          <w:sz w:val="30"/>
          <w:szCs w:val="30"/>
          <w:lang w:eastAsia="zh-CN"/>
        </w:rPr>
        <w:t>元</w:t>
      </w:r>
      <w:r>
        <w:rPr>
          <w:rFonts w:hint="eastAsia" w:ascii="Times New Roman" w:hAnsi="Times New Roman" w:eastAsia="仿宋_GB2312" w:cs="仿宋_GB2312"/>
          <w:sz w:val="30"/>
          <w:szCs w:val="30"/>
        </w:rPr>
        <w:t>，占7.57%；卫生健康支出640410.53元，占3.82%；其他支出2959元，占0.02%；债务付息支出288000元，占1.72%。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14,471,924.74</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16,755,107.62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115.78%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 xml:space="preserve"> 1.一般公共服务支出（类）财政事务（款）行政运行（项）年初预算为8144283.98元，支出决算为9090640.72元，完成年初预算的111.62%，决算数大于年初预算数的主要原因是追加年度绩效考核奖、抚恤金等人员经费、追加2023年养老、职业年金保险基数调整补缴经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2.一般公共服务支出（类）财政事务（款）一般行政管理事务（项）年初预算为1896400.00元，支出决算为3140727.64元，完成年初预算的165.62%，决算数大于年初预算数的主要原因是偿还以前年度欠款。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w:t>
      </w:r>
      <w:r>
        <w:rPr>
          <w:rFonts w:hint="eastAsia" w:ascii="Times New Roman" w:hAnsi="Times New Roman" w:eastAsia="仿宋_GB2312" w:cs="仿宋_GB2312"/>
          <w:sz w:val="30"/>
          <w:szCs w:val="30"/>
          <w:lang w:val="en-US" w:eastAsia="zh-CN"/>
        </w:rPr>
        <w:t xml:space="preserve"> </w:t>
      </w:r>
      <w:r>
        <w:rPr>
          <w:rFonts w:hint="eastAsia" w:ascii="Times New Roman" w:hAnsi="Times New Roman" w:eastAsia="仿宋_GB2312" w:cs="仿宋_GB2312"/>
          <w:sz w:val="30"/>
          <w:szCs w:val="30"/>
        </w:rPr>
        <w:t>3.一般公共服务支出（类）财政事务（款）其他财政事务支出（项）年初预算为2187057.39元，支出决算为2324507.75元，完成年初预算的106.28%，决算数大于年初预算数的主要原因是所属事业单位人员增加。</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社会保障和就业支出（类）行政事业单位养老支出（款）机关事业单位基本养老保险缴费支出（项）年初预算为879728.96元，支出决算为845275.02元，完成年初预算的96.08%，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机关事业单位职业年金缴费支出（项）年初预算为439864.48元，支出决算为422586.96元，完成年初预算的96.07%，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6.卫生健康支出（类）行政事业单位医疗（款）行政单位医疗（项）年初预算为481264.67元，支出决算为447745.94元，完成年初预算的93.04%，决算数小于年初预算数的主要原因是人员变动。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7.卫生健康支出（类）行政事业单位医疗（款）事业单位医疗（项）年初预算为59464.15元，支出决算为66261.13元，完成年初预算的111.43%，决算数大于年初预算数的主要原因是人员变动。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8.卫生健康支出（类）行政事业单位医疗（款）公务员医疗补助（项）年初预算为91669.46元，支出决算为85906.2元，完成年初预算的93.71%，决算数小于年初预算数的主要原因是人员变动。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9.卫生健康支出（类）行政事业单位医疗（款）其他行政事业单位医疗支出（项）年初预算为45741.65元，支出决算为40497.26元，完成年初预算的88.53%，决算数小于年初预算数的主要原因是人员变动。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农林水支出（类）农村综合改革（款）其他农村综合改革支出（项）年初预算为2464500.00元，支出决算为0.00元，完成年初预算的0%，决算数小于年初预算数的主要原因是在确保我区民政、侨联领域惠民惠农财政补贴资金“一卡通”管理改革工作顺利完成基础上，大力压减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12.其他支出（类）其他支出（款） 其他支出（项）年初预算为0.00元，支出决算为2959.00元，决算数大于年初预算数的主要原因是2023年期间追加项目，通过发放天津市政府债券2023年还本付息和发行费用，提高债券可持续发行能力。</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13.债务付息支出（类）地方政府一般债务付息支出（款） 地方政府一般债券付息支出（项）年初预算为0.00元，支出决算为288000.00元，决算数大于年初预算数的主要原因是2023年期间追加项目，通过发放天津市政府债券2023年还本付息和发行费用，提高债券可持续发行能力。</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12,925,229.98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年度相比减少529,384.79元，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在职干部退休。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12,416,126.48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奖金、绩效工资、机关事业单位基本养老保险缴费、职业年金缴费、职工基本医疗保险缴费、公务员医疗补助缴费、其他社会保障缴费、住房公积金、退休费、抚恤金、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509,103.50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主要包括办公费、邮电费、物业管理费、差旅费、委托业务费、工会经费、基他交通费用。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546,577.00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546,577.00</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年度相比，政府性基金财政拨款支出增加155,489.00元，增长39.76%，</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专项债发行增加，发行费、手续费也相应增加。</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天津市和平区财政局2023年度无国有资本经营预算财政拨款收入、支出和结转结余。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无此项支出。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无此项支出。</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天津市和平区财政局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501,230.10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年减少43,483.16元，降低7.98</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带头落实过紧日子要求，大力压减公用支出。</w:t>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天津市和平区财政局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1,162,812.00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5,280.00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1,157,532.00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1,162,812.00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1,162,812.00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bookmarkStart w:id="0" w:name="_GoBack"/>
      <w:bookmarkEnd w:id="0"/>
      <w:r>
        <w:rPr>
          <w:rFonts w:hint="eastAsia" w:ascii="Times New Roman" w:hAnsi="Times New Roman" w:eastAsia="仿宋_GB2312" w:cs="仿宋_GB2312"/>
          <w:sz w:val="30"/>
          <w:szCs w:val="30"/>
        </w:rPr>
        <w:t>天津市和平区财政局2023年度无国有资产占有使用情况。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根据预算绩效管理要求，天津市和平区财政局2023年度已对 7个区级项目开展绩效自评，涉及金额 4376454.64元，自评结果已随部门决算一并公开。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天津市和平区财政局不属于乡、镇、街级单位，不涉及公开2023年度教育、医疗卫生、社会保障和就业、住房保障、涉农补贴等民生支出情况。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gyYTYxNzQwYTk1MDM4YTdjNWU4MGNkZGU0MzE1ZTMifQ=="/>
  </w:docVars>
  <w:rsids>
    <w:rsidRoot w:val="006A094D"/>
    <w:rsid w:val="00013A12"/>
    <w:rsid w:val="0002687D"/>
    <w:rsid w:val="00047C6F"/>
    <w:rsid w:val="000528EE"/>
    <w:rsid w:val="000719FD"/>
    <w:rsid w:val="000A1CE6"/>
    <w:rsid w:val="000B5C71"/>
    <w:rsid w:val="000D4B98"/>
    <w:rsid w:val="00127EFA"/>
    <w:rsid w:val="00142888"/>
    <w:rsid w:val="00152EEB"/>
    <w:rsid w:val="00153077"/>
    <w:rsid w:val="00167CB7"/>
    <w:rsid w:val="001A0E4F"/>
    <w:rsid w:val="001B5C3C"/>
    <w:rsid w:val="001C0399"/>
    <w:rsid w:val="001D587E"/>
    <w:rsid w:val="001E5B62"/>
    <w:rsid w:val="002124F6"/>
    <w:rsid w:val="00264B59"/>
    <w:rsid w:val="002A4997"/>
    <w:rsid w:val="002E6086"/>
    <w:rsid w:val="00302490"/>
    <w:rsid w:val="003227B2"/>
    <w:rsid w:val="003448E8"/>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4345D"/>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E6291"/>
    <w:rsid w:val="00BF697A"/>
    <w:rsid w:val="00C52E77"/>
    <w:rsid w:val="00C65A44"/>
    <w:rsid w:val="00C76AC3"/>
    <w:rsid w:val="00C83EB4"/>
    <w:rsid w:val="00D4505A"/>
    <w:rsid w:val="00D65B41"/>
    <w:rsid w:val="00DC3234"/>
    <w:rsid w:val="00DC3CD0"/>
    <w:rsid w:val="00DD60B5"/>
    <w:rsid w:val="00E678DD"/>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EA10B6"/>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79E5E8C"/>
    <w:rsid w:val="582B6099"/>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A821F9A"/>
    <w:rsid w:val="6B4F5D3F"/>
    <w:rsid w:val="6B664847"/>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7"/>
    <w:link w:val="2"/>
    <w:qFormat/>
    <w:uiPriority w:val="99"/>
    <w:rPr>
      <w:rFonts w:ascii="方正小标宋简体" w:eastAsia="方正小标宋简体"/>
      <w:kern w:val="0"/>
      <w:sz w:val="24"/>
      <w:szCs w:val="24"/>
    </w:rPr>
  </w:style>
  <w:style w:type="character" w:customStyle="1" w:styleId="10">
    <w:name w:val="标题 2 Char"/>
    <w:basedOn w:val="7"/>
    <w:link w:val="3"/>
    <w:qFormat/>
    <w:uiPriority w:val="99"/>
    <w:rPr>
      <w:rFonts w:ascii="方正小标宋简体" w:eastAsia="方正小标宋简体"/>
      <w:kern w:val="0"/>
      <w:sz w:val="24"/>
      <w:szCs w:val="24"/>
    </w:r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1106</Words>
  <Characters>6305</Characters>
  <Lines>52</Lines>
  <Paragraphs>14</Paragraphs>
  <ScaleCrop>false</ScaleCrop>
  <LinksUpToDate>false</LinksUpToDate>
  <CharactersWithSpaces>7397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2024-08-15T08:58:00Z</dcterms:created>
  <dc:creator>office</dc:creator>
  <cp:lastModifiedBy>白家健</cp:lastModifiedBy>
  <dcterms:modified xsi:type="dcterms:W3CDTF">2024-08-22T10:59:19Z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