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天津市和平区财政局(本级)2023年度部门决算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（一）贯彻执行国家和市有关财政、税收、国有资产管理工作的法律、法规、规章和方针、政策，拟订财政中长期发展规划，研究制定财政规章制度，并组织实施。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（二）参与拟订重大经济政策，提出综合平衡财力的建议。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承担各项财政收支管理的责任。负责编制年度预决算草案，组织预算执行。向区人民代表大会报告预算及执行情况，向区人大常委会报告调整预算、决算。组织制定经费支出标准、定额，负责批复部门和单位的年度预决算，会同有关部门推进财政预决算信息公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（四）负责政府非税收入管理，负责政府性基金管理。按规定管理行政事业性收费，管理财政票据。承担政府性债务管理。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（五）贯彻执行有关国库管理制度、国库集中收付制度，按照规定开展国库业务并做好国库现金管理。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（六）会同有关部门管理财政社会保障和就业支出。贯彻执行有关社会保障资金（基金）的财务管理规定，编制社会保障预决算草案。组织实施对社会保障资金（基金）使用的财政监督。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（七）负责财政性基本建设项目的财政财务管理。拟订财政性基本建设支出预算。负责财政投资评审工作。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（八）负责拟订行政事业单位国有资产管理规章制度，按规定管理行政事业单位国有资产。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（九）负责审核和汇编国有资本经营预算草案，监缴区级企业国有资本收益。组织实施企业财务制度和促进产业发展的财政政策。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（十）负责管理会计工作，监督和规范会计行为，执行国家统一的会计制度，管理各类会计人员。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（十一）负责税源管理工作，研究、涵养、开发税源，推动协税护税和税源建设。参与制定、执行、评估产业促进制度。</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（十二）负责拟订财政管理信息化建设中长期规划，组织实施“金财工程”建设。开展财税理论政策研究，负责财政宣传。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（十三）负责执行政府采购政策，管理政府采购工作。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（十四）负责本系统安全生产管理工作。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（十五）配合有关部门为招商引资工作提供支持保障。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（十六）负责本系统人才队伍建设。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（十七）承办区委、区政府交办的其他事项。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天津市和平区财政局(本级)内设10个职能科室；下辖0个预算单位。纳入天津市和平区财政局(本级)2023年度部门决算编制范围的单位包括：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1.天津市和平区财政局(本级)2023年度国有资本经营预算财政拨款收入支出决算表为空表。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2.天津市和平区财政局(本级)2023年度财政拨款“三公”经费支出决算表为空表。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天津市和平区财政局(本级)2023年度收入、支出决算总计</w:t>
      </w:r>
      <w:r>
        <w:rPr>
          <w:rFonts w:hint="eastAsia" w:ascii="Times New Roman" w:hAnsi="Times New Roman" w:eastAsia="仿宋_GB2312" w:cs="仿宋_GB2312"/>
          <w:sz w:val="30"/>
          <w:szCs w:val="30"/>
        </w:rPr>
        <w:t>15,649,169.06元，与2022年度相比，收、支总计各减少2,865,074.43元，下降15.47%，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：机关在职人员退休，同时大力压减各项支出。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14,633,241.50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年度相比减少2,860,826.43元，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：机关在职人员退休，同时大力压减各项支出。</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14,084,955.00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96.25</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546,577.00元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3.74%；</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1,709.50元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年度本年支出合计14,635,241.50元，与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年度相比减少2,863,074.43元，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机关在职人员退休，同时大力压减各项支出。</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10,656,977.86元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占72.82%；</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3,978,263.64元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占27.18%；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15,647,459.56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年度相比，财政拨款收、支总计各减少2,865,443.43元，下降15.48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机关在职人员退休，同时大力压减各项支出。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天津市和平区财政局(本级)2023年度部门决算一般公共预算财政拨款支出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计14,086,955.00元，占本年支出合计的96.25%，与2022年度相比，一般公共预算财政拨款支出减少3,018,932.43元，下降17.65%，</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：机关在职人员退休，同时大力压减各项支出。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14,086,955.00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一般公共服务支出12231368.36元，占86.83%；社会保障和就业支出1030975.5元，占7.32%；卫生健康支出533652.14元，占3.79%；其他支出2959元，占0.02%；债务付息支出288000元，占2.04%。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11,960,101.63</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14,086,955.00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117.78%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1.一般公共服务支出（类）财政事务（款）行政运行（项）年初预算为8144283.98元，支出决算为9090640.72元，完成年初预算的111.62%，决算数大于年初预算数的主要原因是追加年度绩效考核奖、抚恤金等人员经费、追加2023年养老、职业年金保险基数调整补缴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财政事务（款）一般行政管理事务（项）年初预算为1896400.00元，支出决算为3140727.64元，完成年初预算的165.62%，决算数大于年初预算数的主要原因是偿还以前年度项目欠款以及增加了专项债发行费及手续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社会保障和就业支出（类）行政事业单位养老支出（款）机关事业单位基本养老保险缴费支出（项）年初预算为733355.68元，支出决算为687350.7元，完成年初预算的93.73%，决算数小于年初预算数的主要原因是在职干部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机关事业单位职业年金缴费支出（项）年初预算为366677.84元，支出决算为343624.8元，完成年初预算的93.71%，决算数小于年初预算数的主要原因是在职干部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5.卫生健康支出（类）行政事业单位医疗（款）行政单位医疗（项）年初预算为481264.67元，支出决算为447745.94元，完成年初预算的93.04%，决算数小于年初预算数的主要原因是在职干部退休。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6.卫生健康支出（类）行政事业单位医疗（款）公务员医疗补助（项）年初预算为91669.46元，支出决算为85906.2元，完成年初预算的93.71%，决算数小于年初预算数的主要原因是在职干部退休。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农林水支出（类）农村综合改革（款）其他农村综合改革支出（项）年初预算为246450.00元，支出决算为0.00元，完成年初预算的0.00%，决算数小于年初预算数的主要原因是在确保我区民政、侨联领域惠民惠农财政补贴资金“一卡通”管理改革工作顺利完成基础上，压减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8.其他支出（类）其他支出（款） 其他支出（项）年初预算为0.00元，支出决算为2959.00元，决算数大于年初预算数的主要原因是2023年期间追加项目，通过发放天津市政府债券2023年还本付息和发行费用，提高债券可持续发行能力。</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9.债务付息支出（类）地方政府一般债务付息支出（款） 地方政府一般债券付息支出（项）年初预算为0.00元，支出决算为288000.00元，决算数大于年初预算数的主要原因是2023年期间追加项目，通过发放天津市政府债券2023年还本付息和发行费用，提高债券可持续发行能力。</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10,655,268.36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年度相比减少534,268.13元，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机关在职人员退休，同时大力压减各项支出。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10,154,038.26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主要包括基本工资、津贴补贴、奖金、机关事业单位基本养老保险缴费、职业年金缴费、职工基本医疗保险缴费、公务员医疗补助缴费、其他社会保障缴费、住 房公积金、退休费、抚恤金、奖励金、其他个人和家庭的补助。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501,230.10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主要包括办公费、咨询费、水费、邮电费、物业管理费、差旅费、维修费、培训费、委托业务费、工会经费、其他交通费用。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546,577.00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546,577.00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年度相比，政府性基金财政拨款支出增加155,489.00元，增长39.76%，</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专项债发行增加，发行费及手续费相应增加。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天津市和平区财政局(本级)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501,230.10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年减少43,483.16元，降低7.98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落实带头过紧日子要求 ，压减公用支出。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天津市和平区财政局(本级)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1,162,812.00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5,280.00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1,157,532.00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1,162,812.00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天津市和平区财政局（本级）2023年度无国有资产占有使用情况。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根据预算绩效管理要求，天津市和平区财政局（本级）2023年度已对6个项目开展绩效自评，涉及金额 3978263.64元，自评结果已随部门决算一并公开。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B6213"/>
    <w:rsid w:val="000D4B98"/>
    <w:rsid w:val="00127EFA"/>
    <w:rsid w:val="00142888"/>
    <w:rsid w:val="00152EEB"/>
    <w:rsid w:val="00153077"/>
    <w:rsid w:val="00167CB7"/>
    <w:rsid w:val="001A0E4F"/>
    <w:rsid w:val="001B5C3C"/>
    <w:rsid w:val="001C0399"/>
    <w:rsid w:val="001D587E"/>
    <w:rsid w:val="002124F6"/>
    <w:rsid w:val="00215D02"/>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5F6759"/>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457E7"/>
    <w:rsid w:val="00B62EA2"/>
    <w:rsid w:val="00B75228"/>
    <w:rsid w:val="00B811F1"/>
    <w:rsid w:val="00B81B9F"/>
    <w:rsid w:val="00B902D6"/>
    <w:rsid w:val="00BA3CED"/>
    <w:rsid w:val="00BC763A"/>
    <w:rsid w:val="00BC7D6F"/>
    <w:rsid w:val="00BD3CAC"/>
    <w:rsid w:val="00BF697A"/>
    <w:rsid w:val="00C52E77"/>
    <w:rsid w:val="00C65A44"/>
    <w:rsid w:val="00C76AC3"/>
    <w:rsid w:val="00C83EB4"/>
    <w:rsid w:val="00C92420"/>
    <w:rsid w:val="00D35B0A"/>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E5268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1041</Words>
  <Characters>5936</Characters>
  <Lines>49</Lines>
  <Paragraphs>13</Paragraphs>
  <TotalTime>0</TotalTime>
  <ScaleCrop>false</ScaleCrop>
  <LinksUpToDate>false</LinksUpToDate>
  <CharactersWithSpaces>6964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2024-08-15T09:18:00Z</dcterms:created>
  <dc:creator>office</dc:creator>
  <cp:lastModifiedBy>白家健</cp:lastModifiedBy>
  <dcterms:modified xsi:type="dcterms:W3CDTF">2024-08-22T11:01:06Z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