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eastAsia="方正小标宋简体"/>
          <w:sz w:val="52"/>
          <w:szCs w:val="52"/>
        </w:rPr>
      </w:pPr>
      <w:r>
        <w:rPr>
          <w:rFonts w:eastAsia="方正小标宋简体"/>
          <w:sz w:val="52"/>
          <w:szCs w:val="52"/>
        </w:rPr>
        <w:t>项目支出</w:t>
      </w:r>
      <w:r>
        <w:rPr>
          <w:rFonts w:hint="eastAsia" w:eastAsia="方正小标宋简体"/>
          <w:sz w:val="52"/>
          <w:szCs w:val="52"/>
        </w:rPr>
        <w:t>绩效评价</w:t>
      </w:r>
      <w:r>
        <w:rPr>
          <w:rFonts w:eastAsia="方正小标宋简体"/>
          <w:sz w:val="52"/>
          <w:szCs w:val="52"/>
        </w:rPr>
        <w:t>报告</w:t>
      </w:r>
    </w:p>
    <w:p>
      <w:pPr>
        <w:spacing w:line="800" w:lineRule="exact"/>
        <w:ind w:firstLine="0" w:firstLineChars="0"/>
        <w:jc w:val="center"/>
        <w:rPr>
          <w:rFonts w:eastAsia="方正小标宋简体"/>
          <w:sz w:val="48"/>
          <w:szCs w:val="44"/>
        </w:rPr>
      </w:pPr>
      <w:r>
        <w:rPr>
          <w:rFonts w:eastAsia="方正小标宋简体"/>
          <w:sz w:val="40"/>
          <w:szCs w:val="36"/>
        </w:rPr>
        <w:t>（</w:t>
      </w:r>
      <w:r>
        <w:rPr>
          <w:rFonts w:ascii="Times New Roman" w:hAnsi="Times New Roman" w:eastAsia="方正小标宋简体" w:cs="Times New Roman"/>
          <w:sz w:val="40"/>
          <w:szCs w:val="40"/>
        </w:rPr>
        <w:t>2021</w:t>
      </w:r>
      <w:r>
        <w:rPr>
          <w:rFonts w:eastAsia="方正小标宋简体"/>
          <w:sz w:val="40"/>
          <w:szCs w:val="36"/>
        </w:rPr>
        <w:t>年度）</w:t>
      </w:r>
    </w:p>
    <w:p>
      <w:pPr>
        <w:spacing w:line="600" w:lineRule="exact"/>
        <w:ind w:firstLine="640"/>
        <w:rPr>
          <w:rFonts w:eastAsia="黑体"/>
          <w:sz w:val="32"/>
          <w:szCs w:val="32"/>
        </w:rPr>
      </w:pPr>
    </w:p>
    <w:p>
      <w:pPr>
        <w:spacing w:line="600" w:lineRule="exact"/>
        <w:ind w:firstLine="640"/>
        <w:rPr>
          <w:rFonts w:eastAsia="黑体"/>
          <w:sz w:val="32"/>
          <w:szCs w:val="32"/>
        </w:rPr>
      </w:pPr>
    </w:p>
    <w:p>
      <w:pPr>
        <w:spacing w:line="600" w:lineRule="exact"/>
        <w:ind w:firstLine="640"/>
        <w:rPr>
          <w:rFonts w:eastAsia="黑体"/>
          <w:sz w:val="32"/>
          <w:szCs w:val="32"/>
        </w:rPr>
      </w:pPr>
    </w:p>
    <w:p>
      <w:pPr>
        <w:spacing w:line="600" w:lineRule="exact"/>
        <w:ind w:firstLine="640"/>
        <w:rPr>
          <w:rFonts w:eastAsia="黑体"/>
          <w:sz w:val="32"/>
          <w:szCs w:val="32"/>
        </w:rPr>
      </w:pPr>
    </w:p>
    <w:p>
      <w:pPr>
        <w:spacing w:line="600" w:lineRule="exact"/>
        <w:ind w:firstLine="640"/>
        <w:rPr>
          <w:rFonts w:eastAsia="黑体"/>
          <w:sz w:val="32"/>
          <w:szCs w:val="32"/>
        </w:rPr>
      </w:pPr>
    </w:p>
    <w:p>
      <w:pPr>
        <w:spacing w:line="600" w:lineRule="exact"/>
        <w:ind w:firstLine="640"/>
        <w:rPr>
          <w:rFonts w:eastAsia="黑体"/>
          <w:sz w:val="32"/>
          <w:szCs w:val="32"/>
        </w:rPr>
      </w:pPr>
    </w:p>
    <w:p>
      <w:pPr>
        <w:spacing w:line="600" w:lineRule="exact"/>
        <w:ind w:firstLine="640"/>
        <w:rPr>
          <w:rFonts w:eastAsia="黑体"/>
          <w:sz w:val="32"/>
          <w:szCs w:val="32"/>
        </w:rPr>
      </w:pPr>
    </w:p>
    <w:p>
      <w:pPr>
        <w:spacing w:line="900" w:lineRule="exact"/>
        <w:ind w:firstLine="480" w:firstLineChars="150"/>
        <w:rPr>
          <w:rFonts w:eastAsia="仿宋_GB2312"/>
          <w:sz w:val="32"/>
          <w:szCs w:val="32"/>
          <w:u w:val="single"/>
        </w:rPr>
      </w:pPr>
      <w:r>
        <w:rPr>
          <w:rFonts w:eastAsia="仿宋_GB2312"/>
          <w:sz w:val="32"/>
          <w:szCs w:val="32"/>
        </w:rPr>
        <w:t>项 目 名 称：</w:t>
      </w:r>
      <w:r>
        <w:rPr>
          <w:rFonts w:hint="eastAsia" w:eastAsia="仿宋_GB2312"/>
          <w:sz w:val="32"/>
          <w:szCs w:val="32"/>
          <w:u w:val="single"/>
        </w:rPr>
        <w:t xml:space="preserve">   因病支出型困难家庭医疗救助项目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p>
    <w:p>
      <w:pPr>
        <w:spacing w:line="900" w:lineRule="exact"/>
        <w:ind w:firstLine="480" w:firstLineChars="150"/>
        <w:rPr>
          <w:rFonts w:eastAsia="仿宋_GB2312"/>
          <w:sz w:val="32"/>
          <w:szCs w:val="32"/>
          <w:u w:val="single"/>
        </w:rPr>
      </w:pPr>
      <w:r>
        <w:rPr>
          <w:rFonts w:eastAsia="仿宋_GB2312"/>
          <w:sz w:val="32"/>
          <w:szCs w:val="32"/>
        </w:rPr>
        <w:t>项 目 单 位：</w:t>
      </w:r>
      <w:r>
        <w:rPr>
          <w:rFonts w:eastAsia="仿宋_GB2312"/>
          <w:sz w:val="32"/>
          <w:szCs w:val="32"/>
          <w:u w:val="single"/>
        </w:rPr>
        <w:t xml:space="preserve">       </w:t>
      </w:r>
      <w:r>
        <w:rPr>
          <w:rFonts w:hint="eastAsia" w:eastAsia="仿宋_GB2312"/>
          <w:sz w:val="32"/>
          <w:szCs w:val="32"/>
          <w:u w:val="single"/>
        </w:rPr>
        <w:t xml:space="preserve">天津市和平区医疗保障局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p>
    <w:p>
      <w:pPr>
        <w:spacing w:line="900" w:lineRule="exact"/>
        <w:ind w:firstLine="480" w:firstLineChars="150"/>
        <w:rPr>
          <w:rFonts w:eastAsia="仿宋_GB2312"/>
          <w:sz w:val="32"/>
          <w:szCs w:val="32"/>
        </w:rPr>
      </w:pPr>
      <w:r>
        <w:rPr>
          <w:rFonts w:eastAsia="仿宋_GB2312"/>
          <w:sz w:val="32"/>
          <w:szCs w:val="32"/>
        </w:rPr>
        <w:t>主 管 部 门：</w:t>
      </w:r>
      <w:r>
        <w:rPr>
          <w:rFonts w:eastAsia="仿宋_GB2312"/>
          <w:sz w:val="32"/>
          <w:szCs w:val="32"/>
          <w:u w:val="single"/>
        </w:rPr>
        <w:t xml:space="preserve">       </w:t>
      </w:r>
      <w:r>
        <w:rPr>
          <w:rFonts w:hint="eastAsia" w:eastAsia="仿宋_GB2312"/>
          <w:sz w:val="32"/>
          <w:szCs w:val="32"/>
          <w:u w:val="single"/>
        </w:rPr>
        <w:t>天津市和平区医疗保障局</w:t>
      </w:r>
      <w:r>
        <w:rPr>
          <w:rFonts w:eastAsia="仿宋_GB2312"/>
          <w:sz w:val="32"/>
          <w:szCs w:val="32"/>
          <w:u w:val="single"/>
        </w:rPr>
        <w:t xml:space="preserve">             </w:t>
      </w:r>
    </w:p>
    <w:p>
      <w:pPr>
        <w:spacing w:line="900" w:lineRule="exact"/>
        <w:ind w:firstLine="480" w:firstLineChars="150"/>
        <w:rPr>
          <w:rFonts w:eastAsia="仿宋_GB2312"/>
          <w:sz w:val="32"/>
          <w:szCs w:val="32"/>
        </w:rPr>
      </w:pPr>
      <w:r>
        <w:rPr>
          <w:rFonts w:eastAsia="仿宋_GB2312"/>
          <w:sz w:val="32"/>
          <w:szCs w:val="32"/>
        </w:rPr>
        <w:t xml:space="preserve">评 </w:t>
      </w:r>
      <w:r>
        <w:rPr>
          <w:rFonts w:hint="eastAsia" w:eastAsia="仿宋_GB2312"/>
          <w:sz w:val="32"/>
          <w:szCs w:val="32"/>
        </w:rPr>
        <w:t xml:space="preserve">价 </w:t>
      </w:r>
      <w:r>
        <w:rPr>
          <w:rFonts w:eastAsia="仿宋_GB2312"/>
          <w:sz w:val="32"/>
          <w:szCs w:val="32"/>
        </w:rPr>
        <w:t>机 构</w:t>
      </w:r>
      <w:r>
        <w:rPr>
          <w:rFonts w:hint="eastAsia" w:eastAsia="仿宋_GB2312"/>
          <w:sz w:val="32"/>
          <w:szCs w:val="32"/>
        </w:rPr>
        <w:t>：</w:t>
      </w:r>
      <w:r>
        <w:rPr>
          <w:rFonts w:eastAsia="仿宋_GB2312"/>
          <w:sz w:val="32"/>
          <w:szCs w:val="32"/>
          <w:u w:val="single"/>
        </w:rPr>
        <w:t xml:space="preserve">      天津</w:t>
      </w:r>
      <w:r>
        <w:rPr>
          <w:rFonts w:hint="eastAsia" w:eastAsia="仿宋_GB2312"/>
          <w:sz w:val="32"/>
          <w:szCs w:val="32"/>
          <w:u w:val="single"/>
        </w:rPr>
        <w:t>安信管理咨询</w:t>
      </w:r>
      <w:r>
        <w:rPr>
          <w:rFonts w:eastAsia="仿宋_GB2312"/>
          <w:sz w:val="32"/>
          <w:szCs w:val="32"/>
          <w:u w:val="single"/>
        </w:rPr>
        <w:t xml:space="preserve">有限公司                    </w:t>
      </w:r>
    </w:p>
    <w:p>
      <w:pPr>
        <w:spacing w:line="900" w:lineRule="exact"/>
        <w:ind w:firstLine="480" w:firstLineChars="150"/>
        <w:rPr>
          <w:rFonts w:eastAsia="仿宋_GB2312"/>
          <w:sz w:val="32"/>
          <w:szCs w:val="32"/>
          <w:u w:val="single"/>
        </w:rPr>
      </w:pPr>
      <w:r>
        <w:rPr>
          <w:rFonts w:eastAsia="仿宋_GB2312"/>
          <w:sz w:val="32"/>
          <w:szCs w:val="32"/>
        </w:rPr>
        <w:t xml:space="preserve">评 </w:t>
      </w:r>
      <w:r>
        <w:rPr>
          <w:rFonts w:hint="eastAsia" w:eastAsia="仿宋_GB2312"/>
          <w:sz w:val="32"/>
          <w:szCs w:val="32"/>
        </w:rPr>
        <w:t>价</w:t>
      </w:r>
      <w:r>
        <w:rPr>
          <w:rFonts w:eastAsia="仿宋_GB2312"/>
          <w:sz w:val="32"/>
          <w:szCs w:val="32"/>
        </w:rPr>
        <w:t xml:space="preserve"> 日 期：</w:t>
      </w:r>
      <w:r>
        <w:rPr>
          <w:rFonts w:eastAsia="仿宋_GB2312"/>
          <w:sz w:val="32"/>
          <w:szCs w:val="32"/>
          <w:u w:val="single"/>
        </w:rPr>
        <w:t xml:space="preserve">            </w:t>
      </w:r>
      <w:r>
        <w:rPr>
          <w:rFonts w:ascii="Times New Roman" w:hAnsi="Times New Roman" w:eastAsia="仿宋_GB2312" w:cs="Times New Roman"/>
          <w:sz w:val="32"/>
          <w:szCs w:val="32"/>
          <w:u w:val="single"/>
        </w:rPr>
        <w:t>2022</w:t>
      </w:r>
      <w:r>
        <w:rPr>
          <w:rFonts w:hint="eastAsia" w:eastAsia="仿宋_GB2312"/>
          <w:sz w:val="32"/>
          <w:szCs w:val="32"/>
          <w:u w:val="single"/>
        </w:rPr>
        <w:t>年</w:t>
      </w:r>
      <w:r>
        <w:rPr>
          <w:rFonts w:hint="eastAsia" w:ascii="Times New Roman" w:hAnsi="Times New Roman" w:eastAsia="仿宋_GB2312" w:cs="Times New Roman"/>
          <w:sz w:val="32"/>
          <w:szCs w:val="32"/>
          <w:u w:val="single"/>
        </w:rPr>
        <w:t>10</w:t>
      </w:r>
      <w:r>
        <w:rPr>
          <w:rFonts w:hint="eastAsia" w:eastAsia="仿宋_GB2312"/>
          <w:sz w:val="32"/>
          <w:szCs w:val="32"/>
          <w:u w:val="single"/>
        </w:rPr>
        <w:t>月</w:t>
      </w:r>
      <w:r>
        <w:rPr>
          <w:rFonts w:eastAsia="仿宋_GB2312"/>
          <w:sz w:val="32"/>
          <w:szCs w:val="32"/>
          <w:u w:val="single"/>
        </w:rPr>
        <w:t xml:space="preserve">        </w:t>
      </w:r>
      <w:r>
        <w:rPr>
          <w:rFonts w:hint="eastAsia" w:eastAsia="仿宋_GB2312"/>
          <w:sz w:val="32"/>
          <w:szCs w:val="32"/>
          <w:u w:val="single"/>
        </w:rPr>
        <w:t xml:space="preserve">      </w:t>
      </w:r>
    </w:p>
    <w:p>
      <w:pPr>
        <w:spacing w:line="900" w:lineRule="exact"/>
        <w:ind w:firstLine="0" w:firstLineChars="0"/>
        <w:rPr>
          <w:rFonts w:ascii="黑体" w:hAnsi="黑体" w:eastAsia="黑体" w:cs="黑体"/>
          <w:sz w:val="32"/>
          <w:szCs w:val="32"/>
        </w:rPr>
      </w:pPr>
    </w:p>
    <w:p>
      <w:pPr>
        <w:widowControl/>
        <w:spacing w:line="240" w:lineRule="auto"/>
        <w:ind w:firstLine="0" w:firstLineChars="0"/>
        <w:rPr>
          <w:rFonts w:ascii="黑体" w:hAnsi="黑体" w:eastAsia="黑体" w:cs="黑体"/>
          <w:sz w:val="32"/>
          <w:szCs w:val="32"/>
        </w:rPr>
      </w:pPr>
      <w:r>
        <w:rPr>
          <w:rFonts w:ascii="黑体" w:hAnsi="黑体" w:eastAsia="黑体" w:cs="黑体"/>
          <w:sz w:val="32"/>
          <w:szCs w:val="32"/>
        </w:rPr>
        <w:br w:type="page"/>
      </w:r>
    </w:p>
    <w:sdt>
      <w:sdtPr>
        <w:rPr>
          <w:rFonts w:asciiTheme="minorHAnsi" w:hAnsiTheme="minorHAnsi" w:eastAsiaTheme="minorEastAsia" w:cstheme="minorBidi"/>
          <w:color w:val="auto"/>
          <w:kern w:val="2"/>
          <w:sz w:val="21"/>
          <w:szCs w:val="21"/>
          <w:lang w:val="zh-CN"/>
        </w:rPr>
        <w:id w:val="1322844121"/>
      </w:sdtPr>
      <w:sdtEndPr>
        <w:rPr>
          <w:rFonts w:asciiTheme="minorHAnsi" w:hAnsiTheme="minorHAnsi" w:eastAsiaTheme="minorEastAsia" w:cstheme="minorBidi"/>
          <w:b/>
          <w:bCs/>
          <w:color w:val="auto"/>
          <w:kern w:val="2"/>
          <w:sz w:val="21"/>
          <w:szCs w:val="21"/>
          <w:lang w:val="zh-CN"/>
        </w:rPr>
      </w:sdtEndPr>
      <w:sdtContent>
        <w:p>
          <w:pPr>
            <w:pStyle w:val="50"/>
            <w:ind w:firstLine="420"/>
            <w:jc w:val="center"/>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录</w:t>
          </w:r>
        </w:p>
        <w:p>
          <w:pPr>
            <w:pStyle w:val="13"/>
            <w:tabs>
              <w:tab w:val="right" w:leader="dot" w:pos="8312"/>
              <w:tab w:val="clear" w:pos="8302"/>
            </w:tabs>
          </w:pPr>
          <w:r>
            <w:fldChar w:fldCharType="begin"/>
          </w:r>
          <w:r>
            <w:instrText xml:space="preserve"> TOC \o "1-3" \h \z \u </w:instrText>
          </w:r>
          <w:r>
            <w:fldChar w:fldCharType="separate"/>
          </w:r>
          <w:r>
            <w:fldChar w:fldCharType="begin"/>
          </w:r>
          <w:r>
            <w:instrText xml:space="preserve"> HYPERLINK \l "_Toc13017" </w:instrText>
          </w:r>
          <w:r>
            <w:fldChar w:fldCharType="separate"/>
          </w:r>
          <w:r>
            <w:rPr>
              <w:rFonts w:hint="eastAsia"/>
            </w:rPr>
            <w:t>一、项目基本情况</w:t>
          </w:r>
          <w:r>
            <w:tab/>
          </w:r>
          <w:r>
            <w:fldChar w:fldCharType="begin"/>
          </w:r>
          <w:r>
            <w:instrText xml:space="preserve"> PAGEREF _Toc13017 \h </w:instrText>
          </w:r>
          <w:r>
            <w:fldChar w:fldCharType="separate"/>
          </w:r>
          <w:r>
            <w:t>4</w:t>
          </w:r>
          <w:r>
            <w:fldChar w:fldCharType="end"/>
          </w:r>
          <w:r>
            <w:fldChar w:fldCharType="end"/>
          </w:r>
        </w:p>
        <w:p>
          <w:pPr>
            <w:pStyle w:val="10"/>
            <w:tabs>
              <w:tab w:val="right" w:leader="dot" w:pos="8312"/>
              <w:tab w:val="clear" w:pos="8302"/>
            </w:tabs>
          </w:pPr>
          <w:r>
            <w:fldChar w:fldCharType="begin"/>
          </w:r>
          <w:r>
            <w:instrText xml:space="preserve"> HYPERLINK \l "_Toc24747" </w:instrText>
          </w:r>
          <w:r>
            <w:fldChar w:fldCharType="separate"/>
          </w:r>
          <w:r>
            <w:rPr>
              <w:rFonts w:hint="eastAsia"/>
            </w:rPr>
            <w:t>（一）项目概况</w:t>
          </w:r>
          <w:r>
            <w:tab/>
          </w:r>
          <w:r>
            <w:fldChar w:fldCharType="begin"/>
          </w:r>
          <w:r>
            <w:instrText xml:space="preserve"> PAGEREF _Toc24747 \h </w:instrText>
          </w:r>
          <w:r>
            <w:fldChar w:fldCharType="separate"/>
          </w:r>
          <w:r>
            <w:t>4</w:t>
          </w:r>
          <w:r>
            <w:fldChar w:fldCharType="end"/>
          </w:r>
          <w:r>
            <w:fldChar w:fldCharType="end"/>
          </w:r>
        </w:p>
        <w:p>
          <w:pPr>
            <w:pStyle w:val="10"/>
            <w:tabs>
              <w:tab w:val="right" w:leader="dot" w:pos="8312"/>
              <w:tab w:val="clear" w:pos="8302"/>
            </w:tabs>
          </w:pPr>
          <w:r>
            <w:fldChar w:fldCharType="begin"/>
          </w:r>
          <w:r>
            <w:instrText xml:space="preserve"> HYPERLINK \l "_Toc16867" </w:instrText>
          </w:r>
          <w:r>
            <w:fldChar w:fldCharType="separate"/>
          </w:r>
          <w:r>
            <w:rPr>
              <w:rFonts w:hint="eastAsia"/>
            </w:rPr>
            <w:t>（二）项目绩效目标</w:t>
          </w:r>
          <w:r>
            <w:tab/>
          </w:r>
          <w:r>
            <w:fldChar w:fldCharType="begin"/>
          </w:r>
          <w:r>
            <w:instrText xml:space="preserve"> PAGEREF _Toc16867 \h </w:instrText>
          </w:r>
          <w:r>
            <w:fldChar w:fldCharType="separate"/>
          </w:r>
          <w:r>
            <w:t>6</w:t>
          </w:r>
          <w:r>
            <w:fldChar w:fldCharType="end"/>
          </w:r>
          <w:r>
            <w:fldChar w:fldCharType="end"/>
          </w:r>
        </w:p>
        <w:p>
          <w:pPr>
            <w:pStyle w:val="13"/>
            <w:tabs>
              <w:tab w:val="right" w:leader="dot" w:pos="8312"/>
              <w:tab w:val="clear" w:pos="8302"/>
            </w:tabs>
          </w:pPr>
          <w:r>
            <w:fldChar w:fldCharType="begin"/>
          </w:r>
          <w:r>
            <w:instrText xml:space="preserve"> HYPERLINK \l "_Toc1637" </w:instrText>
          </w:r>
          <w:r>
            <w:fldChar w:fldCharType="separate"/>
          </w:r>
          <w:r>
            <w:rPr>
              <w:rFonts w:hint="eastAsia"/>
            </w:rPr>
            <w:t>二、绩效评价工作开展情况</w:t>
          </w:r>
          <w:r>
            <w:tab/>
          </w:r>
          <w:r>
            <w:fldChar w:fldCharType="begin"/>
          </w:r>
          <w:r>
            <w:instrText xml:space="preserve"> PAGEREF _Toc1637 \h </w:instrText>
          </w:r>
          <w:r>
            <w:fldChar w:fldCharType="separate"/>
          </w:r>
          <w:r>
            <w:t>6</w:t>
          </w:r>
          <w:r>
            <w:fldChar w:fldCharType="end"/>
          </w:r>
          <w:r>
            <w:fldChar w:fldCharType="end"/>
          </w:r>
        </w:p>
        <w:p>
          <w:pPr>
            <w:pStyle w:val="10"/>
            <w:tabs>
              <w:tab w:val="right" w:leader="dot" w:pos="8312"/>
              <w:tab w:val="clear" w:pos="8302"/>
            </w:tabs>
          </w:pPr>
          <w:r>
            <w:fldChar w:fldCharType="begin"/>
          </w:r>
          <w:r>
            <w:instrText xml:space="preserve"> HYPERLINK \l "_Toc18382" </w:instrText>
          </w:r>
          <w:r>
            <w:fldChar w:fldCharType="separate"/>
          </w:r>
          <w:r>
            <w:rPr>
              <w:rFonts w:hint="eastAsia"/>
            </w:rPr>
            <w:t>（一）绩效评价的目的、对象和范围</w:t>
          </w:r>
          <w:r>
            <w:tab/>
          </w:r>
          <w:r>
            <w:fldChar w:fldCharType="begin"/>
          </w:r>
          <w:r>
            <w:instrText xml:space="preserve"> PAGEREF _Toc18382 \h </w:instrText>
          </w:r>
          <w:r>
            <w:fldChar w:fldCharType="separate"/>
          </w:r>
          <w:r>
            <w:t>6</w:t>
          </w:r>
          <w:r>
            <w:fldChar w:fldCharType="end"/>
          </w:r>
          <w:r>
            <w:fldChar w:fldCharType="end"/>
          </w:r>
        </w:p>
        <w:p>
          <w:pPr>
            <w:pStyle w:val="10"/>
            <w:tabs>
              <w:tab w:val="right" w:leader="dot" w:pos="8312"/>
              <w:tab w:val="clear" w:pos="8302"/>
            </w:tabs>
          </w:pPr>
          <w:r>
            <w:fldChar w:fldCharType="begin"/>
          </w:r>
          <w:r>
            <w:instrText xml:space="preserve"> HYPERLINK \l "_Toc16502" </w:instrText>
          </w:r>
          <w:r>
            <w:fldChar w:fldCharType="separate"/>
          </w:r>
          <w:r>
            <w:rPr>
              <w:rFonts w:hint="eastAsia"/>
            </w:rPr>
            <w:t>（二）</w:t>
          </w:r>
          <w:r>
            <w:t>绩效评价</w:t>
          </w:r>
          <w:r>
            <w:rPr>
              <w:rFonts w:hint="eastAsia"/>
            </w:rPr>
            <w:t>原则、评价指标体系、评价方法</w:t>
          </w:r>
          <w:r>
            <w:tab/>
          </w:r>
          <w:r>
            <w:fldChar w:fldCharType="begin"/>
          </w:r>
          <w:r>
            <w:instrText xml:space="preserve"> PAGEREF _Toc16502 \h </w:instrText>
          </w:r>
          <w:r>
            <w:fldChar w:fldCharType="separate"/>
          </w:r>
          <w:r>
            <w:t>8</w:t>
          </w:r>
          <w:r>
            <w:fldChar w:fldCharType="end"/>
          </w:r>
          <w:r>
            <w:fldChar w:fldCharType="end"/>
          </w:r>
        </w:p>
        <w:p>
          <w:pPr>
            <w:pStyle w:val="10"/>
            <w:tabs>
              <w:tab w:val="right" w:leader="dot" w:pos="8312"/>
              <w:tab w:val="clear" w:pos="8302"/>
            </w:tabs>
          </w:pPr>
          <w:r>
            <w:fldChar w:fldCharType="begin"/>
          </w:r>
          <w:r>
            <w:instrText xml:space="preserve"> HYPERLINK \l "_Toc8900" </w:instrText>
          </w:r>
          <w:r>
            <w:fldChar w:fldCharType="separate"/>
          </w:r>
          <w:r>
            <w:rPr>
              <w:rFonts w:hint="eastAsia"/>
            </w:rPr>
            <w:t>（三）绩效评价工作过程</w:t>
          </w:r>
          <w:r>
            <w:tab/>
          </w:r>
          <w:r>
            <w:fldChar w:fldCharType="begin"/>
          </w:r>
          <w:r>
            <w:instrText xml:space="preserve"> PAGEREF _Toc8900 \h </w:instrText>
          </w:r>
          <w:r>
            <w:fldChar w:fldCharType="separate"/>
          </w:r>
          <w:r>
            <w:t>13</w:t>
          </w:r>
          <w:r>
            <w:fldChar w:fldCharType="end"/>
          </w:r>
          <w:r>
            <w:fldChar w:fldCharType="end"/>
          </w:r>
        </w:p>
        <w:p>
          <w:pPr>
            <w:pStyle w:val="13"/>
            <w:tabs>
              <w:tab w:val="right" w:leader="dot" w:pos="8312"/>
              <w:tab w:val="clear" w:pos="8302"/>
            </w:tabs>
          </w:pPr>
          <w:r>
            <w:fldChar w:fldCharType="begin"/>
          </w:r>
          <w:r>
            <w:instrText xml:space="preserve"> HYPERLINK \l "_Toc20029" </w:instrText>
          </w:r>
          <w:r>
            <w:fldChar w:fldCharType="separate"/>
          </w:r>
          <w:r>
            <w:rPr>
              <w:rFonts w:hint="eastAsia"/>
            </w:rPr>
            <w:t>三、综合评价情况及评价结论</w:t>
          </w:r>
          <w:r>
            <w:tab/>
          </w:r>
          <w:r>
            <w:fldChar w:fldCharType="begin"/>
          </w:r>
          <w:r>
            <w:instrText xml:space="preserve"> PAGEREF _Toc20029 \h </w:instrText>
          </w:r>
          <w:r>
            <w:fldChar w:fldCharType="separate"/>
          </w:r>
          <w:r>
            <w:t>15</w:t>
          </w:r>
          <w:r>
            <w:fldChar w:fldCharType="end"/>
          </w:r>
          <w:r>
            <w:fldChar w:fldCharType="end"/>
          </w:r>
        </w:p>
        <w:p>
          <w:pPr>
            <w:pStyle w:val="13"/>
            <w:tabs>
              <w:tab w:val="right" w:leader="dot" w:pos="8312"/>
              <w:tab w:val="clear" w:pos="8302"/>
            </w:tabs>
          </w:pPr>
          <w:r>
            <w:fldChar w:fldCharType="begin"/>
          </w:r>
          <w:r>
            <w:instrText xml:space="preserve"> HYPERLINK \l "_Toc28438" </w:instrText>
          </w:r>
          <w:r>
            <w:fldChar w:fldCharType="separate"/>
          </w:r>
          <w:r>
            <w:rPr>
              <w:rFonts w:hint="eastAsia"/>
            </w:rPr>
            <w:t>四、绩效评价指标分析</w:t>
          </w:r>
          <w:r>
            <w:tab/>
          </w:r>
          <w:r>
            <w:fldChar w:fldCharType="begin"/>
          </w:r>
          <w:r>
            <w:instrText xml:space="preserve"> PAGEREF _Toc28438 \h </w:instrText>
          </w:r>
          <w:r>
            <w:fldChar w:fldCharType="separate"/>
          </w:r>
          <w:r>
            <w:t>16</w:t>
          </w:r>
          <w:r>
            <w:fldChar w:fldCharType="end"/>
          </w:r>
          <w:r>
            <w:fldChar w:fldCharType="end"/>
          </w:r>
        </w:p>
        <w:p>
          <w:pPr>
            <w:pStyle w:val="10"/>
            <w:tabs>
              <w:tab w:val="right" w:leader="dot" w:pos="8312"/>
              <w:tab w:val="clear" w:pos="8302"/>
            </w:tabs>
          </w:pPr>
          <w:r>
            <w:fldChar w:fldCharType="begin"/>
          </w:r>
          <w:r>
            <w:instrText xml:space="preserve"> HYPERLINK \l "_Toc4975" </w:instrText>
          </w:r>
          <w:r>
            <w:fldChar w:fldCharType="separate"/>
          </w:r>
          <w:r>
            <w:rPr>
              <w:rFonts w:hint="eastAsia"/>
            </w:rPr>
            <w:t>（一）项目决策情况</w:t>
          </w:r>
          <w:r>
            <w:tab/>
          </w:r>
          <w:r>
            <w:fldChar w:fldCharType="begin"/>
          </w:r>
          <w:r>
            <w:instrText xml:space="preserve"> PAGEREF _Toc4975 \h </w:instrText>
          </w:r>
          <w:r>
            <w:fldChar w:fldCharType="separate"/>
          </w:r>
          <w:r>
            <w:t>16</w:t>
          </w:r>
          <w:r>
            <w:fldChar w:fldCharType="end"/>
          </w:r>
          <w:r>
            <w:fldChar w:fldCharType="end"/>
          </w:r>
        </w:p>
        <w:p>
          <w:pPr>
            <w:pStyle w:val="10"/>
            <w:tabs>
              <w:tab w:val="right" w:leader="dot" w:pos="8312"/>
              <w:tab w:val="clear" w:pos="8302"/>
            </w:tabs>
          </w:pPr>
          <w:r>
            <w:fldChar w:fldCharType="begin"/>
          </w:r>
          <w:r>
            <w:instrText xml:space="preserve"> HYPERLINK \l "_Toc32683" </w:instrText>
          </w:r>
          <w:r>
            <w:fldChar w:fldCharType="separate"/>
          </w:r>
          <w:r>
            <w:rPr>
              <w:rFonts w:hint="eastAsia"/>
            </w:rPr>
            <w:t>（二）项目过程情况</w:t>
          </w:r>
          <w:r>
            <w:tab/>
          </w:r>
          <w:r>
            <w:fldChar w:fldCharType="begin"/>
          </w:r>
          <w:r>
            <w:instrText xml:space="preserve"> PAGEREF _Toc32683 \h </w:instrText>
          </w:r>
          <w:r>
            <w:fldChar w:fldCharType="separate"/>
          </w:r>
          <w:r>
            <w:t>20</w:t>
          </w:r>
          <w:r>
            <w:fldChar w:fldCharType="end"/>
          </w:r>
          <w:r>
            <w:fldChar w:fldCharType="end"/>
          </w:r>
        </w:p>
        <w:p>
          <w:pPr>
            <w:pStyle w:val="10"/>
            <w:tabs>
              <w:tab w:val="right" w:leader="dot" w:pos="8312"/>
              <w:tab w:val="clear" w:pos="8302"/>
            </w:tabs>
          </w:pPr>
          <w:r>
            <w:fldChar w:fldCharType="begin"/>
          </w:r>
          <w:r>
            <w:instrText xml:space="preserve"> HYPERLINK \l "_Toc9551" </w:instrText>
          </w:r>
          <w:r>
            <w:fldChar w:fldCharType="separate"/>
          </w:r>
          <w:r>
            <w:rPr>
              <w:rFonts w:hint="eastAsia"/>
            </w:rPr>
            <w:t>（三）项目产出情况</w:t>
          </w:r>
          <w:r>
            <w:tab/>
          </w:r>
          <w:r>
            <w:fldChar w:fldCharType="begin"/>
          </w:r>
          <w:r>
            <w:instrText xml:space="preserve"> PAGEREF _Toc9551 \h </w:instrText>
          </w:r>
          <w:r>
            <w:fldChar w:fldCharType="separate"/>
          </w:r>
          <w:r>
            <w:t>23</w:t>
          </w:r>
          <w:r>
            <w:fldChar w:fldCharType="end"/>
          </w:r>
          <w:r>
            <w:fldChar w:fldCharType="end"/>
          </w:r>
        </w:p>
        <w:p>
          <w:pPr>
            <w:pStyle w:val="10"/>
            <w:tabs>
              <w:tab w:val="right" w:leader="dot" w:pos="8312"/>
              <w:tab w:val="clear" w:pos="8302"/>
            </w:tabs>
          </w:pPr>
          <w:r>
            <w:fldChar w:fldCharType="begin"/>
          </w:r>
          <w:r>
            <w:instrText xml:space="preserve"> HYPERLINK \l "_Toc21193" </w:instrText>
          </w:r>
          <w:r>
            <w:fldChar w:fldCharType="separate"/>
          </w:r>
          <w:r>
            <w:rPr>
              <w:rFonts w:hint="eastAsia"/>
            </w:rPr>
            <w:t>（四）项目效益情况</w:t>
          </w:r>
          <w:r>
            <w:tab/>
          </w:r>
          <w:r>
            <w:fldChar w:fldCharType="begin"/>
          </w:r>
          <w:r>
            <w:instrText xml:space="preserve"> PAGEREF _Toc21193 \h </w:instrText>
          </w:r>
          <w:r>
            <w:fldChar w:fldCharType="separate"/>
          </w:r>
          <w:r>
            <w:t>27</w:t>
          </w:r>
          <w:r>
            <w:fldChar w:fldCharType="end"/>
          </w:r>
          <w:r>
            <w:fldChar w:fldCharType="end"/>
          </w:r>
        </w:p>
        <w:p>
          <w:pPr>
            <w:pStyle w:val="13"/>
            <w:tabs>
              <w:tab w:val="right" w:leader="dot" w:pos="8312"/>
              <w:tab w:val="clear" w:pos="8302"/>
            </w:tabs>
          </w:pPr>
          <w:r>
            <w:fldChar w:fldCharType="begin"/>
          </w:r>
          <w:r>
            <w:instrText xml:space="preserve"> HYPERLINK \l "_Toc5849" </w:instrText>
          </w:r>
          <w:r>
            <w:fldChar w:fldCharType="separate"/>
          </w:r>
          <w:r>
            <w:rPr>
              <w:rFonts w:hint="eastAsia"/>
            </w:rPr>
            <w:t>五、存在的主要问题</w:t>
          </w:r>
          <w:r>
            <w:tab/>
          </w:r>
          <w:r>
            <w:fldChar w:fldCharType="begin"/>
          </w:r>
          <w:r>
            <w:instrText xml:space="preserve"> PAGEREF _Toc5849 \h </w:instrText>
          </w:r>
          <w:r>
            <w:fldChar w:fldCharType="separate"/>
          </w:r>
          <w:r>
            <w:t>29</w:t>
          </w:r>
          <w:r>
            <w:fldChar w:fldCharType="end"/>
          </w:r>
          <w:r>
            <w:fldChar w:fldCharType="end"/>
          </w:r>
        </w:p>
        <w:p>
          <w:pPr>
            <w:pStyle w:val="10"/>
            <w:tabs>
              <w:tab w:val="right" w:leader="dot" w:pos="8312"/>
              <w:tab w:val="clear" w:pos="8302"/>
            </w:tabs>
          </w:pPr>
          <w:r>
            <w:fldChar w:fldCharType="begin"/>
          </w:r>
          <w:r>
            <w:instrText xml:space="preserve"> HYPERLINK \l "_Toc11807" </w:instrText>
          </w:r>
          <w:r>
            <w:fldChar w:fldCharType="separate"/>
          </w:r>
          <w:r>
            <w:rPr>
              <w:rFonts w:hint="eastAsia"/>
            </w:rPr>
            <w:t>（一）</w:t>
          </w:r>
          <w:r>
            <w:rPr>
              <w:rFonts w:hint="eastAsia" w:ascii="楷体_GB2312" w:hAnsi="Times New Roman" w:cs="楷体_GB2312"/>
            </w:rPr>
            <w:t>项目绩效目标设置明确性、可衡量性不足</w:t>
          </w:r>
          <w:r>
            <w:tab/>
          </w:r>
          <w:r>
            <w:fldChar w:fldCharType="begin"/>
          </w:r>
          <w:r>
            <w:instrText xml:space="preserve"> PAGEREF _Toc11807 \h </w:instrText>
          </w:r>
          <w:r>
            <w:fldChar w:fldCharType="separate"/>
          </w:r>
          <w:r>
            <w:t>29</w:t>
          </w:r>
          <w:r>
            <w:fldChar w:fldCharType="end"/>
          </w:r>
          <w:r>
            <w:fldChar w:fldCharType="end"/>
          </w:r>
        </w:p>
        <w:p>
          <w:pPr>
            <w:pStyle w:val="10"/>
            <w:tabs>
              <w:tab w:val="right" w:leader="dot" w:pos="8312"/>
              <w:tab w:val="clear" w:pos="8302"/>
            </w:tabs>
          </w:pPr>
          <w:r>
            <w:fldChar w:fldCharType="begin"/>
          </w:r>
          <w:r>
            <w:instrText xml:space="preserve"> HYPERLINK \l "_Toc8983" </w:instrText>
          </w:r>
          <w:r>
            <w:fldChar w:fldCharType="separate"/>
          </w:r>
          <w:r>
            <w:rPr>
              <w:rFonts w:hint="eastAsia"/>
            </w:rPr>
            <w:t>（二）救助资金落实监管机制有待完善</w:t>
          </w:r>
          <w:r>
            <w:tab/>
          </w:r>
          <w:r>
            <w:fldChar w:fldCharType="begin"/>
          </w:r>
          <w:r>
            <w:instrText xml:space="preserve"> PAGEREF _Toc8983 \h </w:instrText>
          </w:r>
          <w:r>
            <w:fldChar w:fldCharType="separate"/>
          </w:r>
          <w:r>
            <w:t>30</w:t>
          </w:r>
          <w:r>
            <w:fldChar w:fldCharType="end"/>
          </w:r>
          <w:r>
            <w:fldChar w:fldCharType="end"/>
          </w:r>
        </w:p>
        <w:p>
          <w:pPr>
            <w:pStyle w:val="10"/>
            <w:tabs>
              <w:tab w:val="right" w:leader="dot" w:pos="8312"/>
              <w:tab w:val="clear" w:pos="8302"/>
            </w:tabs>
          </w:pPr>
          <w:r>
            <w:fldChar w:fldCharType="begin"/>
          </w:r>
          <w:r>
            <w:instrText xml:space="preserve"> HYPERLINK \l "_Toc9285" </w:instrText>
          </w:r>
          <w:r>
            <w:fldChar w:fldCharType="separate"/>
          </w:r>
          <w:r>
            <w:rPr>
              <w:rFonts w:hint="eastAsia"/>
            </w:rPr>
            <w:t>（三）政策宣传工作有待加强</w:t>
          </w:r>
          <w:r>
            <w:tab/>
          </w:r>
          <w:r>
            <w:fldChar w:fldCharType="begin"/>
          </w:r>
          <w:r>
            <w:instrText xml:space="preserve"> PAGEREF _Toc9285 \h </w:instrText>
          </w:r>
          <w:r>
            <w:fldChar w:fldCharType="separate"/>
          </w:r>
          <w:r>
            <w:t>30</w:t>
          </w:r>
          <w:r>
            <w:fldChar w:fldCharType="end"/>
          </w:r>
          <w:r>
            <w:fldChar w:fldCharType="end"/>
          </w:r>
        </w:p>
        <w:p>
          <w:pPr>
            <w:pStyle w:val="13"/>
            <w:tabs>
              <w:tab w:val="right" w:leader="dot" w:pos="8312"/>
              <w:tab w:val="clear" w:pos="8302"/>
            </w:tabs>
          </w:pPr>
          <w:r>
            <w:fldChar w:fldCharType="begin"/>
          </w:r>
          <w:r>
            <w:instrText xml:space="preserve"> HYPERLINK \l "_Toc3886" </w:instrText>
          </w:r>
          <w:r>
            <w:fldChar w:fldCharType="separate"/>
          </w:r>
          <w:r>
            <w:rPr>
              <w:rFonts w:hint="eastAsia"/>
            </w:rPr>
            <w:t>六、相关建议</w:t>
          </w:r>
          <w:r>
            <w:tab/>
          </w:r>
          <w:r>
            <w:fldChar w:fldCharType="begin"/>
          </w:r>
          <w:r>
            <w:instrText xml:space="preserve"> PAGEREF _Toc3886 \h </w:instrText>
          </w:r>
          <w:r>
            <w:fldChar w:fldCharType="separate"/>
          </w:r>
          <w:r>
            <w:t>31</w:t>
          </w:r>
          <w:r>
            <w:fldChar w:fldCharType="end"/>
          </w:r>
          <w:r>
            <w:fldChar w:fldCharType="end"/>
          </w:r>
        </w:p>
        <w:p>
          <w:pPr>
            <w:pStyle w:val="10"/>
            <w:tabs>
              <w:tab w:val="right" w:leader="dot" w:pos="8312"/>
              <w:tab w:val="clear" w:pos="8302"/>
            </w:tabs>
          </w:pPr>
          <w:r>
            <w:fldChar w:fldCharType="begin"/>
          </w:r>
          <w:r>
            <w:instrText xml:space="preserve"> HYPERLINK \l "_Toc5893" </w:instrText>
          </w:r>
          <w:r>
            <w:fldChar w:fldCharType="separate"/>
          </w:r>
          <w:r>
            <w:rPr>
              <w:rFonts w:hint="eastAsia"/>
            </w:rPr>
            <w:t>（一）加强部门绩效理念，提升</w:t>
          </w:r>
          <w:r>
            <w:rPr>
              <w:rFonts w:hint="eastAsia" w:ascii="楷体_GB2312" w:hAnsi="Times New Roman" w:cs="楷体_GB2312"/>
            </w:rPr>
            <w:t>绩效管理水平</w:t>
          </w:r>
          <w:r>
            <w:tab/>
          </w:r>
          <w:r>
            <w:fldChar w:fldCharType="begin"/>
          </w:r>
          <w:r>
            <w:instrText xml:space="preserve"> PAGEREF _Toc5893 \h </w:instrText>
          </w:r>
          <w:r>
            <w:fldChar w:fldCharType="separate"/>
          </w:r>
          <w:r>
            <w:t>31</w:t>
          </w:r>
          <w:r>
            <w:fldChar w:fldCharType="end"/>
          </w:r>
          <w:r>
            <w:fldChar w:fldCharType="end"/>
          </w:r>
        </w:p>
        <w:p>
          <w:pPr>
            <w:pStyle w:val="10"/>
            <w:tabs>
              <w:tab w:val="right" w:leader="dot" w:pos="8312"/>
              <w:tab w:val="clear" w:pos="8302"/>
            </w:tabs>
          </w:pPr>
          <w:r>
            <w:fldChar w:fldCharType="begin"/>
          </w:r>
          <w:r>
            <w:instrText xml:space="preserve"> HYPERLINK \l "_Toc10743" </w:instrText>
          </w:r>
          <w:r>
            <w:fldChar w:fldCharType="separate"/>
          </w:r>
          <w:r>
            <w:rPr>
              <w:rFonts w:hint="eastAsia"/>
            </w:rPr>
            <w:t>（二）加强救助资金落实监管力度</w:t>
          </w:r>
          <w:r>
            <w:tab/>
          </w:r>
          <w:r>
            <w:fldChar w:fldCharType="begin"/>
          </w:r>
          <w:r>
            <w:instrText xml:space="preserve"> PAGEREF _Toc10743 \h </w:instrText>
          </w:r>
          <w:r>
            <w:fldChar w:fldCharType="separate"/>
          </w:r>
          <w:r>
            <w:t>31</w:t>
          </w:r>
          <w:r>
            <w:fldChar w:fldCharType="end"/>
          </w:r>
          <w:r>
            <w:fldChar w:fldCharType="end"/>
          </w:r>
        </w:p>
        <w:p>
          <w:pPr>
            <w:pStyle w:val="10"/>
            <w:tabs>
              <w:tab w:val="right" w:leader="dot" w:pos="8312"/>
              <w:tab w:val="clear" w:pos="8302"/>
            </w:tabs>
          </w:pPr>
          <w:r>
            <w:fldChar w:fldCharType="begin"/>
          </w:r>
          <w:r>
            <w:instrText xml:space="preserve"> HYPERLINK \l "_Toc9518" </w:instrText>
          </w:r>
          <w:r>
            <w:fldChar w:fldCharType="separate"/>
          </w:r>
          <w:r>
            <w:rPr>
              <w:rFonts w:hint="eastAsia"/>
            </w:rPr>
            <w:t>（三）开展多渠道、多形式政策宣传工作</w:t>
          </w:r>
          <w:r>
            <w:tab/>
          </w:r>
          <w:r>
            <w:fldChar w:fldCharType="begin"/>
          </w:r>
          <w:r>
            <w:instrText xml:space="preserve"> PAGEREF _Toc9518 \h </w:instrText>
          </w:r>
          <w:r>
            <w:fldChar w:fldCharType="separate"/>
          </w:r>
          <w:r>
            <w:t>32</w:t>
          </w:r>
          <w:r>
            <w:fldChar w:fldCharType="end"/>
          </w:r>
          <w:r>
            <w:fldChar w:fldCharType="end"/>
          </w:r>
        </w:p>
        <w:p>
          <w:pPr>
            <w:pStyle w:val="13"/>
            <w:tabs>
              <w:tab w:val="right" w:leader="dot" w:pos="8312"/>
              <w:tab w:val="clear" w:pos="8302"/>
            </w:tabs>
          </w:pPr>
          <w:r>
            <w:fldChar w:fldCharType="begin"/>
          </w:r>
          <w:r>
            <w:instrText xml:space="preserve"> HYPERLINK \l "_Toc15634" </w:instrText>
          </w:r>
          <w:r>
            <w:fldChar w:fldCharType="separate"/>
          </w:r>
          <w:r>
            <w:rPr>
              <w:rFonts w:hint="eastAsia"/>
            </w:rPr>
            <w:t>七、附件</w:t>
          </w:r>
          <w:r>
            <w:tab/>
          </w:r>
          <w:r>
            <w:fldChar w:fldCharType="begin"/>
          </w:r>
          <w:r>
            <w:instrText xml:space="preserve"> PAGEREF _Toc15634 \h </w:instrText>
          </w:r>
          <w:r>
            <w:fldChar w:fldCharType="separate"/>
          </w:r>
          <w:r>
            <w:t>32</w:t>
          </w:r>
          <w:r>
            <w:fldChar w:fldCharType="end"/>
          </w:r>
          <w:r>
            <w:fldChar w:fldCharType="end"/>
          </w:r>
        </w:p>
        <w:p>
          <w:pPr>
            <w:pStyle w:val="10"/>
            <w:tabs>
              <w:tab w:val="right" w:leader="dot" w:pos="8312"/>
              <w:tab w:val="clear" w:pos="8302"/>
            </w:tabs>
          </w:pPr>
          <w:r>
            <w:fldChar w:fldCharType="begin"/>
          </w:r>
          <w:r>
            <w:instrText xml:space="preserve"> HYPERLINK \l "_Toc10177" </w:instrText>
          </w:r>
          <w:r>
            <w:fldChar w:fldCharType="separate"/>
          </w:r>
          <w:r>
            <w:rPr>
              <w:rFonts w:hint="eastAsia" w:ascii="Times New Roman" w:hAnsi="Times New Roman"/>
              <w:szCs w:val="21"/>
            </w:rPr>
            <w:t>附件：天津市和平区医疗保障局因病支出型困难家庭医疗救助绩效评价指标体系及评分表</w:t>
          </w:r>
          <w:r>
            <w:tab/>
          </w:r>
          <w:r>
            <w:fldChar w:fldCharType="begin"/>
          </w:r>
          <w:r>
            <w:instrText xml:space="preserve"> PAGEREF _Toc10177 \h </w:instrText>
          </w:r>
          <w:r>
            <w:fldChar w:fldCharType="separate"/>
          </w:r>
          <w:r>
            <w:t>32</w:t>
          </w:r>
          <w:r>
            <w:fldChar w:fldCharType="end"/>
          </w:r>
          <w:r>
            <w:fldChar w:fldCharType="end"/>
          </w:r>
        </w:p>
        <w:p>
          <w:pPr>
            <w:ind w:firstLine="420"/>
            <w:rPr>
              <w:rFonts w:ascii="方正小标宋简体" w:hAnsi="方正小标宋简体" w:eastAsia="方正小标宋简体"/>
              <w:bCs/>
              <w:kern w:val="44"/>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268" w:right="1797" w:bottom="1701" w:left="1797" w:header="851" w:footer="992" w:gutter="0"/>
              <w:pgNumType w:fmt="numberInDash"/>
              <w:cols w:space="425" w:num="1"/>
              <w:docGrid w:type="lines" w:linePitch="312" w:charSpace="0"/>
            </w:sectPr>
          </w:pPr>
          <w:r>
            <w:rPr>
              <w:bCs/>
              <w:lang w:val="zh-CN"/>
            </w:rPr>
            <w:fldChar w:fldCharType="end"/>
          </w:r>
        </w:p>
      </w:sdtContent>
    </w:sdt>
    <w:p>
      <w:pPr>
        <w:pStyle w:val="25"/>
        <w:ind w:firstLine="640"/>
      </w:pPr>
      <w: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rPr>
        <w:t>和平区财政</w:t>
      </w:r>
      <w:r>
        <w:t>局引入第三方专业机构成立了绩效评价组，于202</w:t>
      </w:r>
      <w:r>
        <w:rPr>
          <w:rFonts w:hint="eastAsia"/>
        </w:rPr>
        <w:t>2</w:t>
      </w:r>
      <w:r>
        <w:t>年</w:t>
      </w:r>
      <w:r>
        <w:rPr>
          <w:rFonts w:hint="eastAsia"/>
        </w:rPr>
        <w:t>10</w:t>
      </w:r>
      <w:r>
        <w:t>月，对20</w:t>
      </w:r>
      <w:r>
        <w:rPr>
          <w:rFonts w:hint="eastAsia"/>
        </w:rPr>
        <w:t>21年度天津市和平区医疗保障局</w:t>
      </w:r>
      <w:r>
        <w:t>的“</w:t>
      </w:r>
      <w:r>
        <w:rPr>
          <w:rFonts w:hint="eastAsia"/>
        </w:rPr>
        <w:t>因病支出型困难家庭医疗救助</w:t>
      </w:r>
      <w:r>
        <w:t>”项目开展了绩效评价。</w:t>
      </w:r>
      <w:r>
        <w:rPr>
          <w:rFonts w:hint="eastAsia"/>
        </w:rPr>
        <w:t>该</w:t>
      </w:r>
      <w:r>
        <w:t>项目评价结果为</w:t>
      </w:r>
      <w:r>
        <w:rPr>
          <w:rFonts w:hint="eastAsia"/>
        </w:rPr>
        <w:t>89</w:t>
      </w:r>
      <w:r>
        <w:t>分，评价等级为“</w:t>
      </w:r>
      <w:r>
        <w:rPr>
          <w:rFonts w:hint="eastAsia"/>
        </w:rPr>
        <w:t>良</w:t>
      </w:r>
      <w:r>
        <w:t>”，有关情况如下。</w:t>
      </w:r>
    </w:p>
    <w:p>
      <w:pPr>
        <w:pStyle w:val="27"/>
      </w:pPr>
      <w:bookmarkStart w:id="0" w:name="_Toc13017"/>
      <w:r>
        <w:rPr>
          <w:rFonts w:hint="eastAsia"/>
        </w:rPr>
        <w:t>一、项目基本情况</w:t>
      </w:r>
      <w:bookmarkEnd w:id="0"/>
    </w:p>
    <w:p>
      <w:pPr>
        <w:pStyle w:val="29"/>
        <w:ind w:firstLine="640"/>
      </w:pPr>
      <w:bookmarkStart w:id="1" w:name="_Toc24747"/>
      <w:r>
        <w:rPr>
          <w:rFonts w:hint="eastAsia"/>
        </w:rPr>
        <w:t>（一）项目概况</w:t>
      </w:r>
      <w:bookmarkEnd w:id="1"/>
    </w:p>
    <w:p>
      <w:pPr>
        <w:pStyle w:val="25"/>
        <w:ind w:firstLine="640"/>
      </w:pPr>
      <w:r>
        <w:rPr>
          <w:rFonts w:hint="eastAsia"/>
        </w:rPr>
        <w:t>1.项目背景</w:t>
      </w:r>
    </w:p>
    <w:p>
      <w:pPr>
        <w:pStyle w:val="25"/>
        <w:ind w:firstLine="640"/>
      </w:pPr>
      <w:r>
        <w:rPr>
          <w:rFonts w:hint="eastAsia"/>
          <w:szCs w:val="32"/>
        </w:rPr>
        <w:t>医疗救助是社会救助体系的一项重要内容。目前，天津市已经构建起面向低保、低收入家庭、特困供养人员和重度残疾人等困难群众的全方位、多层次和城乡统筹的医疗救助体系，为保障困难群众基本生活发挥了重要作用。但随着经济社会不断发展，医疗救助工作也面临着一些新情况、新问题，个别家庭收入高于社会救助标准的重特大疾病患者，因发生高额医疗费用、超过家庭承受能力、基本生活出现严重困难，生活陷入困境。市委、市政府高度重视保障和改善民生工作，坚持以群众反映突出的问题为导向，提高因病支出型救助标准，扩大救助范围纳入重点工作，充分发挥社会救助的兜底保障作用，在继续做好困难群众医疗救助工作的同时，积极开展因病支出型困难家庭医疗救助，最大限度减轻困难群众医疗支出负担</w:t>
      </w:r>
      <w:r>
        <w:rPr>
          <w:rFonts w:hint="eastAsia"/>
        </w:rPr>
        <w:t>。</w:t>
      </w:r>
    </w:p>
    <w:p>
      <w:pPr>
        <w:pStyle w:val="25"/>
        <w:ind w:firstLine="640"/>
      </w:pPr>
      <w:r>
        <w:rPr>
          <w:rFonts w:hint="eastAsia"/>
        </w:rPr>
        <w:t>2.主要内容</w:t>
      </w:r>
    </w:p>
    <w:p>
      <w:pPr>
        <w:pStyle w:val="25"/>
        <w:ind w:firstLine="640"/>
      </w:pPr>
      <w:r>
        <w:rPr>
          <w:rFonts w:hint="eastAsia"/>
        </w:rPr>
        <w:t>因病支出型困难家庭医疗救助项目主要内容为对未纳入医疗救助、优抚补助、低保低收入等边缘型困难家庭发放医疗救助，对符合申请条件的困难群体，累计个人负担部分进行救助，救助比例50%，最高限额5万元。由困难群众向户籍地街道提出申请，街道、民政、低收入家庭经济状况核对中心共同进行家庭财产和收入核查，街道对符合条件的人员核算救助待遇并进行公示，天津市和平区医疗保障局复核汇总并将救助资金划拨给街道。</w:t>
      </w:r>
    </w:p>
    <w:p>
      <w:pPr>
        <w:pStyle w:val="25"/>
        <w:ind w:firstLine="640"/>
      </w:pPr>
      <w:r>
        <w:rPr>
          <w:rFonts w:hint="eastAsia"/>
        </w:rPr>
        <w:t>3.项目组织管理</w:t>
      </w:r>
    </w:p>
    <w:p>
      <w:pPr>
        <w:pStyle w:val="25"/>
        <w:ind w:firstLine="640"/>
      </w:pPr>
      <w:r>
        <w:rPr>
          <w:rFonts w:hint="eastAsia"/>
        </w:rPr>
        <w:t>因病支出型困难家庭医疗救助项目具体实施单位为天津市和平区医疗保障局，负责对乡镇（街道）报送人员进行区级汇总并复核，及时向区财政局申请款项，并根据各区汇总复核情况，将资金划拨街道（乡镇）。街道（乡镇）、区民政局、低收入家庭经济状况核对中心按职责对其家庭财产收入状况进行核对。</w:t>
      </w:r>
    </w:p>
    <w:p>
      <w:pPr>
        <w:pStyle w:val="25"/>
        <w:ind w:firstLine="640"/>
      </w:pPr>
      <w:r>
        <w:rPr>
          <w:rFonts w:hint="eastAsia"/>
        </w:rPr>
        <w:t>4.资金投入和使用情况</w:t>
      </w:r>
    </w:p>
    <w:p>
      <w:pPr>
        <w:pStyle w:val="25"/>
        <w:ind w:firstLine="640"/>
        <w:rPr>
          <w:highlight w:val="yellow"/>
        </w:rPr>
      </w:pPr>
      <w:r>
        <w:rPr>
          <w:rFonts w:hint="eastAsia" w:ascii="仿宋" w:hAnsi="仿宋"/>
          <w:szCs w:val="32"/>
        </w:rPr>
        <w:t>本项目总资金</w:t>
      </w:r>
      <w:r>
        <w:rPr>
          <w:rFonts w:hint="eastAsia"/>
        </w:rPr>
        <w:t>63.4万元，年初预算资金为50万元，后续追加预算资金13.4万元，均为区级资金。</w:t>
      </w:r>
      <w:r>
        <w:rPr>
          <w:rFonts w:hint="eastAsia" w:ascii="仿宋" w:hAnsi="仿宋"/>
          <w:szCs w:val="32"/>
        </w:rPr>
        <w:t>截至</w:t>
      </w:r>
      <w:r>
        <w:rPr>
          <w:rFonts w:ascii="仿宋" w:hAnsi="仿宋"/>
          <w:szCs w:val="32"/>
        </w:rPr>
        <w:t>202</w:t>
      </w:r>
      <w:r>
        <w:rPr>
          <w:rFonts w:hint="eastAsia" w:ascii="仿宋" w:hAnsi="仿宋"/>
          <w:szCs w:val="32"/>
        </w:rPr>
        <w:t>1年底，</w:t>
      </w:r>
      <w:r>
        <w:rPr>
          <w:rFonts w:hint="eastAsia"/>
        </w:rPr>
        <w:t>因病支出型困难家庭医疗救助项目共计支出区级资金63.4万元，项目总体预算执行率100%。</w:t>
      </w:r>
    </w:p>
    <w:p>
      <w:pPr>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具体情况见表</w:t>
      </w:r>
      <w:r>
        <w:rPr>
          <w:rFonts w:hint="eastAsia" w:ascii="Times New Roman" w:hAnsi="Times New Roman" w:eastAsia="仿宋_GB2312" w:cs="Times New Roman"/>
          <w:sz w:val="32"/>
          <w:szCs w:val="32"/>
        </w:rPr>
        <w:t>1所示</w:t>
      </w:r>
      <w:r>
        <w:rPr>
          <w:rFonts w:ascii="Times New Roman" w:hAnsi="Times New Roman" w:eastAsia="仿宋_GB2312" w:cs="Times New Roman"/>
          <w:sz w:val="32"/>
          <w:szCs w:val="32"/>
        </w:rPr>
        <w:t>：</w:t>
      </w:r>
    </w:p>
    <w:p>
      <w:pPr>
        <w:spacing w:line="600" w:lineRule="exact"/>
        <w:ind w:firstLine="0" w:firstLineChars="0"/>
        <w:jc w:val="center"/>
        <w:rPr>
          <w:rFonts w:ascii="黑体" w:hAnsi="黑体" w:eastAsia="黑体" w:cs="黑体"/>
          <w:bCs/>
          <w:sz w:val="28"/>
          <w:szCs w:val="28"/>
        </w:rPr>
      </w:pPr>
      <w:r>
        <w:rPr>
          <w:rFonts w:hint="eastAsia" w:ascii="黑体" w:hAnsi="黑体" w:eastAsia="黑体" w:cs="黑体"/>
          <w:bCs/>
          <w:sz w:val="28"/>
          <w:szCs w:val="28"/>
        </w:rPr>
        <w:t>表1  资金预算执行率情况表</w:t>
      </w:r>
    </w:p>
    <w:p>
      <w:pPr>
        <w:widowControl/>
        <w:spacing w:line="280" w:lineRule="exact"/>
        <w:ind w:right="24" w:firstLine="840" w:firstLineChars="400"/>
        <w:jc w:val="both"/>
        <w:rPr>
          <w:rFonts w:ascii="宋体" w:hAnsi="宋体" w:eastAsia="宋体" w:cs="Times New Roman"/>
          <w:kern w:val="0"/>
        </w:rPr>
      </w:pPr>
      <w:r>
        <w:rPr>
          <w:rFonts w:hint="eastAsia" w:ascii="宋体" w:hAnsi="宋体" w:eastAsia="宋体" w:cs="Times New Roman"/>
          <w:kern w:val="0"/>
        </w:rPr>
        <w:t xml:space="preserve">                                                               </w:t>
      </w:r>
      <w:r>
        <w:rPr>
          <w:rFonts w:ascii="宋体" w:hAnsi="宋体" w:eastAsia="宋体" w:cs="Times New Roman"/>
          <w:kern w:val="0"/>
        </w:rPr>
        <w:t>单位：万元</w:t>
      </w:r>
    </w:p>
    <w:tbl>
      <w:tblPr>
        <w:tblStyle w:val="17"/>
        <w:tblW w:w="8819" w:type="dxa"/>
        <w:jc w:val="center"/>
        <w:tblInd w:w="0" w:type="dxa"/>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48"/>
        <w:gridCol w:w="1430"/>
        <w:gridCol w:w="1442"/>
        <w:gridCol w:w="1567"/>
        <w:gridCol w:w="1566"/>
        <w:gridCol w:w="1566"/>
      </w:tblGrid>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1248"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资金计划</w:t>
            </w:r>
          </w:p>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下达时间</w:t>
            </w:r>
          </w:p>
        </w:tc>
        <w:tc>
          <w:tcPr>
            <w:tcW w:w="1430"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资金计划</w:t>
            </w:r>
          </w:p>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下达金额</w:t>
            </w:r>
          </w:p>
        </w:tc>
        <w:tc>
          <w:tcPr>
            <w:tcW w:w="1442"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实际到位</w:t>
            </w:r>
          </w:p>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资金</w:t>
            </w:r>
          </w:p>
        </w:tc>
        <w:tc>
          <w:tcPr>
            <w:tcW w:w="1567"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资金到位率</w:t>
            </w:r>
          </w:p>
        </w:tc>
        <w:tc>
          <w:tcPr>
            <w:tcW w:w="1566"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实际支付资金</w:t>
            </w:r>
          </w:p>
        </w:tc>
        <w:tc>
          <w:tcPr>
            <w:tcW w:w="1566" w:type="dxa"/>
            <w:vAlign w:val="center"/>
          </w:tcPr>
          <w:p>
            <w:pPr>
              <w:spacing w:line="240" w:lineRule="auto"/>
              <w:ind w:firstLine="0" w:firstLineChars="0"/>
              <w:jc w:val="center"/>
              <w:rPr>
                <w:rFonts w:ascii="宋体" w:hAnsi="宋体" w:eastAsia="宋体" w:cs="宋体"/>
                <w:b/>
                <w:bCs/>
                <w:kern w:val="0"/>
              </w:rPr>
            </w:pPr>
            <w:r>
              <w:rPr>
                <w:rFonts w:hint="eastAsia" w:ascii="宋体" w:hAnsi="宋体" w:eastAsia="宋体" w:cs="宋体"/>
                <w:b/>
                <w:bCs/>
                <w:kern w:val="0"/>
              </w:rPr>
              <w:t>预算执行率</w:t>
            </w: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1248" w:type="dxa"/>
            <w:vAlign w:val="center"/>
          </w:tcPr>
          <w:p>
            <w:pPr>
              <w:widowControl/>
              <w:spacing w:line="240" w:lineRule="auto"/>
              <w:ind w:firstLine="0" w:firstLineChars="0"/>
              <w:jc w:val="center"/>
              <w:rPr>
                <w:rFonts w:ascii="宋体" w:hAnsi="宋体" w:eastAsia="宋体" w:cs="宋体"/>
                <w:kern w:val="0"/>
              </w:rPr>
            </w:pPr>
            <w:r>
              <w:rPr>
                <w:rFonts w:hint="eastAsia" w:ascii="宋体" w:hAnsi="宋体" w:eastAsia="宋体" w:cs="宋体"/>
                <w:kern w:val="0"/>
              </w:rPr>
              <w:t>2021年</w:t>
            </w:r>
          </w:p>
        </w:tc>
        <w:tc>
          <w:tcPr>
            <w:tcW w:w="1430" w:type="dxa"/>
            <w:vAlign w:val="center"/>
          </w:tcPr>
          <w:p>
            <w:pPr>
              <w:widowControl/>
              <w:spacing w:line="240" w:lineRule="auto"/>
              <w:ind w:firstLine="0" w:firstLineChars="0"/>
              <w:jc w:val="center"/>
              <w:rPr>
                <w:rFonts w:ascii="宋体" w:hAnsi="宋体" w:eastAsia="宋体" w:cs="宋体"/>
                <w:kern w:val="0"/>
              </w:rPr>
            </w:pPr>
            <w:r>
              <w:rPr>
                <w:rFonts w:hint="eastAsia" w:ascii="宋体" w:hAnsi="宋体" w:eastAsia="宋体" w:cs="宋体"/>
                <w:kern w:val="0"/>
              </w:rPr>
              <w:t>63.4</w:t>
            </w:r>
          </w:p>
        </w:tc>
        <w:tc>
          <w:tcPr>
            <w:tcW w:w="1442" w:type="dxa"/>
            <w:vAlign w:val="center"/>
          </w:tcPr>
          <w:p>
            <w:pPr>
              <w:widowControl/>
              <w:spacing w:line="240" w:lineRule="auto"/>
              <w:ind w:firstLine="0" w:firstLineChars="0"/>
              <w:jc w:val="center"/>
              <w:rPr>
                <w:rFonts w:ascii="宋体" w:hAnsi="宋体" w:eastAsia="宋体" w:cs="宋体"/>
                <w:kern w:val="0"/>
              </w:rPr>
            </w:pPr>
            <w:r>
              <w:rPr>
                <w:rFonts w:hint="eastAsia" w:ascii="宋体" w:hAnsi="宋体" w:eastAsia="宋体" w:cs="宋体"/>
                <w:kern w:val="0"/>
              </w:rPr>
              <w:t>63.4</w:t>
            </w:r>
          </w:p>
        </w:tc>
        <w:tc>
          <w:tcPr>
            <w:tcW w:w="1567" w:type="dxa"/>
            <w:vAlign w:val="center"/>
          </w:tcPr>
          <w:p>
            <w:pPr>
              <w:widowControl/>
              <w:spacing w:line="240" w:lineRule="auto"/>
              <w:ind w:firstLine="0" w:firstLineChars="0"/>
              <w:jc w:val="center"/>
              <w:rPr>
                <w:rFonts w:ascii="宋体" w:hAnsi="宋体" w:eastAsia="宋体" w:cs="宋体"/>
                <w:bCs/>
                <w:kern w:val="0"/>
              </w:rPr>
            </w:pPr>
            <w:r>
              <w:rPr>
                <w:rFonts w:ascii="Times New Roman" w:hAnsi="Times New Roman" w:eastAsia="宋体" w:cs="Times New Roman"/>
                <w:bCs/>
                <w:kern w:val="0"/>
              </w:rPr>
              <w:t>100%</w:t>
            </w:r>
          </w:p>
        </w:tc>
        <w:tc>
          <w:tcPr>
            <w:tcW w:w="1566" w:type="dxa"/>
            <w:vAlign w:val="center"/>
          </w:tcPr>
          <w:p>
            <w:pPr>
              <w:widowControl/>
              <w:spacing w:line="240" w:lineRule="auto"/>
              <w:ind w:firstLine="0" w:firstLineChars="0"/>
              <w:jc w:val="center"/>
              <w:rPr>
                <w:rFonts w:ascii="Times New Roman" w:hAnsi="Times New Roman" w:eastAsia="宋体" w:cs="Times New Roman"/>
                <w:bCs/>
                <w:kern w:val="0"/>
              </w:rPr>
            </w:pPr>
            <w:r>
              <w:rPr>
                <w:rFonts w:hint="eastAsia" w:ascii="Times New Roman" w:hAnsi="Times New Roman" w:eastAsia="宋体" w:cs="Times New Roman"/>
                <w:bCs/>
                <w:kern w:val="0"/>
              </w:rPr>
              <w:t>63.4</w:t>
            </w:r>
          </w:p>
        </w:tc>
        <w:tc>
          <w:tcPr>
            <w:tcW w:w="1566" w:type="dxa"/>
            <w:vAlign w:val="center"/>
          </w:tcPr>
          <w:p>
            <w:pPr>
              <w:widowControl/>
              <w:spacing w:line="240" w:lineRule="auto"/>
              <w:ind w:firstLine="0" w:firstLineChars="0"/>
              <w:jc w:val="center"/>
              <w:rPr>
                <w:rFonts w:ascii="Times New Roman" w:hAnsi="Times New Roman" w:eastAsia="宋体" w:cs="Times New Roman"/>
                <w:bCs/>
                <w:kern w:val="0"/>
              </w:rPr>
            </w:pPr>
            <w:r>
              <w:rPr>
                <w:rFonts w:hint="eastAsia" w:ascii="Times New Roman" w:hAnsi="Times New Roman" w:eastAsia="宋体" w:cs="Times New Roman"/>
                <w:bCs/>
                <w:kern w:val="0"/>
              </w:rPr>
              <w:t>100%</w:t>
            </w:r>
          </w:p>
        </w:tc>
      </w:tr>
    </w:tbl>
    <w:p>
      <w:pPr>
        <w:pStyle w:val="29"/>
        <w:ind w:firstLine="640"/>
      </w:pPr>
      <w:bookmarkStart w:id="2" w:name="_Toc16867"/>
      <w:r>
        <w:rPr>
          <w:rFonts w:hint="eastAsia"/>
        </w:rPr>
        <w:t>（二）项目绩效目标</w:t>
      </w:r>
      <w:bookmarkEnd w:id="2"/>
    </w:p>
    <w:p>
      <w:pPr>
        <w:pStyle w:val="25"/>
        <w:ind w:firstLine="640"/>
      </w:pPr>
      <w:r>
        <w:rPr>
          <w:rFonts w:hint="eastAsia"/>
        </w:rPr>
        <w:t>因病支出型困难家庭医疗救助项目绩效目标为：按照救助政策确保申请救助且符合救助条件的困难群众应救尽救，政策范围内的救助金依申请和审批结果准时、足额发放，防止困难群众因病返贫、因病致贫，切实减轻困难群众的医疗负担。预期产出指标7条，具体为申请救助且符合救助条件的困难群众救助率100%，医疗救助政策范围内住院（含门特）自付费用救助比例50%，最高不超过5万元，救助金100%发放到位，项目资金预算编制程序合规，编制及时，项目资金决算编制程序合规，编制及时，救助金到达区医保局账户后5个工作日内划拨给街道，救助金发放数额依据申请和审批结果足额发放。预期产出效益2条，具体为对申请救助且符合救助条件的困难群众进行医疗救助，减轻救助对象的医疗负担，享受救助政策家庭满意度达到90%以上。</w:t>
      </w:r>
    </w:p>
    <w:p>
      <w:pPr>
        <w:pStyle w:val="27"/>
      </w:pPr>
      <w:bookmarkStart w:id="3" w:name="_Toc1637"/>
      <w:r>
        <w:rPr>
          <w:rFonts w:hint="eastAsia"/>
        </w:rPr>
        <w:t>二、绩效评价工作开展情况</w:t>
      </w:r>
      <w:bookmarkEnd w:id="3"/>
    </w:p>
    <w:p>
      <w:pPr>
        <w:pStyle w:val="29"/>
        <w:ind w:firstLine="640"/>
      </w:pPr>
      <w:bookmarkStart w:id="4" w:name="_Toc18382"/>
      <w:r>
        <w:rPr>
          <w:rFonts w:hint="eastAsia"/>
        </w:rPr>
        <w:t>（一）绩效评价的目的、对象和范围</w:t>
      </w:r>
      <w:bookmarkEnd w:id="4"/>
    </w:p>
    <w:p>
      <w:pPr>
        <w:pStyle w:val="25"/>
        <w:ind w:firstLine="640"/>
      </w:pPr>
      <w:r>
        <w:rPr>
          <w:rFonts w:hint="eastAsia"/>
        </w:rPr>
        <w:t>1.绩效评价目的</w:t>
      </w:r>
    </w:p>
    <w:p>
      <w:pPr>
        <w:pStyle w:val="25"/>
        <w:ind w:firstLine="640"/>
      </w:pPr>
      <w:r>
        <w:rPr>
          <w:rFonts w:hint="eastAsia"/>
        </w:rPr>
        <w:t>本次评价以《财政部关于印发〈项目支出绩效评价管理办法〉的通知》（</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），《中共天津市委天津市人民政府印发关于全面推进预算绩效管理的实施方案》，《天津市人民政府办公厅关于转发市财政局拟定的天津市市级财政专项资金管理暂行办法的通知》（津政办发〔</w:t>
      </w:r>
      <w:r>
        <w:t>2015〕63号）</w:t>
      </w:r>
      <w:r>
        <w:rPr>
          <w:rFonts w:hint="eastAsia"/>
        </w:rPr>
        <w:t>、《天津市市级财政项目支出绩效评价管理办法》（</w:t>
      </w:r>
      <w:r>
        <w:t>津财绩效〔2020〕12号</w:t>
      </w:r>
      <w:r>
        <w:rPr>
          <w:rFonts w:hint="eastAsia"/>
        </w:rPr>
        <w:t>）、《市医保局等七部门关于进一步做好职能划转后医疗救助有关工作的通知》（津医保局发〔2019〕29号）和《市医保局市民政局市财政局关于完善因病支出型困难家庭医疗救助有关问题的通知》（津医保局发〔2019〕73号）等文件为依据，对因病支出型困难家庭医疗救助项目财政专项资金使用绩效情况进行评价。开展此次评价工作的目的在于：</w:t>
      </w:r>
    </w:p>
    <w:p>
      <w:pPr>
        <w:pStyle w:val="25"/>
        <w:ind w:firstLine="640"/>
      </w:pPr>
      <w:r>
        <w:rPr>
          <w:rFonts w:hint="eastAsia"/>
        </w:rPr>
        <w:t>（</w:t>
      </w:r>
      <w:r>
        <w:t>1）通过对</w:t>
      </w:r>
      <w:r>
        <w:rPr>
          <w:rFonts w:hint="eastAsia"/>
        </w:rPr>
        <w:t>因病支出型困难家庭医疗救助项目</w:t>
      </w:r>
      <w:r>
        <w:t>的实施情况进行核实评价，了解掌握项目的实施情况。</w:t>
      </w:r>
    </w:p>
    <w:p>
      <w:pPr>
        <w:pStyle w:val="25"/>
        <w:ind w:firstLine="640"/>
      </w:pPr>
      <w:r>
        <w:rPr>
          <w:rFonts w:hint="eastAsia"/>
        </w:rPr>
        <w:t>（</w:t>
      </w:r>
      <w:r>
        <w:t>2）根据项目实施的具体情况，评价其项目资金安排的科学性、合理性、规范性，完善项目管理办法，提高项目管理水平和资金的使用效率。</w:t>
      </w:r>
    </w:p>
    <w:p>
      <w:pPr>
        <w:pStyle w:val="25"/>
        <w:ind w:firstLine="640"/>
      </w:pPr>
      <w:r>
        <w:rPr>
          <w:rFonts w:hint="eastAsia"/>
        </w:rPr>
        <w:t>（</w:t>
      </w:r>
      <w:r>
        <w:t>3）从投入、过程、产出、效</w:t>
      </w:r>
      <w:r>
        <w:rPr>
          <w:rFonts w:hint="eastAsia"/>
        </w:rPr>
        <w:t>益</w:t>
      </w:r>
      <w:r>
        <w:t>四个方面对</w:t>
      </w:r>
      <w:r>
        <w:rPr>
          <w:rFonts w:hint="eastAsia"/>
        </w:rPr>
        <w:t>因病支出型困难家庭医疗救助项目</w:t>
      </w:r>
      <w:r>
        <w:t>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5"/>
        <w:ind w:firstLine="640"/>
      </w:pPr>
      <w:r>
        <w:rPr>
          <w:rFonts w:hint="eastAsia"/>
        </w:rPr>
        <w:t>（</w:t>
      </w:r>
      <w:r>
        <w:t>4）进一步丰富和完善</w:t>
      </w:r>
      <w:r>
        <w:rPr>
          <w:rFonts w:hint="eastAsia"/>
        </w:rPr>
        <w:t>因病支出型困难家庭医疗救助项目</w:t>
      </w:r>
      <w:r>
        <w:t>绩效评价方法体系，推动建立以绩效评价结果为导向的财政资金分配与管理制度，提升财政资金科学化、精细化管理水平，为</w:t>
      </w:r>
      <w:r>
        <w:rPr>
          <w:rFonts w:hint="eastAsia"/>
        </w:rPr>
        <w:t>因病支出型困难家庭医疗救助项目</w:t>
      </w:r>
      <w:r>
        <w:t>专项资金的安排提供重要依据。</w:t>
      </w:r>
    </w:p>
    <w:p>
      <w:pPr>
        <w:pStyle w:val="25"/>
        <w:ind w:firstLine="640"/>
      </w:pPr>
      <w:r>
        <w:rPr>
          <w:rFonts w:hint="eastAsia"/>
        </w:rPr>
        <w:t>2.绩效评价对象和范围</w:t>
      </w:r>
    </w:p>
    <w:p>
      <w:pPr>
        <w:pStyle w:val="25"/>
        <w:ind w:firstLine="640"/>
      </w:pPr>
      <w:r>
        <w:rPr>
          <w:rFonts w:hint="eastAsia"/>
        </w:rPr>
        <w:t>本次绩效评价针对天津市和平区医疗保障局因病支出型困难家庭医疗救助项目展开，主要评价内容及范围如下：</w:t>
      </w:r>
    </w:p>
    <w:p>
      <w:pPr>
        <w:pStyle w:val="25"/>
        <w:ind w:firstLine="640"/>
      </w:pPr>
      <w:r>
        <w:rPr>
          <w:rFonts w:hint="eastAsia"/>
        </w:rPr>
        <w:t>（</w:t>
      </w:r>
      <w:r>
        <w:t>1）立项依据和立项程序情况；</w:t>
      </w:r>
    </w:p>
    <w:p>
      <w:pPr>
        <w:pStyle w:val="25"/>
        <w:ind w:firstLine="640"/>
      </w:pPr>
      <w:r>
        <w:rPr>
          <w:rFonts w:hint="eastAsia"/>
        </w:rPr>
        <w:t>（</w:t>
      </w:r>
      <w:r>
        <w:t>2）绩效目标和指标设定情况；</w:t>
      </w:r>
    </w:p>
    <w:p>
      <w:pPr>
        <w:pStyle w:val="25"/>
        <w:ind w:firstLine="640"/>
      </w:pPr>
      <w:r>
        <w:rPr>
          <w:rFonts w:hint="eastAsia"/>
        </w:rPr>
        <w:t>（</w:t>
      </w:r>
      <w:r>
        <w:t>3）预算编制和资金分配情况；</w:t>
      </w:r>
    </w:p>
    <w:p>
      <w:pPr>
        <w:pStyle w:val="25"/>
        <w:ind w:firstLine="640"/>
      </w:pPr>
      <w:r>
        <w:rPr>
          <w:rFonts w:hint="eastAsia"/>
        </w:rPr>
        <w:t>（</w:t>
      </w:r>
      <w:r>
        <w:t>4）资金管理和使用情况；</w:t>
      </w:r>
    </w:p>
    <w:p>
      <w:pPr>
        <w:pStyle w:val="25"/>
        <w:ind w:firstLine="640"/>
      </w:pPr>
      <w:r>
        <w:rPr>
          <w:rFonts w:hint="eastAsia"/>
        </w:rPr>
        <w:t>（</w:t>
      </w:r>
      <w:r>
        <w:t>5）相关制度办法的健全性及执行情况；</w:t>
      </w:r>
    </w:p>
    <w:p>
      <w:pPr>
        <w:pStyle w:val="25"/>
        <w:ind w:firstLine="640"/>
      </w:pPr>
      <w:r>
        <w:rPr>
          <w:rFonts w:hint="eastAsia"/>
        </w:rPr>
        <w:t>（</w:t>
      </w:r>
      <w:r>
        <w:t>6）实现的产出情况；</w:t>
      </w:r>
    </w:p>
    <w:p>
      <w:pPr>
        <w:pStyle w:val="25"/>
        <w:ind w:firstLine="640"/>
      </w:pPr>
      <w:r>
        <w:rPr>
          <w:rFonts w:hint="eastAsia"/>
        </w:rPr>
        <w:t>（</w:t>
      </w:r>
      <w:r>
        <w:t>7）取得的效益情况；</w:t>
      </w:r>
    </w:p>
    <w:p>
      <w:pPr>
        <w:pStyle w:val="25"/>
        <w:ind w:firstLine="640"/>
      </w:pPr>
      <w:r>
        <w:rPr>
          <w:rFonts w:hint="eastAsia"/>
        </w:rPr>
        <w:t>（</w:t>
      </w:r>
      <w:r>
        <w:t>8）其他相关内容。</w:t>
      </w:r>
    </w:p>
    <w:p>
      <w:pPr>
        <w:pStyle w:val="29"/>
        <w:ind w:firstLine="640"/>
      </w:pPr>
      <w:bookmarkStart w:id="5" w:name="_Toc16502"/>
      <w:r>
        <w:rPr>
          <w:rFonts w:hint="eastAsia"/>
        </w:rPr>
        <w:t>（二）</w:t>
      </w:r>
      <w:r>
        <w:t>绩效评价</w:t>
      </w:r>
      <w:r>
        <w:rPr>
          <w:rFonts w:hint="eastAsia"/>
        </w:rPr>
        <w:t>原则、评价指标体系、评价方法</w:t>
      </w:r>
      <w:bookmarkEnd w:id="5"/>
    </w:p>
    <w:p>
      <w:pPr>
        <w:pStyle w:val="25"/>
        <w:ind w:firstLine="640"/>
      </w:pPr>
      <w:r>
        <w:t>1.绩效评价原则</w:t>
      </w:r>
    </w:p>
    <w:p>
      <w:pPr>
        <w:pStyle w:val="25"/>
        <w:ind w:firstLine="640"/>
      </w:pPr>
      <w:r>
        <w:rPr>
          <w:rFonts w:hint="eastAsia"/>
        </w:rPr>
        <w:t>（</w:t>
      </w:r>
      <w:r>
        <w:t>1）坚持科学规范的原则。此次绩效评价运用科学合理的评价指标体系和方法，按照规范的程序，对支出绩效进行客观、公正的反映。</w:t>
      </w:r>
    </w:p>
    <w:p>
      <w:pPr>
        <w:pStyle w:val="25"/>
        <w:ind w:firstLine="640"/>
      </w:pPr>
      <w:r>
        <w:rPr>
          <w:rFonts w:hint="eastAsia"/>
        </w:rPr>
        <w:t>（</w:t>
      </w:r>
      <w:r>
        <w:t>2</w:t>
      </w:r>
      <w:r>
        <w:rPr>
          <w:rFonts w:hint="eastAsia"/>
        </w:rPr>
        <w:t>）坚持统筹兼顾的原则。此次评价我方作为第三方受委托机构在单位自评的基础上开展。</w:t>
      </w:r>
    </w:p>
    <w:p>
      <w:pPr>
        <w:pStyle w:val="25"/>
        <w:ind w:firstLine="640"/>
      </w:pPr>
      <w:r>
        <w:rPr>
          <w:rFonts w:hint="eastAsia"/>
        </w:rPr>
        <w:t>（</w:t>
      </w:r>
      <w:r>
        <w:t>3</w:t>
      </w:r>
      <w:r>
        <w:rPr>
          <w:rFonts w:hint="eastAsia"/>
        </w:rPr>
        <w:t>）坚持激励约束的原则。本次绩效评价结果可以作为预算安排、政策调整、改进管理的参考。</w:t>
      </w:r>
    </w:p>
    <w:p>
      <w:pPr>
        <w:pStyle w:val="25"/>
        <w:ind w:firstLine="640"/>
      </w:pPr>
      <w:r>
        <w:rPr>
          <w:rFonts w:hint="eastAsia"/>
        </w:rPr>
        <w:t>（</w:t>
      </w:r>
      <w:r>
        <w:t>4</w:t>
      </w:r>
      <w:r>
        <w:rPr>
          <w:rFonts w:hint="eastAsia"/>
        </w:rPr>
        <w:t>）坚持客观公正的原则。本次绩效评价将自觉接受有关机构和社会监督，全面、客观、公正、准确反映项目实际情况。</w:t>
      </w:r>
    </w:p>
    <w:p>
      <w:pPr>
        <w:pStyle w:val="25"/>
        <w:ind w:firstLine="640"/>
      </w:pPr>
      <w:r>
        <w:rPr>
          <w:rFonts w:hint="eastAsia"/>
        </w:rPr>
        <w:t>（</w:t>
      </w:r>
      <w:r>
        <w:t>5）坚持综合绩效评价，定量分析与定性分析相结合的原则。</w:t>
      </w:r>
    </w:p>
    <w:p>
      <w:pPr>
        <w:pStyle w:val="25"/>
        <w:ind w:firstLine="640"/>
      </w:pPr>
      <w:r>
        <w:rPr>
          <w:rFonts w:hint="eastAsia"/>
        </w:rPr>
        <w:t>（</w:t>
      </w:r>
      <w:r>
        <w:t>6）坚持绩效相关性原则。此次绩效评价将针对具体支出及其产出绩效进行，评价结果将清晰反映支出和产出绩效之间的紧密对应关系。</w:t>
      </w:r>
    </w:p>
    <w:p>
      <w:pPr>
        <w:pStyle w:val="25"/>
        <w:ind w:firstLine="640"/>
      </w:pPr>
      <w:r>
        <w:rPr>
          <w:rFonts w:hint="eastAsia"/>
        </w:rPr>
        <w:t>2.评价指标体系</w:t>
      </w:r>
    </w:p>
    <w:p>
      <w:pPr>
        <w:pStyle w:val="25"/>
        <w:ind w:firstLine="640"/>
      </w:pPr>
      <w:r>
        <w:rPr>
          <w:rFonts w:hint="eastAsia"/>
        </w:rPr>
        <w:t>针对因病支出型困难家庭医疗救助项目情况，从决策、过程、产出及效益四大方面拟定绩效评价指标，其中：</w:t>
      </w:r>
    </w:p>
    <w:p>
      <w:pPr>
        <w:pStyle w:val="25"/>
        <w:ind w:firstLine="640"/>
      </w:pPr>
      <w:r>
        <w:rPr>
          <w:rFonts w:hint="eastAsia"/>
        </w:rPr>
        <w:t>（</w:t>
      </w:r>
      <w:r>
        <w:t>1）项目决策指标</w:t>
      </w:r>
    </w:p>
    <w:p>
      <w:pPr>
        <w:pStyle w:val="25"/>
        <w:ind w:firstLine="640"/>
      </w:pPr>
      <w:r>
        <w:rPr>
          <w:rFonts w:hint="eastAsia"/>
        </w:rPr>
        <w:t>①项目立项</w:t>
      </w:r>
    </w:p>
    <w:p>
      <w:pPr>
        <w:pStyle w:val="25"/>
        <w:ind w:firstLine="640"/>
      </w:pPr>
      <w:r>
        <w:t>a.立项依据充分性。</w:t>
      </w:r>
      <w:r>
        <w:rPr>
          <w:rFonts w:hint="eastAsia"/>
        </w:rPr>
        <w:t>项目立项是否符合法律法规、相关政策、发展规划以及部门职责，用于反映和考核项目立项依据情况。</w:t>
      </w:r>
    </w:p>
    <w:p>
      <w:pPr>
        <w:pStyle w:val="25"/>
        <w:ind w:firstLine="640"/>
      </w:pPr>
      <w:r>
        <w:t>b.立项程序规范性。项目申请、设立过程是否符合相关要求，用以反映和考核项目立项的规范情况。</w:t>
      </w:r>
    </w:p>
    <w:p>
      <w:pPr>
        <w:pStyle w:val="25"/>
        <w:ind w:firstLine="640"/>
      </w:pPr>
      <w:r>
        <w:rPr>
          <w:rFonts w:hint="eastAsia"/>
        </w:rPr>
        <w:t>②绩效目标</w:t>
      </w:r>
    </w:p>
    <w:p>
      <w:pPr>
        <w:pStyle w:val="25"/>
        <w:ind w:firstLine="640"/>
      </w:pPr>
      <w:r>
        <w:t>a.</w:t>
      </w:r>
      <w:r>
        <w:rPr>
          <w:rFonts w:hint="eastAsia"/>
        </w:rPr>
        <w:t xml:space="preserve"> 绩效目标明确性</w:t>
      </w:r>
      <w:r>
        <w:t>。</w:t>
      </w:r>
      <w:r>
        <w:rPr>
          <w:rFonts w:hint="eastAsia"/>
        </w:rPr>
        <w:t>依据绩效目标设定的绩效指标是否清晰、细化、可衡量等，用以反映和考核项目绩效目标的明细化情况。</w:t>
      </w:r>
    </w:p>
    <w:p>
      <w:pPr>
        <w:pStyle w:val="25"/>
        <w:ind w:firstLine="640"/>
      </w:pPr>
      <w:r>
        <w:t>b.绩效目标</w:t>
      </w:r>
      <w:r>
        <w:rPr>
          <w:rFonts w:hint="eastAsia"/>
        </w:rPr>
        <w:t>合理</w:t>
      </w:r>
      <w:r>
        <w:t>性。</w:t>
      </w:r>
      <w:r>
        <w:rPr>
          <w:rFonts w:hint="eastAsia"/>
        </w:rPr>
        <w:t>项目所设定的绩效目标是否依据充分，是否符合客观实际，用以反映和考核项目绩效目标与项目实施的相符情况。</w:t>
      </w:r>
    </w:p>
    <w:p>
      <w:pPr>
        <w:pStyle w:val="25"/>
        <w:ind w:firstLine="640"/>
      </w:pPr>
      <w:r>
        <w:rPr>
          <w:rFonts w:hint="eastAsia"/>
        </w:rPr>
        <w:t>③测算编制</w:t>
      </w:r>
    </w:p>
    <w:p>
      <w:pPr>
        <w:pStyle w:val="25"/>
        <w:ind w:firstLine="640"/>
      </w:pPr>
      <w:r>
        <w:t>a.预算</w:t>
      </w:r>
      <w:r>
        <w:rPr>
          <w:rFonts w:hint="eastAsia"/>
        </w:rPr>
        <w:t>内容合规</w:t>
      </w:r>
      <w:r>
        <w:t>性。</w:t>
      </w:r>
      <w:r>
        <w:rPr>
          <w:rFonts w:hint="eastAsia"/>
        </w:rPr>
        <w:t>项目预算测算内容是否符合相关政策文件规定范围。</w:t>
      </w:r>
    </w:p>
    <w:p>
      <w:pPr>
        <w:pStyle w:val="25"/>
        <w:ind w:firstLine="640"/>
      </w:pPr>
      <w:r>
        <w:t>b.</w:t>
      </w:r>
      <w:r>
        <w:rPr>
          <w:rFonts w:hint="eastAsia"/>
        </w:rPr>
        <w:t>测算标准合理性</w:t>
      </w:r>
      <w:r>
        <w:t>。</w:t>
      </w:r>
      <w:r>
        <w:rPr>
          <w:rFonts w:hint="eastAsia"/>
        </w:rPr>
        <w:t>项目预算测算项目支出标准是否符合相关政策制度或行业、领域规定。</w:t>
      </w:r>
    </w:p>
    <w:p>
      <w:pPr>
        <w:pStyle w:val="25"/>
        <w:ind w:firstLine="640"/>
      </w:pPr>
      <w:r>
        <w:t>c.</w:t>
      </w:r>
      <w:r>
        <w:rPr>
          <w:rFonts w:hint="eastAsia"/>
        </w:rPr>
        <w:t>测算数据客观性。项目预算测算数据是否客观、真实、准确。</w:t>
      </w:r>
    </w:p>
    <w:p>
      <w:pPr>
        <w:pStyle w:val="25"/>
        <w:ind w:firstLine="640"/>
      </w:pPr>
      <w:r>
        <w:t>d</w:t>
      </w:r>
      <w:r>
        <w:rPr>
          <w:rFonts w:hint="eastAsia"/>
        </w:rPr>
        <w:t>.测算过程细化度。测算过程是否细化清晰。</w:t>
      </w:r>
    </w:p>
    <w:p>
      <w:pPr>
        <w:pStyle w:val="25"/>
        <w:ind w:firstLine="640"/>
      </w:pPr>
      <w:r>
        <w:rPr>
          <w:rFonts w:hint="eastAsia"/>
        </w:rPr>
        <w:t>（</w:t>
      </w:r>
      <w:r>
        <w:t>2）项目过程指标</w:t>
      </w:r>
    </w:p>
    <w:p>
      <w:pPr>
        <w:pStyle w:val="25"/>
        <w:ind w:firstLine="640"/>
      </w:pPr>
      <w:r>
        <w:rPr>
          <w:rFonts w:hint="eastAsia"/>
        </w:rPr>
        <w:t>①资金管理</w:t>
      </w:r>
    </w:p>
    <w:p>
      <w:pPr>
        <w:pStyle w:val="25"/>
        <w:ind w:firstLine="640"/>
      </w:pPr>
      <w:r>
        <w:t>a.资金到位率。</w:t>
      </w:r>
      <w:r>
        <w:rPr>
          <w:rFonts w:hint="eastAsia"/>
        </w:rPr>
        <w:t>实际到位资金与预算资金的比率，用以反映和考核资金落实情况对项目实施的总体保障程度。</w:t>
      </w:r>
    </w:p>
    <w:p>
      <w:pPr>
        <w:pStyle w:val="25"/>
        <w:ind w:firstLine="640"/>
      </w:pPr>
      <w:r>
        <w:t>b.资金到位及时率。</w:t>
      </w:r>
      <w:r>
        <w:rPr>
          <w:rFonts w:hint="eastAsia"/>
        </w:rPr>
        <w:t>及时到位资金与实际到位资金的比率，用以反映和考核项目资金落实的及时性程度。</w:t>
      </w:r>
    </w:p>
    <w:p>
      <w:pPr>
        <w:pStyle w:val="25"/>
        <w:ind w:firstLine="640"/>
      </w:pPr>
      <w:r>
        <w:t>c.预算执行率。</w:t>
      </w:r>
      <w:r>
        <w:rPr>
          <w:rFonts w:hint="eastAsia"/>
        </w:rPr>
        <w:t>项目预算资金是否按照计划执行，用以反映或考核项目预算执行情况。</w:t>
      </w:r>
    </w:p>
    <w:p>
      <w:pPr>
        <w:pStyle w:val="25"/>
        <w:ind w:firstLine="640"/>
      </w:pPr>
      <w:r>
        <w:rPr>
          <w:rFonts w:hint="eastAsia"/>
        </w:rPr>
        <w:t>d</w:t>
      </w:r>
      <w:r>
        <w:t>.资金使用合规性。</w:t>
      </w:r>
      <w:r>
        <w:rPr>
          <w:rFonts w:hint="eastAsia"/>
        </w:rPr>
        <w:t>项目资金使用是否符合相关的财务管理制度规定，用以反映和考核项目资金的规范运行情况。</w:t>
      </w:r>
    </w:p>
    <w:p>
      <w:pPr>
        <w:pStyle w:val="25"/>
        <w:ind w:firstLine="640"/>
      </w:pPr>
      <w:r>
        <w:rPr>
          <w:rFonts w:hint="eastAsia"/>
        </w:rPr>
        <w:t>②组织实施</w:t>
      </w:r>
    </w:p>
    <w:p>
      <w:pPr>
        <w:pStyle w:val="25"/>
        <w:ind w:firstLine="640"/>
      </w:pPr>
      <w:r>
        <w:t>a.管理制度健全性。</w:t>
      </w:r>
      <w:r>
        <w:rPr>
          <w:rFonts w:hint="eastAsia"/>
        </w:rPr>
        <w:t>项目实施单位的财务和业务管理制度是否健全，用以反映和考核财务和业务管理制度对项目顺利实施的保障情况。</w:t>
      </w:r>
    </w:p>
    <w:p>
      <w:pPr>
        <w:pStyle w:val="25"/>
        <w:ind w:firstLine="640"/>
      </w:pPr>
      <w:r>
        <w:t>b.制度执行有效性</w:t>
      </w:r>
      <w:r>
        <w:rPr>
          <w:rFonts w:hint="eastAsia"/>
        </w:rPr>
        <w:t>。评价内容主要从项目申报、项目实施、项目结项等</w:t>
      </w:r>
      <w:r>
        <w:t>4个环节开展，结合相关管理规定进行评价</w:t>
      </w:r>
      <w:r>
        <w:rPr>
          <w:rFonts w:hint="eastAsia"/>
        </w:rPr>
        <w:t>。</w:t>
      </w:r>
    </w:p>
    <w:p>
      <w:pPr>
        <w:pStyle w:val="25"/>
        <w:ind w:firstLine="640"/>
      </w:pPr>
      <w:r>
        <w:rPr>
          <w:rFonts w:hint="eastAsia"/>
        </w:rPr>
        <w:t>（</w:t>
      </w:r>
      <w:r>
        <w:t>3）项目产出指标</w:t>
      </w:r>
    </w:p>
    <w:p>
      <w:pPr>
        <w:pStyle w:val="25"/>
        <w:ind w:firstLine="640"/>
      </w:pPr>
      <w:r>
        <w:rPr>
          <w:rFonts w:hint="eastAsia"/>
        </w:rPr>
        <w:t>①产出数量</w:t>
      </w:r>
    </w:p>
    <w:p>
      <w:pPr>
        <w:pStyle w:val="25"/>
        <w:ind w:firstLine="640"/>
      </w:pPr>
      <w:r>
        <w:rPr>
          <w:rFonts w:hint="eastAsia"/>
        </w:rPr>
        <w:t>补贴因病支出型困难家庭完成率。项目实施期间实际补贴因病支出型困难家庭数量与应补贴因病支出型困难家庭数量比对，反映因病支出型困难家庭医疗救助补贴的完成情况。</w:t>
      </w:r>
    </w:p>
    <w:p>
      <w:pPr>
        <w:pStyle w:val="25"/>
        <w:ind w:firstLine="640"/>
      </w:pPr>
      <w:r>
        <w:rPr>
          <w:rFonts w:hint="eastAsia"/>
        </w:rPr>
        <w:t>②产出质量</w:t>
      </w:r>
    </w:p>
    <w:p>
      <w:pPr>
        <w:pStyle w:val="25"/>
        <w:ind w:firstLine="640"/>
      </w:pPr>
      <w:r>
        <w:rPr>
          <w:rFonts w:hint="eastAsia"/>
        </w:rPr>
        <w:t>因病支出型困难家庭医疗救助补贴对象合规率。项目实施期间实际补贴的符合文件要求的因病支出型困难家庭人数与实际补贴的因病支出型困难家庭人数的比率，用以反映因病支出型困难家庭医疗救助补贴对象的合规情况。</w:t>
      </w:r>
    </w:p>
    <w:p>
      <w:pPr>
        <w:pStyle w:val="25"/>
        <w:ind w:firstLine="640"/>
      </w:pPr>
      <w:r>
        <w:rPr>
          <w:rFonts w:hint="eastAsia"/>
        </w:rPr>
        <w:t>③产出时效</w:t>
      </w:r>
    </w:p>
    <w:p>
      <w:pPr>
        <w:pStyle w:val="25"/>
        <w:ind w:firstLine="640"/>
      </w:pPr>
      <w:r>
        <w:rPr>
          <w:rFonts w:hint="eastAsia"/>
        </w:rPr>
        <w:t>因病支出型困难家庭医疗救助补贴发放及时率。项目实施期间及时发放因病支出型困难家庭医疗救助补贴人数与应发放因病支出型困难家庭医疗救助补贴人数的比率，用以反映因病支出型困难家庭医疗救助补贴发放的及时情况。</w:t>
      </w:r>
    </w:p>
    <w:p>
      <w:pPr>
        <w:pStyle w:val="25"/>
        <w:ind w:firstLine="640"/>
      </w:pPr>
      <w:r>
        <w:rPr>
          <w:rFonts w:hint="eastAsia"/>
        </w:rPr>
        <w:t>④产出成本</w:t>
      </w:r>
    </w:p>
    <w:p>
      <w:pPr>
        <w:pStyle w:val="25"/>
        <w:ind w:firstLine="640"/>
      </w:pPr>
      <w:r>
        <w:rPr>
          <w:rFonts w:hint="eastAsia"/>
        </w:rPr>
        <w:t>因病支出型困难家庭医疗救助补贴标准。项目实施期间实际发放因病支出型困难家庭医疗救助补贴金额与文件要求发放因病支出型困难家庭医疗救助补贴金额比对，反映发放因病支出型困难家庭医疗救助补贴的成本控制情况。</w:t>
      </w:r>
    </w:p>
    <w:p>
      <w:pPr>
        <w:pStyle w:val="25"/>
        <w:ind w:firstLine="640"/>
      </w:pPr>
      <w:r>
        <w:rPr>
          <w:rFonts w:hint="eastAsia"/>
        </w:rPr>
        <w:t>（</w:t>
      </w:r>
      <w:r>
        <w:t>4）项目</w:t>
      </w:r>
      <w:r>
        <w:rPr>
          <w:rFonts w:hint="eastAsia"/>
        </w:rPr>
        <w:t>效益指标</w:t>
      </w:r>
    </w:p>
    <w:p>
      <w:pPr>
        <w:pStyle w:val="25"/>
        <w:ind w:firstLine="640"/>
      </w:pPr>
      <w:r>
        <w:rPr>
          <w:rFonts w:hint="eastAsia"/>
        </w:rPr>
        <w:t>①社会效益</w:t>
      </w:r>
    </w:p>
    <w:p>
      <w:pPr>
        <w:pStyle w:val="25"/>
        <w:ind w:firstLine="640"/>
      </w:pPr>
      <w:r>
        <w:rPr>
          <w:rFonts w:hint="eastAsia"/>
        </w:rPr>
        <w:t>因病支出型困难家庭负担减轻情况。项目实施期间申请办理流程优化、审批时效保障、减轻医疗负担的实现程度，用以反映因病支出型困难家庭负担减轻情况。</w:t>
      </w:r>
    </w:p>
    <w:p>
      <w:pPr>
        <w:pStyle w:val="25"/>
        <w:ind w:firstLine="640"/>
      </w:pPr>
      <w:r>
        <w:rPr>
          <w:rFonts w:hint="eastAsia"/>
        </w:rPr>
        <w:t>②可持续影响</w:t>
      </w:r>
    </w:p>
    <w:p>
      <w:pPr>
        <w:pStyle w:val="25"/>
        <w:ind w:firstLine="640"/>
      </w:pPr>
      <w:r>
        <w:rPr>
          <w:rFonts w:hint="eastAsia"/>
        </w:rPr>
        <w:t>a.建立健全救助资金落实监管机制。因病支出型困难家庭医疗救助资金落实监管机制的建立健全情况，用以反映项目持续开展的保障程度。</w:t>
      </w:r>
    </w:p>
    <w:p>
      <w:pPr>
        <w:pStyle w:val="25"/>
        <w:ind w:firstLine="640"/>
      </w:pPr>
      <w:r>
        <w:rPr>
          <w:rFonts w:hint="eastAsia"/>
        </w:rPr>
        <w:t>b.建立健全救助政策宣传机制。因病支出型困难家庭医疗救助政策宣传制度健全性情况，用以反映因病支出型困难家庭医疗救助政策的可持续性。</w:t>
      </w:r>
    </w:p>
    <w:p>
      <w:pPr>
        <w:pStyle w:val="25"/>
        <w:ind w:firstLine="640"/>
      </w:pPr>
      <w:r>
        <w:rPr>
          <w:rFonts w:hint="eastAsia"/>
        </w:rPr>
        <w:t>③服务对象满意度</w:t>
      </w:r>
    </w:p>
    <w:p>
      <w:pPr>
        <w:pStyle w:val="25"/>
        <w:ind w:firstLine="640"/>
      </w:pPr>
      <w:r>
        <w:rPr>
          <w:rFonts w:hint="eastAsia"/>
        </w:rPr>
        <w:t>因病支出型困难家庭满意度。通过调查问卷中满意人数与调查总人数的比率，反映被调查对象对本项目的满意程度。</w:t>
      </w:r>
    </w:p>
    <w:p>
      <w:pPr>
        <w:pStyle w:val="25"/>
        <w:ind w:firstLine="640"/>
      </w:pPr>
      <w:r>
        <w:rPr>
          <w:rFonts w:hint="eastAsia"/>
        </w:rPr>
        <w:t>3</w:t>
      </w:r>
      <w:r>
        <w:t>.</w:t>
      </w:r>
      <w:r>
        <w:rPr>
          <w:rFonts w:hint="eastAsia"/>
        </w:rPr>
        <w:t>绩效评价方法</w:t>
      </w:r>
    </w:p>
    <w:p>
      <w:pPr>
        <w:pStyle w:val="25"/>
        <w:ind w:firstLine="640"/>
      </w:pPr>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对天津市和平区医疗保障局</w:t>
      </w:r>
      <w:r>
        <w:t>进行了现场评价</w:t>
      </w:r>
      <w:r>
        <w:rPr>
          <w:rFonts w:hint="eastAsia"/>
        </w:rPr>
        <w:t>，</w:t>
      </w:r>
      <w:r>
        <w:t>绩效评价指标体系详见附件。</w:t>
      </w:r>
    </w:p>
    <w:p>
      <w:pPr>
        <w:pStyle w:val="29"/>
        <w:ind w:firstLine="640"/>
      </w:pPr>
      <w:bookmarkStart w:id="6" w:name="_Toc8900"/>
      <w:r>
        <w:rPr>
          <w:rFonts w:hint="eastAsia"/>
        </w:rPr>
        <w:t>（三）绩效评价工作过程</w:t>
      </w:r>
      <w:bookmarkEnd w:id="6"/>
    </w:p>
    <w:p>
      <w:pPr>
        <w:pStyle w:val="25"/>
        <w:ind w:firstLine="640"/>
      </w:pPr>
      <w:r>
        <w:rPr>
          <w:rFonts w:hint="eastAsia"/>
        </w:rPr>
        <w:t>1.前期准备阶段</w:t>
      </w:r>
    </w:p>
    <w:p>
      <w:pPr>
        <w:pStyle w:val="25"/>
        <w:ind w:firstLine="640"/>
      </w:pPr>
      <w:r>
        <w:rPr>
          <w:rFonts w:hint="eastAsia"/>
        </w:rPr>
        <w:t>（</w:t>
      </w:r>
      <w:r>
        <w:t>1）接受委托，成立绩效评价项目组</w:t>
      </w:r>
    </w:p>
    <w:p>
      <w:pPr>
        <w:pStyle w:val="25"/>
        <w:ind w:firstLine="640"/>
      </w:pPr>
      <w:r>
        <w:rPr>
          <w:rFonts w:hint="eastAsia"/>
        </w:rPr>
        <w:t>根据中央和天津市关于全面实施预算绩效管理的部署要求，天津市和平区财政局委托我司（天津安信管理咨询有限公司）</w:t>
      </w:r>
      <w:r>
        <w:t>对</w:t>
      </w:r>
      <w:r>
        <w:rPr>
          <w:rFonts w:hint="eastAsia"/>
        </w:rPr>
        <w:t>因病支出型困难家庭医疗救助项目</w:t>
      </w:r>
      <w:r>
        <w:t>进行绩效评价工作。</w:t>
      </w:r>
    </w:p>
    <w:p>
      <w:pPr>
        <w:pStyle w:val="25"/>
        <w:ind w:firstLine="640"/>
      </w:pPr>
      <w:r>
        <w:t>绩效评价项目组（以下简称“评价组”）赴</w:t>
      </w:r>
      <w:r>
        <w:rPr>
          <w:rFonts w:hint="eastAsia"/>
        </w:rPr>
        <w:t>天津市和平区医疗保障局</w:t>
      </w:r>
      <w:r>
        <w:t>参加了项目见面会，听取了该单位对“</w:t>
      </w:r>
      <w:r>
        <w:rPr>
          <w:rFonts w:hint="eastAsia"/>
        </w:rPr>
        <w:t>因病支出型困难家庭医疗救助项目</w:t>
      </w:r>
      <w:r>
        <w:t>”的申请立项、资金落实、业务管理、财务管理、项目产出、项目效益等方面的情况介绍，并对项目后续评价工作的基本原则及所需的各类资料文件提出了要求。</w:t>
      </w:r>
    </w:p>
    <w:p>
      <w:pPr>
        <w:pStyle w:val="25"/>
        <w:ind w:firstLine="640"/>
      </w:pPr>
      <w:r>
        <w:rPr>
          <w:rFonts w:hint="eastAsia"/>
        </w:rPr>
        <w:t>（</w:t>
      </w:r>
      <w:r>
        <w:t>2）制定绩效评价方案</w:t>
      </w:r>
    </w:p>
    <w:p>
      <w:pPr>
        <w:pStyle w:val="25"/>
        <w:ind w:firstLine="640"/>
      </w:pPr>
      <w:r>
        <w:rPr>
          <w:rFonts w:hint="eastAsia"/>
        </w:rPr>
        <w:t>根据有关文件要求，评价项目组制定了《天津市和平区医疗保障局因病支出型困难家庭医疗救助项目</w:t>
      </w:r>
      <w:r>
        <w:t>绩效评价实施方案》，</w:t>
      </w:r>
      <w:bookmarkStart w:id="7" w:name="_Hlk119265014"/>
      <w:r>
        <w:rPr>
          <w:rFonts w:hint="eastAsia"/>
        </w:rPr>
        <w:t>根据评价方案组织开展项目评价工作。</w:t>
      </w:r>
    </w:p>
    <w:bookmarkEnd w:id="7"/>
    <w:p>
      <w:pPr>
        <w:pStyle w:val="25"/>
        <w:ind w:firstLine="640"/>
      </w:pPr>
      <w:r>
        <w:rPr>
          <w:rFonts w:hint="eastAsia"/>
        </w:rPr>
        <w:t>（</w:t>
      </w:r>
      <w:r>
        <w:t>3）指标体系设计</w:t>
      </w:r>
    </w:p>
    <w:p>
      <w:pPr>
        <w:pStyle w:val="25"/>
        <w:ind w:firstLine="640"/>
      </w:pPr>
      <w:r>
        <w:rPr>
          <w:rFonts w:hint="eastAsia"/>
        </w:rPr>
        <w:t>根据天津市和平区医疗保障局因病支出型困难家庭医疗救助项目</w:t>
      </w:r>
      <w:r>
        <w:t>绩效目标及实际工作需要，从决策、过程、产出、效益四个维度出发，设立项目立项、绩效目标、</w:t>
      </w:r>
      <w:r>
        <w:rPr>
          <w:rFonts w:hint="eastAsia"/>
        </w:rPr>
        <w:t>预算编制</w:t>
      </w:r>
      <w:r>
        <w:t>、资金管理、组织实施、产出数量、产出质量、产出时效、产出成本、</w:t>
      </w:r>
      <w:r>
        <w:rPr>
          <w:rFonts w:hint="eastAsia"/>
        </w:rPr>
        <w:t>项目</w:t>
      </w:r>
      <w:r>
        <w:t>效益、满意度1</w:t>
      </w:r>
      <w:r>
        <w:rPr>
          <w:rFonts w:hint="eastAsia"/>
        </w:rPr>
        <w:t>2项</w:t>
      </w:r>
      <w:r>
        <w:t>二级指标和</w:t>
      </w:r>
      <w:r>
        <w:rPr>
          <w:rFonts w:hint="eastAsia"/>
        </w:rPr>
        <w:t>22项</w:t>
      </w:r>
      <w:r>
        <w:t>三级指标，采取指标分值百分制，将</w:t>
      </w:r>
      <w:r>
        <w:rPr>
          <w:rFonts w:hint="eastAsia"/>
        </w:rPr>
        <w:t>22项</w:t>
      </w:r>
      <w:r>
        <w:t>指标量化为100分，分值权重在征求被评单位意见的基础上确定，详见附表。</w:t>
      </w:r>
    </w:p>
    <w:p>
      <w:pPr>
        <w:pStyle w:val="25"/>
        <w:ind w:firstLine="640"/>
      </w:pPr>
      <w:r>
        <w:rPr>
          <w:rFonts w:hint="eastAsia"/>
        </w:rPr>
        <w:t>2.评价实施阶段</w:t>
      </w:r>
    </w:p>
    <w:p>
      <w:pPr>
        <w:spacing w:line="600" w:lineRule="exact"/>
        <w:ind w:firstLine="640"/>
        <w:jc w:val="both"/>
      </w:pPr>
      <w:r>
        <w:rPr>
          <w:rFonts w:hint="eastAsia" w:ascii="Times New Roman" w:hAnsi="Times New Roman" w:eastAsia="仿宋_GB2312"/>
          <w:sz w:val="32"/>
        </w:rPr>
        <w:t>（</w:t>
      </w:r>
      <w:r>
        <w:rPr>
          <w:rFonts w:ascii="Times New Roman" w:hAnsi="Times New Roman" w:eastAsia="仿宋_GB2312"/>
          <w:sz w:val="32"/>
        </w:rPr>
        <w:t>1</w:t>
      </w:r>
      <w:r>
        <w:rPr>
          <w:rFonts w:hint="eastAsia" w:ascii="Times New Roman" w:hAnsi="Times New Roman" w:eastAsia="仿宋_GB2312"/>
          <w:sz w:val="32"/>
        </w:rPr>
        <w:t>）正式进驻。</w:t>
      </w:r>
    </w:p>
    <w:p>
      <w:pPr>
        <w:pStyle w:val="25"/>
        <w:ind w:firstLine="640"/>
        <w:rPr>
          <w:highlight w:val="yellow"/>
        </w:rPr>
      </w:pPr>
      <w:r>
        <w:rPr>
          <w:rFonts w:hint="eastAsia"/>
        </w:rPr>
        <w:t>评价组于2022年9月30日正式进驻天津市和平区医疗保障局实施评价工作</w:t>
      </w:r>
      <w:r>
        <w:t>。</w:t>
      </w:r>
    </w:p>
    <w:p>
      <w:pPr>
        <w:spacing w:line="600" w:lineRule="exact"/>
        <w:ind w:firstLine="640"/>
        <w:jc w:val="both"/>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）全面审查。</w:t>
      </w:r>
    </w:p>
    <w:p>
      <w:pPr>
        <w:pStyle w:val="25"/>
        <w:ind w:firstLine="640"/>
      </w:pPr>
      <w:r>
        <w:t>评价过程中，评价组</w:t>
      </w:r>
      <w:r>
        <w:rPr>
          <w:rFonts w:hint="eastAsia"/>
        </w:rPr>
        <w:t>因病支出型困难家庭医疗救助项目</w:t>
      </w:r>
      <w:r>
        <w:t>的文件依据、预算编制、制度执行、资金拨付、资金使用情况、产生效益等方面进行了全面梳理。评价组根据</w:t>
      </w:r>
      <w:r>
        <w:rPr>
          <w:rFonts w:hint="eastAsia"/>
        </w:rPr>
        <w:t>《市医保局等七部门关于进一步做好职能划转后医疗救助有关工作的通知》（津医保局发〔2019〕29号）和《市医保局市民政局市财政局关于完善因病支出型困难家庭医疗救助有关问题的通知》（津医保局发〔2019〕73号）</w:t>
      </w:r>
      <w:r>
        <w:t>等文件，对专项经费的到位情况、预算编制、</w:t>
      </w:r>
      <w:r>
        <w:rPr>
          <w:rFonts w:hint="eastAsia"/>
        </w:rPr>
        <w:t>项目</w:t>
      </w:r>
      <w:r>
        <w:t>经费拨付等相关业务文件进行了核查。</w:t>
      </w:r>
    </w:p>
    <w:p>
      <w:pPr>
        <w:pStyle w:val="25"/>
        <w:ind w:firstLine="640"/>
      </w:pPr>
      <w:r>
        <w:rPr>
          <w:rFonts w:hint="eastAsia"/>
        </w:rPr>
        <w:t>（3）实地核查。</w:t>
      </w:r>
    </w:p>
    <w:p>
      <w:pPr>
        <w:pStyle w:val="25"/>
        <w:ind w:firstLine="640"/>
      </w:pPr>
      <w:r>
        <w:t>评价组对</w:t>
      </w:r>
      <w:r>
        <w:rPr>
          <w:rFonts w:hint="eastAsia"/>
        </w:rPr>
        <w:t>天津市和平区医疗保障局资金使用、“救急难”平台复核</w:t>
      </w:r>
      <w:r>
        <w:t>等</w:t>
      </w:r>
      <w:r>
        <w:rPr>
          <w:rFonts w:hint="eastAsia"/>
        </w:rPr>
        <w:t>工作情况进行实地核查</w:t>
      </w:r>
      <w:r>
        <w:t>。通过现场实际勘察，了解</w:t>
      </w:r>
      <w:r>
        <w:rPr>
          <w:rFonts w:hint="eastAsia"/>
        </w:rPr>
        <w:t>因病支出型困难家庭医疗救助项目</w:t>
      </w:r>
      <w:r>
        <w:t>的实际情况，完成调查表；并对</w:t>
      </w:r>
      <w:r>
        <w:rPr>
          <w:rFonts w:hint="eastAsia"/>
        </w:rPr>
        <w:t>接受补贴的因病支出型困难家庭</w:t>
      </w:r>
      <w:r>
        <w:t>进行满意度调查。</w:t>
      </w:r>
    </w:p>
    <w:p>
      <w:pPr>
        <w:spacing w:line="600" w:lineRule="exact"/>
        <w:ind w:firstLine="640"/>
        <w:jc w:val="both"/>
        <w:rPr>
          <w:rFonts w:eastAsia="仿宋_GB2312"/>
        </w:rPr>
      </w:pPr>
      <w:r>
        <w:rPr>
          <w:rFonts w:hint="eastAsia" w:ascii="Times New Roman" w:hAnsi="Times New Roman" w:eastAsia="仿宋_GB2312"/>
          <w:sz w:val="32"/>
        </w:rPr>
        <w:t>（</w:t>
      </w:r>
      <w:r>
        <w:rPr>
          <w:rFonts w:ascii="Times New Roman" w:hAnsi="Times New Roman" w:eastAsia="仿宋_GB2312"/>
          <w:sz w:val="32"/>
        </w:rPr>
        <w:t>4</w:t>
      </w:r>
      <w:r>
        <w:rPr>
          <w:rFonts w:hint="eastAsia" w:ascii="Times New Roman" w:hAnsi="Times New Roman" w:eastAsia="仿宋_GB2312"/>
          <w:sz w:val="32"/>
        </w:rPr>
        <w:t>）评价打分。</w:t>
      </w:r>
    </w:p>
    <w:p>
      <w:pPr>
        <w:pStyle w:val="25"/>
        <w:ind w:firstLine="640"/>
      </w:pPr>
      <w:r>
        <w:t>按照绩效评价指标体系编制了工作底稿，并对各绩效评价指标进行了评分。</w:t>
      </w:r>
    </w:p>
    <w:p>
      <w:pPr>
        <w:pStyle w:val="25"/>
        <w:ind w:firstLine="640"/>
      </w:pPr>
      <w:r>
        <w:rPr>
          <w:rFonts w:hint="eastAsia"/>
        </w:rPr>
        <w:t>（5）</w:t>
      </w:r>
      <w:r>
        <w:t>编制报告。</w:t>
      </w:r>
    </w:p>
    <w:p>
      <w:pPr>
        <w:pStyle w:val="25"/>
        <w:ind w:firstLine="640"/>
      </w:pPr>
      <w:r>
        <w:t>评价组根据实地核查、评价打分编制绩效评价报告，全面梳理</w:t>
      </w:r>
      <w:r>
        <w:rPr>
          <w:rFonts w:hint="eastAsia"/>
        </w:rPr>
        <w:t>因病支出型困难家庭医疗救助项目</w:t>
      </w:r>
      <w:r>
        <w:t>在决策依据、过程管理、产出情况、取得效益等方面存在的问题及工作建议。</w:t>
      </w:r>
    </w:p>
    <w:p>
      <w:pPr>
        <w:pStyle w:val="27"/>
      </w:pPr>
      <w:bookmarkStart w:id="8" w:name="_Toc20029"/>
      <w:r>
        <w:rPr>
          <w:rFonts w:hint="eastAsia"/>
        </w:rPr>
        <w:t>三、综合评价情况及评价结论</w:t>
      </w:r>
      <w:bookmarkEnd w:id="8"/>
    </w:p>
    <w:p>
      <w:pPr>
        <w:pStyle w:val="25"/>
        <w:ind w:firstLine="640"/>
      </w:pPr>
      <w:r>
        <w:rPr>
          <w:rFonts w:hint="eastAsia"/>
        </w:rPr>
        <w:t>经过综合评价，因病支出型困难家庭医疗救助项目得分89</w:t>
      </w:r>
      <w:r>
        <w:t>分，评价等级为“</w:t>
      </w:r>
      <w:r>
        <w:rPr>
          <w:rFonts w:hint="eastAsia"/>
        </w:rPr>
        <w:t>良</w:t>
      </w:r>
      <w:r>
        <w:t>”。其中，项目决策</w:t>
      </w:r>
      <w:r>
        <w:rPr>
          <w:rFonts w:hint="eastAsia"/>
        </w:rPr>
        <w:t>15</w:t>
      </w:r>
      <w:r>
        <w:t>分，项目过程</w:t>
      </w:r>
      <w:r>
        <w:rPr>
          <w:rFonts w:hint="eastAsia"/>
        </w:rPr>
        <w:t>23</w:t>
      </w:r>
      <w:r>
        <w:t>分，项目产出</w:t>
      </w:r>
      <w:r>
        <w:rPr>
          <w:rFonts w:hint="eastAsia"/>
        </w:rPr>
        <w:t>38</w:t>
      </w:r>
      <w:r>
        <w:t>分，项目效益</w:t>
      </w:r>
      <w:r>
        <w:rPr>
          <w:rFonts w:hint="eastAsia"/>
        </w:rPr>
        <w:t>13</w:t>
      </w:r>
      <w:r>
        <w:t>分</w:t>
      </w:r>
      <w:r>
        <w:rPr>
          <w:rFonts w:hint="eastAsia"/>
        </w:rPr>
        <w:t>。</w:t>
      </w:r>
    </w:p>
    <w:p>
      <w:pPr>
        <w:pStyle w:val="25"/>
        <w:ind w:firstLine="640"/>
      </w:pPr>
      <w:r>
        <w:rPr>
          <w:rFonts w:hint="eastAsia"/>
        </w:rPr>
        <w:t>具体情况见表2所示</w:t>
      </w:r>
      <w:r>
        <w:t>：</w:t>
      </w:r>
    </w:p>
    <w:p>
      <w:pPr>
        <w:pStyle w:val="25"/>
        <w:ind w:firstLine="0" w:firstLineChars="0"/>
        <w:jc w:val="center"/>
        <w:rPr>
          <w:rFonts w:ascii="黑体" w:hAnsi="黑体" w:eastAsia="黑体" w:cs="黑体"/>
          <w:sz w:val="28"/>
          <w:szCs w:val="28"/>
        </w:rPr>
      </w:pPr>
      <w:r>
        <w:rPr>
          <w:rFonts w:hint="eastAsia" w:ascii="黑体" w:hAnsi="黑体" w:eastAsia="黑体" w:cs="黑体"/>
          <w:sz w:val="28"/>
          <w:szCs w:val="28"/>
        </w:rPr>
        <w:t xml:space="preserve">表2  </w:t>
      </w:r>
      <w:r>
        <w:rPr>
          <w:rFonts w:hint="eastAsia" w:ascii="黑体" w:hAnsi="黑体" w:eastAsia="黑体" w:cs="黑体"/>
          <w:kern w:val="0"/>
          <w:sz w:val="28"/>
          <w:szCs w:val="28"/>
        </w:rPr>
        <w:t>因病支出型困难家庭医疗救助项目</w:t>
      </w:r>
      <w:r>
        <w:rPr>
          <w:rFonts w:hint="eastAsia" w:ascii="黑体" w:hAnsi="黑体" w:eastAsia="黑体" w:cs="黑体"/>
          <w:sz w:val="28"/>
          <w:szCs w:val="28"/>
        </w:rPr>
        <w:t>绩效得分情况表</w:t>
      </w:r>
    </w:p>
    <w:tbl>
      <w:tblPr>
        <w:tblStyle w:val="18"/>
        <w:tblW w:w="882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61"/>
        <w:gridCol w:w="1459"/>
        <w:gridCol w:w="1461"/>
        <w:gridCol w:w="1494"/>
        <w:gridCol w:w="1461"/>
        <w:gridCol w:w="14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tblHeader/>
          <w:jc w:val="center"/>
        </w:trPr>
        <w:tc>
          <w:tcPr>
            <w:tcW w:w="1461" w:type="dxa"/>
            <w:vAlign w:val="center"/>
          </w:tcPr>
          <w:p>
            <w:pPr>
              <w:pStyle w:val="35"/>
              <w:rPr>
                <w:rFonts w:ascii="宋体" w:hAnsi="宋体" w:cs="宋体"/>
                <w:kern w:val="0"/>
              </w:rPr>
            </w:pPr>
            <w:r>
              <w:rPr>
                <w:rFonts w:hint="eastAsia" w:ascii="宋体" w:hAnsi="宋体" w:cs="宋体"/>
                <w:kern w:val="0"/>
              </w:rPr>
              <w:t>指标</w:t>
            </w:r>
          </w:p>
        </w:tc>
        <w:tc>
          <w:tcPr>
            <w:tcW w:w="1459" w:type="dxa"/>
            <w:vAlign w:val="center"/>
          </w:tcPr>
          <w:p>
            <w:pPr>
              <w:pStyle w:val="35"/>
              <w:rPr>
                <w:rFonts w:ascii="宋体" w:hAnsi="宋体" w:cs="宋体"/>
                <w:kern w:val="0"/>
              </w:rPr>
            </w:pPr>
            <w:r>
              <w:rPr>
                <w:rFonts w:hint="eastAsia" w:ascii="宋体" w:hAnsi="宋体" w:cs="宋体"/>
                <w:kern w:val="0"/>
              </w:rPr>
              <w:t>项目决策</w:t>
            </w:r>
          </w:p>
        </w:tc>
        <w:tc>
          <w:tcPr>
            <w:tcW w:w="1461" w:type="dxa"/>
            <w:vAlign w:val="center"/>
          </w:tcPr>
          <w:p>
            <w:pPr>
              <w:pStyle w:val="35"/>
              <w:rPr>
                <w:rFonts w:ascii="宋体" w:hAnsi="宋体" w:cs="宋体"/>
                <w:kern w:val="0"/>
              </w:rPr>
            </w:pPr>
            <w:r>
              <w:rPr>
                <w:rFonts w:hint="eastAsia" w:ascii="宋体" w:hAnsi="宋体" w:cs="宋体"/>
                <w:kern w:val="0"/>
              </w:rPr>
              <w:t>项目过程</w:t>
            </w:r>
          </w:p>
        </w:tc>
        <w:tc>
          <w:tcPr>
            <w:tcW w:w="1494" w:type="dxa"/>
            <w:vAlign w:val="center"/>
          </w:tcPr>
          <w:p>
            <w:pPr>
              <w:pStyle w:val="35"/>
              <w:rPr>
                <w:rFonts w:ascii="宋体" w:hAnsi="宋体" w:cs="宋体"/>
                <w:kern w:val="0"/>
              </w:rPr>
            </w:pPr>
            <w:r>
              <w:rPr>
                <w:rFonts w:hint="eastAsia" w:ascii="宋体" w:hAnsi="宋体" w:cs="宋体"/>
                <w:kern w:val="0"/>
              </w:rPr>
              <w:t>项目产出</w:t>
            </w:r>
          </w:p>
        </w:tc>
        <w:tc>
          <w:tcPr>
            <w:tcW w:w="1461" w:type="dxa"/>
            <w:vAlign w:val="center"/>
          </w:tcPr>
          <w:p>
            <w:pPr>
              <w:pStyle w:val="35"/>
              <w:rPr>
                <w:rFonts w:ascii="宋体" w:hAnsi="宋体" w:cs="宋体"/>
                <w:kern w:val="0"/>
              </w:rPr>
            </w:pPr>
            <w:r>
              <w:rPr>
                <w:rFonts w:hint="eastAsia" w:ascii="宋体" w:hAnsi="宋体" w:cs="宋体"/>
                <w:kern w:val="0"/>
              </w:rPr>
              <w:t>项目效益</w:t>
            </w:r>
          </w:p>
        </w:tc>
        <w:tc>
          <w:tcPr>
            <w:tcW w:w="1484" w:type="dxa"/>
            <w:vAlign w:val="center"/>
          </w:tcPr>
          <w:p>
            <w:pPr>
              <w:pStyle w:val="35"/>
              <w:rPr>
                <w:rFonts w:ascii="宋体" w:hAnsi="宋体" w:cs="宋体"/>
                <w:kern w:val="0"/>
              </w:rPr>
            </w:pPr>
            <w:r>
              <w:rPr>
                <w:rFonts w:hint="eastAsia" w:ascii="宋体" w:hAnsi="宋体" w:cs="宋体"/>
                <w:kern w:val="0"/>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461" w:type="dxa"/>
            <w:vAlign w:val="center"/>
          </w:tcPr>
          <w:p>
            <w:pPr>
              <w:pStyle w:val="37"/>
              <w:jc w:val="center"/>
              <w:rPr>
                <w:rFonts w:ascii="宋体" w:hAnsi="宋体"/>
                <w:kern w:val="0"/>
              </w:rPr>
            </w:pPr>
            <w:r>
              <w:rPr>
                <w:rFonts w:hint="eastAsia" w:ascii="宋体" w:hAnsi="宋体"/>
                <w:kern w:val="0"/>
              </w:rPr>
              <w:t>分值</w:t>
            </w:r>
          </w:p>
        </w:tc>
        <w:tc>
          <w:tcPr>
            <w:tcW w:w="1459" w:type="dxa"/>
            <w:vAlign w:val="center"/>
          </w:tcPr>
          <w:p>
            <w:pPr>
              <w:pStyle w:val="37"/>
              <w:jc w:val="center"/>
              <w:rPr>
                <w:kern w:val="0"/>
              </w:rPr>
            </w:pPr>
            <w:r>
              <w:rPr>
                <w:kern w:val="0"/>
              </w:rPr>
              <w:t>17</w:t>
            </w:r>
          </w:p>
        </w:tc>
        <w:tc>
          <w:tcPr>
            <w:tcW w:w="1461" w:type="dxa"/>
            <w:vAlign w:val="center"/>
          </w:tcPr>
          <w:p>
            <w:pPr>
              <w:pStyle w:val="37"/>
              <w:jc w:val="center"/>
              <w:rPr>
                <w:kern w:val="0"/>
              </w:rPr>
            </w:pPr>
            <w:r>
              <w:rPr>
                <w:kern w:val="0"/>
              </w:rPr>
              <w:t>23</w:t>
            </w:r>
          </w:p>
        </w:tc>
        <w:tc>
          <w:tcPr>
            <w:tcW w:w="1494" w:type="dxa"/>
            <w:vAlign w:val="center"/>
          </w:tcPr>
          <w:p>
            <w:pPr>
              <w:pStyle w:val="37"/>
              <w:jc w:val="center"/>
              <w:rPr>
                <w:kern w:val="0"/>
              </w:rPr>
            </w:pPr>
            <w:r>
              <w:rPr>
                <w:rFonts w:hint="eastAsia"/>
                <w:kern w:val="0"/>
              </w:rPr>
              <w:t>38</w:t>
            </w:r>
          </w:p>
        </w:tc>
        <w:tc>
          <w:tcPr>
            <w:tcW w:w="1461" w:type="dxa"/>
            <w:vAlign w:val="center"/>
          </w:tcPr>
          <w:p>
            <w:pPr>
              <w:pStyle w:val="37"/>
              <w:jc w:val="center"/>
              <w:rPr>
                <w:kern w:val="0"/>
              </w:rPr>
            </w:pPr>
            <w:r>
              <w:rPr>
                <w:kern w:val="0"/>
              </w:rPr>
              <w:t>2</w:t>
            </w:r>
            <w:r>
              <w:rPr>
                <w:rFonts w:hint="eastAsia"/>
                <w:kern w:val="0"/>
              </w:rPr>
              <w:t>2</w:t>
            </w:r>
          </w:p>
        </w:tc>
        <w:tc>
          <w:tcPr>
            <w:tcW w:w="1484" w:type="dxa"/>
            <w:vAlign w:val="center"/>
          </w:tcPr>
          <w:p>
            <w:pPr>
              <w:pStyle w:val="37"/>
              <w:jc w:val="center"/>
              <w:rPr>
                <w:kern w:val="0"/>
              </w:rPr>
            </w:pPr>
            <w:r>
              <w:rPr>
                <w:kern w:val="0"/>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461" w:type="dxa"/>
            <w:vAlign w:val="center"/>
          </w:tcPr>
          <w:p>
            <w:pPr>
              <w:pStyle w:val="37"/>
              <w:jc w:val="center"/>
              <w:rPr>
                <w:rFonts w:ascii="宋体" w:hAnsi="宋体"/>
                <w:kern w:val="0"/>
              </w:rPr>
            </w:pPr>
            <w:r>
              <w:rPr>
                <w:rFonts w:hint="eastAsia" w:ascii="宋体" w:hAnsi="宋体"/>
                <w:kern w:val="0"/>
              </w:rPr>
              <w:t>得分</w:t>
            </w:r>
          </w:p>
        </w:tc>
        <w:tc>
          <w:tcPr>
            <w:tcW w:w="1459" w:type="dxa"/>
            <w:vAlign w:val="center"/>
          </w:tcPr>
          <w:p>
            <w:pPr>
              <w:pStyle w:val="37"/>
              <w:jc w:val="center"/>
              <w:rPr>
                <w:kern w:val="0"/>
              </w:rPr>
            </w:pPr>
            <w:r>
              <w:rPr>
                <w:rFonts w:hint="eastAsia"/>
                <w:kern w:val="0"/>
              </w:rPr>
              <w:t>15</w:t>
            </w:r>
          </w:p>
        </w:tc>
        <w:tc>
          <w:tcPr>
            <w:tcW w:w="1461" w:type="dxa"/>
            <w:vAlign w:val="center"/>
          </w:tcPr>
          <w:p>
            <w:pPr>
              <w:pStyle w:val="37"/>
              <w:jc w:val="center"/>
              <w:rPr>
                <w:kern w:val="0"/>
              </w:rPr>
            </w:pPr>
            <w:r>
              <w:rPr>
                <w:rFonts w:hint="eastAsia"/>
                <w:kern w:val="0"/>
              </w:rPr>
              <w:t>23</w:t>
            </w:r>
          </w:p>
        </w:tc>
        <w:tc>
          <w:tcPr>
            <w:tcW w:w="1494" w:type="dxa"/>
            <w:vAlign w:val="center"/>
          </w:tcPr>
          <w:p>
            <w:pPr>
              <w:pStyle w:val="37"/>
              <w:jc w:val="center"/>
              <w:rPr>
                <w:kern w:val="0"/>
              </w:rPr>
            </w:pPr>
            <w:r>
              <w:rPr>
                <w:rFonts w:hint="eastAsia"/>
                <w:kern w:val="0"/>
              </w:rPr>
              <w:t>38</w:t>
            </w:r>
          </w:p>
        </w:tc>
        <w:tc>
          <w:tcPr>
            <w:tcW w:w="1461" w:type="dxa"/>
            <w:vAlign w:val="center"/>
          </w:tcPr>
          <w:p>
            <w:pPr>
              <w:pStyle w:val="37"/>
              <w:jc w:val="center"/>
              <w:rPr>
                <w:kern w:val="0"/>
              </w:rPr>
            </w:pPr>
            <w:r>
              <w:rPr>
                <w:rFonts w:hint="eastAsia"/>
                <w:kern w:val="0"/>
              </w:rPr>
              <w:t>13</w:t>
            </w:r>
          </w:p>
        </w:tc>
        <w:tc>
          <w:tcPr>
            <w:tcW w:w="1484" w:type="dxa"/>
            <w:vAlign w:val="center"/>
          </w:tcPr>
          <w:p>
            <w:pPr>
              <w:pStyle w:val="37"/>
              <w:jc w:val="center"/>
              <w:rPr>
                <w:kern w:val="0"/>
              </w:rPr>
            </w:pPr>
            <w:r>
              <w:rPr>
                <w:rFonts w:hint="eastAsia"/>
                <w:kern w:val="0"/>
              </w:rPr>
              <w:t>89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461" w:type="dxa"/>
            <w:vAlign w:val="center"/>
          </w:tcPr>
          <w:p>
            <w:pPr>
              <w:pStyle w:val="37"/>
              <w:jc w:val="center"/>
              <w:rPr>
                <w:rFonts w:ascii="宋体" w:hAnsi="宋体"/>
                <w:kern w:val="0"/>
              </w:rPr>
            </w:pPr>
            <w:r>
              <w:rPr>
                <w:rFonts w:hint="eastAsia" w:ascii="宋体" w:hAnsi="宋体"/>
                <w:kern w:val="0"/>
              </w:rPr>
              <w:t>得分率</w:t>
            </w:r>
          </w:p>
        </w:tc>
        <w:tc>
          <w:tcPr>
            <w:tcW w:w="1459" w:type="dxa"/>
            <w:vAlign w:val="center"/>
          </w:tcPr>
          <w:p>
            <w:pPr>
              <w:pStyle w:val="37"/>
              <w:jc w:val="center"/>
              <w:rPr>
                <w:kern w:val="0"/>
              </w:rPr>
            </w:pPr>
            <w:r>
              <w:rPr>
                <w:rFonts w:hint="eastAsia"/>
                <w:kern w:val="0"/>
              </w:rPr>
              <w:t>88.2</w:t>
            </w:r>
            <w:r>
              <w:rPr>
                <w:kern w:val="0"/>
              </w:rPr>
              <w:t>%</w:t>
            </w:r>
          </w:p>
        </w:tc>
        <w:tc>
          <w:tcPr>
            <w:tcW w:w="1461" w:type="dxa"/>
            <w:vAlign w:val="center"/>
          </w:tcPr>
          <w:p>
            <w:pPr>
              <w:pStyle w:val="37"/>
              <w:jc w:val="center"/>
              <w:rPr>
                <w:kern w:val="0"/>
              </w:rPr>
            </w:pPr>
            <w:r>
              <w:rPr>
                <w:rFonts w:hint="eastAsia"/>
                <w:kern w:val="0"/>
              </w:rPr>
              <w:t>100</w:t>
            </w:r>
            <w:r>
              <w:rPr>
                <w:kern w:val="0"/>
              </w:rPr>
              <w:t>%</w:t>
            </w:r>
          </w:p>
        </w:tc>
        <w:tc>
          <w:tcPr>
            <w:tcW w:w="1494" w:type="dxa"/>
            <w:vAlign w:val="center"/>
          </w:tcPr>
          <w:p>
            <w:pPr>
              <w:pStyle w:val="37"/>
              <w:jc w:val="center"/>
              <w:rPr>
                <w:kern w:val="0"/>
              </w:rPr>
            </w:pPr>
            <w:r>
              <w:rPr>
                <w:rFonts w:hint="eastAsia"/>
                <w:kern w:val="0"/>
              </w:rPr>
              <w:t>100</w:t>
            </w:r>
            <w:r>
              <w:rPr>
                <w:kern w:val="0"/>
              </w:rPr>
              <w:t>%</w:t>
            </w:r>
          </w:p>
        </w:tc>
        <w:tc>
          <w:tcPr>
            <w:tcW w:w="1461" w:type="dxa"/>
            <w:vAlign w:val="center"/>
          </w:tcPr>
          <w:p>
            <w:pPr>
              <w:pStyle w:val="37"/>
              <w:jc w:val="center"/>
              <w:rPr>
                <w:kern w:val="0"/>
              </w:rPr>
            </w:pPr>
            <w:r>
              <w:rPr>
                <w:rFonts w:hint="eastAsia"/>
                <w:kern w:val="0"/>
              </w:rPr>
              <w:t>59.1</w:t>
            </w:r>
            <w:r>
              <w:rPr>
                <w:kern w:val="0"/>
              </w:rPr>
              <w:t>%</w:t>
            </w:r>
          </w:p>
        </w:tc>
        <w:tc>
          <w:tcPr>
            <w:tcW w:w="1484" w:type="dxa"/>
            <w:vAlign w:val="center"/>
          </w:tcPr>
          <w:p>
            <w:pPr>
              <w:pStyle w:val="37"/>
              <w:jc w:val="center"/>
              <w:rPr>
                <w:kern w:val="0"/>
              </w:rPr>
            </w:pPr>
            <w:r>
              <w:rPr>
                <w:rFonts w:hint="eastAsia"/>
                <w:kern w:val="0"/>
              </w:rPr>
              <w:t>89</w:t>
            </w:r>
            <w:r>
              <w:rPr>
                <w:kern w:val="0"/>
              </w:rPr>
              <w:t>%</w:t>
            </w:r>
          </w:p>
        </w:tc>
      </w:tr>
    </w:tbl>
    <w:p>
      <w:pPr>
        <w:pStyle w:val="25"/>
        <w:ind w:firstLine="640"/>
        <w:rPr>
          <w:rFonts w:cs="仿宋_GB2312"/>
          <w:highlight w:val="yellow"/>
        </w:rPr>
      </w:pPr>
      <w:r>
        <w:rPr>
          <w:rFonts w:hint="eastAsia" w:cs="仿宋_GB2312"/>
        </w:rPr>
        <w:t>评价结论：一是项目决策方面，因病支出型困难家庭医疗救助项目立项依据充分，立项程序规范，预算编制测算数据合理，测算标准客观，符合项目需求。但存在数量指标未能具体体现项目实施期间单位计划完成的工作内容；质量指标未能体现项目预期实施内容达到的标准、水平和效果，无法衡量工作质量情况；成本指标未能具体明确体现项目实施期间预计使用的资金情况；社会效益指标与指标值不规范的问题。二是项目过程方面，财政资金到位及时，预算资金按照计划执行，资金使用符合规定，管理制度健全，制度执行有效。三是项目产出方面，产出数量、产出质量、产出时效和产出成本已达到预期目标。四是项目效益方面，项目实施</w:t>
      </w:r>
      <w:r>
        <w:rPr>
          <w:rFonts w:hint="eastAsia"/>
        </w:rPr>
        <w:t>有效的从救助申请流程、资格审批时效、医疗费用压力等方面减轻了因病支出型困难家庭负担，在解决因病致贫、因病返贫方面取得了较好的社会效果，但存在救助资金落实监管机制不完善、政策宣传工作形式单一的问题</w:t>
      </w:r>
      <w:r>
        <w:rPr>
          <w:rFonts w:hint="eastAsia" w:cs="仿宋_GB2312"/>
        </w:rPr>
        <w:t>。</w:t>
      </w:r>
    </w:p>
    <w:p>
      <w:pPr>
        <w:pStyle w:val="27"/>
      </w:pPr>
      <w:bookmarkStart w:id="9" w:name="_Toc28438"/>
      <w:r>
        <w:rPr>
          <w:rFonts w:hint="eastAsia"/>
        </w:rPr>
        <w:t>四、绩效评价指标分析</w:t>
      </w:r>
      <w:bookmarkEnd w:id="9"/>
    </w:p>
    <w:p>
      <w:pPr>
        <w:pStyle w:val="29"/>
        <w:ind w:firstLine="640"/>
      </w:pPr>
      <w:bookmarkStart w:id="10" w:name="_Toc4975"/>
      <w:r>
        <w:rPr>
          <w:rFonts w:hint="eastAsia"/>
        </w:rPr>
        <w:t>（一）项目决策情况</w:t>
      </w:r>
      <w:bookmarkEnd w:id="10"/>
    </w:p>
    <w:p>
      <w:pPr>
        <w:pStyle w:val="25"/>
        <w:ind w:firstLine="640"/>
      </w:pPr>
      <w:r>
        <w:rPr>
          <w:rFonts w:hint="eastAsia"/>
        </w:rPr>
        <w:t>决策指标主要包括项目立项、绩效目标、预算编制</w:t>
      </w:r>
      <w:r>
        <w:t>3</w:t>
      </w:r>
      <w:r>
        <w:rPr>
          <w:rFonts w:hint="eastAsia"/>
        </w:rPr>
        <w:t>项</w:t>
      </w:r>
      <w:r>
        <w:t>二级指标，8项三级指标，基础总分17分，合计得分1</w:t>
      </w:r>
      <w:r>
        <w:rPr>
          <w:rFonts w:hint="eastAsia"/>
        </w:rPr>
        <w:t>5</w:t>
      </w:r>
      <w:r>
        <w:t>分。</w:t>
      </w:r>
    </w:p>
    <w:p>
      <w:pPr>
        <w:pStyle w:val="25"/>
        <w:ind w:firstLine="640"/>
      </w:pPr>
      <w:r>
        <w:t>1.项目立项</w:t>
      </w:r>
    </w:p>
    <w:p>
      <w:pPr>
        <w:pStyle w:val="25"/>
        <w:ind w:firstLine="640"/>
      </w:pPr>
      <w:r>
        <w:rPr>
          <w:rFonts w:hint="eastAsia"/>
        </w:rPr>
        <w:t>（</w:t>
      </w:r>
      <w:r>
        <w:t>1）立项依据充分性（总分2分，得分2分）。</w:t>
      </w:r>
      <w:r>
        <w:rPr>
          <w:rFonts w:hint="eastAsia"/>
        </w:rPr>
        <w:t>因病支出型困难家庭医疗救助项目立项符合《市医保局等七部门关于进一步做好职能划转后医疗救助有关工作的通知》（津医保局发〔</w:t>
      </w:r>
      <w:r>
        <w:t>201</w:t>
      </w:r>
      <w:r>
        <w:rPr>
          <w:rFonts w:hint="eastAsia"/>
        </w:rPr>
        <w:t>9</w:t>
      </w:r>
      <w:r>
        <w:t>〕</w:t>
      </w:r>
      <w:r>
        <w:rPr>
          <w:rFonts w:hint="eastAsia"/>
        </w:rPr>
        <w:t>29</w:t>
      </w:r>
      <w:r>
        <w:t>号）</w:t>
      </w:r>
      <w:r>
        <w:rPr>
          <w:rFonts w:hint="eastAsia"/>
        </w:rPr>
        <w:t>、《市医保局市民政局市财政局关于完善因病支出型困难家庭医疗救助有关问题的通知》（津医保局发〔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文件中“对未纳入医疗救助、优抚补助等边缘型困难家庭医疗费用进行救助，切实减轻群众医疗费用负担，解决因病致贫、因病返贫方面取得较好的社会效果，为适应机构改革后工作需要，进一步完善因病支出型困难家庭医疗救助”的</w:t>
      </w:r>
      <w:r>
        <w:t>要求</w:t>
      </w:r>
      <w:r>
        <w:rPr>
          <w:rFonts w:hint="eastAsia"/>
        </w:rPr>
        <w:t>。因病支出型困难家庭医疗救助项目立项符合国家法律法规、国民经济发展规划和相关政策；符合行业发展规划和政策要求；与部门职责范围相符，属于部门履职所需；属于公共财政支持范围；未与其他部门同类项目或部门内部相关项目重复，项目立项依据充分。</w:t>
      </w:r>
    </w:p>
    <w:p>
      <w:pPr>
        <w:pStyle w:val="25"/>
        <w:ind w:firstLine="640"/>
      </w:pPr>
      <w:r>
        <w:rPr>
          <w:rFonts w:hint="eastAsia"/>
        </w:rPr>
        <w:t>（</w:t>
      </w:r>
      <w:r>
        <w:t>2）立项程序规范性（总分2分，得分2分）。</w:t>
      </w:r>
      <w:r>
        <w:rPr>
          <w:rFonts w:hint="eastAsia"/>
        </w:rPr>
        <w:t>因病支出型困难家庭医疗救助项目立项及实施经过单位党组会议集体决策，会议中对项目测算依据、项目实施计划、项目资金的拨付事项进行审议，项目按照规定程序进行申请设立，预算资金申请等各项审批材料齐全，立项程序规范。</w:t>
      </w:r>
    </w:p>
    <w:p>
      <w:pPr>
        <w:pStyle w:val="25"/>
        <w:tabs>
          <w:tab w:val="right" w:pos="8204"/>
        </w:tabs>
        <w:ind w:firstLine="640"/>
      </w:pPr>
      <w:r>
        <w:t>2.绩效目标</w:t>
      </w:r>
      <w:r>
        <w:rPr>
          <w:rFonts w:hint="eastAsia"/>
        </w:rPr>
        <w:tab/>
      </w:r>
    </w:p>
    <w:p>
      <w:pPr>
        <w:pStyle w:val="25"/>
        <w:ind w:firstLine="640"/>
      </w:pPr>
      <w:r>
        <w:rPr>
          <w:rFonts w:hint="eastAsia"/>
        </w:rPr>
        <w:t>（</w:t>
      </w:r>
      <w:r>
        <w:t>1）</w:t>
      </w:r>
      <w:r>
        <w:rPr>
          <w:rFonts w:hint="eastAsia"/>
        </w:rPr>
        <w:t>绩效目标明确性</w:t>
      </w:r>
      <w:r>
        <w:t>（总分2分，得分1分）。</w:t>
      </w:r>
      <w:r>
        <w:rPr>
          <w:rFonts w:hint="eastAsia"/>
          <w:bCs/>
        </w:rPr>
        <w:t>根据</w:t>
      </w:r>
      <w:r>
        <w:rPr>
          <w:rFonts w:hint="eastAsia"/>
        </w:rPr>
        <w:t>《天津市财政局关于印发&lt;天津市市级部门预算绩效目标管理办法&gt;的通知》（津财绩效〔2020〕16号）文件要求</w:t>
      </w:r>
      <w:r>
        <w:rPr>
          <w:rFonts w:hint="eastAsia"/>
          <w:bCs/>
        </w:rPr>
        <w:t>，“绩效目标、绩效指标与项目实施内容具有相关性，绩效指标应充分细化和量化，具备可衡量性”。</w:t>
      </w:r>
      <w:r>
        <w:rPr>
          <w:rFonts w:hint="eastAsia"/>
        </w:rPr>
        <w:t>天津市和平区医疗保障局制定的绩效指标与绩效目标任务数对应，但存在部分指标内容不明确、不具体、不可衡量的情况，具体问题如下：数量指标中“申请救助且符合救助条件的困难群众救助率”和“医疗救助政策范围内住院（含门特）自付费用救助比例”，其指标值分别为“100%”和“50%，最高不超过5万元”，指标设置未明确救助困难群众的具体数量，导致无法衡量医疗救助资金发放工作完成的情况，指标值设置不明确。质量指标中“项目资金预算编制规范性”“项目资金决算编制规范性”两项指标值均为“编制程序合规，编制及时”，与项目实施内容不匹配，</w:t>
      </w:r>
      <w:r>
        <w:rPr>
          <w:rFonts w:hint="eastAsia"/>
          <w:bCs/>
        </w:rPr>
        <w:t>未能体现项目预期实施内容达到的标准、水平和效果，无法衡量工作质量情况。</w:t>
      </w:r>
      <w:r>
        <w:rPr>
          <w:rFonts w:hint="eastAsia"/>
        </w:rPr>
        <w:t>成本指标“救助金发放数额”，其指标值为“依据申请和审批结果足额发放”，指标设置未明确救助金发放的金额，未能具体明确体现项目实施期间预计使用的资金情况。社会效益指标“对申请救助且符合救助条件的困难群众进行医疗救助”，指标未能明确体现项目预期达到的效益。</w:t>
      </w:r>
    </w:p>
    <w:p>
      <w:pPr>
        <w:pStyle w:val="25"/>
        <w:ind w:firstLine="640"/>
      </w:pPr>
      <w:r>
        <w:rPr>
          <w:rFonts w:hint="eastAsia"/>
        </w:rPr>
        <w:t>（</w:t>
      </w:r>
      <w:r>
        <w:t>2）</w:t>
      </w:r>
      <w:r>
        <w:rPr>
          <w:rFonts w:hint="eastAsia"/>
        </w:rPr>
        <w:t>绩效目标合理性</w:t>
      </w:r>
      <w:r>
        <w:t>（总分4分，得分</w:t>
      </w:r>
      <w:r>
        <w:rPr>
          <w:rFonts w:hint="eastAsia"/>
        </w:rPr>
        <w:t>3</w:t>
      </w:r>
      <w:r>
        <w:t>分）。</w:t>
      </w:r>
      <w:r>
        <w:rPr>
          <w:rFonts w:hint="eastAsia"/>
          <w:bCs/>
        </w:rPr>
        <w:t>根据《天津市财政局关于印发</w:t>
      </w:r>
      <w:r>
        <w:rPr>
          <w:bCs/>
        </w:rPr>
        <w:t>&lt;天津市市级部门预算绩效目标管理办法&gt;的通知》（津财绩效〔2020〕16号）文件要求“绩效目标要能清晰反映预算资金的预期产出和效果</w:t>
      </w:r>
      <w:r>
        <w:rPr>
          <w:rFonts w:hint="eastAsia"/>
          <w:bCs/>
        </w:rPr>
        <w:t>”；根据</w:t>
      </w:r>
      <w:r>
        <w:rPr>
          <w:rFonts w:hint="eastAsia"/>
        </w:rPr>
        <w:t>天津市和平区医疗保障局</w:t>
      </w:r>
      <w:r>
        <w:rPr>
          <w:rFonts w:hint="eastAsia"/>
          <w:bCs/>
        </w:rPr>
        <w:t>提供的项目绩效目标申报表</w:t>
      </w:r>
      <w:r>
        <w:rPr>
          <w:bCs/>
        </w:rPr>
        <w:t>，</w:t>
      </w:r>
      <w:r>
        <w:rPr>
          <w:rFonts w:hint="eastAsia"/>
        </w:rPr>
        <w:t>因病支出型困难家庭医疗救助项目</w:t>
      </w:r>
      <w:r>
        <w:rPr>
          <w:rFonts w:hint="eastAsia"/>
          <w:bCs/>
        </w:rPr>
        <w:t>绩效目标为</w:t>
      </w:r>
      <w:r>
        <w:rPr>
          <w:rFonts w:hint="eastAsia"/>
        </w:rPr>
        <w:t>“按照救助政策确保申请救助且符合救助条件的困难群众应救尽救，政策范围内的救助金依申请和审批结果准时、足额发放，防止困难群众因病返贫、因病致贫，切实减轻困难群众的医疗负担”。</w:t>
      </w:r>
      <w:r>
        <w:rPr>
          <w:rFonts w:hint="eastAsia"/>
          <w:bCs/>
        </w:rPr>
        <w:t>项目绩效目标与项目实际工作内容相匹配，</w:t>
      </w:r>
      <w:r>
        <w:rPr>
          <w:rFonts w:hint="eastAsia"/>
        </w:rPr>
        <w:t>针对</w:t>
      </w:r>
      <w:r>
        <w:rPr>
          <w:rFonts w:hint="eastAsia"/>
          <w:bCs/>
        </w:rPr>
        <w:t>项目绩效目标已细化分解为具体的绩效指标，项目</w:t>
      </w:r>
      <w:r>
        <w:rPr>
          <w:bCs/>
        </w:rPr>
        <w:t>绩效目标设立的金额分别为</w:t>
      </w:r>
      <w:r>
        <w:rPr>
          <w:rFonts w:hint="eastAsia"/>
          <w:bCs/>
        </w:rPr>
        <w:t>50</w:t>
      </w:r>
      <w:r>
        <w:rPr>
          <w:bCs/>
        </w:rPr>
        <w:t>万元，与预算确定的资金量相匹配</w:t>
      </w:r>
      <w:r>
        <w:rPr>
          <w:rFonts w:hint="eastAsia"/>
          <w:bCs/>
        </w:rPr>
        <w:t>，但</w:t>
      </w:r>
      <w:r>
        <w:rPr>
          <w:rFonts w:hint="eastAsia"/>
        </w:rPr>
        <w:t>项目的指标未能清晰明确反映出计划补贴人数、补贴发放质量等情况，</w:t>
      </w:r>
      <w:r>
        <w:rPr>
          <w:rFonts w:hint="eastAsia"/>
          <w:bCs/>
        </w:rPr>
        <w:t>无法判断项目预期产出是否符合正常的业绩水平</w:t>
      </w:r>
      <w:r>
        <w:rPr>
          <w:rFonts w:hint="eastAsia"/>
        </w:rPr>
        <w:t>。</w:t>
      </w:r>
    </w:p>
    <w:p>
      <w:pPr>
        <w:pStyle w:val="25"/>
        <w:ind w:firstLine="640"/>
      </w:pPr>
      <w:r>
        <w:t>3.</w:t>
      </w:r>
      <w:r>
        <w:rPr>
          <w:rFonts w:hint="eastAsia"/>
        </w:rPr>
        <w:t>预算编制</w:t>
      </w:r>
    </w:p>
    <w:p>
      <w:pPr>
        <w:pStyle w:val="25"/>
        <w:ind w:firstLine="640"/>
        <w:rPr>
          <w:highlight w:val="yellow"/>
        </w:rPr>
      </w:pPr>
      <w:r>
        <w:rPr>
          <w:rFonts w:hint="eastAsia"/>
        </w:rPr>
        <w:t>（</w:t>
      </w:r>
      <w:r>
        <w:t>1）</w:t>
      </w:r>
      <w:r>
        <w:rPr>
          <w:rFonts w:hint="eastAsia"/>
        </w:rPr>
        <w:t>测算内容合规性</w:t>
      </w:r>
      <w:r>
        <w:t>（总分2分，得分2分）。</w:t>
      </w:r>
      <w:r>
        <w:rPr>
          <w:rFonts w:hint="eastAsia"/>
        </w:rPr>
        <w:t>天津市和平区医疗保障局项目测算内容为支付符合因病支出型困难家庭医疗救助申请条件的困难群体的医疗救助金，其内容符合《市医保局等七部门关于进一步做好职能划转后医疗救助有关工作的通知》（津医保局发〔</w:t>
      </w:r>
      <w:r>
        <w:t>201</w:t>
      </w:r>
      <w:r>
        <w:rPr>
          <w:rFonts w:hint="eastAsia"/>
        </w:rPr>
        <w:t>9</w:t>
      </w:r>
      <w:r>
        <w:t>〕</w:t>
      </w:r>
      <w:r>
        <w:rPr>
          <w:rFonts w:hint="eastAsia"/>
        </w:rPr>
        <w:t>29</w:t>
      </w:r>
      <w:r>
        <w:t>号）</w:t>
      </w:r>
      <w:r>
        <w:rPr>
          <w:rFonts w:hint="eastAsia"/>
        </w:rPr>
        <w:t>和《市医保局市民政局市财政局关于完善因病支出型困难家庭医疗救助有关问题的通知》（津医保局发〔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等</w:t>
      </w:r>
      <w:r>
        <w:t>文件规定的范围，未发现项目的测算内容出现测算重复，测算内容合规。</w:t>
      </w:r>
    </w:p>
    <w:p>
      <w:pPr>
        <w:pStyle w:val="25"/>
        <w:ind w:firstLine="640"/>
      </w:pPr>
      <w:r>
        <w:rPr>
          <w:rFonts w:hint="eastAsia"/>
        </w:rPr>
        <w:t>（</w:t>
      </w:r>
      <w:r>
        <w:t>2）</w:t>
      </w:r>
      <w:r>
        <w:rPr>
          <w:rFonts w:hint="eastAsia"/>
        </w:rPr>
        <w:t>测算标准合理性</w:t>
      </w:r>
      <w:r>
        <w:t>（总分1分，得分1分）。</w:t>
      </w:r>
      <w:r>
        <w:rPr>
          <w:rFonts w:hint="eastAsia"/>
        </w:rPr>
        <w:t>天津市和平区医疗保障局测算内容符合相关文件规定和领域管理标准，因病支出型困难家庭医疗救助项目测算依据的《市医保局等七部门关于进一步做好职能划转后医疗救助有关工作的通知》（津医保局发〔</w:t>
      </w:r>
      <w:r>
        <w:t>201</w:t>
      </w:r>
      <w:r>
        <w:rPr>
          <w:rFonts w:hint="eastAsia"/>
        </w:rPr>
        <w:t>9</w:t>
      </w:r>
      <w:r>
        <w:t>〕</w:t>
      </w:r>
      <w:r>
        <w:rPr>
          <w:rFonts w:hint="eastAsia"/>
        </w:rPr>
        <w:t>29</w:t>
      </w:r>
      <w:r>
        <w:t>号）</w:t>
      </w:r>
      <w:r>
        <w:rPr>
          <w:rFonts w:hint="eastAsia"/>
        </w:rPr>
        <w:t>和《市医保局市民政局市财政局关于完善因病支出型困难家庭医疗救助有关问题的通知》（津医保局发〔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符合上级管理部门的标准及社会实际支出水平，测算标准合理。</w:t>
      </w:r>
    </w:p>
    <w:p>
      <w:pPr>
        <w:pStyle w:val="25"/>
        <w:ind w:firstLine="640"/>
      </w:pPr>
      <w:r>
        <w:rPr>
          <w:rFonts w:hint="eastAsia"/>
        </w:rPr>
        <w:t>（</w:t>
      </w:r>
      <w:r>
        <w:t>3）</w:t>
      </w:r>
      <w:r>
        <w:rPr>
          <w:rFonts w:hint="eastAsia"/>
        </w:rPr>
        <w:t>测算数据客观性</w:t>
      </w:r>
      <w:r>
        <w:t>（总分2分，得分2分）。</w:t>
      </w:r>
      <w:r>
        <w:rPr>
          <w:rFonts w:hint="eastAsia"/>
        </w:rPr>
        <w:t>天津市和平区医疗保障局因病支出型困难家庭医疗救助项目2020年共计支出40余万元，随着政策知晓率提升，预计申请人数有所增长，年初该项目测算金额为50万元，后续调整预算金额为63.4万元，2021年实际支出63.4万元，因此补贴标准与历史数据具有可比性，预算测算数据有合规佐证依据，测算数据客观。</w:t>
      </w:r>
    </w:p>
    <w:p>
      <w:pPr>
        <w:pStyle w:val="25"/>
        <w:ind w:firstLine="640"/>
      </w:pPr>
      <w:r>
        <w:rPr>
          <w:rFonts w:hint="eastAsia"/>
        </w:rPr>
        <w:t>（</w:t>
      </w:r>
      <w:r>
        <w:t>4）</w:t>
      </w:r>
      <w:r>
        <w:rPr>
          <w:rFonts w:hint="eastAsia"/>
        </w:rPr>
        <w:t>测算过程细化度</w:t>
      </w:r>
      <w:r>
        <w:t>（总分2分，得分2分）</w:t>
      </w:r>
      <w:r>
        <w:rPr>
          <w:rFonts w:hint="eastAsia"/>
        </w:rPr>
        <w:t>。天津市和平区医疗保障局因病支出型困难家庭医疗救助项目资金测算内容是为符合因病支出型困难家庭发放医疗救助补贴，预算按照补贴内容、人数进行细化测算，预算资金全部为区级预算资金。项目测算过程细化程度良好。</w:t>
      </w:r>
    </w:p>
    <w:p>
      <w:pPr>
        <w:pStyle w:val="29"/>
        <w:ind w:firstLine="640"/>
      </w:pPr>
      <w:bookmarkStart w:id="11" w:name="_Toc32683"/>
      <w:r>
        <w:rPr>
          <w:rFonts w:hint="eastAsia"/>
        </w:rPr>
        <w:t>（二）项目过程情况</w:t>
      </w:r>
      <w:bookmarkEnd w:id="11"/>
    </w:p>
    <w:p>
      <w:pPr>
        <w:pStyle w:val="25"/>
        <w:ind w:firstLine="640"/>
      </w:pPr>
      <w:r>
        <w:rPr>
          <w:rFonts w:hint="eastAsia"/>
        </w:rPr>
        <w:t>过程指标主要包括资金管理、组织实施</w:t>
      </w:r>
      <w:r>
        <w:t>2</w:t>
      </w:r>
      <w:r>
        <w:rPr>
          <w:rFonts w:hint="eastAsia"/>
        </w:rPr>
        <w:t>项</w:t>
      </w:r>
      <w:r>
        <w:t>二级指标，6项三级指标，基础总分23分，合计得分</w:t>
      </w:r>
      <w:r>
        <w:rPr>
          <w:rFonts w:hint="eastAsia"/>
        </w:rPr>
        <w:t>23</w:t>
      </w:r>
      <w:r>
        <w:t>分。</w:t>
      </w:r>
    </w:p>
    <w:p>
      <w:pPr>
        <w:pStyle w:val="25"/>
        <w:ind w:firstLine="640"/>
      </w:pPr>
      <w:r>
        <w:t>1.资金管理</w:t>
      </w:r>
    </w:p>
    <w:p>
      <w:pPr>
        <w:pStyle w:val="25"/>
        <w:ind w:firstLine="640"/>
      </w:pPr>
      <w:r>
        <w:rPr>
          <w:rFonts w:hint="eastAsia"/>
        </w:rPr>
        <w:t>（</w:t>
      </w:r>
      <w:r>
        <w:t>1）资金到位率（总分2分，得分</w:t>
      </w:r>
      <w:r>
        <w:rPr>
          <w:rFonts w:hint="eastAsia"/>
        </w:rPr>
        <w:t>2</w:t>
      </w:r>
      <w:r>
        <w:t>分）。</w:t>
      </w:r>
      <w:r>
        <w:rPr>
          <w:rFonts w:hint="eastAsia"/>
        </w:rPr>
        <w:t>因病支出型困难家庭医疗救助项目预算总金额为63.4万元，其中年初预算资金50万元，执行中追加资金13.4万元，均为区级预算资金，实际到位资金63.4万元，资金到位率100%。</w:t>
      </w:r>
    </w:p>
    <w:p>
      <w:pPr>
        <w:pStyle w:val="25"/>
        <w:ind w:firstLine="640"/>
      </w:pPr>
      <w:r>
        <w:rPr>
          <w:rFonts w:hint="eastAsia"/>
        </w:rPr>
        <w:t>（</w:t>
      </w:r>
      <w:r>
        <w:t>2）资金到位</w:t>
      </w:r>
      <w:r>
        <w:rPr>
          <w:rFonts w:hint="eastAsia"/>
        </w:rPr>
        <w:t>及时</w:t>
      </w:r>
      <w:r>
        <w:t>率（总分2分，得分2分）</w:t>
      </w:r>
      <w:r>
        <w:rPr>
          <w:rFonts w:hint="eastAsia"/>
        </w:rPr>
        <w:t>。根据单位额度到账通知书、财务明细台账显示，截至2</w:t>
      </w:r>
      <w:r>
        <w:t>02</w:t>
      </w:r>
      <w:r>
        <w:rPr>
          <w:rFonts w:hint="eastAsia"/>
        </w:rPr>
        <w:t>2年12月17日，天津市和平区医疗保障局已收到天津市和平区财政局用款计划批复共计</w:t>
      </w:r>
      <w:r>
        <w:rPr>
          <w:rFonts w:hint="eastAsia"/>
          <w:sz w:val="36"/>
          <w:szCs w:val="36"/>
        </w:rPr>
        <w:t>63.4</w:t>
      </w:r>
      <w:r>
        <w:rPr>
          <w:rFonts w:hint="eastAsia"/>
        </w:rPr>
        <w:t>万元，资金到位及时</w:t>
      </w:r>
      <w:r>
        <w:rPr>
          <w:rFonts w:hint="eastAsia"/>
          <w:bCs/>
        </w:rPr>
        <w:t>，资金到位及时率为1</w:t>
      </w:r>
      <w:r>
        <w:rPr>
          <w:bCs/>
        </w:rPr>
        <w:t>00</w:t>
      </w:r>
      <w:r>
        <w:rPr>
          <w:rFonts w:hint="eastAsia"/>
          <w:bCs/>
        </w:rPr>
        <w:t>%。</w:t>
      </w:r>
    </w:p>
    <w:p>
      <w:pPr>
        <w:pStyle w:val="25"/>
        <w:ind w:firstLine="640"/>
        <w:rPr>
          <w:highlight w:val="yellow"/>
        </w:rPr>
      </w:pPr>
      <w:r>
        <w:rPr>
          <w:rFonts w:hint="eastAsia"/>
        </w:rPr>
        <w:t>（</w:t>
      </w:r>
      <w:r>
        <w:t>3）</w:t>
      </w:r>
      <w:r>
        <w:rPr>
          <w:rFonts w:hint="eastAsia"/>
        </w:rPr>
        <w:t>预算执行</w:t>
      </w:r>
      <w:r>
        <w:t>率（总分2分，得分</w:t>
      </w:r>
      <w:r>
        <w:rPr>
          <w:rFonts w:hint="eastAsia"/>
        </w:rPr>
        <w:t>2</w:t>
      </w:r>
      <w:r>
        <w:t>分）。</w:t>
      </w:r>
      <w:r>
        <w:rPr>
          <w:rFonts w:hint="eastAsia"/>
        </w:rPr>
        <w:t>因病支出型困难家庭医疗救助项目实际到位资金共计63.4万元。</w:t>
      </w:r>
      <w:r>
        <w:t>依据资金支付系统及单位提供的明细台账得出，</w:t>
      </w:r>
      <w:r>
        <w:rPr>
          <w:rFonts w:hint="eastAsia"/>
        </w:rPr>
        <w:t>实际支付项目金额63.4万元，资金预算执行率为100%。</w:t>
      </w:r>
    </w:p>
    <w:p>
      <w:pPr>
        <w:pStyle w:val="25"/>
        <w:ind w:firstLine="640"/>
      </w:pPr>
      <w:r>
        <w:rPr>
          <w:rFonts w:hint="eastAsia"/>
        </w:rPr>
        <w:t>具体情况见表3</w:t>
      </w:r>
      <w:r>
        <w:t>：</w:t>
      </w:r>
    </w:p>
    <w:p>
      <w:pPr>
        <w:pStyle w:val="25"/>
        <w:ind w:firstLine="560"/>
        <w:jc w:val="center"/>
        <w:rPr>
          <w:rFonts w:ascii="黑体" w:hAnsi="黑体" w:eastAsia="黑体" w:cs="宋体"/>
          <w:kern w:val="0"/>
          <w:sz w:val="28"/>
          <w:szCs w:val="28"/>
        </w:rPr>
      </w:pPr>
      <w:r>
        <w:rPr>
          <w:rFonts w:hint="eastAsia" w:ascii="黑体" w:hAnsi="黑体" w:eastAsia="黑体" w:cs="宋体"/>
          <w:kern w:val="0"/>
          <w:sz w:val="28"/>
          <w:szCs w:val="28"/>
        </w:rPr>
        <w:t>表3</w:t>
      </w:r>
      <w:r>
        <w:rPr>
          <w:rFonts w:ascii="黑体" w:hAnsi="黑体" w:eastAsia="黑体" w:cs="宋体"/>
          <w:kern w:val="0"/>
          <w:sz w:val="28"/>
          <w:szCs w:val="28"/>
        </w:rPr>
        <w:t xml:space="preserve">  </w:t>
      </w:r>
      <w:r>
        <w:rPr>
          <w:rFonts w:hint="eastAsia" w:ascii="黑体" w:hAnsi="黑体" w:eastAsia="黑体" w:cs="宋体"/>
          <w:kern w:val="0"/>
          <w:sz w:val="28"/>
          <w:szCs w:val="28"/>
        </w:rPr>
        <w:t>因病支出型困难家庭医疗救助项目预算执行情况表</w:t>
      </w:r>
    </w:p>
    <w:p>
      <w:pPr>
        <w:pStyle w:val="9"/>
        <w:spacing w:line="280" w:lineRule="exact"/>
        <w:ind w:firstLine="420"/>
        <w:jc w:val="center"/>
        <w:rPr>
          <w:rFonts w:ascii="黑体" w:hAnsi="黑体" w:eastAsia="黑体"/>
          <w:sz w:val="28"/>
          <w:szCs w:val="28"/>
        </w:rPr>
      </w:pPr>
      <w:r>
        <w:rPr>
          <w:rFonts w:hint="eastAsia" w:ascii="黑体" w:hAnsi="黑体" w:eastAsia="黑体" w:cs="宋体"/>
          <w:sz w:val="28"/>
          <w:szCs w:val="28"/>
        </w:rPr>
        <w:t xml:space="preserve">                                                 </w:t>
      </w:r>
    </w:p>
    <w:tbl>
      <w:tblPr>
        <w:tblStyle w:val="18"/>
        <w:tblW w:w="668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388"/>
        <w:gridCol w:w="229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4388" w:type="dxa"/>
            <w:vAlign w:val="center"/>
          </w:tcPr>
          <w:p>
            <w:pPr>
              <w:widowControl/>
              <w:snapToGrid w:val="0"/>
              <w:spacing w:line="240" w:lineRule="auto"/>
              <w:ind w:firstLine="0" w:firstLineChars="0"/>
              <w:jc w:val="center"/>
              <w:rPr>
                <w:rFonts w:ascii="宋体" w:hAnsi="宋体" w:eastAsia="宋体" w:cs="宋体"/>
                <w:b/>
                <w:kern w:val="0"/>
              </w:rPr>
            </w:pPr>
            <w:r>
              <w:rPr>
                <w:rFonts w:hint="eastAsia" w:ascii="宋体" w:hAnsi="宋体" w:eastAsia="宋体" w:cs="宋体"/>
                <w:b/>
                <w:kern w:val="0"/>
              </w:rPr>
              <w:t>资金性质</w:t>
            </w:r>
          </w:p>
        </w:tc>
        <w:tc>
          <w:tcPr>
            <w:tcW w:w="2299" w:type="dxa"/>
            <w:vAlign w:val="center"/>
          </w:tcPr>
          <w:p>
            <w:pPr>
              <w:widowControl/>
              <w:snapToGrid w:val="0"/>
              <w:spacing w:line="240" w:lineRule="auto"/>
              <w:ind w:firstLine="0" w:firstLineChars="0"/>
              <w:jc w:val="center"/>
              <w:rPr>
                <w:rFonts w:ascii="宋体" w:hAnsi="宋体" w:eastAsia="宋体" w:cs="宋体"/>
                <w:b/>
                <w:kern w:val="0"/>
              </w:rPr>
            </w:pPr>
            <w:r>
              <w:rPr>
                <w:rFonts w:hint="eastAsia" w:ascii="宋体" w:hAnsi="宋体" w:eastAsia="宋体" w:cs="宋体"/>
                <w:b/>
                <w:kern w:val="0"/>
              </w:rPr>
              <w:t>区级资金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4388" w:type="dxa"/>
            <w:vAlign w:val="center"/>
          </w:tcPr>
          <w:p>
            <w:pPr>
              <w:widowControl/>
              <w:snapToGrid w:val="0"/>
              <w:spacing w:line="240" w:lineRule="auto"/>
              <w:ind w:firstLine="0" w:firstLineChars="0"/>
              <w:jc w:val="center"/>
              <w:rPr>
                <w:rFonts w:ascii="宋体" w:hAnsi="宋体" w:eastAsia="宋体" w:cs="宋体"/>
                <w:b/>
                <w:bCs/>
                <w:kern w:val="0"/>
              </w:rPr>
            </w:pPr>
            <w:r>
              <w:rPr>
                <w:rFonts w:hint="eastAsia" w:ascii="宋体" w:hAnsi="宋体" w:eastAsia="宋体"/>
                <w:kern w:val="0"/>
              </w:rPr>
              <w:t>实际到位金额</w:t>
            </w:r>
          </w:p>
        </w:tc>
        <w:tc>
          <w:tcPr>
            <w:tcW w:w="2299" w:type="dxa"/>
            <w:vAlign w:val="center"/>
          </w:tcPr>
          <w:p>
            <w:pPr>
              <w:widowControl/>
              <w:snapToGrid w:val="0"/>
              <w:spacing w:line="240" w:lineRule="auto"/>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63.4万元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4388" w:type="dxa"/>
            <w:vAlign w:val="center"/>
          </w:tcPr>
          <w:p>
            <w:pPr>
              <w:widowControl/>
              <w:snapToGrid w:val="0"/>
              <w:spacing w:line="240" w:lineRule="auto"/>
              <w:ind w:firstLine="0" w:firstLineChars="0"/>
              <w:jc w:val="center"/>
              <w:rPr>
                <w:rFonts w:ascii="宋体" w:hAnsi="宋体" w:eastAsia="宋体"/>
                <w:kern w:val="0"/>
              </w:rPr>
            </w:pPr>
            <w:r>
              <w:rPr>
                <w:rFonts w:hint="eastAsia" w:ascii="宋体" w:hAnsi="宋体" w:eastAsia="宋体"/>
                <w:kern w:val="0"/>
              </w:rPr>
              <w:t>实际支出金额</w:t>
            </w:r>
          </w:p>
        </w:tc>
        <w:tc>
          <w:tcPr>
            <w:tcW w:w="2299" w:type="dxa"/>
            <w:vAlign w:val="center"/>
          </w:tcPr>
          <w:p>
            <w:pPr>
              <w:widowControl/>
              <w:snapToGrid w:val="0"/>
              <w:spacing w:line="240" w:lineRule="auto"/>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63.4万元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4388" w:type="dxa"/>
            <w:vAlign w:val="center"/>
          </w:tcPr>
          <w:p>
            <w:pPr>
              <w:widowControl/>
              <w:snapToGrid w:val="0"/>
              <w:spacing w:line="240" w:lineRule="auto"/>
              <w:ind w:firstLine="0" w:firstLineChars="0"/>
              <w:jc w:val="center"/>
              <w:rPr>
                <w:rFonts w:ascii="宋体" w:hAnsi="宋体" w:eastAsia="宋体"/>
                <w:kern w:val="0"/>
              </w:rPr>
            </w:pPr>
            <w:r>
              <w:rPr>
                <w:rFonts w:hint="eastAsia" w:ascii="宋体" w:hAnsi="宋体" w:eastAsia="宋体"/>
                <w:kern w:val="0"/>
              </w:rPr>
              <w:t>预算执行率</w:t>
            </w:r>
          </w:p>
        </w:tc>
        <w:tc>
          <w:tcPr>
            <w:tcW w:w="2299" w:type="dxa"/>
            <w:vAlign w:val="center"/>
          </w:tcPr>
          <w:p>
            <w:pPr>
              <w:widowControl/>
              <w:snapToGrid w:val="0"/>
              <w:spacing w:line="240" w:lineRule="auto"/>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1</w:t>
            </w:r>
            <w:r>
              <w:rPr>
                <w:rFonts w:ascii="Times New Roman" w:hAnsi="Times New Roman" w:eastAsia="宋体" w:cs="Times New Roman"/>
                <w:kern w:val="0"/>
              </w:rPr>
              <w:t>00%</w:t>
            </w:r>
          </w:p>
        </w:tc>
      </w:tr>
    </w:tbl>
    <w:p>
      <w:pPr>
        <w:pStyle w:val="25"/>
        <w:ind w:firstLine="640"/>
        <w:rPr>
          <w:highlight w:val="yellow"/>
        </w:rPr>
      </w:pPr>
      <w:r>
        <w:rPr>
          <w:rFonts w:hint="eastAsia"/>
        </w:rPr>
        <w:t>（</w:t>
      </w:r>
      <w:r>
        <w:t>4）</w:t>
      </w:r>
      <w:r>
        <w:rPr>
          <w:rFonts w:hint="eastAsia"/>
        </w:rPr>
        <w:t>资金使用合规性</w:t>
      </w:r>
      <w:r>
        <w:t>（总分10分，得分</w:t>
      </w:r>
      <w:r>
        <w:rPr>
          <w:rFonts w:hint="eastAsia"/>
        </w:rPr>
        <w:t>10</w:t>
      </w:r>
      <w:r>
        <w:t>分）。</w:t>
      </w:r>
      <w:r>
        <w:rPr>
          <w:rFonts w:hint="eastAsia"/>
        </w:rPr>
        <w:t>天津市和平区医疗保障局资金使用方面符合《市医保局市民政局市财政局关于完善因病支出型困难家庭医疗救助有关问题的通知》（津医保局发〔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以及国家财经法规和财务管理制度，</w:t>
      </w:r>
      <w:r>
        <w:rPr>
          <w:rFonts w:hint="eastAsia"/>
          <w:bCs/>
        </w:rPr>
        <w:t>财务记账符合国家财经法规和财务管理制度规定；项目资金拨付有完整的审批程序和手续，各明细项目支出有完整的请款申请及资金审批单据；支出符合预算批复和合同规定用途</w:t>
      </w:r>
      <w:r>
        <w:rPr>
          <w:rFonts w:hint="eastAsia"/>
        </w:rPr>
        <w:t>；未发现有截留、挤占、挪用、虚列支出等情况，资金使用方面无违纪行为，资金使用合规。</w:t>
      </w:r>
    </w:p>
    <w:p>
      <w:pPr>
        <w:pStyle w:val="25"/>
        <w:ind w:firstLine="640"/>
      </w:pPr>
      <w:r>
        <w:t>2.</w:t>
      </w:r>
      <w:r>
        <w:rPr>
          <w:rFonts w:hint="eastAsia"/>
        </w:rPr>
        <w:t>组织实施</w:t>
      </w:r>
    </w:p>
    <w:p>
      <w:pPr>
        <w:pStyle w:val="25"/>
        <w:ind w:firstLine="640"/>
      </w:pPr>
      <w:r>
        <w:rPr>
          <w:rFonts w:hint="eastAsia"/>
        </w:rPr>
        <w:t>（</w:t>
      </w:r>
      <w:r>
        <w:t>1）</w:t>
      </w:r>
      <w:r>
        <w:rPr>
          <w:rFonts w:hint="eastAsia"/>
        </w:rPr>
        <w:t>管理制度健全性</w:t>
      </w:r>
      <w:r>
        <w:t>（总分2分，得分2分）。</w:t>
      </w:r>
      <w:r>
        <w:rPr>
          <w:rFonts w:hint="eastAsia"/>
        </w:rPr>
        <w:t>天津市和平区医疗保障局主要依据《市医保局等七部门关于进一步做好职能划转后医疗救助有关工作的通知》（津医保局发〔</w:t>
      </w:r>
      <w:r>
        <w:t>201</w:t>
      </w:r>
      <w:r>
        <w:rPr>
          <w:rFonts w:hint="eastAsia"/>
        </w:rPr>
        <w:t>9</w:t>
      </w:r>
      <w:r>
        <w:t>〕</w:t>
      </w:r>
      <w:r>
        <w:rPr>
          <w:rFonts w:hint="eastAsia"/>
        </w:rPr>
        <w:t>29</w:t>
      </w:r>
      <w:r>
        <w:t>号）</w:t>
      </w:r>
      <w:r>
        <w:rPr>
          <w:rFonts w:hint="eastAsia"/>
        </w:rPr>
        <w:t>和《市医保局市民政局市财政局关于完善因病支出型困难家庭医疗救助有关问题的通知》（津医保局发〔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等对本项目进行管理，且天津市和平区医疗保障局具有规范的内部控制管理制度，财务和业务管理制度合法、合规，制度中也明确项目申报、项目实施、项目结项及项目后续</w:t>
      </w:r>
      <w:r>
        <w:t>4个环节的管理</w:t>
      </w:r>
      <w:r>
        <w:rPr>
          <w:rFonts w:hint="eastAsia"/>
        </w:rPr>
        <w:t>要求</w:t>
      </w:r>
      <w:r>
        <w:t>，项目管理制度健全。</w:t>
      </w:r>
    </w:p>
    <w:p>
      <w:pPr>
        <w:pStyle w:val="25"/>
        <w:ind w:firstLine="640"/>
        <w:rPr>
          <w:highlight w:val="yellow"/>
        </w:rPr>
      </w:pPr>
      <w:r>
        <w:rPr>
          <w:rFonts w:hint="eastAsia"/>
        </w:rPr>
        <w:t>（</w:t>
      </w:r>
      <w:r>
        <w:t>2）</w:t>
      </w:r>
      <w:r>
        <w:rPr>
          <w:rFonts w:hint="eastAsia"/>
        </w:rPr>
        <w:t>制度执行有效性</w:t>
      </w:r>
      <w:r>
        <w:t>（总分5分，得分</w:t>
      </w:r>
      <w:r>
        <w:rPr>
          <w:rFonts w:hint="eastAsia"/>
        </w:rPr>
        <w:t>5</w:t>
      </w:r>
      <w:r>
        <w:t>分）</w:t>
      </w:r>
      <w:r>
        <w:rPr>
          <w:rFonts w:hint="eastAsia"/>
        </w:rPr>
        <w:t>。因病支出型困难家庭医疗救助项目相关审批资料、资金拨付资料齐全，并及时归档，</w:t>
      </w:r>
      <w:r>
        <w:t>项目调整及支出调整手续齐全完备，</w:t>
      </w:r>
      <w:r>
        <w:rPr>
          <w:rFonts w:hint="eastAsia"/>
        </w:rPr>
        <w:t>项目实施过程中各项请款、付款文件齐全并及时归档。</w:t>
      </w:r>
    </w:p>
    <w:p>
      <w:pPr>
        <w:pStyle w:val="29"/>
        <w:ind w:firstLine="640"/>
      </w:pPr>
      <w:bookmarkStart w:id="12" w:name="_Toc9551"/>
      <w:r>
        <w:rPr>
          <w:rFonts w:hint="eastAsia"/>
        </w:rPr>
        <w:t>（三）项目产出情况</w:t>
      </w:r>
      <w:bookmarkEnd w:id="12"/>
    </w:p>
    <w:p>
      <w:pPr>
        <w:pStyle w:val="25"/>
        <w:ind w:firstLine="640"/>
      </w:pPr>
      <w:r>
        <w:rPr>
          <w:rFonts w:hint="eastAsia"/>
        </w:rPr>
        <w:t>产出指标主要包括产出数量、产出质量、产出时效、产出成本</w:t>
      </w:r>
      <w:r>
        <w:t>4</w:t>
      </w:r>
      <w:r>
        <w:rPr>
          <w:rFonts w:hint="eastAsia"/>
        </w:rPr>
        <w:t>项</w:t>
      </w:r>
      <w:r>
        <w:t>二级指标，</w:t>
      </w:r>
      <w:r>
        <w:rPr>
          <w:rFonts w:hint="eastAsia"/>
        </w:rPr>
        <w:t>4</w:t>
      </w:r>
      <w:r>
        <w:t>项三级指标，基础总分</w:t>
      </w:r>
      <w:r>
        <w:rPr>
          <w:rFonts w:hint="eastAsia"/>
        </w:rPr>
        <w:t>38</w:t>
      </w:r>
      <w:r>
        <w:t>分，合计得分</w:t>
      </w:r>
      <w:r>
        <w:rPr>
          <w:rFonts w:hint="eastAsia"/>
        </w:rPr>
        <w:t>38</w:t>
      </w:r>
      <w:r>
        <w:t>分。</w:t>
      </w:r>
    </w:p>
    <w:p>
      <w:pPr>
        <w:pStyle w:val="25"/>
        <w:ind w:firstLine="640"/>
      </w:pPr>
      <w:r>
        <w:t>1.产出数量</w:t>
      </w:r>
    </w:p>
    <w:p>
      <w:pPr>
        <w:pStyle w:val="25"/>
        <w:ind w:firstLine="640"/>
      </w:pPr>
      <w:r>
        <w:rPr>
          <w:rFonts w:hint="eastAsia"/>
        </w:rPr>
        <w:t>（</w:t>
      </w:r>
      <w:r>
        <w:t>1）</w:t>
      </w:r>
      <w:r>
        <w:rPr>
          <w:rFonts w:hint="eastAsia"/>
        </w:rPr>
        <w:t>补贴因病支出型困难家庭完成率</w:t>
      </w:r>
      <w:r>
        <w:t>（总分</w:t>
      </w:r>
      <w:r>
        <w:rPr>
          <w:rFonts w:hint="eastAsia"/>
        </w:rPr>
        <w:t>10</w:t>
      </w:r>
      <w:r>
        <w:t>，得分</w:t>
      </w:r>
      <w:r>
        <w:rPr>
          <w:rFonts w:hint="eastAsia"/>
        </w:rPr>
        <w:t>10</w:t>
      </w:r>
      <w:r>
        <w:t>分）。</w:t>
      </w:r>
      <w:r>
        <w:rPr>
          <w:rFonts w:hint="eastAsia"/>
        </w:rPr>
        <w:t>天津市和平区共6个街道，根据实际困难群众向户籍地街道提出申请数据情况，202</w:t>
      </w:r>
      <w:r>
        <w:t>1</w:t>
      </w:r>
      <w:r>
        <w:rPr>
          <w:rFonts w:hint="eastAsia"/>
        </w:rPr>
        <w:t>年度五大道街道未有符合条件的困难群众申请，其余5个街道共计审核上报因病支出型困难家庭人员数量19人，天津市和平区医疗保障局2021年实际共发放因病支出型困难家庭医疗救助补贴达到19人（具体见表4），发放补贴已完成，补贴因病支出型困难家庭完成率为100%。</w:t>
      </w:r>
    </w:p>
    <w:p>
      <w:pPr>
        <w:pStyle w:val="25"/>
        <w:ind w:firstLine="560"/>
        <w:jc w:val="center"/>
        <w:rPr>
          <w:rFonts w:ascii="黑体" w:hAnsi="黑体" w:eastAsia="黑体" w:cs="宋体"/>
          <w:kern w:val="0"/>
          <w:sz w:val="28"/>
          <w:szCs w:val="28"/>
        </w:rPr>
      </w:pPr>
      <w:r>
        <w:rPr>
          <w:rFonts w:hint="eastAsia" w:ascii="黑体" w:hAnsi="黑体" w:eastAsia="黑体" w:cs="宋体"/>
          <w:kern w:val="0"/>
          <w:sz w:val="28"/>
          <w:szCs w:val="28"/>
        </w:rPr>
        <w:t>表4</w:t>
      </w:r>
      <w:r>
        <w:rPr>
          <w:rFonts w:ascii="黑体" w:hAnsi="黑体" w:eastAsia="黑体" w:cs="宋体"/>
          <w:kern w:val="0"/>
          <w:sz w:val="28"/>
          <w:szCs w:val="28"/>
        </w:rPr>
        <w:t xml:space="preserve"> </w:t>
      </w:r>
      <w:r>
        <w:rPr>
          <w:rFonts w:hint="eastAsia" w:ascii="黑体" w:hAnsi="黑体" w:eastAsia="黑体" w:cs="宋体"/>
          <w:kern w:val="0"/>
          <w:sz w:val="28"/>
          <w:szCs w:val="28"/>
        </w:rPr>
        <w:t>2021年因病支出型困难难家庭医疗救助统计表</w:t>
      </w:r>
    </w:p>
    <w:tbl>
      <w:tblPr>
        <w:tblStyle w:val="18"/>
        <w:tblW w:w="76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9"/>
        <w:gridCol w:w="2779"/>
        <w:gridCol w:w="2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2599"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街道</w:t>
            </w:r>
          </w:p>
        </w:tc>
        <w:tc>
          <w:tcPr>
            <w:tcW w:w="2779"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补贴人员名单</w:t>
            </w:r>
          </w:p>
        </w:tc>
        <w:tc>
          <w:tcPr>
            <w:tcW w:w="2292"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补贴金额（元）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restart"/>
            <w:vAlign w:val="center"/>
          </w:tcPr>
          <w:p>
            <w:pPr>
              <w:pStyle w:val="37"/>
              <w:jc w:val="center"/>
            </w:pPr>
            <w:r>
              <w:rPr>
                <w:rFonts w:hint="eastAsia"/>
              </w:rPr>
              <w:t>南市街</w:t>
            </w:r>
          </w:p>
        </w:tc>
        <w:tc>
          <w:tcPr>
            <w:tcW w:w="2779"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刘*清</w:t>
            </w:r>
          </w:p>
        </w:tc>
        <w:tc>
          <w:tcPr>
            <w:tcW w:w="2292" w:type="dxa"/>
            <w:vAlign w:val="center"/>
          </w:tcPr>
          <w:p>
            <w:pPr>
              <w:widowControl/>
              <w:ind w:firstLine="0" w:firstLineChars="0"/>
              <w:jc w:val="center"/>
              <w:textAlignment w:val="center"/>
              <w:rPr>
                <w:rFonts w:ascii="Times New Roman" w:hAnsi="Times New Roman" w:eastAsia="宋体" w:cs="Times New Roman"/>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pPr>
          </w:p>
        </w:tc>
        <w:tc>
          <w:tcPr>
            <w:tcW w:w="2779"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郝*华</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23898.10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pPr>
          </w:p>
        </w:tc>
        <w:tc>
          <w:tcPr>
            <w:tcW w:w="2779"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刘*</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20516.60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pPr>
          </w:p>
        </w:tc>
        <w:tc>
          <w:tcPr>
            <w:tcW w:w="2779"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张*玲</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29214.76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599" w:type="dxa"/>
            <w:vMerge w:val="continue"/>
            <w:vAlign w:val="center"/>
          </w:tcPr>
          <w:p>
            <w:pPr>
              <w:pStyle w:val="37"/>
              <w:jc w:val="center"/>
            </w:pPr>
          </w:p>
        </w:tc>
        <w:tc>
          <w:tcPr>
            <w:tcW w:w="2779"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付*城</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b/>
                <w:bCs/>
              </w:rPr>
            </w:pPr>
            <w:r>
              <w:rPr>
                <w:rFonts w:hint="eastAsia" w:ascii="宋体" w:hAnsi="宋体" w:eastAsia="宋体" w:cs="宋体"/>
                <w:color w:val="000000"/>
                <w:kern w:val="0"/>
                <w:sz w:val="22"/>
                <w:szCs w:val="22"/>
                <w:lang w:bidi="ar"/>
              </w:rPr>
              <w:t>吕*华</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15331.57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b/>
                <w:bCs/>
              </w:rPr>
            </w:pPr>
            <w:r>
              <w:rPr>
                <w:rFonts w:hint="eastAsia" w:ascii="宋体" w:hAnsi="宋体" w:eastAsia="宋体" w:cs="宋体"/>
                <w:color w:val="000000"/>
                <w:kern w:val="0"/>
                <w:sz w:val="22"/>
                <w:szCs w:val="22"/>
                <w:lang w:bidi="ar"/>
              </w:rPr>
              <w:t>尹*</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24365.67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restart"/>
            <w:vAlign w:val="center"/>
          </w:tcPr>
          <w:p>
            <w:pPr>
              <w:pStyle w:val="37"/>
              <w:jc w:val="center"/>
              <w:rPr>
                <w:b/>
                <w:bCs/>
              </w:rPr>
            </w:pPr>
            <w:r>
              <w:rPr>
                <w:rFonts w:hint="eastAsia"/>
              </w:rPr>
              <w:t>小白楼街</w:t>
            </w: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曹*利</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44391.66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刘*成</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27432.28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朱*茹</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35421.40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restart"/>
            <w:vAlign w:val="center"/>
          </w:tcPr>
          <w:p>
            <w:pPr>
              <w:pStyle w:val="37"/>
              <w:jc w:val="center"/>
              <w:rPr>
                <w:b/>
                <w:bCs/>
              </w:rPr>
            </w:pPr>
            <w:r>
              <w:rPr>
                <w:rFonts w:hint="eastAsia"/>
              </w:rPr>
              <w:t>劝业场街</w:t>
            </w: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王*</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40354.25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王*珍</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8860.42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高*春</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34679.42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孙*亮</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夏*阳</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restart"/>
            <w:vAlign w:val="center"/>
          </w:tcPr>
          <w:p>
            <w:pPr>
              <w:pStyle w:val="37"/>
              <w:jc w:val="center"/>
              <w:rPr>
                <w:b/>
                <w:bCs/>
              </w:rPr>
            </w:pPr>
            <w:r>
              <w:rPr>
                <w:rFonts w:hint="eastAsia"/>
              </w:rPr>
              <w:t>南营门街</w:t>
            </w: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魏*华</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马*</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8921.06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restart"/>
            <w:vAlign w:val="center"/>
          </w:tcPr>
          <w:p>
            <w:pPr>
              <w:pStyle w:val="37"/>
              <w:jc w:val="center"/>
              <w:rPr>
                <w:b/>
                <w:bCs/>
              </w:rPr>
            </w:pPr>
            <w:r>
              <w:rPr>
                <w:rFonts w:hint="eastAsia"/>
              </w:rPr>
              <w:t>新兴街</w:t>
            </w: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姜*明</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21051.38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Merge w:val="continue"/>
            <w:vAlign w:val="center"/>
          </w:tcPr>
          <w:p>
            <w:pPr>
              <w:pStyle w:val="37"/>
              <w:jc w:val="center"/>
              <w:rPr>
                <w:b/>
                <w:bCs/>
              </w:rPr>
            </w:pP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金*国</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99" w:type="dxa"/>
            <w:vAlign w:val="center"/>
          </w:tcPr>
          <w:p>
            <w:pPr>
              <w:pStyle w:val="37"/>
              <w:jc w:val="center"/>
              <w:rPr>
                <w:b/>
                <w:bCs/>
              </w:rPr>
            </w:pPr>
            <w:r>
              <w:rPr>
                <w:rFonts w:hint="eastAsia"/>
                <w:b/>
                <w:bCs/>
              </w:rPr>
              <w:t>合计</w:t>
            </w:r>
          </w:p>
        </w:tc>
        <w:tc>
          <w:tcPr>
            <w:tcW w:w="2779"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r>
              <w:rPr>
                <w:rFonts w:ascii="宋体" w:hAnsi="宋体" w:eastAsia="宋体" w:cs="宋体"/>
                <w:color w:val="000000"/>
                <w:kern w:val="0"/>
                <w:sz w:val="22"/>
                <w:szCs w:val="22"/>
                <w:lang w:bidi="ar"/>
              </w:rPr>
              <w:t>9</w:t>
            </w:r>
            <w:r>
              <w:rPr>
                <w:rFonts w:hint="eastAsia" w:ascii="宋体" w:hAnsi="宋体" w:eastAsia="宋体" w:cs="宋体"/>
                <w:color w:val="000000"/>
                <w:kern w:val="0"/>
                <w:sz w:val="22"/>
                <w:szCs w:val="22"/>
                <w:lang w:bidi="ar"/>
              </w:rPr>
              <w:t>人</w:t>
            </w:r>
          </w:p>
        </w:tc>
        <w:tc>
          <w:tcPr>
            <w:tcW w:w="2292"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6</w:t>
            </w:r>
            <w:r>
              <w:rPr>
                <w:rFonts w:ascii="Times New Roman" w:hAnsi="Times New Roman" w:eastAsia="宋体" w:cs="Times New Roman"/>
                <w:color w:val="000000"/>
                <w:kern w:val="0"/>
                <w:lang w:bidi="ar"/>
              </w:rPr>
              <w:t>34438.57</w:t>
            </w:r>
          </w:p>
        </w:tc>
      </w:tr>
    </w:tbl>
    <w:p>
      <w:pPr>
        <w:pStyle w:val="25"/>
        <w:ind w:firstLine="0" w:firstLineChars="0"/>
      </w:pPr>
    </w:p>
    <w:p>
      <w:pPr>
        <w:pStyle w:val="25"/>
        <w:ind w:firstLine="640"/>
      </w:pPr>
      <w:r>
        <w:t>2.产出</w:t>
      </w:r>
      <w:r>
        <w:rPr>
          <w:rFonts w:hint="eastAsia"/>
        </w:rPr>
        <w:t>质量</w:t>
      </w:r>
    </w:p>
    <w:p>
      <w:pPr>
        <w:pStyle w:val="25"/>
        <w:ind w:firstLine="640"/>
      </w:pPr>
      <w:r>
        <w:rPr>
          <w:rFonts w:hint="eastAsia"/>
        </w:rPr>
        <w:t>（</w:t>
      </w:r>
      <w:r>
        <w:t>1）</w:t>
      </w:r>
      <w:r>
        <w:rPr>
          <w:rFonts w:hint="eastAsia"/>
        </w:rPr>
        <w:t>因病支出型困难家庭医疗救助补贴对象合规率（</w:t>
      </w:r>
      <w:r>
        <w:t>总分</w:t>
      </w:r>
      <w:r>
        <w:rPr>
          <w:rFonts w:hint="eastAsia"/>
        </w:rPr>
        <w:t>9</w:t>
      </w:r>
      <w:r>
        <w:t>分，得分</w:t>
      </w:r>
      <w:r>
        <w:rPr>
          <w:rFonts w:hint="eastAsia"/>
        </w:rPr>
        <w:t>9</w:t>
      </w:r>
      <w:r>
        <w:t>分</w:t>
      </w:r>
      <w:r>
        <w:rPr>
          <w:rFonts w:hint="eastAsia"/>
        </w:rPr>
        <w:t>）</w:t>
      </w:r>
      <w:r>
        <w:t>。</w:t>
      </w:r>
      <w:r>
        <w:rPr>
          <w:rFonts w:hint="eastAsia"/>
        </w:rPr>
        <w:t>根据《市医保局市民政局市财政局关于完善因病支出型困难家庭医疗救助有关问题的通知》（津医保局发〔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文件要求，项目保障对象为</w:t>
      </w:r>
      <w:r>
        <w:rPr>
          <w:rFonts w:ascii="仿宋_GB2312" w:hAnsi="宋体" w:cs="仿宋_GB2312"/>
          <w:color w:val="000000"/>
          <w:szCs w:val="32"/>
          <w:shd w:val="clear" w:color="auto" w:fill="FFFFFF"/>
        </w:rPr>
        <w:t>参加本市基本医疗保险，且符合因病支出型困难家庭救助认定条件的本市户籍人员</w:t>
      </w:r>
      <w:r>
        <w:rPr>
          <w:rFonts w:hint="eastAsia" w:ascii="仿宋_GB2312" w:hAnsi="宋体" w:cs="仿宋_GB2312"/>
          <w:color w:val="000000"/>
          <w:szCs w:val="32"/>
          <w:shd w:val="clear" w:color="auto" w:fill="FFFFFF"/>
        </w:rPr>
        <w:t>。经济状况条件须符合：家庭</w:t>
      </w:r>
      <w:r>
        <w:rPr>
          <w:rFonts w:ascii="仿宋_GB2312" w:hAnsi="宋体" w:cs="仿宋_GB2312"/>
          <w:color w:val="000000"/>
          <w:szCs w:val="32"/>
          <w:shd w:val="clear" w:color="auto" w:fill="FFFFFF"/>
        </w:rPr>
        <w:t>月人均收入低于</w:t>
      </w:r>
      <w:r>
        <w:rPr>
          <w:rFonts w:eastAsia="宋体" w:cs="Times New Roman"/>
          <w:color w:val="000000"/>
          <w:szCs w:val="32"/>
          <w:shd w:val="clear" w:color="auto" w:fill="FFFFFF"/>
        </w:rPr>
        <w:t>3</w:t>
      </w:r>
      <w:r>
        <w:rPr>
          <w:rFonts w:ascii="仿宋_GB2312" w:hAnsi="宋体" w:cs="仿宋_GB2312"/>
          <w:color w:val="000000"/>
          <w:szCs w:val="32"/>
          <w:shd w:val="clear" w:color="auto" w:fill="FFFFFF"/>
        </w:rPr>
        <w:t>倍低保标准；家庭财产符合《天津市社会救助家庭经济状况核定办法》（津民发〔</w:t>
      </w:r>
      <w:r>
        <w:rPr>
          <w:rFonts w:eastAsia="宋体" w:cs="Times New Roman"/>
          <w:color w:val="000000"/>
          <w:szCs w:val="32"/>
          <w:shd w:val="clear" w:color="auto" w:fill="FFFFFF"/>
        </w:rPr>
        <w:t>2017</w:t>
      </w:r>
      <w:r>
        <w:rPr>
          <w:rFonts w:ascii="仿宋_GB2312" w:hAnsi="宋体" w:cs="仿宋_GB2312"/>
          <w:color w:val="000000"/>
          <w:szCs w:val="32"/>
          <w:shd w:val="clear" w:color="auto" w:fill="FFFFFF"/>
        </w:rPr>
        <w:t>〕</w:t>
      </w:r>
      <w:r>
        <w:rPr>
          <w:rFonts w:eastAsia="宋体" w:cs="Times New Roman"/>
          <w:color w:val="000000"/>
          <w:szCs w:val="32"/>
          <w:shd w:val="clear" w:color="auto" w:fill="FFFFFF"/>
        </w:rPr>
        <w:t>79</w:t>
      </w:r>
      <w:r>
        <w:rPr>
          <w:rFonts w:ascii="仿宋_GB2312" w:hAnsi="宋体" w:cs="仿宋_GB2312"/>
          <w:color w:val="000000"/>
          <w:szCs w:val="32"/>
          <w:shd w:val="clear" w:color="auto" w:fill="FFFFFF"/>
        </w:rPr>
        <w:t>号）要求</w:t>
      </w:r>
      <w:r>
        <w:rPr>
          <w:rFonts w:hint="eastAsia" w:ascii="仿宋_GB2312" w:hAnsi="宋体" w:cs="仿宋_GB2312"/>
          <w:color w:val="000000"/>
          <w:szCs w:val="32"/>
          <w:shd w:val="clear" w:color="auto" w:fill="FFFFFF"/>
        </w:rPr>
        <w:t>。医疗费用条件须符合：</w:t>
      </w:r>
      <w:r>
        <w:rPr>
          <w:rFonts w:ascii="仿宋_GB2312" w:hAnsi="宋体" w:cs="仿宋_GB2312"/>
          <w:color w:val="000000"/>
          <w:szCs w:val="32"/>
          <w:shd w:val="clear" w:color="auto" w:fill="FFFFFF"/>
        </w:rPr>
        <w:t>家庭成员一个自然年度内在本市或按规定在异地就医发生的住院（含门诊特殊病）医疗费用，经基本医疗保险（含意外伤害附加保险）、大病保险、其他医疗补助保险报销或商业保险赔付后，累计个人负担部分高于上年家庭总收入；不存在医疗保险或商业保险应报未报的医疗费用。</w:t>
      </w:r>
      <w:r>
        <w:rPr>
          <w:rFonts w:hint="eastAsia" w:ascii="仿宋_GB2312" w:hAnsi="宋体" w:cs="仿宋_GB2312"/>
          <w:color w:val="000000"/>
          <w:szCs w:val="32"/>
          <w:shd w:val="clear" w:color="auto" w:fill="FFFFFF"/>
        </w:rPr>
        <w:t>根据各街道上传至“救急难”平台的由天津市和平区低收入</w:t>
      </w:r>
      <w:r>
        <w:rPr>
          <w:rFonts w:ascii="仿宋_GB2312" w:hAnsi="宋体" w:cs="仿宋_GB2312"/>
          <w:color w:val="000000"/>
          <w:szCs w:val="32"/>
          <w:shd w:val="clear" w:color="auto" w:fill="FFFFFF"/>
        </w:rPr>
        <w:t>家庭经济状况核对中心</w:t>
      </w:r>
      <w:r>
        <w:rPr>
          <w:rFonts w:hint="eastAsia" w:ascii="仿宋_GB2312" w:hAnsi="宋体" w:cs="仿宋_GB2312"/>
          <w:color w:val="000000"/>
          <w:szCs w:val="32"/>
          <w:shd w:val="clear" w:color="auto" w:fill="FFFFFF"/>
        </w:rPr>
        <w:t>提供的经济状况核对报告、由街道提供的经济条件核查报告、因病支出型困难家庭人员医保个人负担查询表等文件核对，</w:t>
      </w:r>
      <w:r>
        <w:rPr>
          <w:rFonts w:hint="eastAsia"/>
        </w:rPr>
        <w:t>天津市和平区医疗保障局2021年共补贴因病支出型困难家庭人员19人，19名补贴对象材料均齐全且符合文件要求，发放补贴已完成，因病支出型困难家庭医疗救助补贴对象合规率为100%。</w:t>
      </w:r>
    </w:p>
    <w:p>
      <w:pPr>
        <w:pStyle w:val="25"/>
        <w:ind w:firstLine="640"/>
      </w:pPr>
      <w:r>
        <w:t>3.产出</w:t>
      </w:r>
      <w:r>
        <w:rPr>
          <w:rFonts w:hint="eastAsia"/>
        </w:rPr>
        <w:t>时效</w:t>
      </w:r>
    </w:p>
    <w:p>
      <w:pPr>
        <w:pStyle w:val="25"/>
        <w:ind w:firstLine="640"/>
      </w:pPr>
      <w:r>
        <w:rPr>
          <w:rFonts w:hint="eastAsia"/>
        </w:rPr>
        <w:t>（</w:t>
      </w:r>
      <w:r>
        <w:t>1）</w:t>
      </w:r>
      <w:r>
        <w:rPr>
          <w:rFonts w:hint="eastAsia"/>
        </w:rPr>
        <w:t>因病支出型困难家庭医疗救助补贴发放及时率（</w:t>
      </w:r>
      <w:r>
        <w:t>总分</w:t>
      </w:r>
      <w:r>
        <w:rPr>
          <w:rFonts w:hint="eastAsia"/>
        </w:rPr>
        <w:t>9</w:t>
      </w:r>
      <w:r>
        <w:t>分，得分</w:t>
      </w:r>
      <w:r>
        <w:rPr>
          <w:rFonts w:hint="eastAsia"/>
        </w:rPr>
        <w:t>9</w:t>
      </w:r>
      <w:r>
        <w:t>分）。</w:t>
      </w:r>
      <w:r>
        <w:rPr>
          <w:rFonts w:hint="eastAsia"/>
        </w:rPr>
        <w:t>依据《市医保局市民政局市财政局关于完善因病支出型困难家庭医疗救助有关问题的通知》（津医保局发〔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规定，</w:t>
      </w:r>
      <w:r>
        <w:rPr>
          <w:rFonts w:ascii="仿宋_GB2312" w:hAnsi="宋体" w:cs="仿宋_GB2312"/>
          <w:color w:val="000000"/>
          <w:szCs w:val="32"/>
          <w:shd w:val="clear" w:color="auto" w:fill="FFFFFF"/>
        </w:rPr>
        <w:t>街道（乡镇）对符合条件人员核算救助待遇，连同核查信息经因病支出型困难家庭人员确认后，打印“因病支出型困难家庭医疗救助审核公示表</w:t>
      </w:r>
      <w:r>
        <w:rPr>
          <w:rFonts w:eastAsia="宋体" w:cs="Times New Roman"/>
          <w:color w:val="000000"/>
          <w:szCs w:val="32"/>
          <w:shd w:val="clear" w:color="auto" w:fill="FFFFFF"/>
        </w:rPr>
        <w:t>”</w:t>
      </w:r>
      <w:r>
        <w:rPr>
          <w:rFonts w:ascii="仿宋_GB2312" w:hAnsi="宋体" w:cs="仿宋_GB2312"/>
          <w:color w:val="000000"/>
          <w:szCs w:val="32"/>
          <w:shd w:val="clear" w:color="auto" w:fill="FFFFFF"/>
        </w:rPr>
        <w:t>，统一安排在村、居民委员会公示。公示无异议的，按照转办流程审核后，按月报区医保局。区医疗保障局对乡镇（街道）报送人员进行区级汇总并复核后，及时向区财政局申请款项，并根据各区汇总复核情况，将资金划拨街道（乡镇）。</w:t>
      </w:r>
      <w:r>
        <w:rPr>
          <w:rFonts w:hint="eastAsia"/>
        </w:rPr>
        <w:t>根据对天津市和平区医疗保障局2021年财务账核实得出，和平区医疗保障局在2021年已对审核通过的全部因病支出型困难家庭发放相应补贴，因此因病支出型困难家庭医疗救助补贴发放及时率为100%。</w:t>
      </w:r>
    </w:p>
    <w:p>
      <w:pPr>
        <w:pStyle w:val="25"/>
        <w:ind w:firstLine="640"/>
      </w:pPr>
      <w:r>
        <w:t>4.产出</w:t>
      </w:r>
      <w:r>
        <w:rPr>
          <w:rFonts w:hint="eastAsia"/>
        </w:rPr>
        <w:t>成本</w:t>
      </w:r>
    </w:p>
    <w:p>
      <w:pPr>
        <w:pStyle w:val="25"/>
        <w:ind w:firstLine="640"/>
      </w:pPr>
      <w:r>
        <w:rPr>
          <w:rFonts w:hint="eastAsia"/>
        </w:rPr>
        <w:t>（1）因病支出型困难家庭医疗救助补贴标准</w:t>
      </w:r>
      <w:r>
        <w:t>（总分</w:t>
      </w:r>
      <w:r>
        <w:rPr>
          <w:rFonts w:hint="eastAsia"/>
        </w:rPr>
        <w:t>10</w:t>
      </w:r>
      <w:r>
        <w:t>分，得分</w:t>
      </w:r>
      <w:r>
        <w:rPr>
          <w:rFonts w:hint="eastAsia"/>
        </w:rPr>
        <w:t>10</w:t>
      </w:r>
      <w:r>
        <w:t>分）。</w:t>
      </w:r>
      <w:r>
        <w:rPr>
          <w:rFonts w:hint="eastAsia"/>
        </w:rPr>
        <w:t>根据《市医保局市民政局市财政局关于完善因病支出型困难家庭医疗救助有关问题的通知》（津医保局发〔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规定，</w:t>
      </w:r>
      <w:r>
        <w:rPr>
          <w:rFonts w:ascii="仿宋_GB2312" w:hAnsi="宋体" w:cs="仿宋_GB2312"/>
          <w:color w:val="000000"/>
          <w:szCs w:val="32"/>
          <w:shd w:val="clear" w:color="auto" w:fill="FFFFFF"/>
        </w:rPr>
        <w:t>因病支出型困难家庭人员一个自然年度内在本市或按规定在异地就医发生的住院（含门诊特殊病）医疗费用，经基本医疗保险（含意外伤害附加保险）、大病保险、其他医疗补助保险报销或商业保险赔付后，累计个人负担部分给予救助，救助比例为50%，家庭救助总金额不超过</w:t>
      </w:r>
      <w:r>
        <w:rPr>
          <w:rFonts w:eastAsia="宋体" w:cs="Times New Roman"/>
          <w:color w:val="000000"/>
          <w:szCs w:val="32"/>
          <w:shd w:val="clear" w:color="auto" w:fill="FFFFFF"/>
        </w:rPr>
        <w:t>5</w:t>
      </w:r>
      <w:r>
        <w:rPr>
          <w:rFonts w:ascii="仿宋_GB2312" w:hAnsi="宋体" w:cs="仿宋_GB2312"/>
          <w:color w:val="000000"/>
          <w:szCs w:val="32"/>
          <w:shd w:val="clear" w:color="auto" w:fill="FFFFFF"/>
        </w:rPr>
        <w:t>万元（含）。</w:t>
      </w:r>
      <w:r>
        <w:rPr>
          <w:rFonts w:hint="eastAsia"/>
        </w:rPr>
        <w:t>2021年天津市和平区医疗保障局共计发放</w:t>
      </w:r>
      <w:r>
        <w:rPr>
          <w:rFonts w:ascii="仿宋_GB2312" w:hAnsi="宋体" w:cs="仿宋_GB2312"/>
          <w:color w:val="000000"/>
          <w:szCs w:val="32"/>
          <w:shd w:val="clear" w:color="auto" w:fill="FFFFFF"/>
        </w:rPr>
        <w:t>因病支出型困难家庭医疗救助</w:t>
      </w:r>
      <w:r>
        <w:rPr>
          <w:rFonts w:hint="eastAsia" w:ascii="仿宋_GB2312" w:hAnsi="宋体" w:cs="仿宋_GB2312"/>
          <w:color w:val="000000"/>
          <w:szCs w:val="32"/>
          <w:shd w:val="clear" w:color="auto" w:fill="FFFFFF"/>
        </w:rPr>
        <w:t>补贴19笔</w:t>
      </w:r>
      <w:r>
        <w:rPr>
          <w:rFonts w:hint="eastAsia"/>
        </w:rPr>
        <w:t>（具体见表5），19笔补贴金额</w:t>
      </w:r>
      <w:r>
        <w:rPr>
          <w:rFonts w:hint="eastAsia" w:ascii="仿宋_GB2312" w:hAnsi="宋体" w:cs="仿宋_GB2312"/>
          <w:color w:val="000000"/>
          <w:szCs w:val="32"/>
          <w:shd w:val="clear" w:color="auto" w:fill="FFFFFF"/>
        </w:rPr>
        <w:t>均符合文件补贴标准</w:t>
      </w:r>
      <w:r>
        <w:rPr>
          <w:rFonts w:hint="eastAsia"/>
        </w:rPr>
        <w:t>。</w:t>
      </w:r>
    </w:p>
    <w:p>
      <w:pPr>
        <w:pStyle w:val="25"/>
        <w:ind w:firstLine="560"/>
        <w:jc w:val="center"/>
        <w:rPr>
          <w:rFonts w:ascii="黑体" w:hAnsi="黑体" w:eastAsia="黑体" w:cs="宋体"/>
          <w:kern w:val="0"/>
          <w:sz w:val="28"/>
          <w:szCs w:val="28"/>
        </w:rPr>
      </w:pPr>
      <w:r>
        <w:rPr>
          <w:rFonts w:hint="eastAsia" w:ascii="黑体" w:hAnsi="黑体" w:eastAsia="黑体" w:cs="宋体"/>
          <w:kern w:val="0"/>
          <w:sz w:val="28"/>
          <w:szCs w:val="28"/>
        </w:rPr>
        <w:t>表5</w:t>
      </w:r>
      <w:r>
        <w:rPr>
          <w:rFonts w:ascii="黑体" w:hAnsi="黑体" w:eastAsia="黑体" w:cs="宋体"/>
          <w:kern w:val="0"/>
          <w:sz w:val="28"/>
          <w:szCs w:val="28"/>
        </w:rPr>
        <w:t xml:space="preserve">  </w:t>
      </w:r>
      <w:r>
        <w:rPr>
          <w:rFonts w:hint="eastAsia" w:ascii="黑体" w:hAnsi="黑体" w:eastAsia="黑体" w:cs="宋体"/>
          <w:kern w:val="0"/>
          <w:sz w:val="28"/>
          <w:szCs w:val="28"/>
        </w:rPr>
        <w:t>2021年因病支出型困难难家庭医疗救助统计表</w:t>
      </w:r>
    </w:p>
    <w:tbl>
      <w:tblPr>
        <w:tblStyle w:val="18"/>
        <w:tblW w:w="88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gridCol w:w="2105"/>
        <w:gridCol w:w="2311"/>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1863"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街道</w:t>
            </w:r>
          </w:p>
        </w:tc>
        <w:tc>
          <w:tcPr>
            <w:tcW w:w="2105"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补贴人员名单</w:t>
            </w:r>
          </w:p>
        </w:tc>
        <w:tc>
          <w:tcPr>
            <w:tcW w:w="2311"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补贴金额（元）</w:t>
            </w:r>
          </w:p>
        </w:tc>
        <w:tc>
          <w:tcPr>
            <w:tcW w:w="2550" w:type="dxa"/>
            <w:vAlign w:val="center"/>
          </w:tcPr>
          <w:p>
            <w:pPr>
              <w:pStyle w:val="25"/>
              <w:spacing w:line="240" w:lineRule="auto"/>
              <w:ind w:firstLine="0" w:firstLineChars="0"/>
              <w:jc w:val="center"/>
              <w:rPr>
                <w:rFonts w:ascii="宋体" w:hAnsi="宋体" w:eastAsia="宋体" w:cs="宋体"/>
                <w:b/>
                <w:bCs/>
                <w:sz w:val="21"/>
              </w:rPr>
            </w:pPr>
            <w:r>
              <w:rPr>
                <w:rFonts w:hint="eastAsia" w:ascii="宋体" w:hAnsi="宋体" w:eastAsia="宋体" w:cs="宋体"/>
                <w:b/>
                <w:bCs/>
                <w:sz w:val="21"/>
              </w:rPr>
              <w:t>救助前个人负担金额（元）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restart"/>
            <w:vAlign w:val="center"/>
          </w:tcPr>
          <w:p>
            <w:pPr>
              <w:pStyle w:val="37"/>
              <w:jc w:val="center"/>
            </w:pPr>
            <w:r>
              <w:rPr>
                <w:rFonts w:hint="eastAsia"/>
              </w:rPr>
              <w:t>南市街</w:t>
            </w:r>
          </w:p>
        </w:tc>
        <w:tc>
          <w:tcPr>
            <w:tcW w:w="2105"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刘*清</w:t>
            </w:r>
          </w:p>
        </w:tc>
        <w:tc>
          <w:tcPr>
            <w:tcW w:w="2311" w:type="dxa"/>
            <w:vAlign w:val="center"/>
          </w:tcPr>
          <w:p>
            <w:pPr>
              <w:widowControl/>
              <w:ind w:firstLine="0" w:firstLineChars="0"/>
              <w:jc w:val="center"/>
              <w:textAlignment w:val="center"/>
              <w:rPr>
                <w:rFonts w:ascii="Times New Roman" w:hAnsi="Times New Roman" w:eastAsia="宋体" w:cs="Times New Roman"/>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109966.3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pPr>
          </w:p>
        </w:tc>
        <w:tc>
          <w:tcPr>
            <w:tcW w:w="2105"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郝*华</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23898.10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47796.2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pPr>
          </w:p>
        </w:tc>
        <w:tc>
          <w:tcPr>
            <w:tcW w:w="2105"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刘*</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20516.60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41033.21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pPr>
          </w:p>
        </w:tc>
        <w:tc>
          <w:tcPr>
            <w:tcW w:w="2105"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张*玲</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29214.76</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58429.51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63" w:type="dxa"/>
            <w:vMerge w:val="continue"/>
            <w:vAlign w:val="center"/>
          </w:tcPr>
          <w:p>
            <w:pPr>
              <w:pStyle w:val="37"/>
              <w:jc w:val="center"/>
            </w:pPr>
          </w:p>
        </w:tc>
        <w:tc>
          <w:tcPr>
            <w:tcW w:w="2105" w:type="dxa"/>
            <w:vAlign w:val="center"/>
          </w:tcPr>
          <w:p>
            <w:pPr>
              <w:widowControl/>
              <w:ind w:firstLine="0" w:firstLineChars="0"/>
              <w:jc w:val="center"/>
              <w:textAlignment w:val="center"/>
              <w:rPr>
                <w:rFonts w:eastAsia="宋体"/>
              </w:rPr>
            </w:pPr>
            <w:r>
              <w:rPr>
                <w:rFonts w:hint="eastAsia" w:ascii="宋体" w:hAnsi="宋体" w:eastAsia="宋体" w:cs="宋体"/>
                <w:color w:val="000000"/>
                <w:kern w:val="0"/>
                <w:sz w:val="22"/>
                <w:szCs w:val="22"/>
                <w:lang w:bidi="ar"/>
              </w:rPr>
              <w:t>付*城</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122351.87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b/>
                <w:bCs/>
              </w:rPr>
            </w:pPr>
            <w:r>
              <w:rPr>
                <w:rFonts w:hint="eastAsia" w:ascii="宋体" w:hAnsi="宋体" w:eastAsia="宋体" w:cs="宋体"/>
                <w:color w:val="000000"/>
                <w:kern w:val="0"/>
                <w:sz w:val="22"/>
                <w:szCs w:val="22"/>
                <w:lang w:bidi="ar"/>
              </w:rPr>
              <w:t>吕*华</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15331.57</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30663.14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b/>
                <w:bCs/>
              </w:rPr>
            </w:pPr>
            <w:r>
              <w:rPr>
                <w:rFonts w:hint="eastAsia" w:ascii="宋体" w:hAnsi="宋体" w:eastAsia="宋体" w:cs="宋体"/>
                <w:color w:val="000000"/>
                <w:kern w:val="0"/>
                <w:sz w:val="22"/>
                <w:szCs w:val="22"/>
                <w:lang w:bidi="ar"/>
              </w:rPr>
              <w:t>尹*</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24365.67</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48731.35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restart"/>
            <w:vAlign w:val="center"/>
          </w:tcPr>
          <w:p>
            <w:pPr>
              <w:pStyle w:val="37"/>
              <w:jc w:val="center"/>
              <w:rPr>
                <w:b/>
                <w:bCs/>
              </w:rPr>
            </w:pPr>
            <w:r>
              <w:rPr>
                <w:rFonts w:hint="eastAsia"/>
              </w:rPr>
              <w:t>小白楼街</w:t>
            </w: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曹*利</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44391.66</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88783.32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刘*成</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27432.28</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54864.56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朱*茹</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35421.40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70842.81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restart"/>
            <w:vAlign w:val="center"/>
          </w:tcPr>
          <w:p>
            <w:pPr>
              <w:pStyle w:val="37"/>
              <w:jc w:val="center"/>
              <w:rPr>
                <w:b/>
                <w:bCs/>
              </w:rPr>
            </w:pPr>
            <w:r>
              <w:rPr>
                <w:rFonts w:hint="eastAsia"/>
              </w:rPr>
              <w:t>劝业场街</w:t>
            </w: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王*</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40354.25</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80708.51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王*珍</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8860.42</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17720.84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高*春</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34679.42</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69358.83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孙*亮</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163057.34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夏*阳</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315590.57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restart"/>
            <w:vAlign w:val="center"/>
          </w:tcPr>
          <w:p>
            <w:pPr>
              <w:pStyle w:val="37"/>
              <w:jc w:val="center"/>
              <w:rPr>
                <w:b/>
                <w:bCs/>
              </w:rPr>
            </w:pPr>
            <w:r>
              <w:rPr>
                <w:rFonts w:hint="eastAsia"/>
              </w:rPr>
              <w:t>南营门街</w:t>
            </w: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魏*华</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276284.39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马*</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8921.06</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17842.11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restart"/>
            <w:vAlign w:val="center"/>
          </w:tcPr>
          <w:p>
            <w:pPr>
              <w:pStyle w:val="37"/>
              <w:jc w:val="center"/>
              <w:rPr>
                <w:b/>
                <w:bCs/>
              </w:rPr>
            </w:pPr>
            <w:r>
              <w:rPr>
                <w:rFonts w:hint="eastAsia"/>
              </w:rPr>
              <w:t>新兴街</w:t>
            </w: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姜*明</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21051.38</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42102.75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63" w:type="dxa"/>
            <w:vMerge w:val="continue"/>
            <w:vAlign w:val="center"/>
          </w:tcPr>
          <w:p>
            <w:pPr>
              <w:pStyle w:val="37"/>
              <w:jc w:val="center"/>
              <w:rPr>
                <w:b/>
                <w:bCs/>
              </w:rPr>
            </w:pPr>
          </w:p>
        </w:tc>
        <w:tc>
          <w:tcPr>
            <w:tcW w:w="2105" w:type="dxa"/>
            <w:vAlign w:val="center"/>
          </w:tcPr>
          <w:p>
            <w:pPr>
              <w:widowControl/>
              <w:ind w:firstLine="0" w:firstLineChars="0"/>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金*国</w:t>
            </w:r>
          </w:p>
        </w:tc>
        <w:tc>
          <w:tcPr>
            <w:tcW w:w="2311"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50000.00</w:t>
            </w:r>
          </w:p>
        </w:tc>
        <w:tc>
          <w:tcPr>
            <w:tcW w:w="2550" w:type="dxa"/>
            <w:vAlign w:val="center"/>
          </w:tcPr>
          <w:p>
            <w:pPr>
              <w:widowControl/>
              <w:ind w:firstLine="0" w:firstLineChars="0"/>
              <w:jc w:val="center"/>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173869.92</w:t>
            </w:r>
          </w:p>
        </w:tc>
      </w:tr>
    </w:tbl>
    <w:p>
      <w:pPr>
        <w:pStyle w:val="25"/>
        <w:ind w:firstLine="640"/>
      </w:pPr>
    </w:p>
    <w:p>
      <w:pPr>
        <w:pStyle w:val="29"/>
        <w:ind w:firstLine="640"/>
      </w:pPr>
      <w:bookmarkStart w:id="13" w:name="_Toc21193"/>
      <w:r>
        <w:rPr>
          <w:rFonts w:hint="eastAsia"/>
        </w:rPr>
        <w:t>（四）项目效益情况</w:t>
      </w:r>
      <w:bookmarkEnd w:id="13"/>
    </w:p>
    <w:p>
      <w:pPr>
        <w:pStyle w:val="25"/>
        <w:ind w:firstLine="640"/>
      </w:pPr>
      <w:r>
        <w:rPr>
          <w:rFonts w:hint="eastAsia"/>
        </w:rPr>
        <w:t>效益指标主要包括社会效益、可持续影响、服务对象满意度3项</w:t>
      </w:r>
      <w:r>
        <w:t>二级指标，</w:t>
      </w:r>
      <w:r>
        <w:rPr>
          <w:rFonts w:hint="eastAsia"/>
        </w:rPr>
        <w:t>4</w:t>
      </w:r>
      <w:r>
        <w:t>项三级指标，基础总分</w:t>
      </w:r>
      <w:r>
        <w:rPr>
          <w:rFonts w:hint="eastAsia"/>
        </w:rPr>
        <w:t>22</w:t>
      </w:r>
      <w:r>
        <w:t>分，合计得分</w:t>
      </w:r>
      <w:r>
        <w:rPr>
          <w:rFonts w:hint="eastAsia"/>
        </w:rPr>
        <w:t>13</w:t>
      </w:r>
      <w:r>
        <w:t>分。</w:t>
      </w:r>
    </w:p>
    <w:p>
      <w:pPr>
        <w:pStyle w:val="25"/>
        <w:ind w:firstLine="640"/>
      </w:pPr>
      <w:r>
        <w:t>1.</w:t>
      </w:r>
      <w:r>
        <w:rPr>
          <w:rFonts w:hint="eastAsia"/>
        </w:rPr>
        <w:t>社会效益</w:t>
      </w:r>
    </w:p>
    <w:p>
      <w:pPr>
        <w:pStyle w:val="25"/>
        <w:ind w:firstLine="640"/>
      </w:pPr>
      <w:r>
        <w:rPr>
          <w:rFonts w:hint="eastAsia"/>
        </w:rPr>
        <w:t>（1）因病支出型困难家庭负担减轻情况（总分6分，得分6分）。</w:t>
      </w:r>
      <w:r>
        <w:rPr>
          <w:rFonts w:hint="eastAsia" w:ascii="仿宋_GB2312" w:hAnsi="宋体" w:cs="仿宋_GB2312"/>
          <w:color w:val="000000"/>
          <w:szCs w:val="32"/>
          <w:shd w:val="clear" w:color="auto" w:fill="FFFFFF"/>
        </w:rPr>
        <w:t>项目以</w:t>
      </w:r>
      <w:r>
        <w:rPr>
          <w:rFonts w:ascii="仿宋_GB2312" w:hAnsi="宋体" w:cs="仿宋_GB2312"/>
          <w:color w:val="000000"/>
          <w:szCs w:val="32"/>
          <w:shd w:val="clear" w:color="auto" w:fill="FFFFFF"/>
        </w:rPr>
        <w:t>未纳入医疗救助、优抚补助等边缘型困难家庭</w:t>
      </w:r>
      <w:r>
        <w:rPr>
          <w:rFonts w:hint="eastAsia" w:ascii="仿宋_GB2312" w:hAnsi="宋体" w:cs="仿宋_GB2312"/>
          <w:color w:val="000000"/>
          <w:szCs w:val="32"/>
          <w:shd w:val="clear" w:color="auto" w:fill="FFFFFF"/>
        </w:rPr>
        <w:t>为服务对象，根据文件要件要求，天津市和平区医疗保障局制定了上传附件模板，精简了办理流程，降低了申请材料递交门槛，减轻社区经办人负担的同时，进一步规范经办流程。在新冠疫情</w:t>
      </w:r>
      <w:r>
        <w:rPr>
          <w:rFonts w:hint="eastAsia" w:ascii="仿宋_GB2312" w:hAnsi="宋体" w:cs="仿宋_GB2312"/>
          <w:color w:val="000000"/>
          <w:szCs w:val="32"/>
          <w:shd w:val="clear" w:color="auto" w:fill="FFFFFF"/>
          <w:lang w:eastAsia="zh-CN"/>
        </w:rPr>
        <w:t>形势</w:t>
      </w:r>
      <w:bookmarkStart w:id="24" w:name="_GoBack"/>
      <w:bookmarkEnd w:id="24"/>
      <w:r>
        <w:rPr>
          <w:rFonts w:hint="eastAsia" w:ascii="仿宋_GB2312" w:hAnsi="宋体" w:cs="仿宋_GB2312"/>
          <w:color w:val="000000"/>
          <w:szCs w:val="32"/>
          <w:shd w:val="clear" w:color="auto" w:fill="FFFFFF"/>
        </w:rPr>
        <w:t>尚不稳定的背景下，和平区医疗保障局积极推动全流程移动化审批，审批各环节负责人均下载政务微信，可以实现手机端移动审批，在疫情期间，分散在隔离点、社区、楼宇等各个岗位办公时，仍能保证及时审批，及时为救助申请人减轻负担。全年共完成因病支出型家庭困难医疗救助金发放19人，发放救助金634438.57元，结合其他政策救助资金帮扶，</w:t>
      </w:r>
      <w:r>
        <w:rPr>
          <w:rFonts w:ascii="仿宋_GB2312" w:hAnsi="宋体" w:cs="仿宋_GB2312"/>
          <w:color w:val="000000"/>
          <w:szCs w:val="32"/>
          <w:shd w:val="clear" w:color="auto" w:fill="FFFFFF"/>
        </w:rPr>
        <w:t>切实减轻了群众医疗费用负担，在解决因病致贫、因病返贫方面取得了较好的社会效果。</w:t>
      </w:r>
    </w:p>
    <w:p>
      <w:pPr>
        <w:pStyle w:val="25"/>
        <w:ind w:firstLine="640"/>
      </w:pPr>
      <w:r>
        <w:t>2.</w:t>
      </w:r>
      <w:r>
        <w:rPr>
          <w:rFonts w:hint="eastAsia"/>
        </w:rPr>
        <w:t>可持续影响</w:t>
      </w:r>
    </w:p>
    <w:p>
      <w:pPr>
        <w:pStyle w:val="25"/>
        <w:ind w:firstLine="640"/>
      </w:pPr>
      <w:r>
        <w:rPr>
          <w:rFonts w:hint="eastAsia"/>
        </w:rPr>
        <w:t>（1）建立健全救助资金落实监管机制</w:t>
      </w:r>
      <w:r>
        <w:rPr>
          <w:rFonts w:hint="eastAsia"/>
          <w:szCs w:val="32"/>
        </w:rPr>
        <w:t>（</w:t>
      </w:r>
      <w:r>
        <w:t>总分</w:t>
      </w:r>
      <w:r>
        <w:rPr>
          <w:rFonts w:hint="eastAsia"/>
        </w:rPr>
        <w:t>6</w:t>
      </w:r>
      <w:r>
        <w:t>分，得分</w:t>
      </w:r>
      <w:r>
        <w:rPr>
          <w:rFonts w:hint="eastAsia"/>
        </w:rPr>
        <w:t>0</w:t>
      </w:r>
      <w:r>
        <w:t>分）。</w:t>
      </w:r>
      <w:r>
        <w:rPr>
          <w:rFonts w:hint="eastAsia"/>
        </w:rPr>
        <w:t>根据《市医保局市民政局市财政局关于完善因病支出型困难家庭医疗救助有关问题的通知》（津医保局发〔</w:t>
      </w:r>
      <w:r>
        <w:t>20</w:t>
      </w:r>
      <w:r>
        <w:rPr>
          <w:rFonts w:hint="eastAsia"/>
        </w:rPr>
        <w:t>19</w:t>
      </w:r>
      <w:r>
        <w:t>〕</w:t>
      </w:r>
      <w:r>
        <w:rPr>
          <w:rFonts w:hint="eastAsia"/>
        </w:rPr>
        <w:t>73</w:t>
      </w:r>
      <w:r>
        <w:t>号）</w:t>
      </w:r>
      <w:r>
        <w:rPr>
          <w:rFonts w:hint="eastAsia"/>
        </w:rPr>
        <w:t>规定，</w:t>
      </w:r>
      <w:r>
        <w:rPr>
          <w:rFonts w:ascii="仿宋_GB2312" w:hAnsi="宋体" w:cs="仿宋_GB2312"/>
          <w:color w:val="000000"/>
          <w:szCs w:val="32"/>
          <w:shd w:val="clear" w:color="auto" w:fill="FFFFFF"/>
        </w:rPr>
        <w:t>区医疗保障局对乡镇（街道）报送人员进行区级汇总并复核后，及时向区财政局申请款项，并根据各区汇总复核情况，将资金划拨街道（乡镇）</w:t>
      </w:r>
      <w:r>
        <w:rPr>
          <w:rFonts w:hint="eastAsia" w:ascii="仿宋_GB2312" w:hAnsi="宋体" w:cs="仿宋_GB2312"/>
          <w:color w:val="000000"/>
          <w:szCs w:val="32"/>
          <w:shd w:val="clear" w:color="auto" w:fill="FFFFFF"/>
        </w:rPr>
        <w:t>。</w:t>
      </w:r>
      <w:r>
        <w:rPr>
          <w:rFonts w:ascii="仿宋_GB2312" w:hAnsi="宋体" w:cs="仿宋_GB2312"/>
          <w:color w:val="000000"/>
          <w:szCs w:val="32"/>
          <w:shd w:val="clear" w:color="auto" w:fill="FFFFFF"/>
        </w:rPr>
        <w:t>因病支出型困难家庭医疗救助资金由街道（乡镇）直接发放到</w:t>
      </w:r>
      <w:r>
        <w:rPr>
          <w:rFonts w:ascii="仿宋_GB2312" w:hAnsi="宋体" w:cs="仿宋_GB2312"/>
          <w:color w:val="3D3D3D"/>
          <w:szCs w:val="32"/>
          <w:shd w:val="clear" w:color="auto" w:fill="FFFFFF"/>
        </w:rPr>
        <w:t>申请人</w:t>
      </w:r>
      <w:r>
        <w:rPr>
          <w:rFonts w:ascii="仿宋_GB2312" w:hAnsi="宋体" w:cs="仿宋_GB2312"/>
          <w:color w:val="000000"/>
          <w:szCs w:val="32"/>
          <w:shd w:val="clear" w:color="auto" w:fill="FFFFFF"/>
        </w:rPr>
        <w:t>提供的社会保障卡、银行、信用社等金融机构账户。</w:t>
      </w:r>
      <w:r>
        <w:rPr>
          <w:rFonts w:hint="eastAsia" w:ascii="仿宋_GB2312" w:hAnsi="宋体" w:cs="仿宋_GB2312"/>
          <w:color w:val="000000"/>
          <w:szCs w:val="32"/>
          <w:shd w:val="clear" w:color="auto" w:fill="FFFFFF"/>
        </w:rPr>
        <w:t>最终资金是否落实到申请人是衡量项目效益的重要参考，根据与天津市和平区医疗保障局沟通了解后发现，单位暂未建立健全该项目资金后续落实监管机制且没有开展相关资金落实监管工作。</w:t>
      </w:r>
    </w:p>
    <w:p>
      <w:pPr>
        <w:pStyle w:val="25"/>
        <w:ind w:firstLine="640"/>
      </w:pPr>
      <w:r>
        <w:rPr>
          <w:rFonts w:hint="eastAsia"/>
        </w:rPr>
        <w:t>（2）建立健全救助政策宣传机制</w:t>
      </w:r>
      <w:r>
        <w:rPr>
          <w:rFonts w:hint="eastAsia"/>
          <w:szCs w:val="32"/>
        </w:rPr>
        <w:t>（</w:t>
      </w:r>
      <w:r>
        <w:t>总分</w:t>
      </w:r>
      <w:r>
        <w:rPr>
          <w:rFonts w:hint="eastAsia"/>
        </w:rPr>
        <w:t>6</w:t>
      </w:r>
      <w:r>
        <w:t>分，得分</w:t>
      </w:r>
      <w:r>
        <w:rPr>
          <w:rFonts w:hint="eastAsia"/>
        </w:rPr>
        <w:t>3</w:t>
      </w:r>
      <w:r>
        <w:t>分）。</w:t>
      </w:r>
      <w:r>
        <w:rPr>
          <w:rFonts w:hint="eastAsia"/>
        </w:rPr>
        <w:t>良好的政策宣传工作有助于项目更快、更广的覆盖到有需求的群众，提升项目的效益。根据评价组实地调研得出，天津市和平区医疗保障局未建立因病支出型困难家庭医疗救助政策宣传机制，仅通过业务培训、答疑等形式面向社区工作人员进行相关政策解答，未开展其他形式政策宣传工作，宣传手段较为单一，项目服务对象可能无法了解到相关政策，进而导致项目效益较低。</w:t>
      </w:r>
    </w:p>
    <w:p>
      <w:pPr>
        <w:pStyle w:val="25"/>
        <w:ind w:firstLine="640"/>
      </w:pPr>
      <w:r>
        <w:rPr>
          <w:rFonts w:hint="eastAsia"/>
        </w:rPr>
        <w:t>3</w:t>
      </w:r>
      <w:r>
        <w:t>.</w:t>
      </w:r>
      <w:r>
        <w:rPr>
          <w:rFonts w:hint="eastAsia"/>
        </w:rPr>
        <w:t>服务对象满意度</w:t>
      </w:r>
    </w:p>
    <w:p>
      <w:pPr>
        <w:pStyle w:val="25"/>
        <w:ind w:firstLine="640"/>
      </w:pPr>
      <w:r>
        <w:rPr>
          <w:rFonts w:hint="eastAsia"/>
        </w:rPr>
        <w:t>（1）因病支出型困难家庭满意度</w:t>
      </w:r>
      <w:r>
        <w:rPr>
          <w:rFonts w:hint="eastAsia"/>
          <w:szCs w:val="32"/>
        </w:rPr>
        <w:t>（</w:t>
      </w:r>
      <w:r>
        <w:t>总分</w:t>
      </w:r>
      <w:r>
        <w:rPr>
          <w:rFonts w:hint="eastAsia"/>
        </w:rPr>
        <w:t>4</w:t>
      </w:r>
      <w:r>
        <w:t>分，得分</w:t>
      </w:r>
      <w:r>
        <w:rPr>
          <w:rFonts w:hint="eastAsia"/>
        </w:rPr>
        <w:t>4</w:t>
      </w:r>
      <w:r>
        <w:t>分）。</w:t>
      </w:r>
      <w:r>
        <w:rPr>
          <w:rFonts w:hint="eastAsia"/>
        </w:rPr>
        <w:t>依据因病支出型困难家庭医疗救助项目主要实施内容，对项目涉及19户家庭发放调查问卷，问卷内容中对政策宣传工作的满意度、申请审批流程的满意度、补贴发放时效的满意度问题做出调查。共计收回调查问卷19份，根据调查结果显示，对政策宣传工作的满意人数为19人，对申请审批流程的满意人数为19人，对补贴发放时效的满意人数为19人，因病支出型困难家庭满意度为</w:t>
      </w:r>
      <w:r>
        <w:t>100</w:t>
      </w:r>
      <w:r>
        <w:rPr>
          <w:rFonts w:hint="eastAsia"/>
        </w:rPr>
        <w:t>%。</w:t>
      </w:r>
    </w:p>
    <w:p>
      <w:pPr>
        <w:pStyle w:val="27"/>
      </w:pPr>
      <w:bookmarkStart w:id="14" w:name="_Toc5849"/>
      <w:r>
        <w:rPr>
          <w:rFonts w:hint="eastAsia"/>
        </w:rPr>
        <w:t>五、存在的主要问题</w:t>
      </w:r>
      <w:bookmarkEnd w:id="14"/>
    </w:p>
    <w:p>
      <w:pPr>
        <w:pStyle w:val="29"/>
        <w:ind w:firstLine="640"/>
      </w:pPr>
      <w:bookmarkStart w:id="15" w:name="_Toc11807"/>
      <w:r>
        <w:rPr>
          <w:rFonts w:hint="eastAsia"/>
        </w:rPr>
        <w:t>（一）</w:t>
      </w:r>
      <w:r>
        <w:rPr>
          <w:rFonts w:hint="eastAsia" w:ascii="楷体_GB2312" w:hAnsi="Times New Roman" w:cs="楷体_GB2312"/>
        </w:rPr>
        <w:t>项目绩效目标设置明确性、可衡量性不足</w:t>
      </w:r>
      <w:bookmarkEnd w:id="15"/>
    </w:p>
    <w:p>
      <w:pPr>
        <w:pStyle w:val="25"/>
        <w:ind w:firstLine="640"/>
        <w:rPr>
          <w:rFonts w:cs="Times New Roman"/>
        </w:rPr>
      </w:pPr>
      <w:r>
        <w:rPr>
          <w:rFonts w:hint="eastAsia"/>
        </w:rPr>
        <w:t>一是数量指标“申请救助且符合救助条件的困难群众救助率”和“医疗救助政策范围内住院（含门特）自付费用救助比例”，其指标值分别为“100%”和“50%，最高不超过5万元”，</w:t>
      </w:r>
      <w:r>
        <w:rPr>
          <w:rFonts w:hint="eastAsia"/>
          <w:bCs/>
        </w:rPr>
        <w:t>上述指标</w:t>
      </w:r>
      <w:r>
        <w:rPr>
          <w:rFonts w:hint="eastAsia"/>
        </w:rPr>
        <w:t>未明确救助困难群众的具体数量，导致无法衡量医疗救助资金发放工作完成的情况，指标值设置不明确；二是质量指标中“项目资金预算编制规范性”“项目资金决算编制规范性”两项指标值均为“编制程序合规，编制及时”，与项目实施内容不匹配，未能体现项目预期实施内容达到的标准、水平和效果，无法衡量工作质量情况</w:t>
      </w:r>
      <w:r>
        <w:rPr>
          <w:rFonts w:hint="eastAsia"/>
          <w:bCs/>
        </w:rPr>
        <w:t>；三是</w:t>
      </w:r>
      <w:r>
        <w:rPr>
          <w:rFonts w:hint="eastAsia"/>
        </w:rPr>
        <w:t>成本指标“救助金发放数额”，其指标值为“依据申请和审批结果足额发放”，指标设置未明确救助金发放的金额，未能具体明确体现项目实施期间预计使用的资金情况；四是社会效益指标“对申请救助且符合救助条件的困难群众进行医疗救助”，指标未能明确体现项目预期达到的效益</w:t>
      </w:r>
      <w:r>
        <w:rPr>
          <w:rFonts w:cs="Times New Roman"/>
        </w:rPr>
        <w:t>。</w:t>
      </w:r>
    </w:p>
    <w:p>
      <w:pPr>
        <w:pStyle w:val="29"/>
        <w:ind w:firstLine="640"/>
      </w:pPr>
      <w:bookmarkStart w:id="16" w:name="_Toc8983"/>
      <w:r>
        <w:rPr>
          <w:rFonts w:hint="eastAsia"/>
        </w:rPr>
        <w:t>（二）救助资金落实监管机制有待完善</w:t>
      </w:r>
      <w:bookmarkEnd w:id="16"/>
    </w:p>
    <w:p>
      <w:pPr>
        <w:pStyle w:val="25"/>
        <w:ind w:firstLine="640"/>
        <w:rPr>
          <w:rFonts w:cs="Times New Roman"/>
        </w:rPr>
      </w:pPr>
      <w:r>
        <w:rPr>
          <w:rFonts w:hint="eastAsia"/>
        </w:rPr>
        <w:t>救助资金是否切实落实到救助申请人直接关系影响项目实施的效果，服务质量评估是保障项目实施效果的重要基础，根据评价组实地调研得出，根据与天津市和平区医疗保障局沟通了解后发现，单位暂未建立健全该项目资金后续落实监管机制且没有开展相关资金落实监管工作，无法保障项目的实施效果</w:t>
      </w:r>
      <w:r>
        <w:rPr>
          <w:rFonts w:hint="eastAsia" w:cs="Times New Roman"/>
        </w:rPr>
        <w:t>。</w:t>
      </w:r>
    </w:p>
    <w:p>
      <w:pPr>
        <w:pStyle w:val="29"/>
        <w:ind w:firstLine="640"/>
      </w:pPr>
      <w:bookmarkStart w:id="17" w:name="_Toc9285"/>
      <w:r>
        <w:rPr>
          <w:rFonts w:hint="eastAsia"/>
        </w:rPr>
        <w:t>（三）政策宣传工作有待加强</w:t>
      </w:r>
      <w:bookmarkEnd w:id="17"/>
    </w:p>
    <w:p>
      <w:pPr>
        <w:spacing w:line="600" w:lineRule="exact"/>
        <w:ind w:firstLine="640"/>
        <w:jc w:val="both"/>
        <w:rPr>
          <w:rFonts w:ascii="Times New Roman" w:hAnsi="Times New Roman" w:eastAsia="仿宋_GB2312" w:cs="Times New Roman"/>
          <w:sz w:val="32"/>
        </w:rPr>
      </w:pPr>
      <w:r>
        <w:rPr>
          <w:rFonts w:hint="eastAsia" w:ascii="Times New Roman" w:hAnsi="Times New Roman" w:eastAsia="仿宋_GB2312" w:cs="Times New Roman"/>
          <w:sz w:val="32"/>
        </w:rPr>
        <w:t>救助政策覆盖情况是考验项目落实的重要指标，根据评价组实地调研得出，天津市和平区医疗保障局未建立因病支出型困难家庭医疗救助政策宣传机制，未开展专项宣传工作，仅通过业务培训、答疑等形式面向社区工作人员进行相关政策解答，未开展其他形式政策宣传工作，宣传手段较为单一，项目服务对象可能无法了解到相关政策，进而导致项目效益较低。</w:t>
      </w:r>
    </w:p>
    <w:p>
      <w:pPr>
        <w:pStyle w:val="27"/>
      </w:pPr>
      <w:bookmarkStart w:id="18" w:name="_Toc3886"/>
      <w:r>
        <w:rPr>
          <w:rFonts w:hint="eastAsia"/>
        </w:rPr>
        <w:t>六、相关建议</w:t>
      </w:r>
      <w:bookmarkEnd w:id="18"/>
    </w:p>
    <w:p>
      <w:pPr>
        <w:pStyle w:val="29"/>
        <w:ind w:firstLine="640"/>
      </w:pPr>
      <w:bookmarkStart w:id="19" w:name="_Toc5893"/>
      <w:r>
        <w:rPr>
          <w:rFonts w:hint="eastAsia"/>
        </w:rPr>
        <w:t>（一）加强部门绩效理念，提升</w:t>
      </w:r>
      <w:r>
        <w:rPr>
          <w:rFonts w:hint="eastAsia" w:ascii="楷体_GB2312" w:hAnsi="Times New Roman" w:cs="楷体_GB2312"/>
        </w:rPr>
        <w:t>绩效管理水平</w:t>
      </w:r>
      <w:bookmarkEnd w:id="19"/>
    </w:p>
    <w:p>
      <w:pPr>
        <w:pStyle w:val="25"/>
        <w:ind w:firstLine="640"/>
      </w:pPr>
      <w:r>
        <w:rPr>
          <w:rFonts w:hint="eastAsia"/>
        </w:rPr>
        <w:t>一是建议单位在设置项目绩效目标时针对项目具体实施内容明确项目预期产出及预期达到的效益。二是建议单位在设置项目绩效目标、项目绩效指标要具有适当性，对于绩效指标的表述要清晰规范，指标值的设置要围绕项目立项依据和项目工作计划方案，要符合行业标准，有一定可行性。三是建议单位在设置项目绩效目标、项目绩效指标时要具有合理性，指标值要可衡量，细化指标时要覆盖全面，指标间要相互对应，规范合理的设置项目绩效目标和绩效指标。四是</w:t>
      </w:r>
      <w:r>
        <w:t>建议单位加强绩效培训力度，提高绩效工作的重视程度，强化对绩效基本概念的理解，近而提高整体绩效工作质量</w:t>
      </w:r>
      <w:r>
        <w:rPr>
          <w:rFonts w:hint="eastAsia"/>
        </w:rPr>
        <w:t>，以充分发挥绩效目标对项目执行的引导约束和控制作用</w:t>
      </w:r>
      <w:r>
        <w:t>。</w:t>
      </w:r>
    </w:p>
    <w:p>
      <w:pPr>
        <w:pStyle w:val="29"/>
        <w:ind w:firstLine="640"/>
      </w:pPr>
      <w:bookmarkStart w:id="20" w:name="_Toc10743"/>
      <w:r>
        <w:rPr>
          <w:rFonts w:hint="eastAsia"/>
        </w:rPr>
        <w:t>（二）加强救助资金落实监管力度</w:t>
      </w:r>
      <w:bookmarkEnd w:id="20"/>
    </w:p>
    <w:p>
      <w:pPr>
        <w:pStyle w:val="25"/>
        <w:ind w:firstLine="640"/>
      </w:pPr>
      <w:r>
        <w:rPr>
          <w:rFonts w:hint="eastAsia"/>
        </w:rPr>
        <w:t>建议加强因病支出型困难家庭医疗救助资金落实监管力度，完善资金落实监管机制，可采取查验街道发放补贴后相应支出凭证、银行回单等账务信息或对被救助对象进行电话、线下回访等方式确认资金落实情况，切实保障被补助对象权益，减轻其医疗负担。</w:t>
      </w:r>
    </w:p>
    <w:p>
      <w:pPr>
        <w:pStyle w:val="29"/>
        <w:ind w:firstLine="640"/>
      </w:pPr>
      <w:bookmarkStart w:id="21" w:name="_Toc9518"/>
      <w:r>
        <w:rPr>
          <w:rFonts w:hint="eastAsia"/>
        </w:rPr>
        <w:t>（三）开展多渠道、多形式政策宣传工作</w:t>
      </w:r>
      <w:bookmarkEnd w:id="21"/>
    </w:p>
    <w:p>
      <w:pPr>
        <w:pStyle w:val="25"/>
        <w:ind w:firstLine="640"/>
      </w:pPr>
      <w:r>
        <w:rPr>
          <w:rFonts w:hint="eastAsia"/>
        </w:rPr>
        <w:t>单位可结合各街道情况与疫情形势，开展多种渠道宣传方式，如线下在社区公告栏内张贴政策宣传海报、举办相应政策宣传解读活动；线上在单位官网、微信公众号、抖音等新媒体平台投放政策宣传视频、文章等。另外单位也可与市内医院进行对接，在尊重患者意愿、不暴露患者隐私的前提下主动与患者联系沟通进行政策宣传，充分保障救助政策覆盖到所需家庭，达到减轻救助家庭医疗负担的效果。</w:t>
      </w:r>
    </w:p>
    <w:p>
      <w:pPr>
        <w:pStyle w:val="27"/>
      </w:pPr>
      <w:bookmarkStart w:id="22" w:name="_Toc15634"/>
      <w:r>
        <w:rPr>
          <w:rFonts w:hint="eastAsia"/>
        </w:rPr>
        <w:t>七、附件</w:t>
      </w:r>
      <w:bookmarkEnd w:id="22"/>
    </w:p>
    <w:p>
      <w:pPr>
        <w:pStyle w:val="29"/>
        <w:ind w:firstLine="640"/>
        <w:rPr>
          <w:rFonts w:ascii="Times New Roman" w:hAnsi="Times New Roman" w:eastAsia="仿宋_GB2312"/>
          <w:bCs w:val="0"/>
          <w:szCs w:val="21"/>
        </w:rPr>
      </w:pPr>
      <w:bookmarkStart w:id="23" w:name="_Toc10177"/>
      <w:r>
        <w:rPr>
          <w:rFonts w:hint="eastAsia" w:ascii="Times New Roman" w:hAnsi="Times New Roman" w:eastAsia="仿宋_GB2312"/>
          <w:bCs w:val="0"/>
          <w:szCs w:val="21"/>
        </w:rPr>
        <w:t>附件：天津市和平区医疗保障局因病支出型困难家庭医疗救助绩效评价指标体系及评分表</w:t>
      </w:r>
      <w:bookmarkEnd w:id="23"/>
    </w:p>
    <w:p>
      <w:pPr>
        <w:pStyle w:val="29"/>
        <w:ind w:firstLine="640"/>
        <w:rPr>
          <w:rFonts w:ascii="Times New Roman" w:hAnsi="Times New Roman" w:eastAsia="仿宋_GB2312"/>
          <w:bCs w:val="0"/>
          <w:szCs w:val="21"/>
        </w:rPr>
      </w:pPr>
    </w:p>
    <w:sectPr>
      <w:headerReference r:id="rId11" w:type="first"/>
      <w:footerReference r:id="rId14" w:type="first"/>
      <w:headerReference r:id="rId9" w:type="default"/>
      <w:footerReference r:id="rId12" w:type="default"/>
      <w:headerReference r:id="rId10" w:type="even"/>
      <w:footerReference r:id="rId13" w:type="even"/>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0646232"/>
    </w:sdtPr>
    <w:sdtEndPr>
      <w:rPr>
        <w:rFonts w:ascii="宋体" w:hAnsi="宋体" w:eastAsia="宋体"/>
        <w:sz w:val="22"/>
        <w:szCs w:val="22"/>
      </w:rPr>
    </w:sdtEndPr>
    <w:sdtContent>
      <w:p>
        <w:pPr>
          <w:ind w:firstLine="420"/>
          <w:jc w:val="center"/>
          <w:rPr>
            <w:rFonts w:ascii="宋体" w:hAnsi="宋体" w:eastAsia="宋体"/>
            <w:sz w:val="22"/>
            <w:szCs w:val="22"/>
          </w:rPr>
        </w:pPr>
        <w:r>
          <w:rPr>
            <w:rFonts w:ascii="宋体" w:hAnsi="宋体" w:eastAsia="宋体"/>
            <w:sz w:val="22"/>
            <w:szCs w:val="22"/>
          </w:rPr>
          <w:fldChar w:fldCharType="begin"/>
        </w:r>
        <w:r>
          <w:rPr>
            <w:rFonts w:ascii="宋体" w:hAnsi="宋体" w:eastAsia="宋体"/>
            <w:sz w:val="22"/>
            <w:szCs w:val="22"/>
          </w:rPr>
          <w:instrText xml:space="preserve">PAGE   \* MERGEFORMAT</w:instrText>
        </w:r>
        <w:r>
          <w:rPr>
            <w:rFonts w:ascii="宋体" w:hAnsi="宋体" w:eastAsia="宋体"/>
            <w:sz w:val="22"/>
            <w:szCs w:val="22"/>
          </w:rPr>
          <w:fldChar w:fldCharType="separate"/>
        </w:r>
        <w:r>
          <w:rPr>
            <w:rFonts w:ascii="宋体" w:hAnsi="宋体" w:eastAsia="宋体"/>
            <w:sz w:val="22"/>
            <w:szCs w:val="22"/>
            <w:lang w:val="zh-CN"/>
          </w:rPr>
          <w:t>29</w:t>
        </w:r>
        <w:r>
          <w:rPr>
            <w:rFonts w:ascii="宋体" w:hAnsi="宋体" w:eastAsia="宋体"/>
            <w:sz w:val="22"/>
            <w:szCs w:val="22"/>
          </w:rPr>
          <w:fldChar w:fldCharType="end"/>
        </w:r>
      </w:p>
    </w:sdtContent>
  </w:sdt>
  <w:p>
    <w:pPr>
      <w:ind w:firstLine="4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hNTBkODQwYjc1MGI1Yjk3OTliNDI3M2M3MGYyOTUifQ=="/>
  </w:docVars>
  <w:rsids>
    <w:rsidRoot w:val="00661057"/>
    <w:rsid w:val="000045BA"/>
    <w:rsid w:val="000057B2"/>
    <w:rsid w:val="000105FD"/>
    <w:rsid w:val="00010865"/>
    <w:rsid w:val="000142CB"/>
    <w:rsid w:val="00014AFF"/>
    <w:rsid w:val="00015C05"/>
    <w:rsid w:val="00017921"/>
    <w:rsid w:val="00020B30"/>
    <w:rsid w:val="00021949"/>
    <w:rsid w:val="0002241E"/>
    <w:rsid w:val="00023ED0"/>
    <w:rsid w:val="00024AFD"/>
    <w:rsid w:val="00024EBE"/>
    <w:rsid w:val="00030F63"/>
    <w:rsid w:val="0003117E"/>
    <w:rsid w:val="000315D7"/>
    <w:rsid w:val="000320CF"/>
    <w:rsid w:val="0003265A"/>
    <w:rsid w:val="00035BCE"/>
    <w:rsid w:val="000363F1"/>
    <w:rsid w:val="00040E3F"/>
    <w:rsid w:val="00041134"/>
    <w:rsid w:val="00041A50"/>
    <w:rsid w:val="00041B30"/>
    <w:rsid w:val="00041BB4"/>
    <w:rsid w:val="00044F67"/>
    <w:rsid w:val="00053124"/>
    <w:rsid w:val="00053EC5"/>
    <w:rsid w:val="00060419"/>
    <w:rsid w:val="000610F4"/>
    <w:rsid w:val="00061FCE"/>
    <w:rsid w:val="00062C48"/>
    <w:rsid w:val="0006309F"/>
    <w:rsid w:val="000648F1"/>
    <w:rsid w:val="00067C6F"/>
    <w:rsid w:val="000718A0"/>
    <w:rsid w:val="000726A8"/>
    <w:rsid w:val="00072A9A"/>
    <w:rsid w:val="00073BE5"/>
    <w:rsid w:val="0007429F"/>
    <w:rsid w:val="000746D9"/>
    <w:rsid w:val="00074BDC"/>
    <w:rsid w:val="000751CF"/>
    <w:rsid w:val="000760E4"/>
    <w:rsid w:val="0007748A"/>
    <w:rsid w:val="00077DC8"/>
    <w:rsid w:val="00080C50"/>
    <w:rsid w:val="0008121C"/>
    <w:rsid w:val="0008179D"/>
    <w:rsid w:val="00082FC6"/>
    <w:rsid w:val="00084D5E"/>
    <w:rsid w:val="000878CF"/>
    <w:rsid w:val="00090B22"/>
    <w:rsid w:val="000933A4"/>
    <w:rsid w:val="00095076"/>
    <w:rsid w:val="00095F49"/>
    <w:rsid w:val="000966C1"/>
    <w:rsid w:val="000A0112"/>
    <w:rsid w:val="000A0391"/>
    <w:rsid w:val="000A298B"/>
    <w:rsid w:val="000A4AED"/>
    <w:rsid w:val="000A5D45"/>
    <w:rsid w:val="000B03CE"/>
    <w:rsid w:val="000B0551"/>
    <w:rsid w:val="000B12D4"/>
    <w:rsid w:val="000B431A"/>
    <w:rsid w:val="000B44F3"/>
    <w:rsid w:val="000B57FD"/>
    <w:rsid w:val="000B765C"/>
    <w:rsid w:val="000C0944"/>
    <w:rsid w:val="000C161F"/>
    <w:rsid w:val="000C4437"/>
    <w:rsid w:val="000C47E5"/>
    <w:rsid w:val="000C4CFF"/>
    <w:rsid w:val="000C5D86"/>
    <w:rsid w:val="000C641C"/>
    <w:rsid w:val="000C677C"/>
    <w:rsid w:val="000C68A5"/>
    <w:rsid w:val="000D0CBC"/>
    <w:rsid w:val="000D17EC"/>
    <w:rsid w:val="000D1B8A"/>
    <w:rsid w:val="000D3065"/>
    <w:rsid w:val="000D4798"/>
    <w:rsid w:val="000D49D8"/>
    <w:rsid w:val="000D4E31"/>
    <w:rsid w:val="000D59C4"/>
    <w:rsid w:val="000E090B"/>
    <w:rsid w:val="000E09D3"/>
    <w:rsid w:val="000E1645"/>
    <w:rsid w:val="000E4182"/>
    <w:rsid w:val="000E461B"/>
    <w:rsid w:val="000E470E"/>
    <w:rsid w:val="000E4C7E"/>
    <w:rsid w:val="000E5AAC"/>
    <w:rsid w:val="000E60B5"/>
    <w:rsid w:val="000E650B"/>
    <w:rsid w:val="000E661D"/>
    <w:rsid w:val="000F0C25"/>
    <w:rsid w:val="000F10DD"/>
    <w:rsid w:val="000F5749"/>
    <w:rsid w:val="000F57C3"/>
    <w:rsid w:val="000F5CDF"/>
    <w:rsid w:val="00100141"/>
    <w:rsid w:val="00103B85"/>
    <w:rsid w:val="001040BF"/>
    <w:rsid w:val="0010563C"/>
    <w:rsid w:val="00105FFC"/>
    <w:rsid w:val="001062E4"/>
    <w:rsid w:val="001067A3"/>
    <w:rsid w:val="0011196A"/>
    <w:rsid w:val="00111F1F"/>
    <w:rsid w:val="001144A3"/>
    <w:rsid w:val="00114543"/>
    <w:rsid w:val="00114F4A"/>
    <w:rsid w:val="0011515D"/>
    <w:rsid w:val="00115952"/>
    <w:rsid w:val="00116C9D"/>
    <w:rsid w:val="0011781F"/>
    <w:rsid w:val="001229F0"/>
    <w:rsid w:val="00130312"/>
    <w:rsid w:val="00130E69"/>
    <w:rsid w:val="001320A4"/>
    <w:rsid w:val="00133A6C"/>
    <w:rsid w:val="00134CAA"/>
    <w:rsid w:val="001352E8"/>
    <w:rsid w:val="00136017"/>
    <w:rsid w:val="001376E7"/>
    <w:rsid w:val="0014138F"/>
    <w:rsid w:val="0014190A"/>
    <w:rsid w:val="0014294F"/>
    <w:rsid w:val="00142FBC"/>
    <w:rsid w:val="00150419"/>
    <w:rsid w:val="0015362D"/>
    <w:rsid w:val="00154FB5"/>
    <w:rsid w:val="00156000"/>
    <w:rsid w:val="0016244A"/>
    <w:rsid w:val="00162746"/>
    <w:rsid w:val="00162EDC"/>
    <w:rsid w:val="001632AD"/>
    <w:rsid w:val="00163F11"/>
    <w:rsid w:val="001646D6"/>
    <w:rsid w:val="001704F7"/>
    <w:rsid w:val="0017117B"/>
    <w:rsid w:val="00174401"/>
    <w:rsid w:val="001749BE"/>
    <w:rsid w:val="0017581B"/>
    <w:rsid w:val="00180CBE"/>
    <w:rsid w:val="001825F7"/>
    <w:rsid w:val="001828F4"/>
    <w:rsid w:val="001833FA"/>
    <w:rsid w:val="00183F48"/>
    <w:rsid w:val="00185478"/>
    <w:rsid w:val="00186FC2"/>
    <w:rsid w:val="001871E9"/>
    <w:rsid w:val="001879E5"/>
    <w:rsid w:val="001906A8"/>
    <w:rsid w:val="0019129E"/>
    <w:rsid w:val="00191749"/>
    <w:rsid w:val="00195E1D"/>
    <w:rsid w:val="00195E4A"/>
    <w:rsid w:val="001A2DD7"/>
    <w:rsid w:val="001A2E2B"/>
    <w:rsid w:val="001A3299"/>
    <w:rsid w:val="001A5D0F"/>
    <w:rsid w:val="001B071C"/>
    <w:rsid w:val="001B2159"/>
    <w:rsid w:val="001B28F5"/>
    <w:rsid w:val="001B451D"/>
    <w:rsid w:val="001B4A5F"/>
    <w:rsid w:val="001B4F8E"/>
    <w:rsid w:val="001B6647"/>
    <w:rsid w:val="001B66C9"/>
    <w:rsid w:val="001B69CF"/>
    <w:rsid w:val="001B70A1"/>
    <w:rsid w:val="001C080F"/>
    <w:rsid w:val="001C1A5E"/>
    <w:rsid w:val="001C2E79"/>
    <w:rsid w:val="001C455A"/>
    <w:rsid w:val="001C68F0"/>
    <w:rsid w:val="001D00A0"/>
    <w:rsid w:val="001D0C4F"/>
    <w:rsid w:val="001D191A"/>
    <w:rsid w:val="001D4BF7"/>
    <w:rsid w:val="001D4D25"/>
    <w:rsid w:val="001D598D"/>
    <w:rsid w:val="001E010C"/>
    <w:rsid w:val="001E0728"/>
    <w:rsid w:val="001E36FD"/>
    <w:rsid w:val="001E46CC"/>
    <w:rsid w:val="001E4A38"/>
    <w:rsid w:val="001E6734"/>
    <w:rsid w:val="001F15FE"/>
    <w:rsid w:val="001F4966"/>
    <w:rsid w:val="001F5CEE"/>
    <w:rsid w:val="00201790"/>
    <w:rsid w:val="00201A19"/>
    <w:rsid w:val="00201EAB"/>
    <w:rsid w:val="00202699"/>
    <w:rsid w:val="00203048"/>
    <w:rsid w:val="00204276"/>
    <w:rsid w:val="002057EC"/>
    <w:rsid w:val="002066C6"/>
    <w:rsid w:val="00206ED6"/>
    <w:rsid w:val="002077C3"/>
    <w:rsid w:val="00210763"/>
    <w:rsid w:val="0021205E"/>
    <w:rsid w:val="0021273F"/>
    <w:rsid w:val="00212CD8"/>
    <w:rsid w:val="00213586"/>
    <w:rsid w:val="002142A1"/>
    <w:rsid w:val="00215D96"/>
    <w:rsid w:val="00216DC5"/>
    <w:rsid w:val="0021761E"/>
    <w:rsid w:val="00217F50"/>
    <w:rsid w:val="00220486"/>
    <w:rsid w:val="002220D5"/>
    <w:rsid w:val="002220DB"/>
    <w:rsid w:val="00222361"/>
    <w:rsid w:val="00223431"/>
    <w:rsid w:val="00223C0F"/>
    <w:rsid w:val="00226AE8"/>
    <w:rsid w:val="002312C7"/>
    <w:rsid w:val="0023177B"/>
    <w:rsid w:val="002317CE"/>
    <w:rsid w:val="0023184B"/>
    <w:rsid w:val="00231B10"/>
    <w:rsid w:val="0023304C"/>
    <w:rsid w:val="00234CD8"/>
    <w:rsid w:val="0023513F"/>
    <w:rsid w:val="0023551E"/>
    <w:rsid w:val="002362E6"/>
    <w:rsid w:val="00236823"/>
    <w:rsid w:val="0023683D"/>
    <w:rsid w:val="00240E88"/>
    <w:rsid w:val="00243623"/>
    <w:rsid w:val="002449B2"/>
    <w:rsid w:val="002471DA"/>
    <w:rsid w:val="0025141F"/>
    <w:rsid w:val="0025214F"/>
    <w:rsid w:val="00252F45"/>
    <w:rsid w:val="00254126"/>
    <w:rsid w:val="00255445"/>
    <w:rsid w:val="00255788"/>
    <w:rsid w:val="002562FB"/>
    <w:rsid w:val="00256F67"/>
    <w:rsid w:val="002603B5"/>
    <w:rsid w:val="002606BD"/>
    <w:rsid w:val="00261928"/>
    <w:rsid w:val="00262595"/>
    <w:rsid w:val="002647B9"/>
    <w:rsid w:val="00264F7B"/>
    <w:rsid w:val="00265D4E"/>
    <w:rsid w:val="00266962"/>
    <w:rsid w:val="00266A5A"/>
    <w:rsid w:val="002670EF"/>
    <w:rsid w:val="002678A4"/>
    <w:rsid w:val="00267985"/>
    <w:rsid w:val="00267E3E"/>
    <w:rsid w:val="0027222E"/>
    <w:rsid w:val="00274E4B"/>
    <w:rsid w:val="002753AA"/>
    <w:rsid w:val="00275A3E"/>
    <w:rsid w:val="002815AF"/>
    <w:rsid w:val="002817C0"/>
    <w:rsid w:val="00282482"/>
    <w:rsid w:val="002837E3"/>
    <w:rsid w:val="00285361"/>
    <w:rsid w:val="00285E85"/>
    <w:rsid w:val="00287D7C"/>
    <w:rsid w:val="00291795"/>
    <w:rsid w:val="00293934"/>
    <w:rsid w:val="00296C9B"/>
    <w:rsid w:val="00297E04"/>
    <w:rsid w:val="002A079E"/>
    <w:rsid w:val="002A0C67"/>
    <w:rsid w:val="002A3D27"/>
    <w:rsid w:val="002A425C"/>
    <w:rsid w:val="002A54C9"/>
    <w:rsid w:val="002B0F25"/>
    <w:rsid w:val="002B42E8"/>
    <w:rsid w:val="002B45BF"/>
    <w:rsid w:val="002B5324"/>
    <w:rsid w:val="002B6E5F"/>
    <w:rsid w:val="002C1BFD"/>
    <w:rsid w:val="002C23B2"/>
    <w:rsid w:val="002C2ECC"/>
    <w:rsid w:val="002D2A2D"/>
    <w:rsid w:val="002D411F"/>
    <w:rsid w:val="002D5DFF"/>
    <w:rsid w:val="002D6ED4"/>
    <w:rsid w:val="002D741B"/>
    <w:rsid w:val="002D79B4"/>
    <w:rsid w:val="002E0D16"/>
    <w:rsid w:val="002E37F3"/>
    <w:rsid w:val="002E3C4E"/>
    <w:rsid w:val="002E7826"/>
    <w:rsid w:val="002F077A"/>
    <w:rsid w:val="002F0C80"/>
    <w:rsid w:val="002F12F4"/>
    <w:rsid w:val="002F2542"/>
    <w:rsid w:val="002F2BF4"/>
    <w:rsid w:val="002F2D22"/>
    <w:rsid w:val="002F31E3"/>
    <w:rsid w:val="002F6CA4"/>
    <w:rsid w:val="002F7EF8"/>
    <w:rsid w:val="002F7F21"/>
    <w:rsid w:val="00300909"/>
    <w:rsid w:val="00300C9E"/>
    <w:rsid w:val="00301D2E"/>
    <w:rsid w:val="00302716"/>
    <w:rsid w:val="003029A1"/>
    <w:rsid w:val="003032A9"/>
    <w:rsid w:val="00303942"/>
    <w:rsid w:val="00303D5F"/>
    <w:rsid w:val="00304E75"/>
    <w:rsid w:val="003071E3"/>
    <w:rsid w:val="00307E6B"/>
    <w:rsid w:val="00310457"/>
    <w:rsid w:val="00310651"/>
    <w:rsid w:val="0031090D"/>
    <w:rsid w:val="00311AC4"/>
    <w:rsid w:val="003136C6"/>
    <w:rsid w:val="003200D2"/>
    <w:rsid w:val="003201D7"/>
    <w:rsid w:val="0032202C"/>
    <w:rsid w:val="00325B50"/>
    <w:rsid w:val="003263DF"/>
    <w:rsid w:val="00332532"/>
    <w:rsid w:val="00333326"/>
    <w:rsid w:val="003357AA"/>
    <w:rsid w:val="00335C30"/>
    <w:rsid w:val="0033624F"/>
    <w:rsid w:val="003365BF"/>
    <w:rsid w:val="00341961"/>
    <w:rsid w:val="00341FF6"/>
    <w:rsid w:val="00344B11"/>
    <w:rsid w:val="00346176"/>
    <w:rsid w:val="00346B0F"/>
    <w:rsid w:val="00346D61"/>
    <w:rsid w:val="003502BF"/>
    <w:rsid w:val="00352F25"/>
    <w:rsid w:val="003562EF"/>
    <w:rsid w:val="00356CE2"/>
    <w:rsid w:val="003577FB"/>
    <w:rsid w:val="003606F4"/>
    <w:rsid w:val="003652D2"/>
    <w:rsid w:val="003667C6"/>
    <w:rsid w:val="00367095"/>
    <w:rsid w:val="00370CE4"/>
    <w:rsid w:val="0037372D"/>
    <w:rsid w:val="00375C38"/>
    <w:rsid w:val="00376D59"/>
    <w:rsid w:val="0038049A"/>
    <w:rsid w:val="0038053D"/>
    <w:rsid w:val="00380E46"/>
    <w:rsid w:val="00381F5C"/>
    <w:rsid w:val="00383300"/>
    <w:rsid w:val="0038541B"/>
    <w:rsid w:val="003854CE"/>
    <w:rsid w:val="00386038"/>
    <w:rsid w:val="00386369"/>
    <w:rsid w:val="0038701F"/>
    <w:rsid w:val="003920E7"/>
    <w:rsid w:val="00395D8F"/>
    <w:rsid w:val="00396581"/>
    <w:rsid w:val="0039718C"/>
    <w:rsid w:val="00397D72"/>
    <w:rsid w:val="00397D8C"/>
    <w:rsid w:val="003A0B25"/>
    <w:rsid w:val="003A2940"/>
    <w:rsid w:val="003A2E30"/>
    <w:rsid w:val="003A2F91"/>
    <w:rsid w:val="003A30C9"/>
    <w:rsid w:val="003A3686"/>
    <w:rsid w:val="003A464E"/>
    <w:rsid w:val="003A48E3"/>
    <w:rsid w:val="003A70B6"/>
    <w:rsid w:val="003B4F6C"/>
    <w:rsid w:val="003B55D5"/>
    <w:rsid w:val="003B710A"/>
    <w:rsid w:val="003C094E"/>
    <w:rsid w:val="003C17D5"/>
    <w:rsid w:val="003C237D"/>
    <w:rsid w:val="003C2BC0"/>
    <w:rsid w:val="003C3423"/>
    <w:rsid w:val="003C3582"/>
    <w:rsid w:val="003C53D9"/>
    <w:rsid w:val="003C5B0E"/>
    <w:rsid w:val="003C735B"/>
    <w:rsid w:val="003D0489"/>
    <w:rsid w:val="003D0F28"/>
    <w:rsid w:val="003D2666"/>
    <w:rsid w:val="003D42E6"/>
    <w:rsid w:val="003D54FC"/>
    <w:rsid w:val="003D5E93"/>
    <w:rsid w:val="003D704B"/>
    <w:rsid w:val="003E0E01"/>
    <w:rsid w:val="003E183F"/>
    <w:rsid w:val="003E343F"/>
    <w:rsid w:val="003E5D8A"/>
    <w:rsid w:val="003E60F9"/>
    <w:rsid w:val="003E7C97"/>
    <w:rsid w:val="003E7DCD"/>
    <w:rsid w:val="003F03E2"/>
    <w:rsid w:val="003F0E3E"/>
    <w:rsid w:val="003F12E1"/>
    <w:rsid w:val="003F1F24"/>
    <w:rsid w:val="003F2C37"/>
    <w:rsid w:val="003F2D3A"/>
    <w:rsid w:val="003F2F3C"/>
    <w:rsid w:val="003F3A11"/>
    <w:rsid w:val="003F4C3B"/>
    <w:rsid w:val="003F5A90"/>
    <w:rsid w:val="003F5BA5"/>
    <w:rsid w:val="003F61ED"/>
    <w:rsid w:val="00404850"/>
    <w:rsid w:val="0040522D"/>
    <w:rsid w:val="00407278"/>
    <w:rsid w:val="00407F2A"/>
    <w:rsid w:val="004127B8"/>
    <w:rsid w:val="004132DE"/>
    <w:rsid w:val="0041445C"/>
    <w:rsid w:val="004168C0"/>
    <w:rsid w:val="004174C2"/>
    <w:rsid w:val="004208BB"/>
    <w:rsid w:val="0042758F"/>
    <w:rsid w:val="00430BE1"/>
    <w:rsid w:val="0043108E"/>
    <w:rsid w:val="00431251"/>
    <w:rsid w:val="0043312F"/>
    <w:rsid w:val="00434CAB"/>
    <w:rsid w:val="00434EE8"/>
    <w:rsid w:val="004369F7"/>
    <w:rsid w:val="00437589"/>
    <w:rsid w:val="00437A6D"/>
    <w:rsid w:val="00440BE3"/>
    <w:rsid w:val="00440EAF"/>
    <w:rsid w:val="00442876"/>
    <w:rsid w:val="004429F6"/>
    <w:rsid w:val="00442C96"/>
    <w:rsid w:val="0044352C"/>
    <w:rsid w:val="0044422D"/>
    <w:rsid w:val="00445115"/>
    <w:rsid w:val="00454365"/>
    <w:rsid w:val="004545BE"/>
    <w:rsid w:val="00455F34"/>
    <w:rsid w:val="00456A33"/>
    <w:rsid w:val="00461FCC"/>
    <w:rsid w:val="004620D9"/>
    <w:rsid w:val="00462188"/>
    <w:rsid w:val="00465139"/>
    <w:rsid w:val="00465FD6"/>
    <w:rsid w:val="004666C6"/>
    <w:rsid w:val="0046745A"/>
    <w:rsid w:val="00471C0B"/>
    <w:rsid w:val="00471F19"/>
    <w:rsid w:val="00471F5C"/>
    <w:rsid w:val="0047252A"/>
    <w:rsid w:val="00472D22"/>
    <w:rsid w:val="00473883"/>
    <w:rsid w:val="00473B50"/>
    <w:rsid w:val="004746B7"/>
    <w:rsid w:val="00474B3C"/>
    <w:rsid w:val="00475EF5"/>
    <w:rsid w:val="00476C69"/>
    <w:rsid w:val="00477E60"/>
    <w:rsid w:val="004802A1"/>
    <w:rsid w:val="00480B60"/>
    <w:rsid w:val="00481085"/>
    <w:rsid w:val="00481492"/>
    <w:rsid w:val="00481F3A"/>
    <w:rsid w:val="00482DE6"/>
    <w:rsid w:val="004845FC"/>
    <w:rsid w:val="00484994"/>
    <w:rsid w:val="004876BF"/>
    <w:rsid w:val="0048792B"/>
    <w:rsid w:val="00491ADB"/>
    <w:rsid w:val="004A07BD"/>
    <w:rsid w:val="004A117D"/>
    <w:rsid w:val="004A2F9E"/>
    <w:rsid w:val="004A3CA4"/>
    <w:rsid w:val="004A42B6"/>
    <w:rsid w:val="004A5067"/>
    <w:rsid w:val="004A5987"/>
    <w:rsid w:val="004A6BE4"/>
    <w:rsid w:val="004B32D8"/>
    <w:rsid w:val="004B4CF6"/>
    <w:rsid w:val="004C00BE"/>
    <w:rsid w:val="004C0450"/>
    <w:rsid w:val="004C1741"/>
    <w:rsid w:val="004C4A72"/>
    <w:rsid w:val="004C4AEB"/>
    <w:rsid w:val="004C5077"/>
    <w:rsid w:val="004C5E4A"/>
    <w:rsid w:val="004C6B17"/>
    <w:rsid w:val="004D03C8"/>
    <w:rsid w:val="004D0B8D"/>
    <w:rsid w:val="004D10A8"/>
    <w:rsid w:val="004D1865"/>
    <w:rsid w:val="004D18D3"/>
    <w:rsid w:val="004D338E"/>
    <w:rsid w:val="004D3557"/>
    <w:rsid w:val="004D3BC4"/>
    <w:rsid w:val="004E0D4E"/>
    <w:rsid w:val="004E0ED0"/>
    <w:rsid w:val="004E2E13"/>
    <w:rsid w:val="004E51AA"/>
    <w:rsid w:val="004F1A87"/>
    <w:rsid w:val="004F1B21"/>
    <w:rsid w:val="004F386B"/>
    <w:rsid w:val="004F3B5F"/>
    <w:rsid w:val="004F4A4D"/>
    <w:rsid w:val="004F4DD7"/>
    <w:rsid w:val="004F7B1D"/>
    <w:rsid w:val="00500272"/>
    <w:rsid w:val="00500DB3"/>
    <w:rsid w:val="0050309A"/>
    <w:rsid w:val="005053C6"/>
    <w:rsid w:val="00505E99"/>
    <w:rsid w:val="00506277"/>
    <w:rsid w:val="00507119"/>
    <w:rsid w:val="00507D0E"/>
    <w:rsid w:val="00511223"/>
    <w:rsid w:val="00511A08"/>
    <w:rsid w:val="00511C51"/>
    <w:rsid w:val="00513245"/>
    <w:rsid w:val="00513579"/>
    <w:rsid w:val="00513D35"/>
    <w:rsid w:val="00513E56"/>
    <w:rsid w:val="00517695"/>
    <w:rsid w:val="005224AB"/>
    <w:rsid w:val="005227CB"/>
    <w:rsid w:val="0052280F"/>
    <w:rsid w:val="005230DE"/>
    <w:rsid w:val="00523540"/>
    <w:rsid w:val="00523F66"/>
    <w:rsid w:val="0052404E"/>
    <w:rsid w:val="00524BB2"/>
    <w:rsid w:val="005251C4"/>
    <w:rsid w:val="00526C06"/>
    <w:rsid w:val="00527FB9"/>
    <w:rsid w:val="005301DF"/>
    <w:rsid w:val="0053072D"/>
    <w:rsid w:val="0053130C"/>
    <w:rsid w:val="00532532"/>
    <w:rsid w:val="005341AF"/>
    <w:rsid w:val="005375FD"/>
    <w:rsid w:val="00541337"/>
    <w:rsid w:val="00541A6D"/>
    <w:rsid w:val="0055005D"/>
    <w:rsid w:val="00551465"/>
    <w:rsid w:val="00555CEE"/>
    <w:rsid w:val="0055700A"/>
    <w:rsid w:val="005603F1"/>
    <w:rsid w:val="00560B1B"/>
    <w:rsid w:val="00563B27"/>
    <w:rsid w:val="00563B61"/>
    <w:rsid w:val="005664FE"/>
    <w:rsid w:val="0056671F"/>
    <w:rsid w:val="00567F71"/>
    <w:rsid w:val="00572F59"/>
    <w:rsid w:val="00573853"/>
    <w:rsid w:val="00573B4A"/>
    <w:rsid w:val="0057639E"/>
    <w:rsid w:val="00577671"/>
    <w:rsid w:val="005800AD"/>
    <w:rsid w:val="005831D8"/>
    <w:rsid w:val="0058487D"/>
    <w:rsid w:val="00585E49"/>
    <w:rsid w:val="005900C9"/>
    <w:rsid w:val="005908FE"/>
    <w:rsid w:val="0059093D"/>
    <w:rsid w:val="00590B7F"/>
    <w:rsid w:val="00594BE7"/>
    <w:rsid w:val="005968D6"/>
    <w:rsid w:val="005978EB"/>
    <w:rsid w:val="005A00B3"/>
    <w:rsid w:val="005A02D6"/>
    <w:rsid w:val="005A1AF6"/>
    <w:rsid w:val="005A264F"/>
    <w:rsid w:val="005A6098"/>
    <w:rsid w:val="005A6DD7"/>
    <w:rsid w:val="005A7556"/>
    <w:rsid w:val="005B0477"/>
    <w:rsid w:val="005B47AA"/>
    <w:rsid w:val="005B51A5"/>
    <w:rsid w:val="005B7194"/>
    <w:rsid w:val="005C15F0"/>
    <w:rsid w:val="005C4163"/>
    <w:rsid w:val="005C49D6"/>
    <w:rsid w:val="005C4F23"/>
    <w:rsid w:val="005C5146"/>
    <w:rsid w:val="005C51D3"/>
    <w:rsid w:val="005C5F21"/>
    <w:rsid w:val="005C66DA"/>
    <w:rsid w:val="005C7038"/>
    <w:rsid w:val="005C7668"/>
    <w:rsid w:val="005C7954"/>
    <w:rsid w:val="005C7EA3"/>
    <w:rsid w:val="005D17A6"/>
    <w:rsid w:val="005D2B39"/>
    <w:rsid w:val="005D69B0"/>
    <w:rsid w:val="005E03E9"/>
    <w:rsid w:val="005E0A86"/>
    <w:rsid w:val="005E1E1E"/>
    <w:rsid w:val="005E37F6"/>
    <w:rsid w:val="005E3B63"/>
    <w:rsid w:val="005F0C32"/>
    <w:rsid w:val="005F527A"/>
    <w:rsid w:val="005F72E1"/>
    <w:rsid w:val="006016E0"/>
    <w:rsid w:val="00601702"/>
    <w:rsid w:val="0060305C"/>
    <w:rsid w:val="0060374B"/>
    <w:rsid w:val="00605303"/>
    <w:rsid w:val="00605E41"/>
    <w:rsid w:val="00606708"/>
    <w:rsid w:val="00606A29"/>
    <w:rsid w:val="0061031D"/>
    <w:rsid w:val="00610B21"/>
    <w:rsid w:val="00610F15"/>
    <w:rsid w:val="00612A31"/>
    <w:rsid w:val="00612F15"/>
    <w:rsid w:val="006135BE"/>
    <w:rsid w:val="006141A4"/>
    <w:rsid w:val="00615112"/>
    <w:rsid w:val="006164EA"/>
    <w:rsid w:val="00617415"/>
    <w:rsid w:val="00617AB8"/>
    <w:rsid w:val="00620048"/>
    <w:rsid w:val="00620552"/>
    <w:rsid w:val="006207A7"/>
    <w:rsid w:val="006208EF"/>
    <w:rsid w:val="00621C44"/>
    <w:rsid w:val="00624145"/>
    <w:rsid w:val="0062609C"/>
    <w:rsid w:val="006273FB"/>
    <w:rsid w:val="006303B5"/>
    <w:rsid w:val="00630AA1"/>
    <w:rsid w:val="00630D1F"/>
    <w:rsid w:val="006319C6"/>
    <w:rsid w:val="00631E4E"/>
    <w:rsid w:val="00631F97"/>
    <w:rsid w:val="00634CE8"/>
    <w:rsid w:val="00635391"/>
    <w:rsid w:val="006354FD"/>
    <w:rsid w:val="00636425"/>
    <w:rsid w:val="00636A82"/>
    <w:rsid w:val="0064012A"/>
    <w:rsid w:val="00640A35"/>
    <w:rsid w:val="00642B6B"/>
    <w:rsid w:val="0064631B"/>
    <w:rsid w:val="006509C0"/>
    <w:rsid w:val="00652718"/>
    <w:rsid w:val="006555B4"/>
    <w:rsid w:val="0065632F"/>
    <w:rsid w:val="00661057"/>
    <w:rsid w:val="0066142B"/>
    <w:rsid w:val="00662452"/>
    <w:rsid w:val="00663885"/>
    <w:rsid w:val="0066490F"/>
    <w:rsid w:val="0066557D"/>
    <w:rsid w:val="00665A76"/>
    <w:rsid w:val="00665D30"/>
    <w:rsid w:val="006740CE"/>
    <w:rsid w:val="006745E5"/>
    <w:rsid w:val="00677282"/>
    <w:rsid w:val="0068007F"/>
    <w:rsid w:val="00680FC8"/>
    <w:rsid w:val="00681EC6"/>
    <w:rsid w:val="006847D1"/>
    <w:rsid w:val="006847EC"/>
    <w:rsid w:val="00694366"/>
    <w:rsid w:val="00696A44"/>
    <w:rsid w:val="006A1A15"/>
    <w:rsid w:val="006A1EEE"/>
    <w:rsid w:val="006A2799"/>
    <w:rsid w:val="006A2EEF"/>
    <w:rsid w:val="006A311B"/>
    <w:rsid w:val="006A49A7"/>
    <w:rsid w:val="006A5ABE"/>
    <w:rsid w:val="006A6724"/>
    <w:rsid w:val="006B023A"/>
    <w:rsid w:val="006B1984"/>
    <w:rsid w:val="006B33B3"/>
    <w:rsid w:val="006B67B5"/>
    <w:rsid w:val="006B69E5"/>
    <w:rsid w:val="006B6D9D"/>
    <w:rsid w:val="006B6F79"/>
    <w:rsid w:val="006C2452"/>
    <w:rsid w:val="006C2D0F"/>
    <w:rsid w:val="006C3511"/>
    <w:rsid w:val="006C4A3F"/>
    <w:rsid w:val="006C56D0"/>
    <w:rsid w:val="006D0238"/>
    <w:rsid w:val="006D0F2F"/>
    <w:rsid w:val="006D378E"/>
    <w:rsid w:val="006D5FF8"/>
    <w:rsid w:val="006D642B"/>
    <w:rsid w:val="006D6E03"/>
    <w:rsid w:val="006E263D"/>
    <w:rsid w:val="006E4996"/>
    <w:rsid w:val="006E4E2B"/>
    <w:rsid w:val="006E5BAE"/>
    <w:rsid w:val="006E7AE8"/>
    <w:rsid w:val="006F08A7"/>
    <w:rsid w:val="006F71A1"/>
    <w:rsid w:val="006F7B87"/>
    <w:rsid w:val="00700662"/>
    <w:rsid w:val="007006A9"/>
    <w:rsid w:val="00703ECA"/>
    <w:rsid w:val="00704A1C"/>
    <w:rsid w:val="00706812"/>
    <w:rsid w:val="00711A20"/>
    <w:rsid w:val="00712416"/>
    <w:rsid w:val="007128C3"/>
    <w:rsid w:val="0071296D"/>
    <w:rsid w:val="00712F83"/>
    <w:rsid w:val="00713AFA"/>
    <w:rsid w:val="00713C73"/>
    <w:rsid w:val="00715349"/>
    <w:rsid w:val="00717A55"/>
    <w:rsid w:val="0072230F"/>
    <w:rsid w:val="0072231A"/>
    <w:rsid w:val="0072315E"/>
    <w:rsid w:val="00723C16"/>
    <w:rsid w:val="0072660B"/>
    <w:rsid w:val="00726B01"/>
    <w:rsid w:val="007279A3"/>
    <w:rsid w:val="0073310A"/>
    <w:rsid w:val="00741C69"/>
    <w:rsid w:val="00741D75"/>
    <w:rsid w:val="00743FB6"/>
    <w:rsid w:val="00744239"/>
    <w:rsid w:val="00747CF7"/>
    <w:rsid w:val="007528D9"/>
    <w:rsid w:val="0075486A"/>
    <w:rsid w:val="007562E0"/>
    <w:rsid w:val="00757431"/>
    <w:rsid w:val="007604BA"/>
    <w:rsid w:val="007629A1"/>
    <w:rsid w:val="00763909"/>
    <w:rsid w:val="0076595B"/>
    <w:rsid w:val="0077187A"/>
    <w:rsid w:val="007719C6"/>
    <w:rsid w:val="007725F9"/>
    <w:rsid w:val="00774669"/>
    <w:rsid w:val="00774788"/>
    <w:rsid w:val="0077630E"/>
    <w:rsid w:val="00776FA1"/>
    <w:rsid w:val="007808C5"/>
    <w:rsid w:val="00780EC8"/>
    <w:rsid w:val="00781ADF"/>
    <w:rsid w:val="007823FB"/>
    <w:rsid w:val="00783A0F"/>
    <w:rsid w:val="00783F5D"/>
    <w:rsid w:val="00785A77"/>
    <w:rsid w:val="00785C42"/>
    <w:rsid w:val="0078662E"/>
    <w:rsid w:val="00786D65"/>
    <w:rsid w:val="00787E57"/>
    <w:rsid w:val="007903CE"/>
    <w:rsid w:val="00793670"/>
    <w:rsid w:val="0079388C"/>
    <w:rsid w:val="0079536B"/>
    <w:rsid w:val="00795418"/>
    <w:rsid w:val="00797370"/>
    <w:rsid w:val="00797B48"/>
    <w:rsid w:val="007A0119"/>
    <w:rsid w:val="007A4B19"/>
    <w:rsid w:val="007A5472"/>
    <w:rsid w:val="007A7894"/>
    <w:rsid w:val="007A7951"/>
    <w:rsid w:val="007A7BE7"/>
    <w:rsid w:val="007B0A8C"/>
    <w:rsid w:val="007B127D"/>
    <w:rsid w:val="007B27BF"/>
    <w:rsid w:val="007B4CE1"/>
    <w:rsid w:val="007B7661"/>
    <w:rsid w:val="007C2F0B"/>
    <w:rsid w:val="007C355C"/>
    <w:rsid w:val="007C4C1D"/>
    <w:rsid w:val="007C5B61"/>
    <w:rsid w:val="007C7FA2"/>
    <w:rsid w:val="007D330F"/>
    <w:rsid w:val="007D4DEE"/>
    <w:rsid w:val="007D6CD9"/>
    <w:rsid w:val="007E1792"/>
    <w:rsid w:val="007E21E9"/>
    <w:rsid w:val="007E3536"/>
    <w:rsid w:val="007E3EE3"/>
    <w:rsid w:val="007E4A2B"/>
    <w:rsid w:val="007E4CAF"/>
    <w:rsid w:val="007E56AE"/>
    <w:rsid w:val="007E7395"/>
    <w:rsid w:val="007F00DB"/>
    <w:rsid w:val="007F2BA1"/>
    <w:rsid w:val="007F3FC6"/>
    <w:rsid w:val="007F5AC1"/>
    <w:rsid w:val="007F68E4"/>
    <w:rsid w:val="007F7404"/>
    <w:rsid w:val="007F75E2"/>
    <w:rsid w:val="007F7F99"/>
    <w:rsid w:val="0080408C"/>
    <w:rsid w:val="008049A2"/>
    <w:rsid w:val="008059C4"/>
    <w:rsid w:val="00807057"/>
    <w:rsid w:val="00810051"/>
    <w:rsid w:val="008104FF"/>
    <w:rsid w:val="0081301A"/>
    <w:rsid w:val="0081535C"/>
    <w:rsid w:val="00815477"/>
    <w:rsid w:val="008164E5"/>
    <w:rsid w:val="00816AF3"/>
    <w:rsid w:val="008202A4"/>
    <w:rsid w:val="008208E6"/>
    <w:rsid w:val="00821F53"/>
    <w:rsid w:val="0082382F"/>
    <w:rsid w:val="0082624D"/>
    <w:rsid w:val="008322E9"/>
    <w:rsid w:val="008329B3"/>
    <w:rsid w:val="00832EC3"/>
    <w:rsid w:val="00833E31"/>
    <w:rsid w:val="00834CFA"/>
    <w:rsid w:val="0084039A"/>
    <w:rsid w:val="00840466"/>
    <w:rsid w:val="0084183C"/>
    <w:rsid w:val="00845CE0"/>
    <w:rsid w:val="0084745F"/>
    <w:rsid w:val="00847533"/>
    <w:rsid w:val="008507A1"/>
    <w:rsid w:val="008509FA"/>
    <w:rsid w:val="00855D04"/>
    <w:rsid w:val="00856D1F"/>
    <w:rsid w:val="00857F3B"/>
    <w:rsid w:val="00860004"/>
    <w:rsid w:val="0086023A"/>
    <w:rsid w:val="00862FEA"/>
    <w:rsid w:val="008635DD"/>
    <w:rsid w:val="00866CFC"/>
    <w:rsid w:val="0086761F"/>
    <w:rsid w:val="008712EC"/>
    <w:rsid w:val="00871A31"/>
    <w:rsid w:val="0087235F"/>
    <w:rsid w:val="00872FD6"/>
    <w:rsid w:val="008741A5"/>
    <w:rsid w:val="00874B49"/>
    <w:rsid w:val="00875999"/>
    <w:rsid w:val="00882F08"/>
    <w:rsid w:val="00885C35"/>
    <w:rsid w:val="00887B77"/>
    <w:rsid w:val="00890929"/>
    <w:rsid w:val="008924A7"/>
    <w:rsid w:val="00892C6B"/>
    <w:rsid w:val="00892EEC"/>
    <w:rsid w:val="0089397E"/>
    <w:rsid w:val="00893E0F"/>
    <w:rsid w:val="00895AEA"/>
    <w:rsid w:val="008A17DB"/>
    <w:rsid w:val="008A43D6"/>
    <w:rsid w:val="008A495D"/>
    <w:rsid w:val="008A5137"/>
    <w:rsid w:val="008A68D4"/>
    <w:rsid w:val="008A759E"/>
    <w:rsid w:val="008B0066"/>
    <w:rsid w:val="008B10E5"/>
    <w:rsid w:val="008B1865"/>
    <w:rsid w:val="008B59A6"/>
    <w:rsid w:val="008C18F6"/>
    <w:rsid w:val="008C68DB"/>
    <w:rsid w:val="008C6B11"/>
    <w:rsid w:val="008D0E41"/>
    <w:rsid w:val="008D1070"/>
    <w:rsid w:val="008D2D00"/>
    <w:rsid w:val="008D7880"/>
    <w:rsid w:val="008D7AEF"/>
    <w:rsid w:val="008D7D29"/>
    <w:rsid w:val="008E37CF"/>
    <w:rsid w:val="008E5C45"/>
    <w:rsid w:val="008E5E84"/>
    <w:rsid w:val="008E6701"/>
    <w:rsid w:val="008E6784"/>
    <w:rsid w:val="008F0212"/>
    <w:rsid w:val="008F062C"/>
    <w:rsid w:val="008F2E3A"/>
    <w:rsid w:val="008F39B2"/>
    <w:rsid w:val="008F417A"/>
    <w:rsid w:val="008F4E95"/>
    <w:rsid w:val="008F5569"/>
    <w:rsid w:val="008F559E"/>
    <w:rsid w:val="008F5951"/>
    <w:rsid w:val="008F5986"/>
    <w:rsid w:val="008F7880"/>
    <w:rsid w:val="009019EE"/>
    <w:rsid w:val="009023FF"/>
    <w:rsid w:val="00902F15"/>
    <w:rsid w:val="009031CE"/>
    <w:rsid w:val="009036A9"/>
    <w:rsid w:val="00903A0E"/>
    <w:rsid w:val="009040D7"/>
    <w:rsid w:val="00904A8D"/>
    <w:rsid w:val="00904F54"/>
    <w:rsid w:val="009061CA"/>
    <w:rsid w:val="009061EE"/>
    <w:rsid w:val="0090685C"/>
    <w:rsid w:val="009103B4"/>
    <w:rsid w:val="00910630"/>
    <w:rsid w:val="00911693"/>
    <w:rsid w:val="00912ED4"/>
    <w:rsid w:val="00913830"/>
    <w:rsid w:val="00913E98"/>
    <w:rsid w:val="00914536"/>
    <w:rsid w:val="009159B4"/>
    <w:rsid w:val="00915BC9"/>
    <w:rsid w:val="00916A22"/>
    <w:rsid w:val="00917BBA"/>
    <w:rsid w:val="00921D99"/>
    <w:rsid w:val="00923D0C"/>
    <w:rsid w:val="00925806"/>
    <w:rsid w:val="0092772B"/>
    <w:rsid w:val="009300EA"/>
    <w:rsid w:val="00930B8E"/>
    <w:rsid w:val="00931728"/>
    <w:rsid w:val="00933A2C"/>
    <w:rsid w:val="00934505"/>
    <w:rsid w:val="00934AD2"/>
    <w:rsid w:val="00935816"/>
    <w:rsid w:val="009363BB"/>
    <w:rsid w:val="00940FD8"/>
    <w:rsid w:val="0094126F"/>
    <w:rsid w:val="00941274"/>
    <w:rsid w:val="00941CE3"/>
    <w:rsid w:val="0094295C"/>
    <w:rsid w:val="00942F99"/>
    <w:rsid w:val="009436C6"/>
    <w:rsid w:val="00951D6C"/>
    <w:rsid w:val="009520F4"/>
    <w:rsid w:val="00952C13"/>
    <w:rsid w:val="0095347B"/>
    <w:rsid w:val="009539ED"/>
    <w:rsid w:val="009555FF"/>
    <w:rsid w:val="00955B84"/>
    <w:rsid w:val="009618BA"/>
    <w:rsid w:val="00962623"/>
    <w:rsid w:val="00963E97"/>
    <w:rsid w:val="00970530"/>
    <w:rsid w:val="00972068"/>
    <w:rsid w:val="009741E1"/>
    <w:rsid w:val="0097609A"/>
    <w:rsid w:val="00976240"/>
    <w:rsid w:val="00977C36"/>
    <w:rsid w:val="0098012D"/>
    <w:rsid w:val="00982C1F"/>
    <w:rsid w:val="00984560"/>
    <w:rsid w:val="009866A6"/>
    <w:rsid w:val="00987D76"/>
    <w:rsid w:val="00990ACF"/>
    <w:rsid w:val="00990F30"/>
    <w:rsid w:val="00992019"/>
    <w:rsid w:val="009960D0"/>
    <w:rsid w:val="009A1512"/>
    <w:rsid w:val="009A2E8F"/>
    <w:rsid w:val="009A5C2B"/>
    <w:rsid w:val="009A675B"/>
    <w:rsid w:val="009B2540"/>
    <w:rsid w:val="009B262C"/>
    <w:rsid w:val="009B5673"/>
    <w:rsid w:val="009B5F0D"/>
    <w:rsid w:val="009C017D"/>
    <w:rsid w:val="009C14D3"/>
    <w:rsid w:val="009C1629"/>
    <w:rsid w:val="009C2C2E"/>
    <w:rsid w:val="009C38C7"/>
    <w:rsid w:val="009C4A28"/>
    <w:rsid w:val="009C4DCE"/>
    <w:rsid w:val="009C7E3D"/>
    <w:rsid w:val="009D0615"/>
    <w:rsid w:val="009D2003"/>
    <w:rsid w:val="009D35FD"/>
    <w:rsid w:val="009D402B"/>
    <w:rsid w:val="009D45FE"/>
    <w:rsid w:val="009D5690"/>
    <w:rsid w:val="009D5CB5"/>
    <w:rsid w:val="009E04D3"/>
    <w:rsid w:val="009E0873"/>
    <w:rsid w:val="009E109E"/>
    <w:rsid w:val="009E2007"/>
    <w:rsid w:val="009E204A"/>
    <w:rsid w:val="009E2DFF"/>
    <w:rsid w:val="009E341F"/>
    <w:rsid w:val="009E4267"/>
    <w:rsid w:val="009E768A"/>
    <w:rsid w:val="009E79DC"/>
    <w:rsid w:val="009F1834"/>
    <w:rsid w:val="009F6318"/>
    <w:rsid w:val="009F6971"/>
    <w:rsid w:val="009F7DD3"/>
    <w:rsid w:val="00A00B1F"/>
    <w:rsid w:val="00A0199A"/>
    <w:rsid w:val="00A02CE8"/>
    <w:rsid w:val="00A031FC"/>
    <w:rsid w:val="00A0321F"/>
    <w:rsid w:val="00A0383C"/>
    <w:rsid w:val="00A03B8C"/>
    <w:rsid w:val="00A061D0"/>
    <w:rsid w:val="00A06C54"/>
    <w:rsid w:val="00A078F1"/>
    <w:rsid w:val="00A10305"/>
    <w:rsid w:val="00A10D56"/>
    <w:rsid w:val="00A118CE"/>
    <w:rsid w:val="00A122A9"/>
    <w:rsid w:val="00A170E2"/>
    <w:rsid w:val="00A17D87"/>
    <w:rsid w:val="00A207D3"/>
    <w:rsid w:val="00A2458F"/>
    <w:rsid w:val="00A24884"/>
    <w:rsid w:val="00A25B3A"/>
    <w:rsid w:val="00A25CC2"/>
    <w:rsid w:val="00A273E3"/>
    <w:rsid w:val="00A31C1E"/>
    <w:rsid w:val="00A321A1"/>
    <w:rsid w:val="00A32624"/>
    <w:rsid w:val="00A32BA5"/>
    <w:rsid w:val="00A335BE"/>
    <w:rsid w:val="00A33D20"/>
    <w:rsid w:val="00A34C57"/>
    <w:rsid w:val="00A3670D"/>
    <w:rsid w:val="00A36D17"/>
    <w:rsid w:val="00A40285"/>
    <w:rsid w:val="00A414FB"/>
    <w:rsid w:val="00A42833"/>
    <w:rsid w:val="00A45F42"/>
    <w:rsid w:val="00A46147"/>
    <w:rsid w:val="00A4688B"/>
    <w:rsid w:val="00A50FAF"/>
    <w:rsid w:val="00A54330"/>
    <w:rsid w:val="00A5437D"/>
    <w:rsid w:val="00A5510B"/>
    <w:rsid w:val="00A60DDD"/>
    <w:rsid w:val="00A623DA"/>
    <w:rsid w:val="00A62C7D"/>
    <w:rsid w:val="00A63629"/>
    <w:rsid w:val="00A63E84"/>
    <w:rsid w:val="00A6638E"/>
    <w:rsid w:val="00A67D9C"/>
    <w:rsid w:val="00A709F4"/>
    <w:rsid w:val="00A74304"/>
    <w:rsid w:val="00A74C37"/>
    <w:rsid w:val="00A75527"/>
    <w:rsid w:val="00A75E04"/>
    <w:rsid w:val="00A7755E"/>
    <w:rsid w:val="00A8117E"/>
    <w:rsid w:val="00A85ADF"/>
    <w:rsid w:val="00A86391"/>
    <w:rsid w:val="00A90D9B"/>
    <w:rsid w:val="00A910FD"/>
    <w:rsid w:val="00A913B6"/>
    <w:rsid w:val="00A91945"/>
    <w:rsid w:val="00A946F1"/>
    <w:rsid w:val="00A951E1"/>
    <w:rsid w:val="00A96AAB"/>
    <w:rsid w:val="00AA1C94"/>
    <w:rsid w:val="00AA2501"/>
    <w:rsid w:val="00AA33D5"/>
    <w:rsid w:val="00AA508D"/>
    <w:rsid w:val="00AA6184"/>
    <w:rsid w:val="00AA7076"/>
    <w:rsid w:val="00AB08AB"/>
    <w:rsid w:val="00AB2391"/>
    <w:rsid w:val="00AB3A26"/>
    <w:rsid w:val="00AB5211"/>
    <w:rsid w:val="00AB65E0"/>
    <w:rsid w:val="00AC02F2"/>
    <w:rsid w:val="00AC0D86"/>
    <w:rsid w:val="00AC2883"/>
    <w:rsid w:val="00AC3016"/>
    <w:rsid w:val="00AC36A1"/>
    <w:rsid w:val="00AC41C7"/>
    <w:rsid w:val="00AC5D76"/>
    <w:rsid w:val="00AD11DA"/>
    <w:rsid w:val="00AD1808"/>
    <w:rsid w:val="00AD1CDC"/>
    <w:rsid w:val="00AE011D"/>
    <w:rsid w:val="00AE03EE"/>
    <w:rsid w:val="00AE05D6"/>
    <w:rsid w:val="00AE0785"/>
    <w:rsid w:val="00AE0983"/>
    <w:rsid w:val="00AE14DA"/>
    <w:rsid w:val="00AE2659"/>
    <w:rsid w:val="00AE2A91"/>
    <w:rsid w:val="00AE327A"/>
    <w:rsid w:val="00AE44A0"/>
    <w:rsid w:val="00AE4B56"/>
    <w:rsid w:val="00AE5034"/>
    <w:rsid w:val="00AF00D2"/>
    <w:rsid w:val="00AF0757"/>
    <w:rsid w:val="00AF1C47"/>
    <w:rsid w:val="00AF26AC"/>
    <w:rsid w:val="00AF2E37"/>
    <w:rsid w:val="00AF55D3"/>
    <w:rsid w:val="00AF57C9"/>
    <w:rsid w:val="00AF6DD6"/>
    <w:rsid w:val="00B002BF"/>
    <w:rsid w:val="00B0154F"/>
    <w:rsid w:val="00B03444"/>
    <w:rsid w:val="00B05452"/>
    <w:rsid w:val="00B057E3"/>
    <w:rsid w:val="00B05898"/>
    <w:rsid w:val="00B07099"/>
    <w:rsid w:val="00B074C8"/>
    <w:rsid w:val="00B1013E"/>
    <w:rsid w:val="00B1136A"/>
    <w:rsid w:val="00B157BE"/>
    <w:rsid w:val="00B15D0A"/>
    <w:rsid w:val="00B166BD"/>
    <w:rsid w:val="00B1728A"/>
    <w:rsid w:val="00B176FD"/>
    <w:rsid w:val="00B202BC"/>
    <w:rsid w:val="00B22276"/>
    <w:rsid w:val="00B22646"/>
    <w:rsid w:val="00B23702"/>
    <w:rsid w:val="00B238F1"/>
    <w:rsid w:val="00B23EF4"/>
    <w:rsid w:val="00B23F0C"/>
    <w:rsid w:val="00B25744"/>
    <w:rsid w:val="00B25B7C"/>
    <w:rsid w:val="00B26714"/>
    <w:rsid w:val="00B31AB8"/>
    <w:rsid w:val="00B32513"/>
    <w:rsid w:val="00B326C5"/>
    <w:rsid w:val="00B356F1"/>
    <w:rsid w:val="00B35B0C"/>
    <w:rsid w:val="00B35E24"/>
    <w:rsid w:val="00B4232A"/>
    <w:rsid w:val="00B43992"/>
    <w:rsid w:val="00B4638E"/>
    <w:rsid w:val="00B5261D"/>
    <w:rsid w:val="00B53B6D"/>
    <w:rsid w:val="00B5580E"/>
    <w:rsid w:val="00B56373"/>
    <w:rsid w:val="00B5638F"/>
    <w:rsid w:val="00B5783F"/>
    <w:rsid w:val="00B6027A"/>
    <w:rsid w:val="00B60A6B"/>
    <w:rsid w:val="00B620F5"/>
    <w:rsid w:val="00B62C18"/>
    <w:rsid w:val="00B634C4"/>
    <w:rsid w:val="00B63A4E"/>
    <w:rsid w:val="00B644C9"/>
    <w:rsid w:val="00B64B69"/>
    <w:rsid w:val="00B65D54"/>
    <w:rsid w:val="00B66CC2"/>
    <w:rsid w:val="00B712BC"/>
    <w:rsid w:val="00B7152C"/>
    <w:rsid w:val="00B77505"/>
    <w:rsid w:val="00B8303B"/>
    <w:rsid w:val="00B841DD"/>
    <w:rsid w:val="00B846F4"/>
    <w:rsid w:val="00B8712D"/>
    <w:rsid w:val="00B8741E"/>
    <w:rsid w:val="00B87AAC"/>
    <w:rsid w:val="00B87CBA"/>
    <w:rsid w:val="00B906BE"/>
    <w:rsid w:val="00B92E8C"/>
    <w:rsid w:val="00B9369A"/>
    <w:rsid w:val="00B94140"/>
    <w:rsid w:val="00B976F1"/>
    <w:rsid w:val="00BA09C5"/>
    <w:rsid w:val="00BA3434"/>
    <w:rsid w:val="00BA3D36"/>
    <w:rsid w:val="00BA3E3D"/>
    <w:rsid w:val="00BA4844"/>
    <w:rsid w:val="00BA7230"/>
    <w:rsid w:val="00BA7267"/>
    <w:rsid w:val="00BB00DB"/>
    <w:rsid w:val="00BB0376"/>
    <w:rsid w:val="00BB045D"/>
    <w:rsid w:val="00BB0482"/>
    <w:rsid w:val="00BB110B"/>
    <w:rsid w:val="00BB25CA"/>
    <w:rsid w:val="00BB3210"/>
    <w:rsid w:val="00BB3620"/>
    <w:rsid w:val="00BB4B58"/>
    <w:rsid w:val="00BB59FC"/>
    <w:rsid w:val="00BB6C59"/>
    <w:rsid w:val="00BC09F2"/>
    <w:rsid w:val="00BC128F"/>
    <w:rsid w:val="00BC3333"/>
    <w:rsid w:val="00BC4A28"/>
    <w:rsid w:val="00BC7850"/>
    <w:rsid w:val="00BD077F"/>
    <w:rsid w:val="00BD4E6A"/>
    <w:rsid w:val="00BD5E40"/>
    <w:rsid w:val="00BD6064"/>
    <w:rsid w:val="00BE05CF"/>
    <w:rsid w:val="00BE0603"/>
    <w:rsid w:val="00BE44DC"/>
    <w:rsid w:val="00BE5B7E"/>
    <w:rsid w:val="00BE5C78"/>
    <w:rsid w:val="00BE644B"/>
    <w:rsid w:val="00BE652F"/>
    <w:rsid w:val="00BE65F5"/>
    <w:rsid w:val="00BE6DFD"/>
    <w:rsid w:val="00BF08E7"/>
    <w:rsid w:val="00BF0B2D"/>
    <w:rsid w:val="00BF140A"/>
    <w:rsid w:val="00BF16B7"/>
    <w:rsid w:val="00BF2893"/>
    <w:rsid w:val="00BF306B"/>
    <w:rsid w:val="00BF3B8A"/>
    <w:rsid w:val="00BF42E6"/>
    <w:rsid w:val="00BF6478"/>
    <w:rsid w:val="00BF6E58"/>
    <w:rsid w:val="00C00B9A"/>
    <w:rsid w:val="00C01518"/>
    <w:rsid w:val="00C03742"/>
    <w:rsid w:val="00C059D4"/>
    <w:rsid w:val="00C061DB"/>
    <w:rsid w:val="00C07B2B"/>
    <w:rsid w:val="00C1073E"/>
    <w:rsid w:val="00C10AC5"/>
    <w:rsid w:val="00C116C8"/>
    <w:rsid w:val="00C1280B"/>
    <w:rsid w:val="00C13C60"/>
    <w:rsid w:val="00C149A3"/>
    <w:rsid w:val="00C14BAE"/>
    <w:rsid w:val="00C15849"/>
    <w:rsid w:val="00C203FE"/>
    <w:rsid w:val="00C2225A"/>
    <w:rsid w:val="00C243E1"/>
    <w:rsid w:val="00C26D3F"/>
    <w:rsid w:val="00C27308"/>
    <w:rsid w:val="00C307B0"/>
    <w:rsid w:val="00C33714"/>
    <w:rsid w:val="00C33F73"/>
    <w:rsid w:val="00C35174"/>
    <w:rsid w:val="00C36200"/>
    <w:rsid w:val="00C362F8"/>
    <w:rsid w:val="00C41318"/>
    <w:rsid w:val="00C46E32"/>
    <w:rsid w:val="00C47923"/>
    <w:rsid w:val="00C47CEC"/>
    <w:rsid w:val="00C507FE"/>
    <w:rsid w:val="00C50C43"/>
    <w:rsid w:val="00C5133E"/>
    <w:rsid w:val="00C51794"/>
    <w:rsid w:val="00C51B32"/>
    <w:rsid w:val="00C523E0"/>
    <w:rsid w:val="00C53E45"/>
    <w:rsid w:val="00C54DC3"/>
    <w:rsid w:val="00C60CE3"/>
    <w:rsid w:val="00C61616"/>
    <w:rsid w:val="00C61624"/>
    <w:rsid w:val="00C61F95"/>
    <w:rsid w:val="00C62A68"/>
    <w:rsid w:val="00C62B60"/>
    <w:rsid w:val="00C6309D"/>
    <w:rsid w:val="00C651E1"/>
    <w:rsid w:val="00C65AB2"/>
    <w:rsid w:val="00C66FD3"/>
    <w:rsid w:val="00C677AC"/>
    <w:rsid w:val="00C715BA"/>
    <w:rsid w:val="00C71F4B"/>
    <w:rsid w:val="00C721D3"/>
    <w:rsid w:val="00C8091D"/>
    <w:rsid w:val="00C816A8"/>
    <w:rsid w:val="00C817BE"/>
    <w:rsid w:val="00C8239E"/>
    <w:rsid w:val="00C82CE3"/>
    <w:rsid w:val="00C84297"/>
    <w:rsid w:val="00C8559A"/>
    <w:rsid w:val="00C862AD"/>
    <w:rsid w:val="00C86CC8"/>
    <w:rsid w:val="00C87832"/>
    <w:rsid w:val="00C91F96"/>
    <w:rsid w:val="00C96661"/>
    <w:rsid w:val="00C96A15"/>
    <w:rsid w:val="00C97888"/>
    <w:rsid w:val="00CA012D"/>
    <w:rsid w:val="00CA03DB"/>
    <w:rsid w:val="00CA05CD"/>
    <w:rsid w:val="00CA0A75"/>
    <w:rsid w:val="00CA0ADF"/>
    <w:rsid w:val="00CA20EC"/>
    <w:rsid w:val="00CB137E"/>
    <w:rsid w:val="00CB1B5A"/>
    <w:rsid w:val="00CB60BD"/>
    <w:rsid w:val="00CB6D99"/>
    <w:rsid w:val="00CC12EF"/>
    <w:rsid w:val="00CC5CAC"/>
    <w:rsid w:val="00CC614F"/>
    <w:rsid w:val="00CC704D"/>
    <w:rsid w:val="00CC77C0"/>
    <w:rsid w:val="00CC7F95"/>
    <w:rsid w:val="00CD188A"/>
    <w:rsid w:val="00CD2BE9"/>
    <w:rsid w:val="00CD3F5C"/>
    <w:rsid w:val="00CD4140"/>
    <w:rsid w:val="00CD4757"/>
    <w:rsid w:val="00CD4930"/>
    <w:rsid w:val="00CD613F"/>
    <w:rsid w:val="00CD6F4C"/>
    <w:rsid w:val="00CD7C34"/>
    <w:rsid w:val="00CE03A0"/>
    <w:rsid w:val="00CE12F7"/>
    <w:rsid w:val="00CE1B8A"/>
    <w:rsid w:val="00CE289E"/>
    <w:rsid w:val="00CE2B82"/>
    <w:rsid w:val="00CE39D0"/>
    <w:rsid w:val="00CE3AF2"/>
    <w:rsid w:val="00CE4766"/>
    <w:rsid w:val="00CE6F29"/>
    <w:rsid w:val="00CE77D0"/>
    <w:rsid w:val="00CF22DB"/>
    <w:rsid w:val="00CF3F04"/>
    <w:rsid w:val="00CF4A3B"/>
    <w:rsid w:val="00CF5175"/>
    <w:rsid w:val="00CF5316"/>
    <w:rsid w:val="00CF62AB"/>
    <w:rsid w:val="00CF67A5"/>
    <w:rsid w:val="00CF6933"/>
    <w:rsid w:val="00D027A0"/>
    <w:rsid w:val="00D02A23"/>
    <w:rsid w:val="00D02FC5"/>
    <w:rsid w:val="00D04A87"/>
    <w:rsid w:val="00D054B1"/>
    <w:rsid w:val="00D071CF"/>
    <w:rsid w:val="00D07A9E"/>
    <w:rsid w:val="00D1019C"/>
    <w:rsid w:val="00D11EC3"/>
    <w:rsid w:val="00D11F65"/>
    <w:rsid w:val="00D11FD1"/>
    <w:rsid w:val="00D12E9B"/>
    <w:rsid w:val="00D13CE2"/>
    <w:rsid w:val="00D145FF"/>
    <w:rsid w:val="00D17764"/>
    <w:rsid w:val="00D20FBF"/>
    <w:rsid w:val="00D217CE"/>
    <w:rsid w:val="00D21DCB"/>
    <w:rsid w:val="00D22B24"/>
    <w:rsid w:val="00D23322"/>
    <w:rsid w:val="00D24202"/>
    <w:rsid w:val="00D27E88"/>
    <w:rsid w:val="00D30E3B"/>
    <w:rsid w:val="00D3282F"/>
    <w:rsid w:val="00D33D1E"/>
    <w:rsid w:val="00D37E82"/>
    <w:rsid w:val="00D41980"/>
    <w:rsid w:val="00D42233"/>
    <w:rsid w:val="00D42400"/>
    <w:rsid w:val="00D43049"/>
    <w:rsid w:val="00D44B71"/>
    <w:rsid w:val="00D44E63"/>
    <w:rsid w:val="00D45FB9"/>
    <w:rsid w:val="00D47769"/>
    <w:rsid w:val="00D47E28"/>
    <w:rsid w:val="00D50777"/>
    <w:rsid w:val="00D50BAF"/>
    <w:rsid w:val="00D51263"/>
    <w:rsid w:val="00D52D8D"/>
    <w:rsid w:val="00D5319D"/>
    <w:rsid w:val="00D53DD1"/>
    <w:rsid w:val="00D53E82"/>
    <w:rsid w:val="00D56A4B"/>
    <w:rsid w:val="00D56DD6"/>
    <w:rsid w:val="00D57A11"/>
    <w:rsid w:val="00D61993"/>
    <w:rsid w:val="00D63100"/>
    <w:rsid w:val="00D633E0"/>
    <w:rsid w:val="00D63990"/>
    <w:rsid w:val="00D6461F"/>
    <w:rsid w:val="00D64B5F"/>
    <w:rsid w:val="00D703B0"/>
    <w:rsid w:val="00D708DB"/>
    <w:rsid w:val="00D70A10"/>
    <w:rsid w:val="00D7101A"/>
    <w:rsid w:val="00D71C34"/>
    <w:rsid w:val="00D7387B"/>
    <w:rsid w:val="00D740E8"/>
    <w:rsid w:val="00D755C1"/>
    <w:rsid w:val="00D76124"/>
    <w:rsid w:val="00D7729E"/>
    <w:rsid w:val="00D77B0C"/>
    <w:rsid w:val="00D80400"/>
    <w:rsid w:val="00D82A51"/>
    <w:rsid w:val="00D84F79"/>
    <w:rsid w:val="00D84FFC"/>
    <w:rsid w:val="00D8540E"/>
    <w:rsid w:val="00D85655"/>
    <w:rsid w:val="00D85EDA"/>
    <w:rsid w:val="00D90BD7"/>
    <w:rsid w:val="00D91844"/>
    <w:rsid w:val="00D926D1"/>
    <w:rsid w:val="00D93D35"/>
    <w:rsid w:val="00D941ED"/>
    <w:rsid w:val="00D96687"/>
    <w:rsid w:val="00DA0BF0"/>
    <w:rsid w:val="00DA0F1B"/>
    <w:rsid w:val="00DA2246"/>
    <w:rsid w:val="00DA35F0"/>
    <w:rsid w:val="00DA4746"/>
    <w:rsid w:val="00DA4906"/>
    <w:rsid w:val="00DB0A45"/>
    <w:rsid w:val="00DB67EA"/>
    <w:rsid w:val="00DC0184"/>
    <w:rsid w:val="00DC0CEC"/>
    <w:rsid w:val="00DC1D6E"/>
    <w:rsid w:val="00DC2003"/>
    <w:rsid w:val="00DC3386"/>
    <w:rsid w:val="00DC48BE"/>
    <w:rsid w:val="00DC48CF"/>
    <w:rsid w:val="00DC7E1C"/>
    <w:rsid w:val="00DD134B"/>
    <w:rsid w:val="00DD15F6"/>
    <w:rsid w:val="00DD1B03"/>
    <w:rsid w:val="00DD1F64"/>
    <w:rsid w:val="00DD2000"/>
    <w:rsid w:val="00DD2B4D"/>
    <w:rsid w:val="00DD5F2C"/>
    <w:rsid w:val="00DD6839"/>
    <w:rsid w:val="00DD6AC8"/>
    <w:rsid w:val="00DD71AC"/>
    <w:rsid w:val="00DD7317"/>
    <w:rsid w:val="00DE0B03"/>
    <w:rsid w:val="00DE4B1B"/>
    <w:rsid w:val="00DE5CC7"/>
    <w:rsid w:val="00DF2687"/>
    <w:rsid w:val="00DF6D0A"/>
    <w:rsid w:val="00DF723E"/>
    <w:rsid w:val="00DF7B6F"/>
    <w:rsid w:val="00E014DF"/>
    <w:rsid w:val="00E055CA"/>
    <w:rsid w:val="00E05FE5"/>
    <w:rsid w:val="00E06041"/>
    <w:rsid w:val="00E106A7"/>
    <w:rsid w:val="00E11346"/>
    <w:rsid w:val="00E11521"/>
    <w:rsid w:val="00E15D47"/>
    <w:rsid w:val="00E15EB8"/>
    <w:rsid w:val="00E15EC6"/>
    <w:rsid w:val="00E1674D"/>
    <w:rsid w:val="00E178BD"/>
    <w:rsid w:val="00E2011E"/>
    <w:rsid w:val="00E20EF9"/>
    <w:rsid w:val="00E23174"/>
    <w:rsid w:val="00E25743"/>
    <w:rsid w:val="00E25BA9"/>
    <w:rsid w:val="00E25C26"/>
    <w:rsid w:val="00E264B0"/>
    <w:rsid w:val="00E3039B"/>
    <w:rsid w:val="00E3103C"/>
    <w:rsid w:val="00E311AB"/>
    <w:rsid w:val="00E31D35"/>
    <w:rsid w:val="00E325ED"/>
    <w:rsid w:val="00E33557"/>
    <w:rsid w:val="00E33951"/>
    <w:rsid w:val="00E33B46"/>
    <w:rsid w:val="00E378F0"/>
    <w:rsid w:val="00E42458"/>
    <w:rsid w:val="00E43E09"/>
    <w:rsid w:val="00E4488B"/>
    <w:rsid w:val="00E44DBE"/>
    <w:rsid w:val="00E46B2B"/>
    <w:rsid w:val="00E47E4F"/>
    <w:rsid w:val="00E50827"/>
    <w:rsid w:val="00E52619"/>
    <w:rsid w:val="00E55D21"/>
    <w:rsid w:val="00E561F8"/>
    <w:rsid w:val="00E56741"/>
    <w:rsid w:val="00E57D37"/>
    <w:rsid w:val="00E60FE6"/>
    <w:rsid w:val="00E61C40"/>
    <w:rsid w:val="00E62A5F"/>
    <w:rsid w:val="00E644F4"/>
    <w:rsid w:val="00E64655"/>
    <w:rsid w:val="00E66034"/>
    <w:rsid w:val="00E66469"/>
    <w:rsid w:val="00E6689B"/>
    <w:rsid w:val="00E719AC"/>
    <w:rsid w:val="00E71A96"/>
    <w:rsid w:val="00E72503"/>
    <w:rsid w:val="00E744B0"/>
    <w:rsid w:val="00E74C75"/>
    <w:rsid w:val="00E752B7"/>
    <w:rsid w:val="00E75DDA"/>
    <w:rsid w:val="00E76319"/>
    <w:rsid w:val="00E80F46"/>
    <w:rsid w:val="00E81050"/>
    <w:rsid w:val="00E81AF9"/>
    <w:rsid w:val="00E81BF6"/>
    <w:rsid w:val="00E82924"/>
    <w:rsid w:val="00E83D33"/>
    <w:rsid w:val="00E872A5"/>
    <w:rsid w:val="00E87E19"/>
    <w:rsid w:val="00E91734"/>
    <w:rsid w:val="00E94587"/>
    <w:rsid w:val="00E952B3"/>
    <w:rsid w:val="00E962B9"/>
    <w:rsid w:val="00E96959"/>
    <w:rsid w:val="00E97563"/>
    <w:rsid w:val="00EA1616"/>
    <w:rsid w:val="00EA221C"/>
    <w:rsid w:val="00EA32EF"/>
    <w:rsid w:val="00EA6A11"/>
    <w:rsid w:val="00EB012E"/>
    <w:rsid w:val="00EB192C"/>
    <w:rsid w:val="00EB1C5D"/>
    <w:rsid w:val="00EB35C3"/>
    <w:rsid w:val="00EB4465"/>
    <w:rsid w:val="00EB50C7"/>
    <w:rsid w:val="00EB6625"/>
    <w:rsid w:val="00EC1D11"/>
    <w:rsid w:val="00EC1EAA"/>
    <w:rsid w:val="00EC2367"/>
    <w:rsid w:val="00EC3B29"/>
    <w:rsid w:val="00EC4086"/>
    <w:rsid w:val="00EC49F2"/>
    <w:rsid w:val="00EC73A6"/>
    <w:rsid w:val="00ED08AC"/>
    <w:rsid w:val="00ED153D"/>
    <w:rsid w:val="00ED1D91"/>
    <w:rsid w:val="00ED3846"/>
    <w:rsid w:val="00ED45FF"/>
    <w:rsid w:val="00ED4BAA"/>
    <w:rsid w:val="00ED6EF6"/>
    <w:rsid w:val="00ED7AA6"/>
    <w:rsid w:val="00ED7CDD"/>
    <w:rsid w:val="00EE26AB"/>
    <w:rsid w:val="00EE5FF0"/>
    <w:rsid w:val="00EE70C7"/>
    <w:rsid w:val="00EF1F7D"/>
    <w:rsid w:val="00EF261A"/>
    <w:rsid w:val="00EF2E54"/>
    <w:rsid w:val="00EF3FEE"/>
    <w:rsid w:val="00EF447D"/>
    <w:rsid w:val="00EF5DA5"/>
    <w:rsid w:val="00EF68CD"/>
    <w:rsid w:val="00EF72FF"/>
    <w:rsid w:val="00EF7CBA"/>
    <w:rsid w:val="00F007AE"/>
    <w:rsid w:val="00F00CA5"/>
    <w:rsid w:val="00F00EBA"/>
    <w:rsid w:val="00F01F08"/>
    <w:rsid w:val="00F0469E"/>
    <w:rsid w:val="00F04803"/>
    <w:rsid w:val="00F05DB0"/>
    <w:rsid w:val="00F0603F"/>
    <w:rsid w:val="00F064CE"/>
    <w:rsid w:val="00F07D83"/>
    <w:rsid w:val="00F1211A"/>
    <w:rsid w:val="00F13596"/>
    <w:rsid w:val="00F13BC7"/>
    <w:rsid w:val="00F1702F"/>
    <w:rsid w:val="00F21B65"/>
    <w:rsid w:val="00F22538"/>
    <w:rsid w:val="00F228AF"/>
    <w:rsid w:val="00F24D75"/>
    <w:rsid w:val="00F25493"/>
    <w:rsid w:val="00F2621D"/>
    <w:rsid w:val="00F30E07"/>
    <w:rsid w:val="00F363A7"/>
    <w:rsid w:val="00F373BF"/>
    <w:rsid w:val="00F414AC"/>
    <w:rsid w:val="00F457C9"/>
    <w:rsid w:val="00F45C2D"/>
    <w:rsid w:val="00F46B93"/>
    <w:rsid w:val="00F51C96"/>
    <w:rsid w:val="00F5341C"/>
    <w:rsid w:val="00F541C1"/>
    <w:rsid w:val="00F54EC4"/>
    <w:rsid w:val="00F55003"/>
    <w:rsid w:val="00F6036F"/>
    <w:rsid w:val="00F60A56"/>
    <w:rsid w:val="00F624C0"/>
    <w:rsid w:val="00F62C04"/>
    <w:rsid w:val="00F7255D"/>
    <w:rsid w:val="00F72CCD"/>
    <w:rsid w:val="00F72ED1"/>
    <w:rsid w:val="00F73404"/>
    <w:rsid w:val="00F73AC3"/>
    <w:rsid w:val="00F73C16"/>
    <w:rsid w:val="00F73FEC"/>
    <w:rsid w:val="00F7452C"/>
    <w:rsid w:val="00F75B3D"/>
    <w:rsid w:val="00F76D58"/>
    <w:rsid w:val="00F775E5"/>
    <w:rsid w:val="00F77C82"/>
    <w:rsid w:val="00F81628"/>
    <w:rsid w:val="00F828A9"/>
    <w:rsid w:val="00F8291C"/>
    <w:rsid w:val="00F82E70"/>
    <w:rsid w:val="00F82FB7"/>
    <w:rsid w:val="00F840B1"/>
    <w:rsid w:val="00F8535C"/>
    <w:rsid w:val="00F85C8A"/>
    <w:rsid w:val="00F9434A"/>
    <w:rsid w:val="00F953E1"/>
    <w:rsid w:val="00F9577E"/>
    <w:rsid w:val="00F973E5"/>
    <w:rsid w:val="00FA020A"/>
    <w:rsid w:val="00FA0825"/>
    <w:rsid w:val="00FA3A53"/>
    <w:rsid w:val="00FA3BD7"/>
    <w:rsid w:val="00FA4E90"/>
    <w:rsid w:val="00FA56BE"/>
    <w:rsid w:val="00FA5929"/>
    <w:rsid w:val="00FA7A43"/>
    <w:rsid w:val="00FB026A"/>
    <w:rsid w:val="00FB135A"/>
    <w:rsid w:val="00FB1C01"/>
    <w:rsid w:val="00FB2C9E"/>
    <w:rsid w:val="00FB3B58"/>
    <w:rsid w:val="00FB66CB"/>
    <w:rsid w:val="00FB6801"/>
    <w:rsid w:val="00FB6C03"/>
    <w:rsid w:val="00FC3A6B"/>
    <w:rsid w:val="00FC3DC6"/>
    <w:rsid w:val="00FC3FC1"/>
    <w:rsid w:val="00FC572E"/>
    <w:rsid w:val="00FC57C5"/>
    <w:rsid w:val="00FC77B3"/>
    <w:rsid w:val="00FD1289"/>
    <w:rsid w:val="00FD3B3A"/>
    <w:rsid w:val="00FD45E0"/>
    <w:rsid w:val="00FD4D14"/>
    <w:rsid w:val="00FD5F9B"/>
    <w:rsid w:val="00FD6AF7"/>
    <w:rsid w:val="00FE2707"/>
    <w:rsid w:val="00FE27D0"/>
    <w:rsid w:val="00FE283F"/>
    <w:rsid w:val="00FE3AD5"/>
    <w:rsid w:val="00FE3CA0"/>
    <w:rsid w:val="00FF338A"/>
    <w:rsid w:val="00FF401D"/>
    <w:rsid w:val="00FF5079"/>
    <w:rsid w:val="00FF628D"/>
    <w:rsid w:val="00FF70A0"/>
    <w:rsid w:val="034A5312"/>
    <w:rsid w:val="03AC4ED6"/>
    <w:rsid w:val="08B5684F"/>
    <w:rsid w:val="113A21A1"/>
    <w:rsid w:val="12AB5075"/>
    <w:rsid w:val="15BD5E17"/>
    <w:rsid w:val="2322375E"/>
    <w:rsid w:val="26EF2C4E"/>
    <w:rsid w:val="27461AC5"/>
    <w:rsid w:val="2B141BDE"/>
    <w:rsid w:val="310149B3"/>
    <w:rsid w:val="33332E1D"/>
    <w:rsid w:val="34DB0F7D"/>
    <w:rsid w:val="35BA6262"/>
    <w:rsid w:val="35E77026"/>
    <w:rsid w:val="39180AEB"/>
    <w:rsid w:val="3D622C7D"/>
    <w:rsid w:val="3FEE35C9"/>
    <w:rsid w:val="42823479"/>
    <w:rsid w:val="45DB537A"/>
    <w:rsid w:val="4A2A6380"/>
    <w:rsid w:val="4D4E28D6"/>
    <w:rsid w:val="512E1728"/>
    <w:rsid w:val="55BF0815"/>
    <w:rsid w:val="56D27EF7"/>
    <w:rsid w:val="570D3802"/>
    <w:rsid w:val="5929338D"/>
    <w:rsid w:val="594C6C19"/>
    <w:rsid w:val="5D7E501C"/>
    <w:rsid w:val="61B56622"/>
    <w:rsid w:val="62880C89"/>
    <w:rsid w:val="6819678B"/>
    <w:rsid w:val="6BEA55F0"/>
    <w:rsid w:val="6CF98D54"/>
    <w:rsid w:val="760D2A7F"/>
    <w:rsid w:val="76500000"/>
    <w:rsid w:val="78AC47D1"/>
    <w:rsid w:val="79BC5C6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uiPriority="1" w:name="Default Paragraph Font"/>
    <w:lsdException w:qFormat="1" w:unhideWhenUsed="0" w:uiPriority="99"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5"/>
    <w:semiHidden/>
    <w:qFormat/>
    <w:uiPriority w:val="99"/>
    <w:rPr>
      <w:b/>
      <w:bCs/>
    </w:rPr>
  </w:style>
  <w:style w:type="paragraph" w:styleId="8">
    <w:name w:val="annotation text"/>
    <w:basedOn w:val="1"/>
    <w:link w:val="44"/>
    <w:semiHidden/>
    <w:qFormat/>
    <w:uiPriority w:val="99"/>
  </w:style>
  <w:style w:type="paragraph" w:styleId="9">
    <w:name w:val="Body Text"/>
    <w:basedOn w:val="1"/>
    <w:link w:val="46"/>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10">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11">
    <w:name w:val="Balloon Text"/>
    <w:basedOn w:val="1"/>
    <w:link w:val="41"/>
    <w:semiHidden/>
    <w:qFormat/>
    <w:uiPriority w:val="99"/>
    <w:pPr>
      <w:spacing w:line="240" w:lineRule="auto"/>
    </w:pPr>
    <w:rPr>
      <w:sz w:val="18"/>
      <w:szCs w:val="18"/>
    </w:rPr>
  </w:style>
  <w:style w:type="paragraph" w:styleId="12">
    <w:name w:val="footer"/>
    <w:basedOn w:val="1"/>
    <w:link w:val="40"/>
    <w:qFormat/>
    <w:uiPriority w:val="99"/>
    <w:pPr>
      <w:tabs>
        <w:tab w:val="center" w:pos="4153"/>
        <w:tab w:val="right" w:pos="8306"/>
      </w:tabs>
      <w:snapToGrid w:val="0"/>
      <w:spacing w:line="240" w:lineRule="auto"/>
    </w:pPr>
    <w:rPr>
      <w:sz w:val="18"/>
      <w:szCs w:val="18"/>
    </w:rPr>
  </w:style>
  <w:style w:type="paragraph" w:styleId="13">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semiHidden/>
    <w:qFormat/>
    <w:uiPriority w:val="99"/>
    <w:rPr>
      <w:sz w:val="21"/>
      <w:szCs w:val="21"/>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字符"/>
    <w:basedOn w:val="14"/>
    <w:link w:val="2"/>
    <w:semiHidden/>
    <w:qFormat/>
    <w:uiPriority w:val="9"/>
    <w:rPr>
      <w:b/>
      <w:bCs/>
      <w:kern w:val="44"/>
      <w:sz w:val="44"/>
      <w:szCs w:val="44"/>
    </w:rPr>
  </w:style>
  <w:style w:type="character" w:customStyle="1" w:styleId="20">
    <w:name w:val="标题 2 字符"/>
    <w:basedOn w:val="14"/>
    <w:link w:val="3"/>
    <w:semiHidden/>
    <w:qFormat/>
    <w:uiPriority w:val="9"/>
    <w:rPr>
      <w:rFonts w:asciiTheme="majorHAnsi" w:hAnsiTheme="majorHAnsi" w:cstheme="majorBidi"/>
      <w:b/>
      <w:bCs/>
      <w:sz w:val="32"/>
      <w:szCs w:val="32"/>
    </w:rPr>
  </w:style>
  <w:style w:type="character" w:customStyle="1" w:styleId="21">
    <w:name w:val="标题 3 字符"/>
    <w:basedOn w:val="14"/>
    <w:link w:val="4"/>
    <w:semiHidden/>
    <w:qFormat/>
    <w:uiPriority w:val="9"/>
    <w:rPr>
      <w:b/>
      <w:bCs/>
      <w:sz w:val="30"/>
      <w:szCs w:val="32"/>
    </w:rPr>
  </w:style>
  <w:style w:type="character" w:customStyle="1" w:styleId="22">
    <w:name w:val="标题 5 字符"/>
    <w:basedOn w:val="14"/>
    <w:link w:val="6"/>
    <w:semiHidden/>
    <w:qFormat/>
    <w:uiPriority w:val="9"/>
    <w:rPr>
      <w:b/>
      <w:bCs/>
      <w:szCs w:val="28"/>
    </w:rPr>
  </w:style>
  <w:style w:type="character" w:customStyle="1" w:styleId="23">
    <w:name w:val="标题 4 字符"/>
    <w:basedOn w:val="14"/>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4"/>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240" w:lineRule="auto"/>
      <w:ind w:firstLine="0" w:firstLineChars="0"/>
      <w:jc w:val="center"/>
    </w:pPr>
    <w:rPr>
      <w:rFonts w:ascii="Times New Roman" w:hAnsi="Times New Roman" w:eastAsia="宋体" w:cs="Times New Roman"/>
      <w:bCs/>
      <w:sz w:val="24"/>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4"/>
    <w:link w:val="32"/>
    <w:qFormat/>
    <w:uiPriority w:val="0"/>
    <w:rPr>
      <w:rFonts w:ascii="Times New Roman" w:hAnsi="Times New Roman" w:eastAsia="宋体" w:cs="Times New Roman"/>
      <w:bCs/>
      <w:sz w:val="24"/>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4"/>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pPr>
    <w:rPr>
      <w:rFonts w:eastAsia="宋体"/>
      <w:sz w:val="21"/>
    </w:rPr>
  </w:style>
  <w:style w:type="character" w:customStyle="1" w:styleId="38">
    <w:name w:val="市局绩效-表格表头 字符"/>
    <w:basedOn w:val="28"/>
    <w:link w:val="35"/>
    <w:qFormat/>
    <w:uiPriority w:val="0"/>
    <w:rPr>
      <w:rFonts w:ascii="Times New Roman" w:hAnsi="Times New Roman" w:eastAsia="宋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4"/>
    <w:link w:val="12"/>
    <w:qFormat/>
    <w:uiPriority w:val="99"/>
    <w:rPr>
      <w:sz w:val="18"/>
      <w:szCs w:val="18"/>
    </w:rPr>
  </w:style>
  <w:style w:type="character" w:customStyle="1" w:styleId="41">
    <w:name w:val="批注框文本 字符"/>
    <w:basedOn w:val="14"/>
    <w:link w:val="11"/>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4"/>
    <w:link w:val="8"/>
    <w:semiHidden/>
    <w:qFormat/>
    <w:uiPriority w:val="99"/>
  </w:style>
  <w:style w:type="character" w:customStyle="1" w:styleId="45">
    <w:name w:val="批注主题 字符"/>
    <w:basedOn w:val="44"/>
    <w:link w:val="7"/>
    <w:semiHidden/>
    <w:qFormat/>
    <w:uiPriority w:val="99"/>
    <w:rPr>
      <w:b/>
      <w:bCs/>
    </w:rPr>
  </w:style>
  <w:style w:type="character" w:customStyle="1" w:styleId="46">
    <w:name w:val="正文文本 字符"/>
    <w:basedOn w:val="14"/>
    <w:link w:val="9"/>
    <w:qFormat/>
    <w:uiPriority w:val="99"/>
    <w:rPr>
      <w:rFonts w:ascii="Times New Roman" w:hAnsi="Times New Roman" w:eastAsia="宋体" w:cs="Times New Roman"/>
      <w:kern w:val="0"/>
      <w:sz w:val="32"/>
      <w:szCs w:val="32"/>
    </w:rPr>
  </w:style>
  <w:style w:type="table" w:customStyle="1" w:styleId="47">
    <w:name w:val="TableGrid"/>
    <w:qFormat/>
    <w:uiPriority w:val="0"/>
    <w:rPr>
      <w:kern w:val="2"/>
      <w:sz w:val="21"/>
      <w:szCs w:val="22"/>
    </w:rPr>
    <w:tblPr>
      <w:tblLayout w:type="fixed"/>
      <w:tblCellMar>
        <w:top w:w="0" w:type="dxa"/>
        <w:left w:w="0" w:type="dxa"/>
        <w:bottom w:w="0" w:type="dxa"/>
        <w:right w:w="0" w:type="dxa"/>
      </w:tblCellMar>
    </w:tblPr>
  </w:style>
  <w:style w:type="paragraph" w:customStyle="1" w:styleId="48">
    <w:name w:val="绩效正文"/>
    <w:basedOn w:val="1"/>
    <w:link w:val="49"/>
    <w:qFormat/>
    <w:uiPriority w:val="0"/>
    <w:pPr>
      <w:spacing w:line="480" w:lineRule="exact"/>
      <w:textAlignment w:val="baseline"/>
    </w:pPr>
    <w:rPr>
      <w:rFonts w:ascii="Times New Roman" w:hAnsi="Times New Roman" w:eastAsia="仿宋" w:cs="Times New Roman"/>
      <w:sz w:val="28"/>
      <w:szCs w:val="24"/>
    </w:rPr>
  </w:style>
  <w:style w:type="character" w:customStyle="1" w:styleId="49">
    <w:name w:val="绩效正文 字符"/>
    <w:basedOn w:val="14"/>
    <w:link w:val="48"/>
    <w:qFormat/>
    <w:uiPriority w:val="0"/>
    <w:rPr>
      <w:rFonts w:ascii="Times New Roman" w:hAnsi="Times New Roman" w:eastAsia="仿宋" w:cs="Times New Roman"/>
      <w:kern w:val="2"/>
      <w:sz w:val="28"/>
      <w:szCs w:val="24"/>
    </w:rPr>
  </w:style>
  <w:style w:type="paragraph" w:customStyle="1" w:styleId="5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32</Pages>
  <Words>2414</Words>
  <Characters>13763</Characters>
  <Lines>114</Lines>
  <Paragraphs>32</Paragraphs>
  <TotalTime>0</TotalTime>
  <ScaleCrop>false</ScaleCrop>
  <LinksUpToDate>false</LinksUpToDate>
  <CharactersWithSpaces>16145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2022-08-15T17:27:00Z</dcterms:created>
  <dc:creator>忠晔 张</dc:creator>
  <cp:lastModifiedBy>User</cp:lastModifiedBy>
  <cp:lastPrinted>2021-12-24T14:11:00Z</cp:lastPrinted>
  <dcterms:modified xsi:type="dcterms:W3CDTF">2023-06-26T00:44:49Z</dcterms:modified>
  <cp:revision>702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5FBB7045FB734518992F213AED159B8F</vt:lpwstr>
  </property>
</Properties>
</file>