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eastAsia="方正小标宋简体"/>
          <w:sz w:val="52"/>
          <w:szCs w:val="52"/>
        </w:rPr>
      </w:pPr>
      <w:r>
        <w:rPr>
          <w:rFonts w:hint="eastAsia" w:eastAsia="方正小标宋简体"/>
          <w:sz w:val="52"/>
          <w:szCs w:val="52"/>
        </w:rPr>
        <w:t>部门整体</w:t>
      </w:r>
      <w:r>
        <w:rPr>
          <w:rFonts w:eastAsia="方正小标宋简体"/>
          <w:sz w:val="52"/>
          <w:szCs w:val="52"/>
        </w:rPr>
        <w:t>支出</w:t>
      </w:r>
      <w:r>
        <w:rPr>
          <w:rFonts w:hint="eastAsia" w:eastAsia="方正小标宋简体"/>
          <w:sz w:val="52"/>
          <w:szCs w:val="52"/>
        </w:rPr>
        <w:t>绩效评价</w:t>
      </w:r>
      <w:r>
        <w:rPr>
          <w:rFonts w:eastAsia="方正小标宋简体"/>
          <w:sz w:val="52"/>
          <w:szCs w:val="52"/>
        </w:rPr>
        <w:t>报告</w:t>
      </w:r>
    </w:p>
    <w:p>
      <w:pPr>
        <w:spacing w:line="800" w:lineRule="exact"/>
        <w:ind w:firstLine="0" w:firstLineChars="0"/>
        <w:jc w:val="center"/>
        <w:rPr>
          <w:rFonts w:eastAsia="方正小标宋简体"/>
          <w:sz w:val="48"/>
          <w:szCs w:val="44"/>
        </w:rPr>
      </w:pPr>
      <w:r>
        <w:rPr>
          <w:rFonts w:eastAsia="方正小标宋简体"/>
          <w:sz w:val="40"/>
          <w:szCs w:val="36"/>
        </w:rPr>
        <w:t>（</w:t>
      </w:r>
      <w:r>
        <w:rPr>
          <w:rFonts w:ascii="Times New Roman" w:hAnsi="Times New Roman" w:eastAsia="方正小标宋简体" w:cs="Times New Roman"/>
          <w:sz w:val="40"/>
          <w:szCs w:val="40"/>
        </w:rPr>
        <w:t>2021</w:t>
      </w:r>
      <w:r>
        <w:rPr>
          <w:rFonts w:eastAsia="方正小标宋简体"/>
          <w:sz w:val="40"/>
          <w:szCs w:val="36"/>
        </w:rPr>
        <w:t>年度）</w:t>
      </w: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900" w:lineRule="exact"/>
        <w:ind w:firstLine="0" w:firstLineChars="0"/>
        <w:rPr>
          <w:rFonts w:eastAsia="仿宋_GB2312"/>
          <w:sz w:val="32"/>
          <w:szCs w:val="32"/>
          <w:u w:val="single"/>
        </w:rPr>
      </w:pPr>
      <w:r>
        <w:rPr>
          <w:rFonts w:hint="eastAsia" w:eastAsia="仿宋_GB2312"/>
          <w:sz w:val="32"/>
          <w:szCs w:val="32"/>
        </w:rPr>
        <w:t>部</w:t>
      </w:r>
      <w:r>
        <w:rPr>
          <w:rFonts w:eastAsia="仿宋_GB2312"/>
          <w:sz w:val="32"/>
          <w:szCs w:val="32"/>
        </w:rPr>
        <w:t xml:space="preserve"> </w:t>
      </w:r>
      <w:r>
        <w:rPr>
          <w:rFonts w:hint="eastAsia" w:eastAsia="仿宋_GB2312"/>
          <w:sz w:val="32"/>
          <w:szCs w:val="32"/>
        </w:rPr>
        <w:t>门</w:t>
      </w:r>
      <w:r>
        <w:rPr>
          <w:rFonts w:eastAsia="仿宋_GB2312"/>
          <w:sz w:val="32"/>
          <w:szCs w:val="32"/>
        </w:rPr>
        <w:t xml:space="preserve"> 名 称：</w:t>
      </w:r>
      <w:r>
        <w:rPr>
          <w:rFonts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天津市和平区商务局</w:t>
      </w:r>
      <w:r>
        <w:rPr>
          <w:rFonts w:ascii="Times New Roman" w:hAnsi="Times New Roman" w:eastAsia="仿宋_GB2312" w:cs="Times New Roman"/>
          <w:spacing w:val="-20"/>
          <w:sz w:val="32"/>
          <w:szCs w:val="32"/>
          <w:u w:val="single"/>
        </w:rPr>
        <w:t xml:space="preserve">                                          </w:t>
      </w:r>
      <w:r>
        <w:rPr>
          <w:rFonts w:hint="eastAsia" w:ascii="仿宋_GB2312" w:eastAsia="仿宋_GB2312"/>
          <w:spacing w:val="-20"/>
          <w:sz w:val="32"/>
          <w:szCs w:val="32"/>
          <w:u w:val="single"/>
        </w:rPr>
        <w:t xml:space="preserve"> </w:t>
      </w:r>
      <w:r>
        <w:rPr>
          <w:rFonts w:ascii="仿宋_GB2312" w:eastAsia="仿宋_GB2312"/>
          <w:spacing w:val="-20"/>
          <w:sz w:val="32"/>
          <w:szCs w:val="32"/>
          <w:u w:val="single"/>
        </w:rPr>
        <w:t xml:space="preserve">      </w:t>
      </w:r>
    </w:p>
    <w:p>
      <w:pPr>
        <w:spacing w:line="900" w:lineRule="exact"/>
        <w:ind w:firstLine="0" w:firstLineChars="0"/>
        <w:rPr>
          <w:rFonts w:eastAsia="仿宋_GB2312"/>
          <w:sz w:val="32"/>
          <w:szCs w:val="32"/>
        </w:rPr>
      </w:pPr>
      <w:r>
        <w:rPr>
          <w:rFonts w:eastAsia="仿宋_GB2312"/>
          <w:sz w:val="32"/>
          <w:szCs w:val="32"/>
        </w:rPr>
        <w:t xml:space="preserve">评 </w:t>
      </w:r>
      <w:r>
        <w:rPr>
          <w:rFonts w:hint="eastAsia" w:eastAsia="仿宋_GB2312"/>
          <w:sz w:val="32"/>
          <w:szCs w:val="32"/>
        </w:rPr>
        <w:t xml:space="preserve">价 </w:t>
      </w:r>
      <w:r>
        <w:rPr>
          <w:rFonts w:eastAsia="仿宋_GB2312"/>
          <w:sz w:val="32"/>
          <w:szCs w:val="32"/>
        </w:rPr>
        <w:t>机 构</w:t>
      </w:r>
      <w:r>
        <w:rPr>
          <w:rFonts w:hint="eastAsia" w:eastAsia="仿宋_GB2312"/>
          <w:sz w:val="32"/>
          <w:szCs w:val="32"/>
        </w:rPr>
        <w:t>：</w:t>
      </w:r>
      <w:r>
        <w:rPr>
          <w:rFonts w:eastAsia="仿宋_GB2312"/>
          <w:sz w:val="32"/>
          <w:szCs w:val="32"/>
          <w:u w:val="single"/>
        </w:rPr>
        <w:t xml:space="preserve">         天津</w:t>
      </w:r>
      <w:r>
        <w:rPr>
          <w:rFonts w:hint="eastAsia" w:eastAsia="仿宋_GB2312"/>
          <w:sz w:val="32"/>
          <w:szCs w:val="32"/>
          <w:u w:val="single"/>
        </w:rPr>
        <w:t>安信管理咨询</w:t>
      </w:r>
      <w:r>
        <w:rPr>
          <w:rFonts w:eastAsia="仿宋_GB2312"/>
          <w:sz w:val="32"/>
          <w:szCs w:val="32"/>
          <w:u w:val="single"/>
        </w:rPr>
        <w:t>有限公司</w:t>
      </w:r>
      <w:r>
        <w:rPr>
          <w:rFonts w:hint="eastAsia" w:eastAsia="仿宋_GB2312"/>
          <w:sz w:val="32"/>
          <w:szCs w:val="32"/>
          <w:u w:val="single"/>
        </w:rPr>
        <w:t xml:space="preserve"> </w:t>
      </w:r>
      <w:r>
        <w:rPr>
          <w:rFonts w:eastAsia="仿宋_GB2312"/>
          <w:sz w:val="32"/>
          <w:szCs w:val="32"/>
          <w:u w:val="single"/>
        </w:rPr>
        <w:t xml:space="preserve">        </w:t>
      </w:r>
    </w:p>
    <w:p>
      <w:pPr>
        <w:spacing w:line="900" w:lineRule="exact"/>
        <w:ind w:firstLine="0" w:firstLineChars="0"/>
        <w:rPr>
          <w:rFonts w:ascii="方正小标宋简体" w:hAnsi="方正小标宋简体" w:eastAsia="方正小标宋简体"/>
          <w:bCs/>
          <w:color w:val="000000" w:themeColor="text1"/>
          <w:kern w:val="44"/>
          <w:sz w:val="44"/>
          <w:szCs w:val="44"/>
          <w14:textFill>
            <w14:solidFill>
              <w14:schemeClr w14:val="tx1"/>
            </w14:solidFill>
          </w14:textFill>
        </w:rPr>
      </w:pPr>
      <w:r>
        <w:rPr>
          <w:rFonts w:eastAsia="仿宋_GB2312"/>
          <w:sz w:val="32"/>
          <w:szCs w:val="32"/>
        </w:rPr>
        <w:t xml:space="preserve">评 </w:t>
      </w:r>
      <w:r>
        <w:rPr>
          <w:rFonts w:hint="eastAsia" w:eastAsia="仿宋_GB2312"/>
          <w:sz w:val="32"/>
          <w:szCs w:val="32"/>
        </w:rPr>
        <w:t>价</w:t>
      </w:r>
      <w:r>
        <w:rPr>
          <w:rFonts w:eastAsia="仿宋_GB2312"/>
          <w:sz w:val="32"/>
          <w:szCs w:val="32"/>
        </w:rPr>
        <w:t xml:space="preserve"> 日 期：</w:t>
      </w:r>
      <w:r>
        <w:rPr>
          <w:rFonts w:eastAsia="仿宋_GB2312"/>
          <w:sz w:val="32"/>
          <w:szCs w:val="32"/>
          <w:u w:val="single"/>
        </w:rPr>
        <w:t xml:space="preserve">              </w:t>
      </w:r>
      <w:r>
        <w:rPr>
          <w:rFonts w:ascii="Times New Roman" w:hAnsi="Times New Roman" w:eastAsia="仿宋_GB2312" w:cs="Times New Roman"/>
          <w:sz w:val="32"/>
          <w:szCs w:val="32"/>
          <w:u w:val="single"/>
        </w:rPr>
        <w:t>2022</w:t>
      </w:r>
      <w:r>
        <w:rPr>
          <w:rFonts w:hint="eastAsia" w:eastAsia="仿宋_GB2312"/>
          <w:sz w:val="32"/>
          <w:szCs w:val="32"/>
          <w:u w:val="single"/>
        </w:rPr>
        <w:t>年</w:t>
      </w:r>
      <w:r>
        <w:rPr>
          <w:rFonts w:ascii="Times New Roman" w:hAnsi="Times New Roman" w:eastAsia="仿宋_GB2312" w:cs="Times New Roman"/>
          <w:sz w:val="32"/>
          <w:szCs w:val="32"/>
          <w:u w:val="single"/>
        </w:rPr>
        <w:t>10</w:t>
      </w:r>
      <w:r>
        <w:rPr>
          <w:rFonts w:hint="eastAsia" w:eastAsia="仿宋_GB2312"/>
          <w:sz w:val="32"/>
          <w:szCs w:val="32"/>
          <w:u w:val="single"/>
        </w:rPr>
        <w:t>月</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ascii="方正小标宋简体" w:hAnsi="方正小标宋简体" w:eastAsia="方正小标宋简体"/>
          <w:bCs/>
          <w:color w:val="000000" w:themeColor="text1"/>
          <w:kern w:val="44"/>
          <w:sz w:val="44"/>
          <w:szCs w:val="44"/>
          <w14:textFill>
            <w14:solidFill>
              <w14:schemeClr w14:val="tx1"/>
            </w14:solidFill>
          </w14:textFill>
        </w:rPr>
        <w:br w:type="page"/>
      </w:r>
    </w:p>
    <w:sdt>
      <w:sdtPr>
        <w:rPr>
          <w:rFonts w:asciiTheme="minorHAnsi" w:hAnsiTheme="minorHAnsi" w:eastAsiaTheme="minorEastAsia" w:cstheme="minorBidi"/>
          <w:color w:val="auto"/>
          <w:kern w:val="2"/>
          <w:sz w:val="21"/>
          <w:szCs w:val="21"/>
          <w:lang w:val="zh-CN"/>
        </w:rPr>
        <w:id w:val="-505280812"/>
      </w:sdtPr>
      <w:sdtEndPr>
        <w:rPr>
          <w:rFonts w:asciiTheme="majorHAnsi" w:hAnsiTheme="majorHAnsi" w:eastAsiaTheme="majorEastAsia" w:cstheme="majorBidi"/>
          <w:b/>
          <w:bCs/>
          <w:color w:val="2F5597" w:themeColor="accent1" w:themeShade="BF"/>
          <w:kern w:val="0"/>
          <w:sz w:val="32"/>
          <w:szCs w:val="32"/>
          <w:lang w:val="zh-CN"/>
        </w:rPr>
      </w:sdtEndPr>
      <w:sdtContent>
        <w:p>
          <w:pPr>
            <w:pStyle w:val="46"/>
            <w:ind w:firstLine="420"/>
            <w:jc w:val="center"/>
          </w:pPr>
          <w:r>
            <w:rPr>
              <w:rFonts w:hint="eastAsia" w:ascii="黑体" w:hAnsi="黑体" w:eastAsia="黑体" w:cs="黑体"/>
              <w:color w:val="auto"/>
            </w:rPr>
            <w:t>目  录</w:t>
          </w:r>
          <w:r>
            <w:rPr>
              <w:rFonts w:ascii="黑体" w:hAnsi="黑体" w:eastAsia="黑体" w:cs="黑体"/>
              <w:color w:val="auto"/>
            </w:rPr>
            <w:fldChar w:fldCharType="begin"/>
          </w:r>
          <w:r>
            <w:rPr>
              <w:rFonts w:ascii="黑体" w:hAnsi="黑体" w:eastAsia="黑体" w:cs="黑体"/>
              <w:color w:val="auto"/>
            </w:rPr>
            <w:instrText xml:space="preserve"> </w:instrText>
          </w:r>
          <w:r>
            <w:rPr>
              <w:rFonts w:hint="eastAsia" w:ascii="黑体" w:hAnsi="黑体" w:eastAsia="黑体" w:cs="黑体"/>
              <w:color w:val="auto"/>
            </w:rPr>
            <w:instrText xml:space="preserve">TOC \o "1-3" \h \z \u</w:instrText>
          </w:r>
          <w:r>
            <w:rPr>
              <w:rFonts w:ascii="黑体" w:hAnsi="黑体" w:eastAsia="黑体" w:cs="黑体"/>
              <w:color w:val="auto"/>
            </w:rPr>
            <w:instrText xml:space="preserve"> </w:instrText>
          </w:r>
          <w:r>
            <w:rPr>
              <w:rFonts w:ascii="黑体" w:hAnsi="黑体" w:eastAsia="黑体" w:cs="黑体"/>
              <w:color w:val="auto"/>
            </w:rPr>
            <w:fldChar w:fldCharType="separate"/>
          </w:r>
        </w:p>
        <w:p>
          <w:pPr>
            <w:pStyle w:val="13"/>
            <w:ind w:left="643" w:hanging="643"/>
            <w:rPr>
              <w:rFonts w:asciiTheme="minorHAnsi" w:hAnsiTheme="minorHAnsi" w:eastAsiaTheme="minorEastAsia"/>
              <w:b w:val="0"/>
              <w:sz w:val="21"/>
              <w:szCs w:val="22"/>
            </w:rPr>
          </w:pPr>
          <w:r>
            <w:fldChar w:fldCharType="begin"/>
          </w:r>
          <w:r>
            <w:instrText xml:space="preserve"> HYPERLINK \l "_Toc120143615" </w:instrText>
          </w:r>
          <w:r>
            <w:fldChar w:fldCharType="separate"/>
          </w:r>
          <w:r>
            <w:rPr>
              <w:rStyle w:val="15"/>
            </w:rPr>
            <w:t>一、部门概况</w:t>
          </w:r>
          <w:r>
            <w:tab/>
          </w:r>
          <w:r>
            <w:fldChar w:fldCharType="begin"/>
          </w:r>
          <w:r>
            <w:instrText xml:space="preserve"> PAGEREF _Toc120143615 \h </w:instrText>
          </w:r>
          <w:r>
            <w:fldChar w:fldCharType="separate"/>
          </w:r>
          <w:r>
            <w:t>1</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"_Toc120143616" </w:instrText>
          </w:r>
          <w:r>
            <w:fldChar w:fldCharType="separate"/>
          </w:r>
          <w:r>
            <w:rPr>
              <w:rStyle w:val="15"/>
            </w:rPr>
            <w:t>（一）基本情况</w:t>
          </w:r>
          <w:r>
            <w:tab/>
          </w:r>
          <w:r>
            <w:fldChar w:fldCharType="begin"/>
          </w:r>
          <w:r>
            <w:instrText xml:space="preserve"> PAGEREF _Toc120143616 \h </w:instrText>
          </w:r>
          <w:r>
            <w:fldChar w:fldCharType="separate"/>
          </w:r>
          <w:r>
            <w:t>1</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"_Toc120143617" </w:instrText>
          </w:r>
          <w:r>
            <w:fldChar w:fldCharType="separate"/>
          </w:r>
          <w:r>
            <w:rPr>
              <w:rStyle w:val="15"/>
            </w:rPr>
            <w:t>（二）主要职责</w:t>
          </w:r>
          <w:r>
            <w:tab/>
          </w:r>
          <w:r>
            <w:fldChar w:fldCharType="begin"/>
          </w:r>
          <w:r>
            <w:instrText xml:space="preserve"> PAGEREF _Toc120143617 \h </w:instrText>
          </w:r>
          <w:r>
            <w:fldChar w:fldCharType="separate"/>
          </w:r>
          <w:r>
            <w:t>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"_Toc120143618" </w:instrText>
          </w:r>
          <w:r>
            <w:fldChar w:fldCharType="separate"/>
          </w:r>
          <w:r>
            <w:rPr>
              <w:rStyle w:val="15"/>
            </w:rPr>
            <w:t>（三）年度计划</w:t>
          </w:r>
          <w:r>
            <w:tab/>
          </w:r>
          <w:r>
            <w:fldChar w:fldCharType="begin"/>
          </w:r>
          <w:r>
            <w:instrText xml:space="preserve"> PAGEREF _Toc120143618 \h </w:instrText>
          </w:r>
          <w:r>
            <w:fldChar w:fldCharType="separate"/>
          </w:r>
          <w:r>
            <w:t>5</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"_Toc120143619" </w:instrText>
          </w:r>
          <w:r>
            <w:fldChar w:fldCharType="separate"/>
          </w:r>
          <w:r>
            <w:rPr>
              <w:rStyle w:val="15"/>
            </w:rPr>
            <w:t>（四）部门整体支出情况</w:t>
          </w:r>
          <w:r>
            <w:tab/>
          </w:r>
          <w:r>
            <w:fldChar w:fldCharType="begin"/>
          </w:r>
          <w:r>
            <w:instrText xml:space="preserve"> PAGEREF _Toc120143619 \h </w:instrText>
          </w:r>
          <w:r>
            <w:fldChar w:fldCharType="separate"/>
          </w:r>
          <w:r>
            <w:t>10</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"_Toc120143620" </w:instrText>
          </w:r>
          <w:r>
            <w:fldChar w:fldCharType="separate"/>
          </w:r>
          <w:r>
            <w:rPr>
              <w:rStyle w:val="15"/>
            </w:rPr>
            <w:t>（五）部门整体绩效目标</w:t>
          </w:r>
          <w:r>
            <w:tab/>
          </w:r>
          <w:r>
            <w:fldChar w:fldCharType="begin"/>
          </w:r>
          <w:r>
            <w:instrText xml:space="preserve"> PAGEREF _Toc120143620 \h </w:instrText>
          </w:r>
          <w:r>
            <w:fldChar w:fldCharType="separate"/>
          </w:r>
          <w:r>
            <w:t>10</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"_Toc120143621" </w:instrText>
          </w:r>
          <w:r>
            <w:fldChar w:fldCharType="separate"/>
          </w:r>
          <w:r>
            <w:rPr>
              <w:rStyle w:val="15"/>
            </w:rPr>
            <w:t>二、绩效评价实施过程</w:t>
          </w:r>
          <w:r>
            <w:tab/>
          </w:r>
          <w:r>
            <w:fldChar w:fldCharType="begin"/>
          </w:r>
          <w:r>
            <w:instrText xml:space="preserve"> PAGEREF _Toc120143621 \h </w:instrText>
          </w:r>
          <w:r>
            <w:fldChar w:fldCharType="separate"/>
          </w:r>
          <w:r>
            <w:t>11</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"_Toc120143622" </w:instrText>
          </w:r>
          <w:r>
            <w:fldChar w:fldCharType="separate"/>
          </w:r>
          <w:r>
            <w:rPr>
              <w:rStyle w:val="15"/>
            </w:rPr>
            <w:t>（一）评价原则和方法</w:t>
          </w:r>
          <w:r>
            <w:tab/>
          </w:r>
          <w:r>
            <w:fldChar w:fldCharType="begin"/>
          </w:r>
          <w:r>
            <w:instrText xml:space="preserve"> PAGEREF _Toc120143622 \h </w:instrText>
          </w:r>
          <w:r>
            <w:fldChar w:fldCharType="separate"/>
          </w:r>
          <w:r>
            <w:t>11</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"_Toc120143623" </w:instrText>
          </w:r>
          <w:r>
            <w:fldChar w:fldCharType="separate"/>
          </w:r>
          <w:r>
            <w:rPr>
              <w:rStyle w:val="15"/>
            </w:rPr>
            <w:t>（二）评价依据</w:t>
          </w:r>
          <w:r>
            <w:tab/>
          </w:r>
          <w:r>
            <w:fldChar w:fldCharType="begin"/>
          </w:r>
          <w:r>
            <w:instrText xml:space="preserve"> PAGEREF _Toc120143623 \h </w:instrText>
          </w:r>
          <w:r>
            <w:fldChar w:fldCharType="separate"/>
          </w:r>
          <w:r>
            <w:t>12</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"_Toc120143624" </w:instrText>
          </w:r>
          <w:r>
            <w:fldChar w:fldCharType="separate"/>
          </w:r>
          <w:r>
            <w:rPr>
              <w:rStyle w:val="15"/>
            </w:rPr>
            <w:t>（三）评价目的</w:t>
          </w:r>
          <w:r>
            <w:tab/>
          </w:r>
          <w:r>
            <w:fldChar w:fldCharType="begin"/>
          </w:r>
          <w:r>
            <w:instrText xml:space="preserve"> PAGEREF _Toc120143624 \h </w:instrText>
          </w:r>
          <w:r>
            <w:fldChar w:fldCharType="separate"/>
          </w:r>
          <w:r>
            <w:t>14</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"_Toc120143625" </w:instrText>
          </w:r>
          <w:r>
            <w:fldChar w:fldCharType="separate"/>
          </w:r>
          <w:r>
            <w:rPr>
              <w:rStyle w:val="15"/>
            </w:rPr>
            <w:t>（四）评价对象和范围</w:t>
          </w:r>
          <w:r>
            <w:tab/>
          </w:r>
          <w:r>
            <w:fldChar w:fldCharType="begin"/>
          </w:r>
          <w:r>
            <w:instrText xml:space="preserve"> PAGEREF _Toc120143625 \h </w:instrText>
          </w:r>
          <w:r>
            <w:fldChar w:fldCharType="separate"/>
          </w:r>
          <w:r>
            <w:t>15</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"_Toc120143626" </w:instrText>
          </w:r>
          <w:r>
            <w:fldChar w:fldCharType="separate"/>
          </w:r>
          <w:r>
            <w:rPr>
              <w:rStyle w:val="15"/>
            </w:rPr>
            <w:t>（五）评价思路</w:t>
          </w:r>
          <w:r>
            <w:tab/>
          </w:r>
          <w:r>
            <w:fldChar w:fldCharType="begin"/>
          </w:r>
          <w:r>
            <w:instrText xml:space="preserve"> PAGEREF _Toc120143626 \h </w:instrText>
          </w:r>
          <w:r>
            <w:fldChar w:fldCharType="separate"/>
          </w:r>
          <w:r>
            <w:t>15</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"_Toc120143627" </w:instrText>
          </w:r>
          <w:r>
            <w:fldChar w:fldCharType="separate"/>
          </w:r>
          <w:r>
            <w:rPr>
              <w:rStyle w:val="15"/>
            </w:rPr>
            <w:t>（六）评价流程</w:t>
          </w:r>
          <w:r>
            <w:tab/>
          </w:r>
          <w:r>
            <w:fldChar w:fldCharType="begin"/>
          </w:r>
          <w:r>
            <w:instrText xml:space="preserve"> PAGEREF _Toc120143627 \h </w:instrText>
          </w:r>
          <w:r>
            <w:fldChar w:fldCharType="separate"/>
          </w:r>
          <w:r>
            <w:t>18</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"_Toc120143628" </w:instrText>
          </w:r>
          <w:r>
            <w:fldChar w:fldCharType="separate"/>
          </w:r>
          <w:r>
            <w:rPr>
              <w:rStyle w:val="15"/>
            </w:rPr>
            <w:t>三、绩效指标分析</w:t>
          </w:r>
          <w:r>
            <w:tab/>
          </w:r>
          <w:r>
            <w:fldChar w:fldCharType="begin"/>
          </w:r>
          <w:r>
            <w:instrText xml:space="preserve"> PAGEREF _Toc120143628 \h </w:instrText>
          </w:r>
          <w:r>
            <w:fldChar w:fldCharType="separate"/>
          </w:r>
          <w:r>
            <w:t>19</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"_Toc120143629" </w:instrText>
          </w:r>
          <w:r>
            <w:fldChar w:fldCharType="separate"/>
          </w:r>
          <w:r>
            <w:rPr>
              <w:rStyle w:val="15"/>
            </w:rPr>
            <w:t>（一）绩效评价设计思路</w:t>
          </w:r>
          <w:r>
            <w:tab/>
          </w:r>
          <w:r>
            <w:fldChar w:fldCharType="begin"/>
          </w:r>
          <w:r>
            <w:instrText xml:space="preserve"> PAGEREF _Toc120143629 \h </w:instrText>
          </w:r>
          <w:r>
            <w:fldChar w:fldCharType="separate"/>
          </w:r>
          <w:r>
            <w:t>19</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"_Toc120143630" </w:instrText>
          </w:r>
          <w:r>
            <w:fldChar w:fldCharType="separate"/>
          </w:r>
          <w:r>
            <w:rPr>
              <w:rStyle w:val="15"/>
            </w:rPr>
            <w:t>（二）绩效指标分析</w:t>
          </w:r>
          <w:r>
            <w:tab/>
          </w:r>
          <w:r>
            <w:fldChar w:fldCharType="begin"/>
          </w:r>
          <w:r>
            <w:instrText xml:space="preserve"> PAGEREF _Toc120143630 \h </w:instrText>
          </w:r>
          <w:r>
            <w:fldChar w:fldCharType="separate"/>
          </w:r>
          <w:r>
            <w:t>20</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"_Toc120143631" </w:instrText>
          </w:r>
          <w:r>
            <w:fldChar w:fldCharType="separate"/>
          </w:r>
          <w:r>
            <w:rPr>
              <w:rStyle w:val="15"/>
            </w:rPr>
            <w:t>（三）指标详细分析</w:t>
          </w:r>
          <w:r>
            <w:tab/>
          </w:r>
          <w:r>
            <w:fldChar w:fldCharType="begin"/>
          </w:r>
          <w:r>
            <w:instrText xml:space="preserve"> PAGEREF _Toc120143631 \h </w:instrText>
          </w:r>
          <w:r>
            <w:fldChar w:fldCharType="separate"/>
          </w:r>
          <w:r>
            <w:t>22</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"_Toc120143632" </w:instrText>
          </w:r>
          <w:r>
            <w:fldChar w:fldCharType="separate"/>
          </w:r>
          <w:r>
            <w:rPr>
              <w:rStyle w:val="15"/>
            </w:rPr>
            <w:t>四、存在问题</w:t>
          </w:r>
          <w:r>
            <w:tab/>
          </w:r>
          <w:r>
            <w:fldChar w:fldCharType="begin"/>
          </w:r>
          <w:r>
            <w:instrText xml:space="preserve"> PAGEREF _Toc120143632 \h </w:instrText>
          </w:r>
          <w:r>
            <w:fldChar w:fldCharType="separate"/>
          </w:r>
          <w:r>
            <w:t>43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"_Toc120143633" </w:instrText>
          </w:r>
          <w:r>
            <w:fldChar w:fldCharType="separate"/>
          </w:r>
          <w:r>
            <w:rPr>
              <w:rStyle w:val="15"/>
            </w:rPr>
            <w:t>（一）年度主要工作任务、绩效指标设置不规范</w:t>
          </w:r>
          <w:r>
            <w:tab/>
          </w:r>
          <w:r>
            <w:fldChar w:fldCharType="begin"/>
          </w:r>
          <w:r>
            <w:instrText xml:space="preserve"> PAGEREF _Toc120143633 \h </w:instrText>
          </w:r>
          <w:r>
            <w:fldChar w:fldCharType="separate"/>
          </w:r>
          <w:r>
            <w:t>43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"_Toc120143634" </w:instrText>
          </w:r>
          <w:r>
            <w:fldChar w:fldCharType="separate"/>
          </w:r>
          <w:r>
            <w:rPr>
              <w:rStyle w:val="15"/>
            </w:rPr>
            <w:t>（二）年初预算编制不精准、支出成本控制有待加强</w:t>
          </w:r>
          <w:r>
            <w:tab/>
          </w:r>
          <w:r>
            <w:fldChar w:fldCharType="begin"/>
          </w:r>
          <w:r>
            <w:instrText xml:space="preserve"> PAGEREF _Toc120143634 \h </w:instrText>
          </w:r>
          <w:r>
            <w:fldChar w:fldCharType="separate"/>
          </w:r>
          <w:r>
            <w:t>43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"_Toc120143635" </w:instrText>
          </w:r>
          <w:r>
            <w:fldChar w:fldCharType="separate"/>
          </w:r>
          <w:r>
            <w:rPr>
              <w:rStyle w:val="15"/>
            </w:rPr>
            <w:t>（三）部门管理制度有待完善</w:t>
          </w:r>
          <w:r>
            <w:tab/>
          </w:r>
          <w:r>
            <w:fldChar w:fldCharType="begin"/>
          </w:r>
          <w:r>
            <w:instrText xml:space="preserve"> PAGEREF _Toc120143635 \h </w:instrText>
          </w:r>
          <w:r>
            <w:fldChar w:fldCharType="separate"/>
          </w:r>
          <w:r>
            <w:t>44</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"_Toc120143636" </w:instrText>
          </w:r>
          <w:r>
            <w:fldChar w:fldCharType="separate"/>
          </w:r>
          <w:r>
            <w:rPr>
              <w:rStyle w:val="15"/>
            </w:rPr>
            <w:t>五、相关建议</w:t>
          </w:r>
          <w:r>
            <w:tab/>
          </w:r>
          <w:r>
            <w:fldChar w:fldCharType="begin"/>
          </w:r>
          <w:r>
            <w:instrText xml:space="preserve"> PAGEREF _Toc120143636 \h </w:instrText>
          </w:r>
          <w:r>
            <w:fldChar w:fldCharType="separate"/>
          </w:r>
          <w:r>
            <w:t>44</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"_Toc120143637" </w:instrText>
          </w:r>
          <w:r>
            <w:fldChar w:fldCharType="separate"/>
          </w:r>
          <w:r>
            <w:rPr>
              <w:rStyle w:val="15"/>
            </w:rPr>
            <w:t>（一）加强绩效理念，提升绩效管理水平</w:t>
          </w:r>
          <w:r>
            <w:tab/>
          </w:r>
          <w:r>
            <w:fldChar w:fldCharType="begin"/>
          </w:r>
          <w:r>
            <w:instrText xml:space="preserve"> PAGEREF _Toc120143637 \h </w:instrText>
          </w:r>
          <w:r>
            <w:fldChar w:fldCharType="separate"/>
          </w:r>
          <w:r>
            <w:t>44</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"_Toc120143638" </w:instrText>
          </w:r>
          <w:r>
            <w:fldChar w:fldCharType="separate"/>
          </w:r>
          <w:r>
            <w:rPr>
              <w:rStyle w:val="15"/>
            </w:rPr>
            <w:t>（二）加强部门预算管理，增强成本管理意识</w:t>
          </w:r>
          <w:r>
            <w:tab/>
          </w:r>
          <w:r>
            <w:fldChar w:fldCharType="begin"/>
          </w:r>
          <w:r>
            <w:instrText xml:space="preserve"> PAGEREF _Toc120143638 \h </w:instrText>
          </w:r>
          <w:r>
            <w:fldChar w:fldCharType="separate"/>
          </w:r>
          <w:r>
            <w:t>45</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"_Toc120143639" </w:instrText>
          </w:r>
          <w:r>
            <w:fldChar w:fldCharType="separate"/>
          </w:r>
          <w:r>
            <w:rPr>
              <w:rStyle w:val="15"/>
            </w:rPr>
            <w:t>（三）健全绩效管理制度，确保部门年度预期目标实现</w:t>
          </w:r>
          <w:r>
            <w:tab/>
          </w:r>
          <w:r>
            <w:fldChar w:fldCharType="begin"/>
          </w:r>
          <w:r>
            <w:instrText xml:space="preserve"> PAGEREF _Toc120143639 \h </w:instrText>
          </w:r>
          <w:r>
            <w:fldChar w:fldCharType="separate"/>
          </w:r>
          <w:r>
            <w:t>45</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"_Toc120143640" </w:instrText>
          </w:r>
          <w:r>
            <w:fldChar w:fldCharType="separate"/>
          </w:r>
          <w:r>
            <w:rPr>
              <w:rStyle w:val="15"/>
            </w:rPr>
            <w:t>六、相关附件</w:t>
          </w:r>
          <w:r>
            <w:tab/>
          </w:r>
          <w:r>
            <w:fldChar w:fldCharType="begin"/>
          </w:r>
          <w:r>
            <w:instrText xml:space="preserve"> PAGEREF _Toc120143640 \h </w:instrText>
          </w:r>
          <w:r>
            <w:fldChar w:fldCharType="separate"/>
          </w:r>
          <w:r>
            <w:t>46</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"_Toc120143641" </w:instrText>
          </w:r>
          <w:r>
            <w:fldChar w:fldCharType="separate"/>
          </w:r>
          <w:r>
            <w:rPr>
              <w:rStyle w:val="15"/>
              <w:rFonts w:ascii="Times New Roman" w:hAnsi="Times New Roman"/>
            </w:rPr>
            <w:t>附件：2021年天津市和平区商务局部门整体支出绩效评价指标体系及评分表</w:t>
          </w:r>
          <w:r>
            <w:tab/>
          </w:r>
          <w:r>
            <w:fldChar w:fldCharType="begin"/>
          </w:r>
          <w:r>
            <w:instrText xml:space="preserve"> PAGEREF _Toc120143641 \h </w:instrText>
          </w:r>
          <w:r>
            <w:fldChar w:fldCharType="separate"/>
          </w:r>
          <w:r>
            <w:t>46</w:t>
          </w:r>
          <w:r>
            <w:fldChar w:fldCharType="end"/>
          </w:r>
          <w:r>
            <w:fldChar w:fldCharType="end"/>
          </w:r>
        </w:p>
        <w:p>
          <w:pPr>
            <w:pStyle w:val="46"/>
            <w:ind w:firstLine="420"/>
            <w:jc w:val="center"/>
            <w:sectPr>
              <w:headerReference r:id="rId5" w:type="first"/>
              <w:footerReference r:id="rId8" w:type="first"/>
              <w:headerReference r:id="rId3" w:type="default"/>
              <w:footerReference r:id="rId6" w:type="default"/>
              <w:headerReference r:id="rId4" w:type="even"/>
              <w:footerReference r:id="rId7" w:type="even"/>
              <w:pgSz w:w="11906" w:h="16838"/>
              <w:pgMar w:top="2268" w:right="1531" w:bottom="1701" w:left="1531" w:header="851" w:footer="992" w:gutter="0"/>
              <w:cols w:space="425" w:num="1"/>
              <w:docGrid w:type="lines" w:linePitch="312" w:charSpace="0"/>
            </w:sectPr>
          </w:pPr>
          <w:r>
            <w:rPr>
              <w:rFonts w:ascii="黑体" w:hAnsi="黑体" w:eastAsia="黑体" w:cs="黑体"/>
              <w:color w:val="auto"/>
            </w:rPr>
            <w:fldChar w:fldCharType="end"/>
          </w:r>
        </w:p>
      </w:sdtContent>
    </w:sdt>
    <w:p>
      <w:pPr>
        <w:pStyle w:val="25"/>
        <w:ind w:firstLine="640"/>
      </w:pPr>
      <w:bookmarkStart w:id="0" w:name="_Toc108288181"/>
      <w:bookmarkEnd w:id="0"/>
      <w:bookmarkStart w:id="1" w:name="_Hlk91875411"/>
      <w:r>
        <w:rPr>
          <w:rFonts w:hint="eastAsia"/>
        </w:rPr>
        <w:t>为加强天津市和平区财政资金管理，强化支出责任和效率意识，建立科学、合理的财政支出绩效评价管理体系，提高和平区财政资金的使用效益，根据财政部《财政支出绩效评价管理暂行办法的通知》（财预〔2011〕285号）、天津市财政局关于印发《天津市市级部门（单位）整体支出绩效目标管理办法（试行）》的通知（津财预〔2015〕102号）等文件精神，天津安信管理咨询有限公司受天津市和平区财政局委托，对天津市和平区商务局20</w:t>
      </w:r>
      <w:r>
        <w:t>21</w:t>
      </w:r>
      <w:r>
        <w:rPr>
          <w:rFonts w:hint="eastAsia"/>
        </w:rPr>
        <w:t>年度部门整体支出绩效进行评价。</w:t>
      </w:r>
    </w:p>
    <w:p>
      <w:pPr>
        <w:pStyle w:val="25"/>
        <w:ind w:firstLine="640"/>
      </w:pPr>
      <w:r>
        <w:rPr>
          <w:rFonts w:hint="eastAsia"/>
        </w:rPr>
        <w:t>本次评价遵循“科学规范、公平公正、分类管理、绩效相关”原则，运用科学合理的绩效评价指标、评价标准和评价方法，对天津市和平区商务局20</w:t>
      </w:r>
      <w:r>
        <w:t>21</w:t>
      </w:r>
      <w:r>
        <w:rPr>
          <w:rFonts w:hint="eastAsia"/>
        </w:rPr>
        <w:t>年度部门整体支出进行了客观公正的分析。经综合评价，该部门绩效评价得分为</w:t>
      </w:r>
      <w:r>
        <w:t>90.2</w:t>
      </w:r>
      <w:r>
        <w:rPr>
          <w:rFonts w:hint="eastAsia"/>
        </w:rPr>
        <w:t>分，</w:t>
      </w:r>
      <w:r>
        <w:t>评价等级为“</w:t>
      </w:r>
      <w:r>
        <w:rPr>
          <w:rFonts w:hint="eastAsia"/>
        </w:rPr>
        <w:t>优</w:t>
      </w:r>
      <w:r>
        <w:t>”，有关情况如下。</w:t>
      </w:r>
    </w:p>
    <w:bookmarkEnd w:id="1"/>
    <w:p>
      <w:pPr>
        <w:pStyle w:val="27"/>
      </w:pPr>
      <w:bookmarkStart w:id="2" w:name="_Toc120143615"/>
      <w:r>
        <w:rPr>
          <w:rFonts w:hint="eastAsia"/>
        </w:rPr>
        <w:t>一、部门概况</w:t>
      </w:r>
      <w:bookmarkEnd w:id="2"/>
    </w:p>
    <w:p>
      <w:pPr>
        <w:pStyle w:val="29"/>
        <w:ind w:firstLine="640"/>
      </w:pPr>
      <w:bookmarkStart w:id="3" w:name="_Toc120143616"/>
      <w:r>
        <w:rPr>
          <w:rFonts w:hint="eastAsia"/>
        </w:rPr>
        <w:t>（一）基本情况</w:t>
      </w:r>
      <w:bookmarkEnd w:id="3"/>
    </w:p>
    <w:p>
      <w:pPr>
        <w:pStyle w:val="25"/>
        <w:ind w:firstLine="640"/>
        <w:rPr>
          <w:bCs/>
        </w:rPr>
      </w:pPr>
      <w:r>
        <w:rPr>
          <w:rFonts w:hint="eastAsia"/>
          <w:bCs/>
        </w:rPr>
        <w:t>天津市和平区商务局（以下简称“区商务局”）是区政府工作部门，为正处级。</w:t>
      </w:r>
    </w:p>
    <w:p>
      <w:pPr>
        <w:pStyle w:val="25"/>
        <w:ind w:firstLine="640"/>
        <w:rPr>
          <w:bCs/>
        </w:rPr>
      </w:pPr>
      <w:r>
        <w:rPr>
          <w:rFonts w:hint="eastAsia"/>
          <w:bCs/>
        </w:rPr>
        <w:t>区商务局行政编制核定编制</w:t>
      </w:r>
      <w:r>
        <w:rPr>
          <w:bCs/>
        </w:rPr>
        <w:t>19</w:t>
      </w:r>
      <w:r>
        <w:rPr>
          <w:rFonts w:hint="eastAsia"/>
          <w:bCs/>
        </w:rPr>
        <w:t>名，设局长</w:t>
      </w:r>
      <w:r>
        <w:rPr>
          <w:bCs/>
        </w:rPr>
        <w:t>1名，副局长3名。科级领导职数5正</w:t>
      </w:r>
      <w:r>
        <w:rPr>
          <w:rFonts w:hint="eastAsia"/>
          <w:bCs/>
        </w:rPr>
        <w:t>。2</w:t>
      </w:r>
      <w:r>
        <w:rPr>
          <w:bCs/>
        </w:rPr>
        <w:t>021</w:t>
      </w:r>
      <w:r>
        <w:rPr>
          <w:rFonts w:hint="eastAsia"/>
          <w:bCs/>
        </w:rPr>
        <w:t>年经编办审批临时增编</w:t>
      </w:r>
      <w:r>
        <w:rPr>
          <w:bCs/>
        </w:rPr>
        <w:t>1人</w:t>
      </w:r>
      <w:r>
        <w:rPr>
          <w:rFonts w:hint="eastAsia"/>
          <w:bCs/>
        </w:rPr>
        <w:t>，截至2</w:t>
      </w:r>
      <w:r>
        <w:rPr>
          <w:bCs/>
        </w:rPr>
        <w:t>021</w:t>
      </w:r>
      <w:r>
        <w:rPr>
          <w:rFonts w:hint="eastAsia"/>
          <w:bCs/>
        </w:rPr>
        <w:t>年末实有人员</w:t>
      </w:r>
      <w:r>
        <w:rPr>
          <w:bCs/>
        </w:rPr>
        <w:t>22</w:t>
      </w:r>
      <w:r>
        <w:rPr>
          <w:rFonts w:hint="eastAsia"/>
          <w:bCs/>
        </w:rPr>
        <w:t>人，在编人员2</w:t>
      </w:r>
      <w:r>
        <w:rPr>
          <w:bCs/>
        </w:rPr>
        <w:t>0</w:t>
      </w:r>
      <w:r>
        <w:rPr>
          <w:rFonts w:hint="eastAsia"/>
          <w:bCs/>
        </w:rPr>
        <w:t>人，编外人员2人，全部为在职人员</w:t>
      </w:r>
      <w:r>
        <w:rPr>
          <w:rFonts w:hint="eastAsia" w:ascii="仿宋" w:hAnsi="仿宋" w:eastAsia="仿宋" w:cs="仿宋"/>
          <w:szCs w:val="32"/>
        </w:rPr>
        <w:t>。</w:t>
      </w:r>
    </w:p>
    <w:p>
      <w:pPr>
        <w:pStyle w:val="25"/>
        <w:ind w:firstLine="640"/>
        <w:rPr>
          <w:rFonts w:ascii="仿宋" w:hAnsi="仿宋" w:eastAsia="仿宋" w:cs="仿宋"/>
          <w:szCs w:val="32"/>
        </w:rPr>
      </w:pPr>
      <w:r>
        <w:rPr>
          <w:rFonts w:hint="eastAsia" w:ascii="仿宋" w:hAnsi="仿宋" w:eastAsia="仿宋" w:cs="仿宋"/>
          <w:szCs w:val="32"/>
        </w:rPr>
        <w:t>区商务局共设置</w:t>
      </w:r>
      <w:r>
        <w:rPr>
          <w:rFonts w:ascii="仿宋" w:hAnsi="仿宋" w:eastAsia="仿宋" w:cs="仿宋"/>
          <w:szCs w:val="32"/>
        </w:rPr>
        <w:t>5</w:t>
      </w:r>
      <w:r>
        <w:rPr>
          <w:rFonts w:hint="eastAsia" w:ascii="仿宋" w:hAnsi="仿宋" w:eastAsia="仿宋" w:cs="仿宋"/>
          <w:szCs w:val="32"/>
        </w:rPr>
        <w:t>个内设机构：</w:t>
      </w:r>
    </w:p>
    <w:p>
      <w:pPr>
        <w:pStyle w:val="25"/>
        <w:ind w:firstLine="640"/>
        <w:rPr>
          <w:bCs/>
        </w:rPr>
      </w:pPr>
      <w:r>
        <w:rPr>
          <w:rFonts w:hint="eastAsia"/>
          <w:bCs/>
        </w:rPr>
        <w:t>1</w:t>
      </w:r>
      <w:r>
        <w:rPr>
          <w:bCs/>
        </w:rPr>
        <w:t>.办公室（法制科）</w:t>
      </w:r>
      <w:r>
        <w:rPr>
          <w:rFonts w:hint="eastAsia"/>
          <w:bCs/>
        </w:rPr>
        <w:t>：负责党建、纪检、机构编制、人事管理、公文、档案、机要、保密、资料、信息、政务公开、督查考核、财务、资产管理、政府采购、信访、后勤保障等日常工作。负责行政执法监督和法制工作，推动本单位依法行政。牵头做好建议提案、政务服务、应急和安全生产工作。</w:t>
      </w:r>
    </w:p>
    <w:p>
      <w:pPr>
        <w:pStyle w:val="25"/>
        <w:ind w:firstLine="640"/>
        <w:rPr>
          <w:bCs/>
        </w:rPr>
      </w:pPr>
      <w:r>
        <w:rPr>
          <w:rFonts w:hint="eastAsia"/>
          <w:bCs/>
        </w:rPr>
        <w:t>2</w:t>
      </w:r>
      <w:r>
        <w:rPr>
          <w:bCs/>
        </w:rPr>
        <w:t>.商贸管理科</w:t>
      </w:r>
      <w:r>
        <w:rPr>
          <w:rFonts w:hint="eastAsia"/>
          <w:bCs/>
        </w:rPr>
        <w:t>：负责统筹商务领域消费促进和实体零售创新转型工作。建立健全统计监测体系，组织开展批零行业市场运行和统计分析工作。指导购物中心、大型商场健康发展。推进电子商务发展。保护、推广老字号，促进老字号企业创新发展。指导、协调重大商贸活动，促进市场繁荣繁华。推动商贸领域诚信体系建设，开展提升商业服务质量活动，创建商业服务品牌。规范商贸企业交易行为，开展零售商促销备案，维护公平竞争秩序。牵头单用途商业预付卡监督管理，保护消费者权益。</w:t>
      </w:r>
    </w:p>
    <w:p>
      <w:pPr>
        <w:pStyle w:val="25"/>
        <w:ind w:firstLine="640"/>
        <w:rPr>
          <w:bCs/>
        </w:rPr>
      </w:pPr>
      <w:r>
        <w:rPr>
          <w:rFonts w:hint="eastAsia"/>
          <w:bCs/>
        </w:rPr>
        <w:t>3</w:t>
      </w:r>
      <w:r>
        <w:rPr>
          <w:bCs/>
        </w:rPr>
        <w:t>.</w:t>
      </w:r>
      <w:r>
        <w:rPr>
          <w:rFonts w:hint="eastAsia"/>
          <w:bCs/>
        </w:rPr>
        <w:t>能源资源管理科：负责节能降耗指标分解、考核及监督检查。做好能源统计监测、审计及目标管理。推进节能措施落实、节能设施改造、节能产品利用。开展节能降耗宣传培训。推进重点用能单位、公共机构节能工作。对固定资产投资项目节能审查意见落实情况进行监督检查。负责流通领域节能管理。对拍卖、成品油、煤炭企业等进行监督管理。负责再生资源行业管理，对二手车鉴定评估企业、报废机动车回收拆解流通进行监督管理。承担区节能降耗工作领导小组办公室日常工作。</w:t>
      </w:r>
    </w:p>
    <w:p>
      <w:pPr>
        <w:pStyle w:val="25"/>
        <w:ind w:firstLine="640"/>
        <w:rPr>
          <w:bCs/>
        </w:rPr>
      </w:pPr>
      <w:r>
        <w:rPr>
          <w:rFonts w:hint="eastAsia"/>
          <w:bCs/>
        </w:rPr>
        <w:t>4</w:t>
      </w:r>
      <w:r>
        <w:rPr>
          <w:bCs/>
        </w:rPr>
        <w:t>.市场流通促进科</w:t>
      </w:r>
      <w:r>
        <w:rPr>
          <w:rFonts w:hint="eastAsia"/>
          <w:bCs/>
        </w:rPr>
        <w:t>。负责推进商贸服务业和早点店、便民菜店、连锁超市、菜市场等社区商业发展，指导、规范和管理相关生活服务行业。推动餐饮、家庭服务业等行业发展。推动流通标准化和连锁经营、商业特许经营。协调推动特色街建设，指导、促进夜间经济发展。配合、组织做好相关会展活动。</w:t>
      </w:r>
    </w:p>
    <w:p>
      <w:pPr>
        <w:pStyle w:val="25"/>
        <w:ind w:firstLine="640"/>
        <w:rPr>
          <w:bCs/>
        </w:rPr>
      </w:pPr>
      <w:r>
        <w:rPr>
          <w:rFonts w:hint="eastAsia"/>
          <w:bCs/>
        </w:rPr>
        <w:t>5</w:t>
      </w:r>
      <w:r>
        <w:rPr>
          <w:bCs/>
        </w:rPr>
        <w:t>.对外经贸管理科</w:t>
      </w:r>
      <w:r>
        <w:rPr>
          <w:rFonts w:hint="eastAsia"/>
          <w:bCs/>
        </w:rPr>
        <w:t>：负责外贸企业资金申报、参展参会等服务工作。开展统计分析和运行监测，推动外贸发展。促进服务贸易发展，做好技术贸易等管理和服务，推动对外经贸合作。</w:t>
      </w:r>
    </w:p>
    <w:p>
      <w:pPr>
        <w:pStyle w:val="29"/>
        <w:ind w:firstLine="640"/>
      </w:pPr>
      <w:bookmarkStart w:id="4" w:name="_Toc120143617"/>
      <w:r>
        <w:rPr>
          <w:rFonts w:hint="eastAsia"/>
        </w:rPr>
        <w:t>（二）主要职责</w:t>
      </w:r>
      <w:bookmarkEnd w:id="4"/>
    </w:p>
    <w:p>
      <w:pPr>
        <w:pStyle w:val="25"/>
        <w:ind w:firstLine="640"/>
        <w:rPr>
          <w:bCs/>
        </w:rPr>
      </w:pPr>
      <w:r>
        <w:rPr>
          <w:rFonts w:hint="eastAsia"/>
          <w:bCs/>
        </w:rPr>
        <w:t>区商务局在履行职责过程中坚持和加强党对商贸流通工作的集中统一领导，主要职责是：</w:t>
      </w:r>
    </w:p>
    <w:p>
      <w:pPr>
        <w:pStyle w:val="25"/>
        <w:ind w:firstLine="640"/>
        <w:rPr>
          <w:bCs/>
        </w:rPr>
      </w:pPr>
      <w:r>
        <w:rPr>
          <w:rFonts w:hint="eastAsia"/>
          <w:bCs/>
        </w:rPr>
        <w:t>1</w:t>
      </w:r>
      <w:r>
        <w:rPr>
          <w:bCs/>
        </w:rPr>
        <w:t>.贯彻执行国家和市有关国内外贸易工作的法律、法规、规章和方针、政策，研究制订内外贸易发展规划和年度计划，并组织实施。</w:t>
      </w:r>
    </w:p>
    <w:p>
      <w:pPr>
        <w:pStyle w:val="25"/>
        <w:ind w:firstLine="640"/>
        <w:rPr>
          <w:bCs/>
        </w:rPr>
      </w:pPr>
      <w:r>
        <w:rPr>
          <w:bCs/>
        </w:rPr>
        <w:t>2.牵头组织编制、实施商业网点规划，推动商贸流通体系建设、产业结构调整及内贸消费品市场发展，加快中心商业区、特色街、社区商业建设，推进品质商业发展，促进市场繁荣。建立健全市场运行监测体系。</w:t>
      </w:r>
    </w:p>
    <w:p>
      <w:pPr>
        <w:pStyle w:val="25"/>
        <w:ind w:firstLine="640"/>
        <w:rPr>
          <w:bCs/>
        </w:rPr>
      </w:pPr>
      <w:r>
        <w:rPr>
          <w:bCs/>
        </w:rPr>
        <w:t>3.负责推进流通产业结构调整，指导流通企业改革、商贸服务业和社区商业发展，推动流通标准化和连锁经营、商业特许经营、电子商务等现代化流通方式的发展。</w:t>
      </w:r>
    </w:p>
    <w:p>
      <w:pPr>
        <w:pStyle w:val="25"/>
        <w:ind w:firstLine="640"/>
        <w:rPr>
          <w:bCs/>
        </w:rPr>
      </w:pPr>
      <w:r>
        <w:rPr>
          <w:bCs/>
        </w:rPr>
        <w:t>4.贯彻执行市有关规范市场运行、流通秩序的政策，牵头协调整顿、规范商贸流通市场秩序和市场经济秩序。推动商务领域信用建设，对特殊流通行业进行监督管理。</w:t>
      </w:r>
    </w:p>
    <w:p>
      <w:pPr>
        <w:pStyle w:val="25"/>
        <w:ind w:firstLine="640"/>
        <w:rPr>
          <w:bCs/>
        </w:rPr>
      </w:pPr>
      <w:r>
        <w:rPr>
          <w:rFonts w:hint="eastAsia"/>
          <w:bCs/>
        </w:rPr>
        <w:t>5</w:t>
      </w:r>
      <w:r>
        <w:rPr>
          <w:bCs/>
        </w:rPr>
        <w:t>.组织实施重要消费品市场调控和重要生产资料流通管理，监测分析市场运行、商品供求状况。对拍卖、成品油、煤炭流通及二手车鉴定评估企业、报废机动车回收拆解流通进行监督管理。</w:t>
      </w:r>
    </w:p>
    <w:p>
      <w:pPr>
        <w:pStyle w:val="25"/>
        <w:ind w:firstLine="640"/>
        <w:rPr>
          <w:bCs/>
        </w:rPr>
      </w:pPr>
      <w:r>
        <w:rPr>
          <w:bCs/>
        </w:rPr>
        <w:t>6.加强进出口管理和服务，推进货物贸易、服务贸易等发展，推动对外经贸合作。</w:t>
      </w:r>
    </w:p>
    <w:p>
      <w:pPr>
        <w:pStyle w:val="25"/>
        <w:ind w:firstLine="640"/>
        <w:rPr>
          <w:bCs/>
        </w:rPr>
      </w:pPr>
      <w:r>
        <w:rPr>
          <w:bCs/>
        </w:rPr>
        <w:t>7.推动、组织相关会展等经贸交流活动。</w:t>
      </w:r>
    </w:p>
    <w:p>
      <w:pPr>
        <w:pStyle w:val="25"/>
        <w:ind w:firstLine="640"/>
        <w:rPr>
          <w:bCs/>
        </w:rPr>
      </w:pPr>
      <w:r>
        <w:rPr>
          <w:rFonts w:hint="eastAsia"/>
          <w:bCs/>
        </w:rPr>
        <w:t>8</w:t>
      </w:r>
      <w:r>
        <w:rPr>
          <w:bCs/>
        </w:rPr>
        <w:t>.负责节能降耗指标分解、考核，加强对各单位节能降耗工作的监督、检查和管理。推进各行业节能设施的更新改造和节能产品技术利用。</w:t>
      </w:r>
    </w:p>
    <w:p>
      <w:pPr>
        <w:pStyle w:val="25"/>
        <w:ind w:firstLine="640"/>
        <w:rPr>
          <w:bCs/>
        </w:rPr>
      </w:pPr>
      <w:r>
        <w:rPr>
          <w:bCs/>
        </w:rPr>
        <w:t>9.负责辖区规模以上百货商场、购物中心、超市以及菜市场等相关安全生产管理督促检查工作。承担本部门安全生产管理责任。</w:t>
      </w:r>
    </w:p>
    <w:p>
      <w:pPr>
        <w:pStyle w:val="25"/>
        <w:ind w:firstLine="640"/>
        <w:rPr>
          <w:bCs/>
        </w:rPr>
      </w:pPr>
      <w:r>
        <w:rPr>
          <w:bCs/>
        </w:rPr>
        <w:t>10.负责商贸相关行业招商引资工作。</w:t>
      </w:r>
    </w:p>
    <w:p>
      <w:pPr>
        <w:pStyle w:val="25"/>
        <w:ind w:firstLine="640"/>
        <w:rPr>
          <w:bCs/>
        </w:rPr>
      </w:pPr>
      <w:r>
        <w:rPr>
          <w:rFonts w:hint="eastAsia"/>
          <w:bCs/>
        </w:rPr>
        <w:t>1</w:t>
      </w:r>
      <w:r>
        <w:rPr>
          <w:bCs/>
        </w:rPr>
        <w:t>1.负责本单位人才队伍建设。</w:t>
      </w:r>
    </w:p>
    <w:p>
      <w:pPr>
        <w:pStyle w:val="25"/>
        <w:ind w:firstLine="640"/>
        <w:rPr>
          <w:bCs/>
        </w:rPr>
      </w:pPr>
      <w:r>
        <w:rPr>
          <w:bCs/>
        </w:rPr>
        <w:t>12.承办区委、区政府交办的其他事项。</w:t>
      </w:r>
    </w:p>
    <w:p>
      <w:pPr>
        <w:pStyle w:val="29"/>
        <w:ind w:firstLine="640"/>
      </w:pPr>
      <w:bookmarkStart w:id="5" w:name="_Toc120143618"/>
      <w:r>
        <w:rPr>
          <w:rFonts w:hint="eastAsia"/>
        </w:rPr>
        <w:t>（三）年度计划</w:t>
      </w:r>
      <w:bookmarkEnd w:id="5"/>
    </w:p>
    <w:p>
      <w:pPr>
        <w:pStyle w:val="25"/>
        <w:ind w:firstLine="640"/>
      </w:pPr>
      <w:r>
        <w:rPr>
          <w:rFonts w:hint="eastAsia"/>
        </w:rPr>
        <w:t>区商务局2</w:t>
      </w:r>
      <w:r>
        <w:t>021</w:t>
      </w:r>
      <w:r>
        <w:rPr>
          <w:rFonts w:hint="eastAsia"/>
        </w:rPr>
        <w:t>年度工作计划如下：</w:t>
      </w:r>
    </w:p>
    <w:p>
      <w:pPr>
        <w:pStyle w:val="25"/>
        <w:ind w:firstLine="640"/>
      </w:pPr>
      <w:r>
        <w:rPr>
          <w:rFonts w:hint="eastAsia"/>
        </w:rPr>
        <w:t>一、全面贯彻党的十九届五中全会精神，持续用习近平新时代中国特色社会主义思想武装头脑</w:t>
      </w:r>
    </w:p>
    <w:p>
      <w:pPr>
        <w:pStyle w:val="25"/>
        <w:ind w:firstLine="640"/>
      </w:pPr>
      <w:r>
        <w:rPr>
          <w:rFonts w:hint="eastAsia"/>
        </w:rPr>
        <w:t>坚持把学习宣传贯彻习近平总书记在党的十九届五中全会上的重要讲话精神和全会决策部署作为当前和今后一个时期重要政治任务，切实把思想和行动统一到党中央重大决策和市、区委部署要求上来。坚持把习近平总书记视察天津、亲临和平作出的重要指示以及关于商贸领域的重要指示批示精神，作为一以贯之的重大政治任务和政治责任，持续抓好贯彻落实，切实把总书记的嘱托和期盼转化为和平区商贸经济高质量发展的生动实践。</w:t>
      </w:r>
    </w:p>
    <w:p>
      <w:pPr>
        <w:pStyle w:val="25"/>
        <w:ind w:firstLine="640"/>
      </w:pPr>
      <w:r>
        <w:rPr>
          <w:rFonts w:hint="eastAsia"/>
        </w:rPr>
        <w:t>二、打造现代商贸流通体系，以扩大内需为基点夯实内循环的基础支撑</w:t>
      </w:r>
    </w:p>
    <w:p>
      <w:pPr>
        <w:pStyle w:val="25"/>
        <w:ind w:firstLine="640"/>
      </w:pPr>
      <w:r>
        <w:rPr>
          <w:rFonts w:hint="eastAsia"/>
        </w:rPr>
        <w:t>（一）建设高品质消费集聚平台。推进金街、五大道、南市、津湾、小白楼等核心商圈升级提质。发展“后街经济”，支持中小型商业品质提升，积极培育新消费新供给。进一步提升津湾广场地区，加快印象城主体工程建设，用好国金中心高端商业商务载体，推进形成“三点开花、中间结果”发展态势。</w:t>
      </w:r>
    </w:p>
    <w:p>
      <w:pPr>
        <w:pStyle w:val="25"/>
        <w:ind w:firstLine="640"/>
      </w:pPr>
      <w:r>
        <w:rPr>
          <w:rFonts w:hint="eastAsia"/>
        </w:rPr>
        <w:t>（二）提升便民消费品质。推动生活性服务业向高品质和多样化升级。落实“菜篮子”市长负责制有关要求，新建新疆路菜市场，改造芷江路菜市场，推进菜市场经营和管理品质提升。加大对连锁便利店与早餐店的支持力度。提升改造一批早点店、社区便利菜店。加强服务业技能培训、技能竞赛、品牌打造工作。做好“老字号”保护发展工作。</w:t>
      </w:r>
    </w:p>
    <w:p>
      <w:pPr>
        <w:pStyle w:val="25"/>
        <w:ind w:firstLine="640"/>
      </w:pPr>
      <w:r>
        <w:rPr>
          <w:rFonts w:hint="eastAsia"/>
        </w:rPr>
        <w:t>（三）创新措施激发消费活力。持续推动落实促消费、稳增长系列政策措施，引导优化创新平台机构、商家和消费者的共同利益机制，搭建好节庆、展会等平台，加强银企联动、政企互动，大力策划开展促销活动。积极举办商旅文体融合的特色消费活动。</w:t>
      </w:r>
    </w:p>
    <w:p>
      <w:pPr>
        <w:pStyle w:val="25"/>
        <w:ind w:firstLine="640"/>
      </w:pPr>
      <w:r>
        <w:rPr>
          <w:rFonts w:hint="eastAsia"/>
        </w:rPr>
        <w:t>（四）支持发展线上线下融合服务。大力拓展信息技术应用，支持实体商业线上线下融合发展，引导发展直播等电商模式，提升商业市场竞争力。加快推进商圈</w:t>
      </w:r>
      <w:r>
        <w:t>5G应用，推出智能售卖、智能停车等应用体验。加快传统社区商业数字化转型，拓展线上团购、网上预订等创新模式。</w:t>
      </w:r>
    </w:p>
    <w:p>
      <w:pPr>
        <w:pStyle w:val="25"/>
        <w:ind w:firstLine="640"/>
      </w:pPr>
      <w:r>
        <w:rPr>
          <w:rFonts w:hint="eastAsia"/>
        </w:rPr>
        <w:t>（五）大力发展夜间经济。制定出台加快夜间经济发展方案，深化五大道市级夜间经济示范街区发展成果，重点推动津湾广场、金街等区域打造成为地标性夜生活商圈，鼓励大型商场、南市食品街等载体着力培育夜间消费市场，促进“街区”与“楼内”市场共同发力，形成布局更加合理、功能更加齐全、特色更加鲜明的夜间经济格局。</w:t>
      </w:r>
    </w:p>
    <w:p>
      <w:pPr>
        <w:pStyle w:val="25"/>
        <w:ind w:firstLine="640"/>
      </w:pPr>
      <w:r>
        <w:rPr>
          <w:rFonts w:hint="eastAsia"/>
        </w:rPr>
        <w:t>（六）积极发展会展经济。持续提高参展办展水平，结合区域特色在金街、民园等商圈组织开展品牌节会，加快拉动休闲旅游消费。积极做好津洽会布展工作。组织企业参加进博会、广交会、服贸会等重要综合性展会，拉动商品贸易增长、促进招商引资、扩大对外合作。</w:t>
      </w:r>
    </w:p>
    <w:p>
      <w:pPr>
        <w:pStyle w:val="25"/>
        <w:ind w:firstLine="640"/>
      </w:pPr>
      <w:r>
        <w:rPr>
          <w:rFonts w:hint="eastAsia"/>
        </w:rPr>
        <w:t>（七）促进商务绿色低碳发展。开展重点领域节能，加强重点用能单位管理，开展能耗双控考核和能源管理体系效果评价。开展节约型机关创建，年底前推动不少于</w:t>
      </w:r>
      <w:r>
        <w:t>50%的处级及以上党政机关建成节约型机关。推进再生资源回收体系建设，再生资源回收率取得成效。</w:t>
      </w:r>
    </w:p>
    <w:p>
      <w:pPr>
        <w:pStyle w:val="25"/>
        <w:ind w:firstLine="640"/>
      </w:pPr>
      <w:r>
        <w:rPr>
          <w:rFonts w:hint="eastAsia"/>
        </w:rPr>
        <w:t>三、深化开放型经济体制改革，推进形成双循环相互促进的发展格局</w:t>
      </w:r>
    </w:p>
    <w:p>
      <w:pPr>
        <w:pStyle w:val="25"/>
        <w:ind w:firstLine="640"/>
      </w:pPr>
      <w:r>
        <w:rPr>
          <w:rFonts w:hint="eastAsia"/>
        </w:rPr>
        <w:t>（八）培育壮大对外贸易产业。强化招商引资，积极招引和培育优质对外贸易企业。支持发展服务贸易。引导企业大力开拓“一带一路”国际市场。对标国际营商环境，协调市商务局、海关等提供通关、结付汇、退税等服务。积极应对贸易摩擦，及时提供风险监测分析预警等政策信息。</w:t>
      </w:r>
    </w:p>
    <w:p>
      <w:pPr>
        <w:pStyle w:val="25"/>
        <w:ind w:firstLine="640"/>
      </w:pPr>
      <w:r>
        <w:rPr>
          <w:rFonts w:hint="eastAsia"/>
        </w:rPr>
        <w:t>（九）促进内外贸一体化发展。充分利用国际、国内两个市场两种资源，积极促进内需和外需、进口和出口协调发展。组织“外贸优品汇</w:t>
      </w:r>
      <w:r>
        <w:t xml:space="preserve"> 扮靓步行街”等出口产品转内销活动，支持外贸企业拓展国内市场，完善内外贸一体化发展体系，推动形成国内国际双循环相互促进的新发展格局。</w:t>
      </w:r>
    </w:p>
    <w:p>
      <w:pPr>
        <w:pStyle w:val="25"/>
        <w:ind w:firstLine="640"/>
      </w:pPr>
      <w:r>
        <w:rPr>
          <w:rFonts w:hint="eastAsia"/>
        </w:rPr>
        <w:t>四、强化招商引资，以高质量招商为区域商贸发展积势蓄能</w:t>
      </w:r>
    </w:p>
    <w:p>
      <w:pPr>
        <w:pStyle w:val="25"/>
        <w:ind w:firstLine="640"/>
      </w:pPr>
      <w:r>
        <w:rPr>
          <w:rFonts w:hint="eastAsia"/>
        </w:rPr>
        <w:t>（十）落实好“大招商”“大服务”。落实好“大招商”“大服务”工作要求，积极向市级部门争取支持，强化与区内有关部门的衔接与协作，多渠道获取招商线索。加强招商考察和宣传推介工作。做好落户企业跟踪服务，积极协调解决企业在建设经营中的困难，努力提供良好发展环境。</w:t>
      </w:r>
    </w:p>
    <w:p>
      <w:pPr>
        <w:pStyle w:val="25"/>
        <w:ind w:firstLine="640"/>
      </w:pPr>
      <w:r>
        <w:rPr>
          <w:rFonts w:hint="eastAsia"/>
        </w:rPr>
        <w:t>五、强化组织领导，全面提升商贸行业服务管理质量和水平</w:t>
      </w:r>
    </w:p>
    <w:p>
      <w:pPr>
        <w:pStyle w:val="25"/>
        <w:ind w:firstLine="640"/>
      </w:pPr>
      <w:r>
        <w:rPr>
          <w:rFonts w:hint="eastAsia"/>
        </w:rPr>
        <w:t>（十一）规范开展行业监管和执法。抓好成品油非法经营大排查大整治大执法。加强再生资源回收等行业管理。推进“双随机、一公开”监管。强化单用途商业预付卡监督管理。推进商务信用体系建设，打造重要产品流通追溯体系。巩固提升城区菜市场、商场等创文、创卫成果。</w:t>
      </w:r>
    </w:p>
    <w:p>
      <w:pPr>
        <w:pStyle w:val="25"/>
        <w:ind w:firstLine="640"/>
      </w:pPr>
      <w:r>
        <w:rPr>
          <w:rFonts w:hint="eastAsia"/>
        </w:rPr>
        <w:t>（十二）加强常态化疫情防控。毫不放松抓好“外防输入、内防反弹”工作。坚持人、物、环境同防，紧盯关键环节、重点领域、重要时点，从严从细落实商场、超市、市场、餐饮等重点场所防控措施。加强进口冷链食品全链条防控，做好应急处置准备，筑牢疫情防控防线。</w:t>
      </w:r>
    </w:p>
    <w:p>
      <w:pPr>
        <w:pStyle w:val="25"/>
        <w:ind w:firstLine="640"/>
      </w:pPr>
      <w:r>
        <w:rPr>
          <w:rFonts w:hint="eastAsia"/>
        </w:rPr>
        <w:t>（十三）做好应急管理和市场保供。积极落实行业安全生产监管责任，强化落实责任制，狠抓重点行业领域和安全风险研判与管控。开展安全检查和安全执法，大力开展安全隐患排查整治。加强保供企业管理，及时应对市场异常波动，切实保障重要生活物资供应。</w:t>
      </w:r>
    </w:p>
    <w:p>
      <w:pPr>
        <w:pStyle w:val="25"/>
        <w:ind w:firstLine="640"/>
      </w:pPr>
      <w:r>
        <w:rPr>
          <w:rFonts w:hint="eastAsia"/>
        </w:rPr>
        <w:t>（十四）巩固拓展脱贫攻坚成果。把巩固拓展脱贫攻坚成果摆在头等重要位置来抓，继续做好消费帮扶等工作，有力发挥商务发展助推乡村振兴和巩固脱贫攻坚成果作用。</w:t>
      </w:r>
    </w:p>
    <w:p>
      <w:pPr>
        <w:pStyle w:val="25"/>
        <w:ind w:firstLine="640"/>
      </w:pPr>
      <w:r>
        <w:rPr>
          <w:rFonts w:hint="eastAsia"/>
        </w:rPr>
        <w:t>六、压实管党治党主体责任，推动全面从严治党向纵深发展</w:t>
      </w:r>
    </w:p>
    <w:p>
      <w:pPr>
        <w:pStyle w:val="25"/>
        <w:ind w:firstLine="640"/>
      </w:pPr>
      <w:r>
        <w:rPr>
          <w:rFonts w:hint="eastAsia"/>
        </w:rPr>
        <w:t>（十五）扎实开展党史学习教育。将党史学习教育作为</w:t>
      </w:r>
      <w:r>
        <w:t xml:space="preserve">2021年党员干部教育培训重点任务，加强组织领导，周密安排部署，精心组织实施，确保学习教育组织到位、措施到位、落实到位，教育引导党员干部学党史、悟思想、办实事、开新局。 </w:t>
      </w:r>
    </w:p>
    <w:p>
      <w:pPr>
        <w:pStyle w:val="25"/>
        <w:ind w:firstLine="640"/>
      </w:pPr>
      <w:r>
        <w:rPr>
          <w:rFonts w:hint="eastAsia"/>
        </w:rPr>
        <w:t>（十六）认真落实意识形态工作责任制。牢牢把握意识形态工作领导权，压紧压实政治责任、领导责任。年内至少两次分析研究意识形态（网络意识形态）工作。不断深化阵地建设，加强分析研判，做好正面宣传引导，积极稳妥做好商贸领域重大突发事件和热点敏感问题的舆论引导。</w:t>
      </w:r>
    </w:p>
    <w:p>
      <w:pPr>
        <w:pStyle w:val="25"/>
        <w:ind w:firstLine="640"/>
      </w:pPr>
      <w:r>
        <w:rPr>
          <w:rFonts w:hint="eastAsia"/>
        </w:rPr>
        <w:t>（十七）持之以恒正风肃纪。严格落实中央八项规定及实施细则精神，深入开展形式主义官僚主义集中整治和不作为不担当问题专项治理。持续整治圈子文化、码头文化和好人主义；用好监督执纪“四种形态”特别是“第一种形态”，继续深化干部因公务外出廉政守纪谈话制度，推进党风廉政建设各项工作落到实处。</w:t>
      </w:r>
    </w:p>
    <w:p>
      <w:pPr>
        <w:pStyle w:val="29"/>
        <w:ind w:firstLine="640"/>
      </w:pPr>
      <w:bookmarkStart w:id="6" w:name="_Toc120143619"/>
      <w:r>
        <w:rPr>
          <w:rFonts w:hint="eastAsia"/>
        </w:rPr>
        <w:t>（四）部门整体支出情况</w:t>
      </w:r>
      <w:bookmarkEnd w:id="6"/>
    </w:p>
    <w:p>
      <w:pPr>
        <w:pStyle w:val="32"/>
      </w:pPr>
      <w:r>
        <w:rPr>
          <w:rFonts w:hint="eastAsia"/>
        </w:rPr>
        <w:t>表1.</w:t>
      </w:r>
      <w:r>
        <w:t>4</w:t>
      </w:r>
      <w:r>
        <w:rPr>
          <w:rFonts w:hint="eastAsia"/>
        </w:rPr>
        <w:t>.</w:t>
      </w:r>
      <w:r>
        <w:t xml:space="preserve">1 </w:t>
      </w:r>
      <w:r>
        <w:rPr>
          <w:rFonts w:hint="eastAsia"/>
        </w:rPr>
        <w:t>部门预算支出情况表</w:t>
      </w:r>
    </w:p>
    <w:p>
      <w:pPr>
        <w:pStyle w:val="33"/>
      </w:pPr>
      <w:r>
        <w:rPr>
          <w:rFonts w:hint="eastAsia"/>
        </w:rPr>
        <w:t>单位：万元</w:t>
      </w:r>
    </w:p>
    <w:tbl>
      <w:tblPr>
        <w:tblStyle w:val="17"/>
        <w:tblW w:w="8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1278"/>
        <w:gridCol w:w="1279"/>
        <w:gridCol w:w="1136"/>
        <w:gridCol w:w="1137"/>
        <w:gridCol w:w="1272"/>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blHeader/>
        </w:trPr>
        <w:tc>
          <w:tcPr>
            <w:tcW w:w="838" w:type="dxa"/>
            <w:shd w:val="clear" w:color="auto" w:fill="auto"/>
            <w:vAlign w:val="center"/>
          </w:tcPr>
          <w:p>
            <w:pPr>
              <w:pStyle w:val="35"/>
            </w:pPr>
            <w:r>
              <w:rPr>
                <w:rFonts w:hint="eastAsia"/>
              </w:rPr>
              <w:t>支出类型</w:t>
            </w:r>
          </w:p>
        </w:tc>
        <w:tc>
          <w:tcPr>
            <w:tcW w:w="1278" w:type="dxa"/>
            <w:vAlign w:val="center"/>
          </w:tcPr>
          <w:p>
            <w:pPr>
              <w:pStyle w:val="35"/>
            </w:pPr>
            <w:r>
              <w:rPr>
                <w:rFonts w:hint="eastAsia" w:cs="宋体"/>
                <w:kern w:val="0"/>
              </w:rPr>
              <w:t>年初预算</w:t>
            </w:r>
          </w:p>
        </w:tc>
        <w:tc>
          <w:tcPr>
            <w:tcW w:w="1279" w:type="dxa"/>
            <w:vAlign w:val="center"/>
          </w:tcPr>
          <w:p>
            <w:pPr>
              <w:pStyle w:val="35"/>
            </w:pPr>
            <w:r>
              <w:rPr>
                <w:rFonts w:hint="eastAsia" w:cs="宋体"/>
                <w:kern w:val="0"/>
              </w:rPr>
              <w:t>调整预算</w:t>
            </w:r>
          </w:p>
        </w:tc>
        <w:tc>
          <w:tcPr>
            <w:tcW w:w="1136" w:type="dxa"/>
            <w:vAlign w:val="center"/>
          </w:tcPr>
          <w:p>
            <w:pPr>
              <w:pStyle w:val="35"/>
            </w:pPr>
            <w:r>
              <w:rPr>
                <w:rFonts w:hint="eastAsia"/>
              </w:rPr>
              <w:t>上年结余</w:t>
            </w:r>
          </w:p>
        </w:tc>
        <w:tc>
          <w:tcPr>
            <w:tcW w:w="1137" w:type="dxa"/>
            <w:vAlign w:val="center"/>
          </w:tcPr>
          <w:p>
            <w:pPr>
              <w:pStyle w:val="35"/>
              <w:rPr>
                <w:rFonts w:cs="宋体"/>
                <w:kern w:val="0"/>
              </w:rPr>
            </w:pPr>
            <w:r>
              <w:rPr>
                <w:rFonts w:hint="eastAsia" w:cs="宋体"/>
                <w:kern w:val="0"/>
              </w:rPr>
              <w:t>收入合计</w:t>
            </w:r>
          </w:p>
        </w:tc>
        <w:tc>
          <w:tcPr>
            <w:tcW w:w="1272" w:type="dxa"/>
            <w:vAlign w:val="center"/>
          </w:tcPr>
          <w:p>
            <w:pPr>
              <w:pStyle w:val="35"/>
              <w:rPr>
                <w:rFonts w:cs="宋体"/>
                <w:kern w:val="0"/>
              </w:rPr>
            </w:pPr>
            <w:r>
              <w:rPr>
                <w:rFonts w:hint="eastAsia" w:cs="宋体"/>
                <w:kern w:val="0"/>
              </w:rPr>
              <w:t>支出合计</w:t>
            </w:r>
          </w:p>
        </w:tc>
        <w:tc>
          <w:tcPr>
            <w:tcW w:w="1362" w:type="dxa"/>
            <w:shd w:val="clear" w:color="auto" w:fill="auto"/>
            <w:vAlign w:val="center"/>
          </w:tcPr>
          <w:p>
            <w:pPr>
              <w:pStyle w:val="35"/>
              <w:rPr>
                <w:rFonts w:cs="宋体"/>
                <w:kern w:val="0"/>
              </w:rPr>
            </w:pPr>
            <w:r>
              <w:rPr>
                <w:rFonts w:hint="eastAsia" w:cs="宋体"/>
                <w:kern w:val="0"/>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38" w:type="dxa"/>
            <w:shd w:val="clear" w:color="auto" w:fill="auto"/>
            <w:vAlign w:val="center"/>
          </w:tcPr>
          <w:p>
            <w:pPr>
              <w:pStyle w:val="37"/>
            </w:pPr>
            <w:r>
              <w:rPr>
                <w:rFonts w:hint="eastAsia"/>
              </w:rPr>
              <w:t>基本支出</w:t>
            </w:r>
          </w:p>
        </w:tc>
        <w:tc>
          <w:tcPr>
            <w:tcW w:w="1278" w:type="dxa"/>
            <w:vAlign w:val="center"/>
          </w:tcPr>
          <w:p>
            <w:pPr>
              <w:pStyle w:val="37"/>
            </w:pPr>
            <w:r>
              <w:t>553.54</w:t>
            </w:r>
          </w:p>
        </w:tc>
        <w:tc>
          <w:tcPr>
            <w:tcW w:w="1279" w:type="dxa"/>
            <w:vAlign w:val="center"/>
          </w:tcPr>
          <w:p>
            <w:pPr>
              <w:pStyle w:val="37"/>
            </w:pPr>
            <w:r>
              <w:t>627.93</w:t>
            </w:r>
          </w:p>
        </w:tc>
        <w:tc>
          <w:tcPr>
            <w:tcW w:w="1136" w:type="dxa"/>
            <w:vAlign w:val="center"/>
          </w:tcPr>
          <w:p>
            <w:pPr>
              <w:pStyle w:val="37"/>
            </w:pPr>
            <w:r>
              <w:t>914.61</w:t>
            </w:r>
          </w:p>
        </w:tc>
        <w:tc>
          <w:tcPr>
            <w:tcW w:w="1137" w:type="dxa"/>
            <w:vAlign w:val="center"/>
          </w:tcPr>
          <w:p>
            <w:pPr>
              <w:pStyle w:val="37"/>
            </w:pPr>
            <w:r>
              <w:t>628.41</w:t>
            </w:r>
          </w:p>
        </w:tc>
        <w:tc>
          <w:tcPr>
            <w:tcW w:w="1272" w:type="dxa"/>
            <w:vAlign w:val="center"/>
          </w:tcPr>
          <w:p>
            <w:pPr>
              <w:pStyle w:val="37"/>
            </w:pPr>
            <w:r>
              <w:t>625.42</w:t>
            </w:r>
          </w:p>
        </w:tc>
        <w:tc>
          <w:tcPr>
            <w:tcW w:w="1362" w:type="dxa"/>
            <w:shd w:val="clear" w:color="auto" w:fill="auto"/>
            <w:vAlign w:val="center"/>
          </w:tcPr>
          <w:p>
            <w:pPr>
              <w:pStyle w:val="37"/>
            </w:pPr>
            <w:r>
              <w:t>40.53%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38" w:type="dxa"/>
            <w:shd w:val="clear" w:color="auto" w:fill="auto"/>
            <w:vAlign w:val="center"/>
          </w:tcPr>
          <w:p>
            <w:pPr>
              <w:pStyle w:val="37"/>
            </w:pPr>
            <w:r>
              <w:rPr>
                <w:rFonts w:hint="eastAsia"/>
              </w:rPr>
              <w:t>项目支出</w:t>
            </w:r>
          </w:p>
        </w:tc>
        <w:tc>
          <w:tcPr>
            <w:tcW w:w="1278" w:type="dxa"/>
            <w:vAlign w:val="center"/>
          </w:tcPr>
          <w:p>
            <w:pPr>
              <w:pStyle w:val="37"/>
            </w:pPr>
            <w:r>
              <w:t>588.</w:t>
            </w:r>
            <w:r>
              <w:rPr>
                <w:rFonts w:hint="eastAsia"/>
              </w:rPr>
              <w:t>0</w:t>
            </w:r>
            <w:r>
              <w:t>0</w:t>
            </w:r>
          </w:p>
        </w:tc>
        <w:tc>
          <w:tcPr>
            <w:tcW w:w="1279" w:type="dxa"/>
            <w:vAlign w:val="center"/>
          </w:tcPr>
          <w:p>
            <w:pPr>
              <w:pStyle w:val="37"/>
            </w:pPr>
            <w:r>
              <w:t>297.55</w:t>
            </w:r>
          </w:p>
        </w:tc>
        <w:tc>
          <w:tcPr>
            <w:tcW w:w="1136" w:type="dxa"/>
            <w:vAlign w:val="center"/>
          </w:tcPr>
          <w:p>
            <w:pPr>
              <w:pStyle w:val="37"/>
            </w:pPr>
            <w:r>
              <w:t>12.84</w:t>
            </w:r>
          </w:p>
        </w:tc>
        <w:tc>
          <w:tcPr>
            <w:tcW w:w="1137" w:type="dxa"/>
            <w:vAlign w:val="center"/>
          </w:tcPr>
          <w:p>
            <w:pPr>
              <w:pStyle w:val="37"/>
            </w:pPr>
            <w:r>
              <w:t>297.55</w:t>
            </w:r>
          </w:p>
        </w:tc>
        <w:tc>
          <w:tcPr>
            <w:tcW w:w="1272" w:type="dxa"/>
            <w:vAlign w:val="center"/>
          </w:tcPr>
          <w:p>
            <w:pPr>
              <w:pStyle w:val="37"/>
            </w:pPr>
            <w:r>
              <w:t>310.34</w:t>
            </w:r>
          </w:p>
        </w:tc>
        <w:tc>
          <w:tcPr>
            <w:tcW w:w="1362" w:type="dxa"/>
            <w:shd w:val="clear" w:color="auto" w:fill="auto"/>
            <w:vAlign w:val="center"/>
          </w:tcPr>
          <w:p>
            <w:pPr>
              <w:pStyle w:val="37"/>
            </w:pPr>
            <w:r>
              <w:t>99.98%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38" w:type="dxa"/>
            <w:shd w:val="clear" w:color="auto" w:fill="auto"/>
            <w:vAlign w:val="center"/>
          </w:tcPr>
          <w:p>
            <w:pPr>
              <w:pStyle w:val="35"/>
            </w:pPr>
            <w:r>
              <w:rPr>
                <w:rFonts w:hint="eastAsia"/>
              </w:rPr>
              <w:t>合计</w:t>
            </w:r>
          </w:p>
        </w:tc>
        <w:tc>
          <w:tcPr>
            <w:tcW w:w="1278" w:type="dxa"/>
            <w:vAlign w:val="center"/>
          </w:tcPr>
          <w:p>
            <w:pPr>
              <w:pStyle w:val="35"/>
              <w:rPr>
                <w:rFonts w:cs="Times New Roman"/>
              </w:rPr>
            </w:pPr>
            <w:r>
              <w:rPr>
                <w:rFonts w:cs="Times New Roman"/>
              </w:rPr>
              <w:t>1141.54</w:t>
            </w:r>
          </w:p>
        </w:tc>
        <w:tc>
          <w:tcPr>
            <w:tcW w:w="1279" w:type="dxa"/>
            <w:vAlign w:val="center"/>
          </w:tcPr>
          <w:p>
            <w:pPr>
              <w:pStyle w:val="35"/>
              <w:rPr>
                <w:rFonts w:cs="Times New Roman"/>
              </w:rPr>
            </w:pPr>
            <w:r>
              <w:rPr>
                <w:rFonts w:cs="Times New Roman"/>
              </w:rPr>
              <w:t>925.48</w:t>
            </w:r>
          </w:p>
        </w:tc>
        <w:tc>
          <w:tcPr>
            <w:tcW w:w="1136" w:type="dxa"/>
            <w:vAlign w:val="center"/>
          </w:tcPr>
          <w:p>
            <w:pPr>
              <w:pStyle w:val="35"/>
              <w:rPr>
                <w:rFonts w:cs="Times New Roman"/>
              </w:rPr>
            </w:pPr>
            <w:r>
              <w:rPr>
                <w:rFonts w:cs="Times New Roman"/>
              </w:rPr>
              <w:t>927.45</w:t>
            </w:r>
          </w:p>
        </w:tc>
        <w:tc>
          <w:tcPr>
            <w:tcW w:w="1137" w:type="dxa"/>
            <w:vAlign w:val="center"/>
          </w:tcPr>
          <w:p>
            <w:pPr>
              <w:pStyle w:val="35"/>
              <w:rPr>
                <w:rFonts w:cs="Times New Roman"/>
              </w:rPr>
            </w:pPr>
            <w:r>
              <w:rPr>
                <w:rFonts w:cs="Times New Roman"/>
              </w:rPr>
              <w:t>925.96</w:t>
            </w:r>
          </w:p>
        </w:tc>
        <w:tc>
          <w:tcPr>
            <w:tcW w:w="1272" w:type="dxa"/>
            <w:vAlign w:val="center"/>
          </w:tcPr>
          <w:p>
            <w:pPr>
              <w:pStyle w:val="35"/>
              <w:rPr>
                <w:rFonts w:cs="Times New Roman"/>
              </w:rPr>
            </w:pPr>
            <w:r>
              <w:rPr>
                <w:rFonts w:cs="Times New Roman"/>
              </w:rPr>
              <w:t>935.76</w:t>
            </w:r>
          </w:p>
        </w:tc>
        <w:tc>
          <w:tcPr>
            <w:tcW w:w="1362" w:type="dxa"/>
            <w:shd w:val="clear" w:color="auto" w:fill="auto"/>
            <w:vAlign w:val="center"/>
          </w:tcPr>
          <w:p>
            <w:pPr>
              <w:pStyle w:val="35"/>
              <w:rPr>
                <w:rFonts w:cs="Times New Roman"/>
              </w:rPr>
            </w:pPr>
            <w:r>
              <w:t>50.49%</w:t>
            </w:r>
          </w:p>
        </w:tc>
      </w:tr>
    </w:tbl>
    <w:p>
      <w:pPr>
        <w:pStyle w:val="29"/>
        <w:ind w:firstLine="640"/>
      </w:pPr>
      <w:bookmarkStart w:id="7" w:name="_Toc120143620"/>
      <w:r>
        <w:rPr>
          <w:rFonts w:hint="eastAsia"/>
        </w:rPr>
        <w:t>（五）部门整体绩效目标</w:t>
      </w:r>
      <w:bookmarkEnd w:id="7"/>
    </w:p>
    <w:p>
      <w:pPr>
        <w:pStyle w:val="25"/>
        <w:ind w:firstLine="640"/>
      </w:pPr>
      <w:r>
        <w:rPr>
          <w:rFonts w:hint="eastAsia"/>
        </w:rPr>
        <w:t>目标1：保障机关工作人员工资；</w:t>
      </w:r>
    </w:p>
    <w:p>
      <w:pPr>
        <w:pStyle w:val="25"/>
        <w:ind w:firstLine="640"/>
      </w:pPr>
      <w:r>
        <w:rPr>
          <w:rFonts w:hint="eastAsia"/>
        </w:rPr>
        <w:t>目标2：保障机关各项工作正常开展；</w:t>
      </w:r>
    </w:p>
    <w:p>
      <w:pPr>
        <w:pStyle w:val="25"/>
        <w:ind w:firstLine="640"/>
      </w:pPr>
      <w:r>
        <w:rPr>
          <w:rFonts w:hint="eastAsia"/>
        </w:rPr>
        <w:t>目标3：推进各行业节能工作开展；</w:t>
      </w:r>
    </w:p>
    <w:p>
      <w:pPr>
        <w:pStyle w:val="25"/>
        <w:ind w:firstLine="640"/>
      </w:pPr>
      <w:r>
        <w:rPr>
          <w:rFonts w:hint="eastAsia"/>
        </w:rPr>
        <w:t>目标</w:t>
      </w:r>
      <w:r>
        <w:t>4</w:t>
      </w:r>
      <w:r>
        <w:rPr>
          <w:rFonts w:hint="eastAsia"/>
        </w:rPr>
        <w:t>：按照创卫、创城等工作要求，委托第三方检测公司对区属菜市场进行食品快检服务。通过日常检查、阶段考核，对快检项目实施情况进行监管；</w:t>
      </w:r>
    </w:p>
    <w:p>
      <w:pPr>
        <w:pStyle w:val="25"/>
        <w:ind w:firstLine="640"/>
      </w:pPr>
      <w:r>
        <w:rPr>
          <w:rFonts w:hint="eastAsia"/>
        </w:rPr>
        <w:t>目标</w:t>
      </w:r>
      <w:r>
        <w:t>5</w:t>
      </w:r>
      <w:r>
        <w:rPr>
          <w:rFonts w:hint="eastAsia"/>
        </w:rPr>
        <w:t>：以企业代储方式，实现对蔬菜、肉类等应急物资的储备。</w:t>
      </w:r>
    </w:p>
    <w:p>
      <w:pPr>
        <w:pStyle w:val="27"/>
      </w:pPr>
      <w:bookmarkStart w:id="8" w:name="_Toc120143621"/>
      <w:r>
        <w:rPr>
          <w:rFonts w:hint="eastAsia"/>
        </w:rPr>
        <w:t>二、绩效评价实施过程</w:t>
      </w:r>
      <w:bookmarkEnd w:id="8"/>
    </w:p>
    <w:p>
      <w:pPr>
        <w:pStyle w:val="29"/>
        <w:ind w:firstLine="640"/>
      </w:pPr>
      <w:bookmarkStart w:id="9" w:name="_Toc53326850"/>
      <w:bookmarkStart w:id="10" w:name="_Toc91375832"/>
      <w:bookmarkStart w:id="11" w:name="_Toc120143622"/>
      <w:bookmarkStart w:id="12" w:name="_Toc91375445"/>
      <w:bookmarkStart w:id="13" w:name="_Toc53326851"/>
      <w:r>
        <w:rPr>
          <w:rFonts w:hint="eastAsia"/>
        </w:rPr>
        <w:t>（一）评价原则和方法</w:t>
      </w:r>
      <w:bookmarkEnd w:id="9"/>
      <w:bookmarkEnd w:id="10"/>
      <w:bookmarkEnd w:id="11"/>
      <w:bookmarkEnd w:id="12"/>
    </w:p>
    <w:p>
      <w:pPr>
        <w:pStyle w:val="50"/>
      </w:pPr>
      <w:r>
        <w:rPr>
          <w:rFonts w:hint="eastAsia"/>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50"/>
      </w:pPr>
      <w:r>
        <w:rPr>
          <w:rFonts w:hint="eastAsia"/>
        </w:rPr>
        <w:t>1.指标分析法</w:t>
      </w:r>
    </w:p>
    <w:p>
      <w:pPr>
        <w:pStyle w:val="50"/>
      </w:pPr>
      <w:r>
        <w:rPr>
          <w:rFonts w:hint="eastAsia"/>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pPr>
        <w:pStyle w:val="50"/>
      </w:pPr>
      <w:r>
        <w:rPr>
          <w:rFonts w:hint="eastAsia"/>
        </w:rPr>
        <w:t>2.比较法</w:t>
      </w:r>
    </w:p>
    <w:p>
      <w:pPr>
        <w:pStyle w:val="50"/>
      </w:pPr>
      <w:r>
        <w:rPr>
          <w:rFonts w:hint="eastAsia"/>
        </w:rPr>
        <w:t>通过对预算单位绩效目标与预算单位履职效果、历史数据与当期数据情况、不同部门同类支出的比较，综合分析绩效目标实现程度。</w:t>
      </w:r>
    </w:p>
    <w:p>
      <w:pPr>
        <w:pStyle w:val="50"/>
      </w:pPr>
      <w:r>
        <w:rPr>
          <w:rFonts w:hint="eastAsia"/>
        </w:rPr>
        <w:t>3.专家咨询法</w:t>
      </w:r>
    </w:p>
    <w:p>
      <w:pPr>
        <w:pStyle w:val="50"/>
      </w:pPr>
      <w:r>
        <w:rPr>
          <w:rFonts w:hint="eastAsia"/>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50"/>
      </w:pPr>
      <w:r>
        <w:rPr>
          <w:rFonts w:hint="eastAsia"/>
        </w:rPr>
        <w:t>4.文献法</w:t>
      </w:r>
    </w:p>
    <w:p>
      <w:pPr>
        <w:pStyle w:val="50"/>
      </w:pPr>
      <w:r>
        <w:rPr>
          <w:rFonts w:hint="eastAsia"/>
        </w:rPr>
        <w:t>通过收集相关文献，对文献的研究形成对预算单位整体财政支出的产出和效果的科学认识，以达到客观评价的目的。</w:t>
      </w:r>
    </w:p>
    <w:p>
      <w:pPr>
        <w:pStyle w:val="50"/>
      </w:pPr>
      <w:r>
        <w:rPr>
          <w:rFonts w:hint="eastAsia"/>
        </w:rPr>
        <w:t>5.社会调查法</w:t>
      </w:r>
    </w:p>
    <w:p>
      <w:pPr>
        <w:pStyle w:val="50"/>
        <w:rPr>
          <w:szCs w:val="28"/>
        </w:rPr>
      </w:pPr>
      <w:r>
        <w:rPr>
          <w:rFonts w:hint="eastAsia"/>
        </w:rPr>
        <w:t>通过向公众开展问卷调查、实地访谈取得公众对预算单位财政支出效果的评判，评价绩效目标的实现程度。对于无法直接用评价指标考量其支出效益的，可以选择通过社会调查方式进行评价。</w:t>
      </w:r>
    </w:p>
    <w:p>
      <w:pPr>
        <w:pStyle w:val="29"/>
        <w:ind w:firstLine="640"/>
      </w:pPr>
      <w:bookmarkStart w:id="14" w:name="_Toc120143623"/>
      <w:bookmarkStart w:id="15" w:name="_Toc91375833"/>
      <w:bookmarkStart w:id="16" w:name="_Toc91375446"/>
      <w:r>
        <w:rPr>
          <w:rFonts w:hint="eastAsia"/>
        </w:rPr>
        <w:t>（二）评价依据</w:t>
      </w:r>
      <w:bookmarkEnd w:id="13"/>
      <w:bookmarkEnd w:id="14"/>
      <w:bookmarkEnd w:id="15"/>
      <w:bookmarkEnd w:id="16"/>
    </w:p>
    <w:p>
      <w:pPr>
        <w:pStyle w:val="50"/>
      </w:pPr>
      <w:r>
        <w:rPr>
          <w:rFonts w:hint="eastAsia"/>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pPr>
        <w:pStyle w:val="50"/>
        <w:rPr>
          <w:szCs w:val="28"/>
        </w:rPr>
      </w:pPr>
      <w:r>
        <w:rPr>
          <w:rFonts w:hint="eastAsia"/>
        </w:rPr>
        <w:t>本次部门整体支出绩效评价的主要依据与绩效评价相关的政策文件、资金及职能相关的政策文件，具体如下：</w:t>
      </w:r>
    </w:p>
    <w:p>
      <w:pPr>
        <w:pStyle w:val="50"/>
      </w:pPr>
      <w:r>
        <w:rPr>
          <w:rFonts w:hint="eastAsia"/>
        </w:rPr>
        <w:t>绩效评价相关政策文件：</w:t>
      </w:r>
    </w:p>
    <w:p>
      <w:pPr>
        <w:pStyle w:val="50"/>
      </w:pPr>
      <w:r>
        <w:rPr>
          <w:rFonts w:hint="eastAsia"/>
        </w:rPr>
        <w:t xml:space="preserve">1.《中共中央国务院关于全面实施预算绩效管理的意见》（中发〔2018〕 34号） </w:t>
      </w:r>
    </w:p>
    <w:p>
      <w:pPr>
        <w:pStyle w:val="50"/>
      </w:pPr>
      <w:r>
        <w:rPr>
          <w:rFonts w:hint="eastAsia"/>
        </w:rPr>
        <w:t>2.财政部关于贯彻落实《中共中央国务院关于全面实施预算绩效管理的意见》的通知（财预〔2018〕167号）</w:t>
      </w:r>
    </w:p>
    <w:p>
      <w:pPr>
        <w:pStyle w:val="50"/>
      </w:pPr>
      <w:r>
        <w:rPr>
          <w:rFonts w:hint="eastAsia"/>
        </w:rPr>
        <w:t>3.财政部关于印发《预算绩效评价共性指标体系框架》的通知（财预〔2013〕53号）</w:t>
      </w:r>
    </w:p>
    <w:p>
      <w:pPr>
        <w:pStyle w:val="50"/>
      </w:pPr>
      <w:r>
        <w:rPr>
          <w:rFonts w:hint="eastAsia"/>
        </w:rPr>
        <w:t>4.财政部关于印发《财政支出绩效评价管理暂行办法的通知》（财预〔2011〕285号）</w:t>
      </w:r>
    </w:p>
    <w:p>
      <w:pPr>
        <w:pStyle w:val="50"/>
      </w:pPr>
      <w:r>
        <w:rPr>
          <w:rFonts w:hint="eastAsia"/>
        </w:rPr>
        <w:t>5.预算支出绩效评价管理办法（征求意见稿）</w:t>
      </w:r>
    </w:p>
    <w:p>
      <w:pPr>
        <w:pStyle w:val="50"/>
      </w:pPr>
      <w:r>
        <w:rPr>
          <w:rFonts w:hint="eastAsia"/>
        </w:rPr>
        <w:t>6.天津市财政局关于印发天津市市级部门（单位）整体支出绩效目标管理办法（试行）的通知（津财预〔2015〕102号）</w:t>
      </w:r>
    </w:p>
    <w:p>
      <w:pPr>
        <w:pStyle w:val="50"/>
      </w:pPr>
      <w:r>
        <w:rPr>
          <w:rFonts w:hint="eastAsia"/>
        </w:rPr>
        <w:t>7.天津市财政局关于印发天津市市级部门整体支出绩效评价方案（试行）的通知（津财预〔2015〕81号）</w:t>
      </w:r>
    </w:p>
    <w:p>
      <w:pPr>
        <w:pStyle w:val="50"/>
      </w:pPr>
      <w:r>
        <w:rPr>
          <w:rFonts w:hint="eastAsia"/>
        </w:rPr>
        <w:t>8.关于印发《天津市财政支出重点项目绩效评价文书样式》的通知（津财督〔2012〕17号）</w:t>
      </w:r>
    </w:p>
    <w:p>
      <w:pPr>
        <w:pStyle w:val="50"/>
      </w:pPr>
      <w:r>
        <w:rPr>
          <w:rFonts w:hint="eastAsia"/>
        </w:rPr>
        <w:t>9.关于印发《天津市财政部门绩效评价工作规程》的通知（津财督〔2012〕8号）</w:t>
      </w:r>
    </w:p>
    <w:p>
      <w:pPr>
        <w:pStyle w:val="50"/>
      </w:pPr>
      <w:r>
        <w:rPr>
          <w:rFonts w:hint="eastAsia"/>
        </w:rPr>
        <w:t>10.转发市财政局拟定的天津市财政支出绩效评价管理办法的通知（津政办发〔2012〕2号）</w:t>
      </w:r>
    </w:p>
    <w:p>
      <w:pPr>
        <w:pStyle w:val="50"/>
      </w:pPr>
      <w:r>
        <w:rPr>
          <w:rFonts w:hint="eastAsia"/>
        </w:rPr>
        <w:t>绩效评价主要依据文件或资料：</w:t>
      </w:r>
    </w:p>
    <w:p>
      <w:pPr>
        <w:pStyle w:val="50"/>
      </w:pPr>
      <w:bookmarkStart w:id="17" w:name="_Toc91375834"/>
      <w:bookmarkStart w:id="18" w:name="_Toc91375447"/>
      <w:bookmarkStart w:id="19" w:name="_Toc53326852"/>
      <w:r>
        <w:t>1.</w:t>
      </w:r>
      <w:r>
        <w:rPr>
          <w:rFonts w:hint="eastAsia"/>
        </w:rPr>
        <w:t>区商务局三定方案</w:t>
      </w:r>
    </w:p>
    <w:p>
      <w:pPr>
        <w:pStyle w:val="50"/>
      </w:pPr>
      <w:r>
        <w:t>2.</w:t>
      </w:r>
      <w:r>
        <w:rPr>
          <w:rFonts w:hint="eastAsia"/>
        </w:rPr>
        <w:t>区商务局内部控制制度</w:t>
      </w:r>
    </w:p>
    <w:p>
      <w:pPr>
        <w:pStyle w:val="50"/>
      </w:pPr>
      <w:r>
        <w:t>3.</w:t>
      </w:r>
      <w:r>
        <w:rPr>
          <w:rFonts w:hint="eastAsia"/>
        </w:rPr>
        <w:t>《区商务局2</w:t>
      </w:r>
      <w:r>
        <w:t>021</w:t>
      </w:r>
      <w:r>
        <w:rPr>
          <w:rFonts w:hint="eastAsia"/>
        </w:rPr>
        <w:t>年工作要点》和《区商务局2</w:t>
      </w:r>
      <w:r>
        <w:t>021</w:t>
      </w:r>
      <w:r>
        <w:rPr>
          <w:rFonts w:hint="eastAsia"/>
        </w:rPr>
        <w:t>年工作总结》</w:t>
      </w:r>
    </w:p>
    <w:p>
      <w:pPr>
        <w:pStyle w:val="29"/>
        <w:ind w:firstLine="640"/>
      </w:pPr>
      <w:bookmarkStart w:id="20" w:name="_Toc120143624"/>
      <w:r>
        <w:rPr>
          <w:rFonts w:hint="eastAsia"/>
        </w:rPr>
        <w:t>（三）评价目的</w:t>
      </w:r>
      <w:bookmarkEnd w:id="17"/>
      <w:bookmarkEnd w:id="18"/>
      <w:bookmarkEnd w:id="19"/>
      <w:bookmarkEnd w:id="20"/>
    </w:p>
    <w:p>
      <w:pPr>
        <w:pStyle w:val="50"/>
        <w:rPr>
          <w:lang w:val="zh-CN"/>
        </w:rPr>
      </w:pPr>
      <w:r>
        <w:rPr>
          <w:rFonts w:hint="eastAsia"/>
          <w:lang w:val="zh-CN"/>
        </w:rPr>
        <w:t>分析区商务局目标计划完成与履职情况，总结经验做法，找出资金使用和管理的薄弱环节，提出改进意见，提高财政资金的使用效率。同时重点关注：</w:t>
      </w:r>
    </w:p>
    <w:p>
      <w:pPr>
        <w:pStyle w:val="50"/>
        <w:rPr>
          <w:lang w:val="zh-CN"/>
        </w:rPr>
      </w:pPr>
      <w:r>
        <w:rPr>
          <w:rFonts w:hint="eastAsia"/>
          <w:lang w:val="zh-CN"/>
        </w:rPr>
        <w:t>第一，关注整体支出中经常性业务活动的预算变动情况，通过资金数据的采集，对变动原因进行了解和分析，判断预算变动的合理性。</w:t>
      </w:r>
    </w:p>
    <w:p>
      <w:pPr>
        <w:pStyle w:val="50"/>
        <w:rPr>
          <w:lang w:val="zh-CN"/>
        </w:rPr>
      </w:pPr>
      <w:r>
        <w:rPr>
          <w:rFonts w:hint="eastAsia"/>
          <w:lang w:val="zh-CN"/>
        </w:rPr>
        <w:t>第二，关注整体支出规范性，通过整理相关政策、文献及其他相关标准，结合实际支出使用情况，评价资金使用的规范性；同时关注是否建立健全部门资金使用的相关制度。</w:t>
      </w:r>
    </w:p>
    <w:p>
      <w:pPr>
        <w:pStyle w:val="50"/>
        <w:rPr>
          <w:szCs w:val="28"/>
        </w:rPr>
      </w:pPr>
      <w:r>
        <w:rPr>
          <w:rFonts w:hint="eastAsia"/>
          <w:lang w:val="zh-CN"/>
        </w:rPr>
        <w:t>第三，关注履职和产出的实现，评价小组围绕重点职责的履行情况、以及职能的实现程度，主要从工作的整体效果、各项目标的实现程度、社会各界的满意程度等方面来评价区商务局整体职能的履行情况。</w:t>
      </w:r>
    </w:p>
    <w:p>
      <w:pPr>
        <w:pStyle w:val="29"/>
        <w:ind w:firstLine="640"/>
      </w:pPr>
      <w:bookmarkStart w:id="21" w:name="_Toc53326853"/>
      <w:bookmarkStart w:id="22" w:name="_Toc91375835"/>
      <w:bookmarkStart w:id="23" w:name="_Toc91375448"/>
      <w:bookmarkStart w:id="24" w:name="_Toc120143625"/>
      <w:r>
        <w:rPr>
          <w:rFonts w:hint="eastAsia"/>
        </w:rPr>
        <w:t>（四）评价对象和范围</w:t>
      </w:r>
      <w:bookmarkEnd w:id="21"/>
      <w:bookmarkEnd w:id="22"/>
      <w:bookmarkEnd w:id="23"/>
      <w:bookmarkEnd w:id="24"/>
    </w:p>
    <w:p>
      <w:pPr>
        <w:pStyle w:val="50"/>
      </w:pPr>
      <w:r>
        <w:rPr>
          <w:rFonts w:hint="eastAsia"/>
        </w:rPr>
        <w:t>本次评价对象为区商务局部门整体支出。绩效评价范围为纳入部门预算管理的资金，从支出类型看包括基本支出和项目支出。</w:t>
      </w:r>
    </w:p>
    <w:p>
      <w:pPr>
        <w:pStyle w:val="50"/>
        <w:rPr>
          <w:szCs w:val="28"/>
        </w:rPr>
      </w:pPr>
      <w:r>
        <w:rPr>
          <w:rFonts w:hint="eastAsia"/>
        </w:rPr>
        <w:t>本次评价的评价时段为20</w:t>
      </w:r>
      <w:r>
        <w:t>21</w:t>
      </w:r>
      <w:r>
        <w:rPr>
          <w:rFonts w:hint="eastAsia"/>
        </w:rPr>
        <w:t>年度。</w:t>
      </w:r>
    </w:p>
    <w:p>
      <w:pPr>
        <w:pStyle w:val="29"/>
        <w:ind w:firstLine="640"/>
      </w:pPr>
      <w:bookmarkStart w:id="25" w:name="_Toc91375449"/>
      <w:bookmarkStart w:id="26" w:name="_Toc91375836"/>
      <w:bookmarkStart w:id="27" w:name="_Toc120143626"/>
      <w:bookmarkStart w:id="28" w:name="_Toc53326854"/>
      <w:r>
        <w:rPr>
          <w:rFonts w:hint="eastAsia"/>
        </w:rPr>
        <w:t>（五）评价思路</w:t>
      </w:r>
      <w:bookmarkEnd w:id="25"/>
      <w:bookmarkEnd w:id="26"/>
      <w:bookmarkEnd w:id="27"/>
      <w:bookmarkEnd w:id="28"/>
    </w:p>
    <w:p>
      <w:pPr>
        <w:pStyle w:val="50"/>
      </w:pPr>
      <w:bookmarkStart w:id="29" w:name="_Toc53326855"/>
      <w:r>
        <w:rPr>
          <w:rFonts w:hint="eastAsia"/>
        </w:rPr>
        <w:t>1.评价内容及重点</w:t>
      </w:r>
      <w:bookmarkEnd w:id="29"/>
    </w:p>
    <w:p>
      <w:pPr>
        <w:pStyle w:val="50"/>
      </w:pPr>
      <w:r>
        <w:rPr>
          <w:rFonts w:hint="eastAsia"/>
        </w:rPr>
        <w:t>整体财政支出绩效评价的实施，从财政资金的预算和执行的角度，考察工作目标、履职、内部管理、运行效率之间的关系。评价重点在以下几个方面：</w:t>
      </w:r>
    </w:p>
    <w:p>
      <w:pPr>
        <w:pStyle w:val="50"/>
      </w:pPr>
      <w:r>
        <w:rPr>
          <w:rFonts w:hint="eastAsia"/>
        </w:rPr>
        <w:t>（1）预算单位职能---工作目标---项目安排---预算的匹配关系</w:t>
      </w:r>
    </w:p>
    <w:p>
      <w:pPr>
        <w:pStyle w:val="50"/>
      </w:pPr>
      <w:r>
        <w:rPr>
          <w:rFonts w:hint="eastAsia"/>
        </w:rPr>
        <w:t>整体财政支出绩效评价以单位职能和主要职责内容为切入点，评价分析区商务局的职能、总体目标、年度工作计划及任务、项目安排及预算之间的关联性和匹配性。</w:t>
      </w:r>
    </w:p>
    <w:p>
      <w:pPr>
        <w:pStyle w:val="50"/>
      </w:pPr>
      <w:r>
        <w:rPr>
          <w:rFonts w:hint="eastAsia"/>
        </w:rPr>
        <w:t>（2）预算单位制度保障情况</w:t>
      </w:r>
    </w:p>
    <w:p>
      <w:pPr>
        <w:pStyle w:val="50"/>
      </w:pPr>
      <w:r>
        <w:rPr>
          <w:rFonts w:hint="eastAsia"/>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pPr>
        <w:pStyle w:val="50"/>
      </w:pPr>
      <w:r>
        <w:rPr>
          <w:rFonts w:hint="eastAsia"/>
        </w:rPr>
        <w:t>（3）预算单位履职的有效性</w:t>
      </w:r>
    </w:p>
    <w:p>
      <w:pPr>
        <w:pStyle w:val="50"/>
      </w:pPr>
      <w:r>
        <w:rPr>
          <w:rFonts w:hint="eastAsia"/>
        </w:rPr>
        <w:t>整体财政支出绩效评价要围绕职能履行的有效性，主要评价部门是否履职到位、履职目标是否实现、工作计划是否完成。</w:t>
      </w:r>
    </w:p>
    <w:p>
      <w:pPr>
        <w:pStyle w:val="50"/>
      </w:pPr>
      <w:r>
        <w:rPr>
          <w:rFonts w:hint="eastAsia"/>
        </w:rPr>
        <w:t>（4）预算单位资源配置有效性</w:t>
      </w:r>
    </w:p>
    <w:p>
      <w:pPr>
        <w:pStyle w:val="50"/>
      </w:pPr>
      <w:r>
        <w:rPr>
          <w:rFonts w:hint="eastAsia"/>
        </w:rPr>
        <w:t>部门的运行以该单位人、财、物为主要资源，为人民提供公共产品和服务，以实现部门的职能。在绩效评价时，需要评估资源配置的数量和结构是否合理，能否有效保障工作计划的完成，确保职能的有效履行。</w:t>
      </w:r>
    </w:p>
    <w:p>
      <w:pPr>
        <w:pStyle w:val="50"/>
      </w:pPr>
      <w:bookmarkStart w:id="30" w:name="_Toc53326856"/>
      <w:r>
        <w:rPr>
          <w:rFonts w:hint="eastAsia"/>
        </w:rPr>
        <w:t>2.评价实施路径</w:t>
      </w:r>
      <w:bookmarkEnd w:id="30"/>
    </w:p>
    <w:p>
      <w:pPr>
        <w:pStyle w:val="50"/>
      </w:pPr>
      <w:r>
        <w:rPr>
          <w:rFonts w:hint="eastAsia"/>
        </w:rPr>
        <w:t>整体财政支出绩效评价实施路径从整体定位出发，明确部门整体绩效目标，分析履职情况，评估长效机制建设的健全性。</w:t>
      </w:r>
    </w:p>
    <w:p>
      <w:pPr>
        <w:pStyle w:val="50"/>
      </w:pPr>
      <w:r>
        <w:rPr>
          <w:rFonts w:hint="eastAsia"/>
        </w:rPr>
        <w:t>（1）明确部门职责及重点工作</w:t>
      </w:r>
    </w:p>
    <w:p>
      <w:pPr>
        <w:pStyle w:val="50"/>
      </w:pPr>
      <w:r>
        <w:rPr>
          <w:rFonts w:hint="eastAsia"/>
        </w:rPr>
        <w:t>以部门职能和主要职责为基础，结合战略目标及中长期发展规划、年度工作计划及预算安排等情况，通过和区商务局沟通，分析</w:t>
      </w:r>
      <w:r>
        <w:rPr>
          <w:rFonts w:hint="eastAsia"/>
          <w:lang w:val="zh-CN"/>
        </w:rPr>
        <w:t>该部门</w:t>
      </w:r>
      <w:r>
        <w:rPr>
          <w:rFonts w:hint="eastAsia"/>
        </w:rPr>
        <w:t>的主要职责和年度重点工作任务，搜集相关的管理办法、内部控制管理制度和预算资金安排情况等内容。在此基础上，对职能、职责进行重要性排序，对与重要职能、职责紧密相关的工作重点进行分析。</w:t>
      </w:r>
    </w:p>
    <w:p>
      <w:pPr>
        <w:pStyle w:val="50"/>
      </w:pPr>
      <w:r>
        <w:rPr>
          <w:rFonts w:hint="eastAsia"/>
        </w:rPr>
        <w:t>（2）明确部门绩效目标</w:t>
      </w:r>
    </w:p>
    <w:p>
      <w:pPr>
        <w:pStyle w:val="50"/>
      </w:pPr>
      <w:r>
        <w:rPr>
          <w:rFonts w:hint="eastAsia"/>
        </w:rPr>
        <w:t>部门整体财政支出绩效目标的设定基于本级政府的总体目标与规划的分解，按照“政府目标与规划---部门职能---部门战略目标---年度目标---年度工作计划及任务”的思路，经过梳理、分析、整理，形成部门的年度整体财政支出绩效目标。</w:t>
      </w:r>
    </w:p>
    <w:p>
      <w:pPr>
        <w:pStyle w:val="50"/>
      </w:pPr>
      <w:r>
        <w:rPr>
          <w:rFonts w:hint="eastAsia"/>
        </w:rPr>
        <w:t>（3）分析部门履职绩效</w:t>
      </w:r>
    </w:p>
    <w:p>
      <w:pPr>
        <w:pStyle w:val="50"/>
      </w:pPr>
      <w:r>
        <w:rPr>
          <w:rFonts w:hint="eastAsia"/>
        </w:rPr>
        <w:t>按照履职的相关材料和实地调研情况，从年度重点工作履行、工作目标实现、服务对象满意度、社会效益、经济效益、生态效益、部门长效管理、人员建设等方面进行分析。</w:t>
      </w:r>
    </w:p>
    <w:p>
      <w:pPr>
        <w:pStyle w:val="50"/>
      </w:pPr>
      <w:r>
        <w:rPr>
          <w:rFonts w:hint="eastAsia"/>
        </w:rPr>
        <w:t>收集、整理、总结职能定位和年度工作计划，同时梳理项目预算与基本预算，明确预算与职能的匹配度，客观反映区商务局的年度履职情况和达到的产出及效果，对预算安排、完成的工作和履职程度之间的关系进行分析。</w:t>
      </w:r>
    </w:p>
    <w:p>
      <w:pPr>
        <w:pStyle w:val="50"/>
      </w:pPr>
      <w:r>
        <w:rPr>
          <w:rFonts w:hint="eastAsia"/>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pPr>
        <w:pStyle w:val="29"/>
        <w:ind w:firstLine="640"/>
      </w:pPr>
      <w:bookmarkStart w:id="31" w:name="_Toc120143627"/>
      <w:bookmarkStart w:id="32" w:name="_Toc91375837"/>
      <w:bookmarkStart w:id="33" w:name="_Toc91375450"/>
      <w:bookmarkStart w:id="34" w:name="_Toc53326857"/>
      <w:r>
        <w:rPr>
          <w:rFonts w:hint="eastAsia"/>
        </w:rPr>
        <w:t>（六）评价流程</w:t>
      </w:r>
      <w:bookmarkEnd w:id="31"/>
      <w:bookmarkEnd w:id="32"/>
      <w:bookmarkEnd w:id="33"/>
      <w:bookmarkEnd w:id="34"/>
    </w:p>
    <w:p>
      <w:pPr>
        <w:pStyle w:val="50"/>
      </w:pPr>
      <w:r>
        <w:rPr>
          <w:rFonts w:hint="eastAsia"/>
        </w:rPr>
        <w:t>评价流程分内部工作部署、评价启动、单位对接、提交方案、资料收集、现场调研、提交报告七个实施阶段，具体如下：</w:t>
      </w:r>
    </w:p>
    <w:p>
      <w:pPr>
        <w:pStyle w:val="50"/>
      </w:pPr>
      <w:bookmarkStart w:id="35" w:name="_Toc53326858"/>
      <w:r>
        <w:rPr>
          <w:rFonts w:hint="eastAsia"/>
        </w:rPr>
        <w:t>1.</w:t>
      </w:r>
      <w:bookmarkEnd w:id="35"/>
      <w:r>
        <w:rPr>
          <w:rFonts w:hint="eastAsia"/>
        </w:rPr>
        <w:t>内部工作部署</w:t>
      </w:r>
    </w:p>
    <w:p>
      <w:pPr>
        <w:pStyle w:val="50"/>
      </w:pPr>
      <w:r>
        <w:rPr>
          <w:rFonts w:hint="eastAsia"/>
        </w:rPr>
        <w:t>为指导区商务局配合做好本次评价工作，天津安信管理咨询有限公司对项目团队人员进行培训，主要包括项目开展要求、流程、重点关注内容等。</w:t>
      </w:r>
    </w:p>
    <w:p>
      <w:pPr>
        <w:pStyle w:val="50"/>
      </w:pPr>
      <w:bookmarkStart w:id="36" w:name="_Toc53326859"/>
      <w:r>
        <w:rPr>
          <w:rFonts w:hint="eastAsia"/>
        </w:rPr>
        <w:t>2.评价启动</w:t>
      </w:r>
      <w:bookmarkEnd w:id="36"/>
    </w:p>
    <w:p>
      <w:pPr>
        <w:pStyle w:val="50"/>
      </w:pPr>
      <w:r>
        <w:rPr>
          <w:rFonts w:hint="eastAsia"/>
        </w:rPr>
        <w:t>在天津市和平区财政局安排下，区商务局及其他被评价单位召开绩效评价启动会，布置绩效评价工作内容及各阶段工作时间节点要求。</w:t>
      </w:r>
    </w:p>
    <w:p>
      <w:pPr>
        <w:pStyle w:val="50"/>
      </w:pPr>
      <w:bookmarkStart w:id="37" w:name="_Toc53326860"/>
      <w:r>
        <w:rPr>
          <w:rFonts w:hint="eastAsia"/>
        </w:rPr>
        <w:t>3.单位对接</w:t>
      </w:r>
      <w:bookmarkEnd w:id="37"/>
    </w:p>
    <w:p>
      <w:pPr>
        <w:pStyle w:val="50"/>
      </w:pPr>
      <w:r>
        <w:rPr>
          <w:rFonts w:hint="eastAsia"/>
        </w:rPr>
        <w:t>与区商务局进行对接，了解部门职能、20</w:t>
      </w:r>
      <w:r>
        <w:t>21</w:t>
      </w:r>
      <w:r>
        <w:rPr>
          <w:rFonts w:hint="eastAsia"/>
        </w:rPr>
        <w:t>年部门预算及决算情况、重点项目及部门整体绩效目标、部门管理制度、部门相关合同、立项文件等依据情况。</w:t>
      </w:r>
    </w:p>
    <w:p>
      <w:pPr>
        <w:pStyle w:val="50"/>
      </w:pPr>
      <w:bookmarkStart w:id="38" w:name="_Toc53326861"/>
      <w:r>
        <w:rPr>
          <w:rFonts w:hint="eastAsia"/>
        </w:rPr>
        <w:t>4.提交方案</w:t>
      </w:r>
      <w:bookmarkEnd w:id="38"/>
    </w:p>
    <w:p>
      <w:pPr>
        <w:pStyle w:val="50"/>
      </w:pPr>
      <w:r>
        <w:rPr>
          <w:rFonts w:hint="eastAsia"/>
        </w:rPr>
        <w:t>根据单位对接的结果，了解相关部门情况，撰写《</w:t>
      </w:r>
      <w:r>
        <w:rPr>
          <w:lang w:val="zh-CN"/>
        </w:rPr>
        <w:t>2021</w:t>
      </w:r>
      <w:r>
        <w:rPr>
          <w:rFonts w:hint="eastAsia"/>
          <w:lang w:val="zh-CN"/>
        </w:rPr>
        <w:t>年天津市和平区商务局</w:t>
      </w:r>
      <w:r>
        <w:rPr>
          <w:rFonts w:hint="eastAsia"/>
        </w:rPr>
        <w:t>部门整体支出绩效评价实施工作方案》，确认后续绩效评价工作安排及内容。</w:t>
      </w:r>
    </w:p>
    <w:p>
      <w:pPr>
        <w:pStyle w:val="50"/>
      </w:pPr>
      <w:bookmarkStart w:id="39" w:name="_Toc53326862"/>
      <w:r>
        <w:rPr>
          <w:rFonts w:hint="eastAsia"/>
        </w:rPr>
        <w:t>5.资料收集</w:t>
      </w:r>
      <w:bookmarkEnd w:id="39"/>
    </w:p>
    <w:p>
      <w:pPr>
        <w:pStyle w:val="50"/>
      </w:pPr>
      <w:r>
        <w:rPr>
          <w:rFonts w:hint="eastAsia"/>
        </w:rPr>
        <w:t>根据绩效评价实施方案及指标体系内容，向区商务局提供相关资料收集清单，包括基础数据、相关制度及政策文件、202</w:t>
      </w:r>
      <w:r>
        <w:t>1</w:t>
      </w:r>
      <w:r>
        <w:rPr>
          <w:rFonts w:hint="eastAsia"/>
        </w:rPr>
        <w:t>年部门预算及决算情况、重点项目工作情况等。</w:t>
      </w:r>
    </w:p>
    <w:p>
      <w:pPr>
        <w:pStyle w:val="50"/>
      </w:pPr>
      <w:bookmarkStart w:id="40" w:name="_Toc53326863"/>
      <w:r>
        <w:rPr>
          <w:rFonts w:hint="eastAsia"/>
        </w:rPr>
        <w:t>6.现场调研</w:t>
      </w:r>
      <w:bookmarkEnd w:id="40"/>
    </w:p>
    <w:p>
      <w:pPr>
        <w:pStyle w:val="50"/>
      </w:pPr>
      <w:r>
        <w:rPr>
          <w:rFonts w:hint="eastAsia"/>
        </w:rPr>
        <w:t>为进一步验证材料真实性，并对相关访谈、问卷问题进行调研，向区商务局现场进行实地核查，并对相关访谈内容进行现场座谈，形成访谈记录。</w:t>
      </w:r>
    </w:p>
    <w:p>
      <w:pPr>
        <w:pStyle w:val="50"/>
      </w:pPr>
      <w:bookmarkStart w:id="41" w:name="_Toc53326864"/>
      <w:r>
        <w:rPr>
          <w:rFonts w:hint="eastAsia"/>
        </w:rPr>
        <w:t>7.提交报告</w:t>
      </w:r>
      <w:bookmarkEnd w:id="41"/>
    </w:p>
    <w:p>
      <w:pPr>
        <w:pStyle w:val="50"/>
      </w:pPr>
      <w:r>
        <w:rPr>
          <w:rFonts w:hint="eastAsia"/>
        </w:rPr>
        <w:t>（1）撰写报告初稿</w:t>
      </w:r>
    </w:p>
    <w:p>
      <w:pPr>
        <w:pStyle w:val="50"/>
      </w:pPr>
      <w:r>
        <w:rPr>
          <w:rFonts w:hint="eastAsia"/>
        </w:rPr>
        <w:t>根据综合评价结果，撰写评价分析报告，报告撰写的内容包括部门基本情况概述、现场评价总体情况、评价指标分析、绩效实施效果和存在问题、具体改进措施及建议等。</w:t>
      </w:r>
    </w:p>
    <w:p>
      <w:pPr>
        <w:pStyle w:val="50"/>
      </w:pPr>
      <w:r>
        <w:rPr>
          <w:rFonts w:hint="eastAsia"/>
        </w:rPr>
        <w:t>（2）提交正式报告</w:t>
      </w:r>
    </w:p>
    <w:p>
      <w:pPr>
        <w:pStyle w:val="25"/>
        <w:ind w:firstLine="640"/>
      </w:pPr>
      <w:r>
        <w:rPr>
          <w:rFonts w:hint="eastAsia"/>
        </w:rPr>
        <w:t>天津市和平区财政局组织对《</w:t>
      </w:r>
      <w:r>
        <w:t>2021</w:t>
      </w:r>
      <w:r>
        <w:rPr>
          <w:rFonts w:hint="eastAsia"/>
        </w:rPr>
        <w:t>年天津市和平区商务局部门整体支出绩效评价报告》进行终审。天津安信管理咨询有限公司根据终审情况修订报告并提交正式报告。</w:t>
      </w:r>
    </w:p>
    <w:p>
      <w:pPr>
        <w:pStyle w:val="27"/>
      </w:pPr>
      <w:bookmarkStart w:id="42" w:name="_Toc120143628"/>
      <w:r>
        <w:rPr>
          <w:rFonts w:hint="eastAsia"/>
        </w:rPr>
        <w:t>三、绩效指标分析</w:t>
      </w:r>
      <w:bookmarkEnd w:id="42"/>
    </w:p>
    <w:p>
      <w:pPr>
        <w:pStyle w:val="29"/>
        <w:ind w:firstLine="640"/>
      </w:pPr>
      <w:bookmarkStart w:id="43" w:name="_Toc91375452"/>
      <w:bookmarkStart w:id="44" w:name="_Toc120143629"/>
      <w:bookmarkStart w:id="45" w:name="_Toc91375839"/>
      <w:bookmarkStart w:id="46" w:name="_Toc53326866"/>
      <w:r>
        <w:rPr>
          <w:rFonts w:hint="eastAsia"/>
        </w:rPr>
        <w:t>（一）绩效评价设计思路</w:t>
      </w:r>
      <w:bookmarkEnd w:id="43"/>
      <w:bookmarkEnd w:id="44"/>
      <w:bookmarkEnd w:id="45"/>
      <w:bookmarkEnd w:id="46"/>
    </w:p>
    <w:p>
      <w:pPr>
        <w:pStyle w:val="50"/>
      </w:pPr>
      <w:r>
        <w:rPr>
          <w:rFonts w:hint="eastAsia"/>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p>
    <w:p>
      <w:pPr>
        <w:pStyle w:val="29"/>
        <w:ind w:firstLine="640"/>
      </w:pPr>
      <w:bookmarkStart w:id="47" w:name="_Toc120143630"/>
      <w:bookmarkStart w:id="48" w:name="_Toc91375840"/>
      <w:bookmarkStart w:id="49" w:name="_Toc53326867"/>
      <w:bookmarkStart w:id="50" w:name="_Toc91375453"/>
      <w:r>
        <w:rPr>
          <w:rFonts w:hint="eastAsia"/>
        </w:rPr>
        <w:t>（二）绩效指标分析</w:t>
      </w:r>
      <w:bookmarkEnd w:id="47"/>
      <w:bookmarkEnd w:id="48"/>
      <w:bookmarkEnd w:id="49"/>
      <w:bookmarkEnd w:id="50"/>
    </w:p>
    <w:p>
      <w:pPr>
        <w:pStyle w:val="25"/>
        <w:ind w:firstLine="640"/>
      </w:pPr>
      <w:r>
        <w:rPr>
          <w:rFonts w:hint="eastAsia"/>
        </w:rPr>
        <w:t>根据财政部《财政支出绩效评价管理暂行办法的通知》（财预〔2011〕285号）、天津市财政局关于印发《天津市市级部门（单位）整体支出绩效目标管理办法（试行）》的通知（津财预〔2015〕102号）等文件要求，经综合分析与评价，区商务局20</w:t>
      </w:r>
      <w:r>
        <w:t>21</w:t>
      </w:r>
      <w:r>
        <w:rPr>
          <w:rFonts w:hint="eastAsia"/>
        </w:rPr>
        <w:t>年度部门整体支出绩效评价综合评分为</w:t>
      </w:r>
      <w:r>
        <w:t>90.2</w:t>
      </w:r>
      <w:r>
        <w:rPr>
          <w:rFonts w:hint="eastAsia"/>
        </w:rPr>
        <w:t>分，其中：部门决策方面得分</w:t>
      </w:r>
      <w:r>
        <w:t>13.5</w:t>
      </w:r>
      <w:r>
        <w:rPr>
          <w:rFonts w:hint="eastAsia"/>
        </w:rPr>
        <w:t>分，得分率</w:t>
      </w:r>
      <w:r>
        <w:t>90</w:t>
      </w:r>
      <w:r>
        <w:rPr>
          <w:rFonts w:hint="eastAsia"/>
        </w:rPr>
        <w:t>%；管理效率方面得分</w:t>
      </w:r>
      <w:r>
        <w:t>17.7</w:t>
      </w:r>
      <w:r>
        <w:rPr>
          <w:rFonts w:hint="eastAsia"/>
        </w:rPr>
        <w:t>分，得分率</w:t>
      </w:r>
      <w:r>
        <w:t>70.8</w:t>
      </w:r>
      <w:r>
        <w:rPr>
          <w:rFonts w:hint="eastAsia"/>
        </w:rPr>
        <w:t>%；履职产出方面得分</w:t>
      </w:r>
      <w:r>
        <w:t>33</w:t>
      </w:r>
      <w:r>
        <w:rPr>
          <w:rFonts w:hint="eastAsia"/>
        </w:rPr>
        <w:t>分，得分率</w:t>
      </w:r>
      <w:r>
        <w:t>97.1</w:t>
      </w:r>
      <w:r>
        <w:rPr>
          <w:rFonts w:hint="eastAsia"/>
        </w:rPr>
        <w:t>%</w:t>
      </w:r>
      <w:r>
        <w:t>;</w:t>
      </w:r>
      <w:r>
        <w:rPr>
          <w:rFonts w:hint="eastAsia"/>
        </w:rPr>
        <w:t>履职效益方面得分</w:t>
      </w:r>
      <w:r>
        <w:t>20</w:t>
      </w:r>
      <w:r>
        <w:rPr>
          <w:rFonts w:hint="eastAsia"/>
        </w:rPr>
        <w:t>分，得分率</w:t>
      </w:r>
      <w:r>
        <w:t>100</w:t>
      </w:r>
      <w:r>
        <w:rPr>
          <w:rFonts w:hint="eastAsia"/>
        </w:rPr>
        <w:t>%</w:t>
      </w:r>
      <w:r>
        <w:t>;</w:t>
      </w:r>
      <w:r>
        <w:rPr>
          <w:rFonts w:hint="eastAsia"/>
        </w:rPr>
        <w:t>履职满意度方面得分</w:t>
      </w:r>
      <w:r>
        <w:t>6</w:t>
      </w:r>
      <w:r>
        <w:rPr>
          <w:rFonts w:hint="eastAsia"/>
        </w:rPr>
        <w:t>分，得分率</w:t>
      </w:r>
      <w:r>
        <w:t>100</w:t>
      </w:r>
      <w:r>
        <w:rPr>
          <w:rFonts w:hint="eastAsia"/>
        </w:rPr>
        <w:t>%。二级指标得分率如下表所示。</w:t>
      </w:r>
    </w:p>
    <w:p>
      <w:pPr>
        <w:pStyle w:val="32"/>
      </w:pPr>
      <w:r>
        <w:rPr>
          <w:rFonts w:hint="eastAsia"/>
        </w:rPr>
        <w:t>表3.</w:t>
      </w:r>
      <w:r>
        <w:t>2</w:t>
      </w:r>
      <w:r>
        <w:rPr>
          <w:rFonts w:hint="eastAsia"/>
        </w:rPr>
        <w:t>.</w:t>
      </w:r>
      <w:r>
        <w:t xml:space="preserve">1 </w:t>
      </w:r>
      <w:r>
        <w:rPr>
          <w:rFonts w:hint="eastAsia"/>
        </w:rPr>
        <w:t>二级指标得分率表</w:t>
      </w:r>
    </w:p>
    <w:tbl>
      <w:tblPr>
        <w:tblStyle w:val="17"/>
        <w:tblW w:w="8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2605"/>
        <w:gridCol w:w="1000"/>
        <w:gridCol w:w="1368"/>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1962" w:type="dxa"/>
            <w:shd w:val="clear" w:color="auto" w:fill="auto"/>
            <w:vAlign w:val="center"/>
          </w:tcPr>
          <w:p>
            <w:pPr>
              <w:pStyle w:val="35"/>
            </w:pPr>
            <w:r>
              <w:rPr>
                <w:rFonts w:hint="eastAsia"/>
              </w:rPr>
              <w:t>一级指标</w:t>
            </w:r>
          </w:p>
        </w:tc>
        <w:tc>
          <w:tcPr>
            <w:tcW w:w="2605" w:type="dxa"/>
            <w:shd w:val="clear" w:color="auto" w:fill="auto"/>
            <w:vAlign w:val="center"/>
          </w:tcPr>
          <w:p>
            <w:pPr>
              <w:pStyle w:val="35"/>
            </w:pPr>
            <w:r>
              <w:rPr>
                <w:rFonts w:hint="eastAsia"/>
              </w:rPr>
              <w:t>二级指标</w:t>
            </w:r>
          </w:p>
        </w:tc>
        <w:tc>
          <w:tcPr>
            <w:tcW w:w="1000" w:type="dxa"/>
            <w:shd w:val="clear" w:color="auto" w:fill="auto"/>
            <w:vAlign w:val="center"/>
          </w:tcPr>
          <w:p>
            <w:pPr>
              <w:pStyle w:val="35"/>
            </w:pPr>
            <w:r>
              <w:rPr>
                <w:rFonts w:hint="eastAsia"/>
              </w:rPr>
              <w:t>分值</w:t>
            </w:r>
          </w:p>
        </w:tc>
        <w:tc>
          <w:tcPr>
            <w:tcW w:w="1368" w:type="dxa"/>
            <w:shd w:val="clear" w:color="auto" w:fill="auto"/>
            <w:vAlign w:val="center"/>
          </w:tcPr>
          <w:p>
            <w:pPr>
              <w:pStyle w:val="35"/>
            </w:pPr>
            <w:r>
              <w:rPr>
                <w:rFonts w:hint="eastAsia"/>
              </w:rPr>
              <w:t>得分</w:t>
            </w:r>
          </w:p>
        </w:tc>
        <w:tc>
          <w:tcPr>
            <w:tcW w:w="1367" w:type="dxa"/>
            <w:vAlign w:val="center"/>
          </w:tcPr>
          <w:p>
            <w:pPr>
              <w:pStyle w:val="35"/>
            </w:pPr>
            <w:r>
              <w:rPr>
                <w:rFonts w:hint="eastAsia"/>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部门决策</w:t>
            </w:r>
            <w:r>
              <w:br w:type="textWrapping"/>
            </w:r>
            <w:r>
              <w:rPr>
                <w:rFonts w:hint="eastAsia"/>
              </w:rPr>
              <w:t>（15分）</w:t>
            </w:r>
          </w:p>
        </w:tc>
        <w:tc>
          <w:tcPr>
            <w:tcW w:w="2605" w:type="dxa"/>
            <w:shd w:val="clear" w:color="auto" w:fill="auto"/>
            <w:vAlign w:val="center"/>
          </w:tcPr>
          <w:p>
            <w:pPr>
              <w:pStyle w:val="37"/>
            </w:pPr>
            <w:r>
              <w:rPr>
                <w:rFonts w:hint="eastAsia"/>
              </w:rPr>
              <w:t>绩效目标</w:t>
            </w:r>
          </w:p>
        </w:tc>
        <w:tc>
          <w:tcPr>
            <w:tcW w:w="1000" w:type="dxa"/>
            <w:shd w:val="clear" w:color="auto" w:fill="auto"/>
            <w:vAlign w:val="center"/>
          </w:tcPr>
          <w:p>
            <w:pPr>
              <w:pStyle w:val="37"/>
            </w:pPr>
            <w:r>
              <w:rPr>
                <w:rFonts w:hint="eastAsia"/>
              </w:rPr>
              <w:t>4</w:t>
            </w:r>
          </w:p>
        </w:tc>
        <w:tc>
          <w:tcPr>
            <w:tcW w:w="1368" w:type="dxa"/>
            <w:shd w:val="clear" w:color="auto" w:fill="auto"/>
            <w:vAlign w:val="center"/>
          </w:tcPr>
          <w:p>
            <w:pPr>
              <w:pStyle w:val="37"/>
              <w:rPr>
                <w:sz w:val="24"/>
                <w:szCs w:val="24"/>
              </w:rPr>
            </w:pPr>
            <w:r>
              <w:rPr>
                <w:rFonts w:hint="eastAsia"/>
                <w:sz w:val="24"/>
                <w:szCs w:val="24"/>
              </w:rPr>
              <w:t>2</w:t>
            </w:r>
            <w:r>
              <w:rPr>
                <w:sz w:val="24"/>
                <w:szCs w:val="24"/>
              </w:rPr>
              <w:t>.5</w:t>
            </w:r>
          </w:p>
        </w:tc>
        <w:tc>
          <w:tcPr>
            <w:tcW w:w="1367" w:type="dxa"/>
            <w:vAlign w:val="center"/>
          </w:tcPr>
          <w:p>
            <w:pPr>
              <w:pStyle w:val="37"/>
              <w:rPr>
                <w:sz w:val="24"/>
                <w:szCs w:val="24"/>
              </w:rPr>
            </w:pPr>
            <w:r>
              <w:rPr>
                <w:sz w:val="24"/>
                <w:szCs w:val="24"/>
              </w:rPr>
              <w:t>62.5</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决策依据</w:t>
            </w:r>
          </w:p>
        </w:tc>
        <w:tc>
          <w:tcPr>
            <w:tcW w:w="1000" w:type="dxa"/>
            <w:shd w:val="clear" w:color="auto" w:fill="auto"/>
            <w:vAlign w:val="center"/>
          </w:tcPr>
          <w:p>
            <w:pPr>
              <w:pStyle w:val="37"/>
              <w:rPr>
                <w:sz w:val="24"/>
                <w:szCs w:val="24"/>
              </w:rPr>
            </w:pPr>
            <w:r>
              <w:rPr>
                <w:rFonts w:hint="eastAsia"/>
                <w:sz w:val="24"/>
                <w:szCs w:val="24"/>
              </w:rPr>
              <w:t>3</w:t>
            </w:r>
          </w:p>
        </w:tc>
        <w:tc>
          <w:tcPr>
            <w:tcW w:w="1368" w:type="dxa"/>
            <w:shd w:val="clear" w:color="auto" w:fill="auto"/>
            <w:vAlign w:val="center"/>
          </w:tcPr>
          <w:p>
            <w:pPr>
              <w:pStyle w:val="37"/>
              <w:rPr>
                <w:sz w:val="24"/>
                <w:szCs w:val="24"/>
              </w:rPr>
            </w:pPr>
            <w:r>
              <w:rPr>
                <w:rFonts w:hint="eastAsia"/>
                <w:sz w:val="24"/>
                <w:szCs w:val="24"/>
              </w:rPr>
              <w:t>3</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预算分配</w:t>
            </w:r>
          </w:p>
        </w:tc>
        <w:tc>
          <w:tcPr>
            <w:tcW w:w="1000" w:type="dxa"/>
            <w:shd w:val="clear" w:color="auto" w:fill="auto"/>
            <w:vAlign w:val="center"/>
          </w:tcPr>
          <w:p>
            <w:pPr>
              <w:pStyle w:val="37"/>
              <w:rPr>
                <w:sz w:val="24"/>
                <w:szCs w:val="24"/>
              </w:rPr>
            </w:pPr>
            <w:r>
              <w:rPr>
                <w:rFonts w:hint="eastAsia"/>
                <w:sz w:val="24"/>
                <w:szCs w:val="24"/>
              </w:rPr>
              <w:t>8</w:t>
            </w:r>
          </w:p>
        </w:tc>
        <w:tc>
          <w:tcPr>
            <w:tcW w:w="1368" w:type="dxa"/>
            <w:shd w:val="clear" w:color="auto" w:fill="auto"/>
            <w:vAlign w:val="center"/>
          </w:tcPr>
          <w:p>
            <w:pPr>
              <w:pStyle w:val="37"/>
              <w:rPr>
                <w:sz w:val="24"/>
                <w:szCs w:val="24"/>
              </w:rPr>
            </w:pPr>
            <w:r>
              <w:rPr>
                <w:rFonts w:hint="eastAsia"/>
                <w:sz w:val="24"/>
                <w:szCs w:val="24"/>
              </w:rPr>
              <w:t>8</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管理效率</w:t>
            </w:r>
            <w:r>
              <w:br w:type="textWrapping"/>
            </w:r>
            <w:r>
              <w:rPr>
                <w:rFonts w:hint="eastAsia"/>
              </w:rPr>
              <w:t>（25分）</w:t>
            </w:r>
          </w:p>
        </w:tc>
        <w:tc>
          <w:tcPr>
            <w:tcW w:w="2605" w:type="dxa"/>
            <w:shd w:val="clear" w:color="auto" w:fill="auto"/>
            <w:vAlign w:val="center"/>
          </w:tcPr>
          <w:p>
            <w:pPr>
              <w:pStyle w:val="37"/>
            </w:pPr>
            <w:r>
              <w:rPr>
                <w:rFonts w:hint="eastAsia"/>
              </w:rPr>
              <w:t>预算执行</w:t>
            </w:r>
          </w:p>
        </w:tc>
        <w:tc>
          <w:tcPr>
            <w:tcW w:w="1000" w:type="dxa"/>
            <w:shd w:val="clear" w:color="auto" w:fill="auto"/>
            <w:vAlign w:val="center"/>
          </w:tcPr>
          <w:p>
            <w:pPr>
              <w:pStyle w:val="37"/>
              <w:rPr>
                <w:sz w:val="24"/>
                <w:szCs w:val="24"/>
              </w:rPr>
            </w:pPr>
            <w:r>
              <w:rPr>
                <w:rFonts w:hint="eastAsia"/>
                <w:sz w:val="24"/>
                <w:szCs w:val="24"/>
              </w:rPr>
              <w:t>8</w:t>
            </w:r>
          </w:p>
        </w:tc>
        <w:tc>
          <w:tcPr>
            <w:tcW w:w="1368" w:type="dxa"/>
            <w:shd w:val="clear" w:color="auto" w:fill="auto"/>
            <w:vAlign w:val="center"/>
          </w:tcPr>
          <w:p>
            <w:pPr>
              <w:pStyle w:val="37"/>
              <w:rPr>
                <w:sz w:val="24"/>
                <w:szCs w:val="24"/>
              </w:rPr>
            </w:pPr>
            <w:r>
              <w:rPr>
                <w:sz w:val="24"/>
                <w:szCs w:val="24"/>
              </w:rPr>
              <w:t>2.7</w:t>
            </w:r>
          </w:p>
        </w:tc>
        <w:tc>
          <w:tcPr>
            <w:tcW w:w="1367" w:type="dxa"/>
            <w:vAlign w:val="center"/>
          </w:tcPr>
          <w:p>
            <w:pPr>
              <w:pStyle w:val="37"/>
              <w:rPr>
                <w:sz w:val="24"/>
                <w:szCs w:val="24"/>
              </w:rPr>
            </w:pPr>
            <w:r>
              <w:rPr>
                <w:sz w:val="24"/>
                <w:szCs w:val="24"/>
              </w:rPr>
              <w:t>33.8</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预算管理</w:t>
            </w:r>
          </w:p>
        </w:tc>
        <w:tc>
          <w:tcPr>
            <w:tcW w:w="1000" w:type="dxa"/>
            <w:shd w:val="clear" w:color="auto" w:fill="auto"/>
            <w:vAlign w:val="center"/>
          </w:tcPr>
          <w:p>
            <w:pPr>
              <w:pStyle w:val="37"/>
              <w:rPr>
                <w:sz w:val="24"/>
                <w:szCs w:val="24"/>
              </w:rPr>
            </w:pPr>
            <w:r>
              <w:rPr>
                <w:rFonts w:hint="eastAsia"/>
                <w:sz w:val="24"/>
                <w:szCs w:val="24"/>
              </w:rPr>
              <w:t>8</w:t>
            </w:r>
          </w:p>
        </w:tc>
        <w:tc>
          <w:tcPr>
            <w:tcW w:w="1368" w:type="dxa"/>
            <w:shd w:val="clear" w:color="auto" w:fill="auto"/>
            <w:vAlign w:val="center"/>
          </w:tcPr>
          <w:p>
            <w:pPr>
              <w:pStyle w:val="37"/>
              <w:rPr>
                <w:sz w:val="24"/>
                <w:szCs w:val="24"/>
              </w:rPr>
            </w:pPr>
            <w:r>
              <w:rPr>
                <w:sz w:val="24"/>
                <w:szCs w:val="24"/>
              </w:rPr>
              <w:t>6.5</w:t>
            </w:r>
          </w:p>
        </w:tc>
        <w:tc>
          <w:tcPr>
            <w:tcW w:w="1367" w:type="dxa"/>
            <w:vAlign w:val="center"/>
          </w:tcPr>
          <w:p>
            <w:pPr>
              <w:pStyle w:val="37"/>
              <w:rPr>
                <w:sz w:val="24"/>
                <w:szCs w:val="24"/>
              </w:rPr>
            </w:pPr>
            <w:r>
              <w:rPr>
                <w:sz w:val="24"/>
                <w:szCs w:val="24"/>
              </w:rPr>
              <w:t>81.3</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绩效管理</w:t>
            </w:r>
          </w:p>
        </w:tc>
        <w:tc>
          <w:tcPr>
            <w:tcW w:w="1000" w:type="dxa"/>
            <w:shd w:val="clear" w:color="auto" w:fill="auto"/>
            <w:vAlign w:val="center"/>
          </w:tcPr>
          <w:p>
            <w:pPr>
              <w:pStyle w:val="37"/>
              <w:rPr>
                <w:sz w:val="24"/>
                <w:szCs w:val="24"/>
              </w:rPr>
            </w:pPr>
            <w:r>
              <w:rPr>
                <w:rFonts w:hint="eastAsia"/>
                <w:sz w:val="24"/>
                <w:szCs w:val="24"/>
              </w:rPr>
              <w:t>4</w:t>
            </w:r>
          </w:p>
        </w:tc>
        <w:tc>
          <w:tcPr>
            <w:tcW w:w="1368" w:type="dxa"/>
            <w:shd w:val="clear" w:color="auto" w:fill="auto"/>
            <w:vAlign w:val="center"/>
          </w:tcPr>
          <w:p>
            <w:pPr>
              <w:pStyle w:val="37"/>
              <w:rPr>
                <w:sz w:val="24"/>
                <w:szCs w:val="24"/>
              </w:rPr>
            </w:pPr>
            <w:r>
              <w:rPr>
                <w:sz w:val="24"/>
                <w:szCs w:val="24"/>
              </w:rPr>
              <w:t>3.5</w:t>
            </w:r>
          </w:p>
        </w:tc>
        <w:tc>
          <w:tcPr>
            <w:tcW w:w="1367" w:type="dxa"/>
            <w:vAlign w:val="center"/>
          </w:tcPr>
          <w:p>
            <w:pPr>
              <w:pStyle w:val="37"/>
              <w:rPr>
                <w:sz w:val="24"/>
                <w:szCs w:val="24"/>
              </w:rPr>
            </w:pPr>
            <w:r>
              <w:rPr>
                <w:sz w:val="24"/>
                <w:szCs w:val="24"/>
              </w:rPr>
              <w:t>87.5</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资产管理</w:t>
            </w:r>
          </w:p>
        </w:tc>
        <w:tc>
          <w:tcPr>
            <w:tcW w:w="1000" w:type="dxa"/>
            <w:shd w:val="clear" w:color="auto" w:fill="auto"/>
            <w:vAlign w:val="center"/>
          </w:tcPr>
          <w:p>
            <w:pPr>
              <w:pStyle w:val="37"/>
              <w:rPr>
                <w:sz w:val="24"/>
                <w:szCs w:val="24"/>
              </w:rPr>
            </w:pPr>
            <w:r>
              <w:rPr>
                <w:rFonts w:hint="eastAsia"/>
                <w:sz w:val="24"/>
                <w:szCs w:val="24"/>
              </w:rPr>
              <w:t>5</w:t>
            </w:r>
          </w:p>
        </w:tc>
        <w:tc>
          <w:tcPr>
            <w:tcW w:w="1368" w:type="dxa"/>
            <w:shd w:val="clear" w:color="auto" w:fill="auto"/>
            <w:vAlign w:val="center"/>
          </w:tcPr>
          <w:p>
            <w:pPr>
              <w:pStyle w:val="37"/>
              <w:rPr>
                <w:sz w:val="24"/>
                <w:szCs w:val="24"/>
              </w:rPr>
            </w:pPr>
            <w:r>
              <w:rPr>
                <w:rFonts w:hint="eastAsia"/>
                <w:sz w:val="24"/>
                <w:szCs w:val="24"/>
              </w:rPr>
              <w:t>5</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履职产出</w:t>
            </w:r>
            <w:r>
              <w:br w:type="textWrapping"/>
            </w:r>
            <w:r>
              <w:rPr>
                <w:rFonts w:hint="eastAsia"/>
              </w:rPr>
              <w:t>（34分）</w:t>
            </w:r>
          </w:p>
        </w:tc>
        <w:tc>
          <w:tcPr>
            <w:tcW w:w="2605" w:type="dxa"/>
            <w:shd w:val="clear" w:color="auto" w:fill="auto"/>
            <w:vAlign w:val="center"/>
          </w:tcPr>
          <w:p>
            <w:pPr>
              <w:pStyle w:val="37"/>
            </w:pPr>
            <w:r>
              <w:rPr>
                <w:rFonts w:hint="eastAsia"/>
              </w:rPr>
              <w:t>产出数量</w:t>
            </w:r>
          </w:p>
        </w:tc>
        <w:tc>
          <w:tcPr>
            <w:tcW w:w="1000" w:type="dxa"/>
            <w:shd w:val="clear" w:color="auto" w:fill="auto"/>
            <w:vAlign w:val="center"/>
          </w:tcPr>
          <w:p>
            <w:pPr>
              <w:pStyle w:val="37"/>
              <w:rPr>
                <w:sz w:val="24"/>
                <w:szCs w:val="24"/>
              </w:rPr>
            </w:pPr>
            <w:r>
              <w:rPr>
                <w:sz w:val="24"/>
                <w:szCs w:val="24"/>
              </w:rPr>
              <w:t>12</w:t>
            </w:r>
          </w:p>
        </w:tc>
        <w:tc>
          <w:tcPr>
            <w:tcW w:w="1368" w:type="dxa"/>
            <w:shd w:val="clear" w:color="auto" w:fill="auto"/>
            <w:vAlign w:val="center"/>
          </w:tcPr>
          <w:p>
            <w:pPr>
              <w:pStyle w:val="37"/>
              <w:rPr>
                <w:sz w:val="24"/>
                <w:szCs w:val="24"/>
              </w:rPr>
            </w:pPr>
            <w:r>
              <w:rPr>
                <w:rFonts w:hint="eastAsia"/>
                <w:sz w:val="24"/>
                <w:szCs w:val="24"/>
              </w:rPr>
              <w:t>1</w:t>
            </w:r>
            <w:r>
              <w:rPr>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产出质量</w:t>
            </w:r>
          </w:p>
        </w:tc>
        <w:tc>
          <w:tcPr>
            <w:tcW w:w="1000" w:type="dxa"/>
            <w:shd w:val="clear" w:color="auto" w:fill="auto"/>
            <w:vAlign w:val="center"/>
          </w:tcPr>
          <w:p>
            <w:pPr>
              <w:pStyle w:val="37"/>
              <w:rPr>
                <w:sz w:val="24"/>
                <w:szCs w:val="24"/>
              </w:rPr>
            </w:pPr>
            <w:r>
              <w:rPr>
                <w:sz w:val="24"/>
                <w:szCs w:val="24"/>
              </w:rPr>
              <w:t>12</w:t>
            </w:r>
          </w:p>
        </w:tc>
        <w:tc>
          <w:tcPr>
            <w:tcW w:w="1368" w:type="dxa"/>
            <w:shd w:val="clear" w:color="auto" w:fill="auto"/>
            <w:vAlign w:val="center"/>
          </w:tcPr>
          <w:p>
            <w:pPr>
              <w:pStyle w:val="37"/>
              <w:rPr>
                <w:sz w:val="24"/>
                <w:szCs w:val="24"/>
              </w:rPr>
            </w:pPr>
            <w:r>
              <w:rPr>
                <w:rFonts w:hint="eastAsia"/>
                <w:sz w:val="24"/>
                <w:szCs w:val="24"/>
              </w:rPr>
              <w:t>1</w:t>
            </w:r>
            <w:r>
              <w:rPr>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产出进度</w:t>
            </w:r>
          </w:p>
        </w:tc>
        <w:tc>
          <w:tcPr>
            <w:tcW w:w="1000" w:type="dxa"/>
            <w:shd w:val="clear" w:color="auto" w:fill="auto"/>
            <w:vAlign w:val="center"/>
          </w:tcPr>
          <w:p>
            <w:pPr>
              <w:pStyle w:val="37"/>
              <w:rPr>
                <w:sz w:val="24"/>
                <w:szCs w:val="24"/>
              </w:rPr>
            </w:pPr>
            <w:r>
              <w:rPr>
                <w:rFonts w:hint="eastAsia"/>
                <w:sz w:val="24"/>
                <w:szCs w:val="24"/>
              </w:rPr>
              <w:t>4</w:t>
            </w:r>
          </w:p>
        </w:tc>
        <w:tc>
          <w:tcPr>
            <w:tcW w:w="1368" w:type="dxa"/>
            <w:shd w:val="clear" w:color="auto" w:fill="auto"/>
            <w:vAlign w:val="center"/>
          </w:tcPr>
          <w:p>
            <w:pPr>
              <w:pStyle w:val="37"/>
              <w:rPr>
                <w:sz w:val="24"/>
                <w:szCs w:val="24"/>
              </w:rPr>
            </w:pPr>
            <w:r>
              <w:rPr>
                <w:rFonts w:hint="eastAsia"/>
                <w:sz w:val="24"/>
                <w:szCs w:val="24"/>
              </w:rPr>
              <w:t>4</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tcBorders>
              <w:bottom w:val="single" w:color="auto" w:sz="4" w:space="0"/>
            </w:tcBorders>
            <w:vAlign w:val="center"/>
          </w:tcPr>
          <w:p>
            <w:pPr>
              <w:pStyle w:val="37"/>
            </w:pPr>
          </w:p>
        </w:tc>
        <w:tc>
          <w:tcPr>
            <w:tcW w:w="2605" w:type="dxa"/>
            <w:shd w:val="clear" w:color="auto" w:fill="auto"/>
            <w:vAlign w:val="center"/>
          </w:tcPr>
          <w:p>
            <w:pPr>
              <w:pStyle w:val="37"/>
            </w:pPr>
            <w:r>
              <w:rPr>
                <w:rFonts w:hint="eastAsia"/>
              </w:rPr>
              <w:t>产出成本</w:t>
            </w:r>
          </w:p>
        </w:tc>
        <w:tc>
          <w:tcPr>
            <w:tcW w:w="1000" w:type="dxa"/>
            <w:shd w:val="clear" w:color="auto" w:fill="auto"/>
            <w:vAlign w:val="center"/>
          </w:tcPr>
          <w:p>
            <w:pPr>
              <w:pStyle w:val="37"/>
              <w:rPr>
                <w:sz w:val="24"/>
                <w:szCs w:val="24"/>
              </w:rPr>
            </w:pPr>
            <w:r>
              <w:rPr>
                <w:rFonts w:hint="eastAsia"/>
                <w:sz w:val="24"/>
                <w:szCs w:val="24"/>
              </w:rPr>
              <w:t>6</w:t>
            </w:r>
          </w:p>
        </w:tc>
        <w:tc>
          <w:tcPr>
            <w:tcW w:w="1368" w:type="dxa"/>
            <w:shd w:val="clear" w:color="auto" w:fill="auto"/>
            <w:vAlign w:val="center"/>
          </w:tcPr>
          <w:p>
            <w:pPr>
              <w:pStyle w:val="37"/>
              <w:rPr>
                <w:sz w:val="24"/>
                <w:szCs w:val="24"/>
              </w:rPr>
            </w:pPr>
            <w:r>
              <w:rPr>
                <w:sz w:val="24"/>
                <w:szCs w:val="24"/>
              </w:rPr>
              <w:t>5</w:t>
            </w:r>
          </w:p>
        </w:tc>
        <w:tc>
          <w:tcPr>
            <w:tcW w:w="1367" w:type="dxa"/>
            <w:vAlign w:val="center"/>
          </w:tcPr>
          <w:p>
            <w:pPr>
              <w:pStyle w:val="37"/>
              <w:rPr>
                <w:sz w:val="24"/>
                <w:szCs w:val="24"/>
              </w:rPr>
            </w:pPr>
            <w:r>
              <w:rPr>
                <w:sz w:val="24"/>
                <w:szCs w:val="24"/>
              </w:rPr>
              <w:t>83.3</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履职效益</w:t>
            </w:r>
            <w:r>
              <w:rPr>
                <w:rFonts w:hint="eastAsia"/>
              </w:rPr>
              <w:br w:type="textWrapping"/>
            </w:r>
            <w:r>
              <w:rPr>
                <w:rFonts w:hint="eastAsia"/>
              </w:rPr>
              <w:t>（20分）</w:t>
            </w:r>
          </w:p>
        </w:tc>
        <w:tc>
          <w:tcPr>
            <w:tcW w:w="2605" w:type="dxa"/>
            <w:shd w:val="clear" w:color="auto" w:fill="auto"/>
            <w:vAlign w:val="center"/>
          </w:tcPr>
          <w:p>
            <w:pPr>
              <w:pStyle w:val="37"/>
            </w:pPr>
            <w:r>
              <w:rPr>
                <w:rFonts w:hint="eastAsia"/>
              </w:rPr>
              <w:t>经济效益</w:t>
            </w:r>
          </w:p>
        </w:tc>
        <w:tc>
          <w:tcPr>
            <w:tcW w:w="1000" w:type="dxa"/>
            <w:shd w:val="clear" w:color="auto" w:fill="auto"/>
            <w:vAlign w:val="center"/>
          </w:tcPr>
          <w:p>
            <w:pPr>
              <w:pStyle w:val="37"/>
              <w:rPr>
                <w:sz w:val="24"/>
                <w:szCs w:val="24"/>
              </w:rPr>
            </w:pPr>
            <w:r>
              <w:rPr>
                <w:sz w:val="24"/>
                <w:szCs w:val="24"/>
              </w:rPr>
              <w:t>8</w:t>
            </w:r>
          </w:p>
        </w:tc>
        <w:tc>
          <w:tcPr>
            <w:tcW w:w="1368" w:type="dxa"/>
            <w:shd w:val="clear" w:color="auto" w:fill="auto"/>
            <w:vAlign w:val="center"/>
          </w:tcPr>
          <w:p>
            <w:pPr>
              <w:pStyle w:val="37"/>
              <w:rPr>
                <w:sz w:val="24"/>
                <w:szCs w:val="24"/>
              </w:rPr>
            </w:pPr>
            <w:r>
              <w:rPr>
                <w:sz w:val="24"/>
                <w:szCs w:val="24"/>
              </w:rPr>
              <w:t>8</w:t>
            </w:r>
          </w:p>
        </w:tc>
        <w:tc>
          <w:tcPr>
            <w:tcW w:w="1367" w:type="dxa"/>
            <w:vAlign w:val="center"/>
          </w:tcPr>
          <w:p>
            <w:pPr>
              <w:pStyle w:val="37"/>
              <w:rPr>
                <w:sz w:val="24"/>
                <w:szCs w:val="24"/>
              </w:rPr>
            </w:pPr>
            <w:r>
              <w:rPr>
                <w:sz w:val="24"/>
                <w:szCs w:val="24"/>
              </w:rPr>
              <w:t>100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shd w:val="clear" w:color="auto" w:fill="auto"/>
            <w:vAlign w:val="center"/>
          </w:tcPr>
          <w:p>
            <w:pPr>
              <w:pStyle w:val="37"/>
            </w:pPr>
          </w:p>
        </w:tc>
        <w:tc>
          <w:tcPr>
            <w:tcW w:w="2605" w:type="dxa"/>
            <w:shd w:val="clear" w:color="auto" w:fill="auto"/>
            <w:vAlign w:val="center"/>
          </w:tcPr>
          <w:p>
            <w:pPr>
              <w:pStyle w:val="37"/>
            </w:pPr>
            <w:r>
              <w:rPr>
                <w:rFonts w:hint="eastAsia"/>
              </w:rPr>
              <w:t>社会效益</w:t>
            </w:r>
          </w:p>
        </w:tc>
        <w:tc>
          <w:tcPr>
            <w:tcW w:w="1000" w:type="dxa"/>
            <w:shd w:val="clear" w:color="auto" w:fill="auto"/>
            <w:vAlign w:val="center"/>
          </w:tcPr>
          <w:p>
            <w:pPr>
              <w:pStyle w:val="37"/>
              <w:rPr>
                <w:sz w:val="24"/>
                <w:szCs w:val="24"/>
              </w:rPr>
            </w:pPr>
            <w:r>
              <w:rPr>
                <w:rFonts w:hint="eastAsia"/>
                <w:sz w:val="24"/>
                <w:szCs w:val="24"/>
              </w:rPr>
              <w:t>1</w:t>
            </w:r>
            <w:r>
              <w:rPr>
                <w:sz w:val="24"/>
                <w:szCs w:val="24"/>
              </w:rPr>
              <w:t>2</w:t>
            </w:r>
          </w:p>
        </w:tc>
        <w:tc>
          <w:tcPr>
            <w:tcW w:w="1368" w:type="dxa"/>
            <w:shd w:val="clear" w:color="auto" w:fill="auto"/>
            <w:vAlign w:val="center"/>
          </w:tcPr>
          <w:p>
            <w:pPr>
              <w:pStyle w:val="37"/>
              <w:rPr>
                <w:sz w:val="24"/>
                <w:szCs w:val="24"/>
              </w:rPr>
            </w:pPr>
            <w:r>
              <w:rPr>
                <w:rFonts w:hint="eastAsia"/>
                <w:sz w:val="24"/>
                <w:szCs w:val="24"/>
              </w:rPr>
              <w:t>1</w:t>
            </w:r>
            <w:r>
              <w:rPr>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tcBorders>
              <w:top w:val="single" w:color="auto" w:sz="4" w:space="0"/>
            </w:tcBorders>
            <w:shd w:val="clear" w:color="auto" w:fill="auto"/>
            <w:vAlign w:val="center"/>
          </w:tcPr>
          <w:p>
            <w:pPr>
              <w:pStyle w:val="37"/>
            </w:pPr>
            <w:r>
              <w:rPr>
                <w:rFonts w:hint="eastAsia"/>
              </w:rPr>
              <w:t>履职满意度</w:t>
            </w:r>
            <w:r>
              <w:br w:type="textWrapping"/>
            </w:r>
            <w:r>
              <w:rPr>
                <w:rFonts w:hint="eastAsia"/>
              </w:rPr>
              <w:t>(6分）</w:t>
            </w:r>
          </w:p>
        </w:tc>
        <w:tc>
          <w:tcPr>
            <w:tcW w:w="2605" w:type="dxa"/>
            <w:shd w:val="clear" w:color="auto" w:fill="auto"/>
            <w:vAlign w:val="center"/>
          </w:tcPr>
          <w:p>
            <w:pPr>
              <w:pStyle w:val="37"/>
            </w:pPr>
            <w:r>
              <w:rPr>
                <w:rFonts w:hint="eastAsia"/>
              </w:rPr>
              <w:t>服务对象满意度</w:t>
            </w:r>
          </w:p>
        </w:tc>
        <w:tc>
          <w:tcPr>
            <w:tcW w:w="1000" w:type="dxa"/>
            <w:shd w:val="clear" w:color="auto" w:fill="auto"/>
            <w:vAlign w:val="center"/>
          </w:tcPr>
          <w:p>
            <w:pPr>
              <w:pStyle w:val="37"/>
              <w:rPr>
                <w:sz w:val="24"/>
                <w:szCs w:val="24"/>
              </w:rPr>
            </w:pPr>
            <w:r>
              <w:rPr>
                <w:rFonts w:hint="eastAsia"/>
                <w:sz w:val="24"/>
                <w:szCs w:val="24"/>
              </w:rPr>
              <w:t>6</w:t>
            </w:r>
          </w:p>
        </w:tc>
        <w:tc>
          <w:tcPr>
            <w:tcW w:w="1368" w:type="dxa"/>
            <w:shd w:val="clear" w:color="auto" w:fill="auto"/>
            <w:vAlign w:val="center"/>
          </w:tcPr>
          <w:p>
            <w:pPr>
              <w:pStyle w:val="37"/>
              <w:rPr>
                <w:sz w:val="24"/>
                <w:szCs w:val="24"/>
              </w:rPr>
            </w:pPr>
            <w:r>
              <w:rPr>
                <w:rFonts w:hint="eastAsia"/>
                <w:sz w:val="24"/>
                <w:szCs w:val="24"/>
              </w:rPr>
              <w:t>6</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567" w:type="dxa"/>
            <w:gridSpan w:val="2"/>
            <w:shd w:val="clear" w:color="auto" w:fill="auto"/>
            <w:vAlign w:val="center"/>
          </w:tcPr>
          <w:p>
            <w:pPr>
              <w:pStyle w:val="37"/>
              <w:rPr>
                <w:b/>
                <w:bCs/>
              </w:rPr>
            </w:pPr>
            <w:r>
              <w:rPr>
                <w:rFonts w:hint="eastAsia"/>
                <w:b/>
                <w:bCs/>
              </w:rPr>
              <w:t>合计</w:t>
            </w:r>
          </w:p>
        </w:tc>
        <w:tc>
          <w:tcPr>
            <w:tcW w:w="1000" w:type="dxa"/>
            <w:shd w:val="clear" w:color="auto" w:fill="auto"/>
            <w:vAlign w:val="center"/>
          </w:tcPr>
          <w:p>
            <w:pPr>
              <w:pStyle w:val="37"/>
              <w:rPr>
                <w:b/>
                <w:bCs/>
              </w:rPr>
            </w:pPr>
            <w:r>
              <w:rPr>
                <w:rFonts w:hint="eastAsia"/>
                <w:b/>
                <w:bCs/>
                <w:sz w:val="24"/>
                <w:szCs w:val="24"/>
              </w:rPr>
              <w:t>100</w:t>
            </w:r>
          </w:p>
        </w:tc>
        <w:tc>
          <w:tcPr>
            <w:tcW w:w="1368" w:type="dxa"/>
            <w:shd w:val="clear" w:color="auto" w:fill="auto"/>
            <w:vAlign w:val="center"/>
          </w:tcPr>
          <w:p>
            <w:pPr>
              <w:pStyle w:val="37"/>
              <w:rPr>
                <w:b/>
                <w:bCs/>
                <w:sz w:val="24"/>
                <w:szCs w:val="24"/>
              </w:rPr>
            </w:pPr>
            <w:r>
              <w:rPr>
                <w:b/>
                <w:bCs/>
                <w:sz w:val="24"/>
                <w:szCs w:val="24"/>
              </w:rPr>
              <w:t>90.2</w:t>
            </w:r>
          </w:p>
        </w:tc>
        <w:tc>
          <w:tcPr>
            <w:tcW w:w="1367" w:type="dxa"/>
            <w:vAlign w:val="center"/>
          </w:tcPr>
          <w:p>
            <w:pPr>
              <w:pStyle w:val="37"/>
              <w:rPr>
                <w:b/>
                <w:bCs/>
                <w:sz w:val="24"/>
                <w:szCs w:val="24"/>
              </w:rPr>
            </w:pPr>
            <w:r>
              <w:rPr>
                <w:b/>
                <w:bCs/>
                <w:sz w:val="24"/>
                <w:szCs w:val="24"/>
              </w:rPr>
              <w:t>90.2</w:t>
            </w:r>
            <w:r>
              <w:rPr>
                <w:rFonts w:hint="eastAsia"/>
                <w:b/>
                <w:bCs/>
                <w:sz w:val="24"/>
                <w:szCs w:val="24"/>
              </w:rPr>
              <w:t>%</w:t>
            </w:r>
          </w:p>
        </w:tc>
      </w:tr>
    </w:tbl>
    <w:p>
      <w:pPr>
        <w:pStyle w:val="25"/>
        <w:ind w:firstLine="640"/>
      </w:pPr>
      <w:bookmarkStart w:id="51" w:name="_Toc91375841"/>
      <w:bookmarkStart w:id="52" w:name="_Toc91375454"/>
      <w:bookmarkStart w:id="53" w:name="_Toc53326868"/>
      <w:r>
        <w:rPr>
          <w:rFonts w:hint="eastAsia"/>
        </w:rPr>
        <w:t>根据上述结果，区商务局部门整体支出绩效情况基本符合预期，但部门决策、管理效率、履职产出等方面仍有改进空间。</w:t>
      </w:r>
    </w:p>
    <w:p>
      <w:pPr>
        <w:pStyle w:val="29"/>
        <w:ind w:firstLine="640"/>
      </w:pPr>
      <w:bookmarkStart w:id="54" w:name="_Toc120143631"/>
      <w:r>
        <w:rPr>
          <w:rFonts w:hint="eastAsia"/>
        </w:rPr>
        <w:t>（三）指标详细分析</w:t>
      </w:r>
      <w:bookmarkEnd w:id="51"/>
      <w:bookmarkEnd w:id="52"/>
      <w:bookmarkEnd w:id="53"/>
      <w:bookmarkEnd w:id="54"/>
    </w:p>
    <w:p>
      <w:pPr>
        <w:pStyle w:val="25"/>
        <w:ind w:firstLine="640"/>
      </w:pPr>
      <w:r>
        <w:rPr>
          <w:rFonts w:hint="eastAsia"/>
        </w:rPr>
        <w:t>1</w:t>
      </w:r>
      <w:r>
        <w:t>.</w:t>
      </w:r>
      <w:r>
        <w:rPr>
          <w:rFonts w:hint="eastAsia"/>
        </w:rPr>
        <w:t>部门决策</w:t>
      </w:r>
    </w:p>
    <w:p>
      <w:pPr>
        <w:pStyle w:val="25"/>
        <w:ind w:firstLine="640"/>
      </w:pPr>
      <w:r>
        <w:rPr>
          <w:rFonts w:hint="eastAsia"/>
        </w:rPr>
        <w:t>（1）绩效目标</w:t>
      </w:r>
    </w:p>
    <w:p>
      <w:pPr>
        <w:pStyle w:val="25"/>
        <w:ind w:firstLine="640"/>
        <w:rPr>
          <w:i/>
        </w:rPr>
      </w:pPr>
      <w:r>
        <w:rPr>
          <w:rFonts w:hint="eastAsia"/>
        </w:rPr>
        <w:t>①绩效目标与部门职责的相符性、年度任务对应性：分值1分，得分</w:t>
      </w:r>
      <w:r>
        <w:t>0.5</w:t>
      </w:r>
      <w:r>
        <w:rPr>
          <w:rFonts w:hint="eastAsia"/>
        </w:rPr>
        <w:t>分，得分率</w:t>
      </w:r>
      <w:r>
        <w:t>50</w:t>
      </w:r>
      <w:r>
        <w:rPr>
          <w:rFonts w:hint="eastAsia"/>
        </w:rPr>
        <w:t>%。依据2</w:t>
      </w:r>
      <w:r>
        <w:t>021</w:t>
      </w:r>
      <w:r>
        <w:rPr>
          <w:rFonts w:hint="eastAsia"/>
        </w:rPr>
        <w:t>年度部门整体绩效目标、部门职责、部门年度工作计划进行评分，主要针对部门整体支出绩效目标年度主要任务是否符合国家法律法规、国民经济、社会发展总体规划及部门职责，部门整体支出绩效目标年度总体绩效目标制定内容是否与年度主要任务内容相匹配等方面进行评价。评价结果分析显示，区商务局2</w:t>
      </w:r>
      <w:r>
        <w:t>021</w:t>
      </w:r>
      <w:r>
        <w:rPr>
          <w:rFonts w:hint="eastAsia"/>
        </w:rPr>
        <w:t>年度部门整体支出绩效目标设立的</w:t>
      </w:r>
      <w:r>
        <w:t>9</w:t>
      </w:r>
      <w:r>
        <w:rPr>
          <w:rFonts w:hint="eastAsia"/>
        </w:rPr>
        <w:t>项年度主要任务分别为“人员经费”、“公用经费”、“</w:t>
      </w:r>
      <w:r>
        <w:t>2021年节能降耗专款</w:t>
      </w:r>
      <w:r>
        <w:rPr>
          <w:rFonts w:hint="eastAsia"/>
        </w:rPr>
        <w:t>”、“市场办经费”、“菜市场农药监测服务费”、“物业补贴”、“编外人员经费”、“刘岩同志援甘经费”、“应急物资储备”，设立的5个年度总体绩效目标分别为“保障机关工作人员工资”、“保障机关各项工作正常开展”、“推进各行业节能工作开展”、“按照创卫、创城等工作要求，委托第三方检测公司对区属菜市场进行食品快检服务。通过日常检查、阶段考核，对快检项目实施情况进行监管”、“以企业代储方式，实现对蔬菜、肉类等应急物资的储备”，部门整体支出绩效目标、年度主要任务符合国家法律法规、国民经济、社会发展总体规划及部门职责，但“物业补贴、编外人员经费”不属于部门年度主要工作任务，年度主要任务制定不合理。按照评分标准要求，扣减</w:t>
      </w:r>
      <w:r>
        <w:t>0.5</w:t>
      </w:r>
      <w:r>
        <w:rPr>
          <w:rFonts w:hint="eastAsia"/>
        </w:rPr>
        <w:t>分，得</w:t>
      </w:r>
      <w:r>
        <w:t>0.5</w:t>
      </w:r>
      <w:r>
        <w:rPr>
          <w:rFonts w:hint="eastAsia"/>
        </w:rPr>
        <w:t>分。</w:t>
      </w:r>
    </w:p>
    <w:p>
      <w:pPr>
        <w:pStyle w:val="25"/>
        <w:ind w:firstLine="640"/>
        <w:rPr>
          <w:i/>
        </w:rPr>
      </w:pPr>
      <w:r>
        <w:rPr>
          <w:rFonts w:hint="eastAsia"/>
        </w:rPr>
        <w:t>②绩效指标清晰量化程度：分值1分，得分</w:t>
      </w:r>
      <w:r>
        <w:t>0</w:t>
      </w:r>
      <w:r>
        <w:rPr>
          <w:rFonts w:hint="eastAsia"/>
        </w:rPr>
        <w:t>分，得分率</w:t>
      </w:r>
      <w:r>
        <w:t>0</w:t>
      </w:r>
      <w:r>
        <w:rPr>
          <w:rFonts w:hint="eastAsia"/>
        </w:rPr>
        <w:t>%。依据2</w:t>
      </w:r>
      <w:r>
        <w:t>021</w:t>
      </w:r>
      <w:r>
        <w:rPr>
          <w:rFonts w:hint="eastAsia"/>
        </w:rPr>
        <w:t>年度部门整体绩效目标进行评分，主要针对部门整体支出绩效目标年度绩效指标是否通过清晰、可衡量的指标值予以体现等方面进行评价。评价结果分析显示，区商务局制定的绩效指标存在指标内容不全面、设置不规范问题，如数量指标中未针对“菜市场农药监测服务”、“节能降耗”、“应急物资储备”三项主要工作任务制定相关指标，质量指标中“有效缓解企业因疫情等不可抗力导致的内外贸企业现实困难，保持经济持续健康发展”未体现工作达到的质量水平及标准，不符合质量指标概念。按照评分标准要求，扣减</w:t>
      </w:r>
      <w:r>
        <w:t>1</w:t>
      </w:r>
      <w:r>
        <w:rPr>
          <w:rFonts w:hint="eastAsia"/>
        </w:rPr>
        <w:t>分，得</w:t>
      </w:r>
      <w:r>
        <w:t>0</w:t>
      </w:r>
      <w:r>
        <w:rPr>
          <w:rFonts w:hint="eastAsia"/>
        </w:rPr>
        <w:t>分。</w:t>
      </w:r>
    </w:p>
    <w:p>
      <w:pPr>
        <w:pStyle w:val="25"/>
        <w:ind w:firstLine="640"/>
        <w:rPr>
          <w:i/>
        </w:rPr>
      </w:pPr>
      <w:r>
        <w:rPr>
          <w:rFonts w:hint="eastAsia"/>
        </w:rPr>
        <w:t>③绩效目标与预算资金匹配性：分值</w:t>
      </w:r>
      <w:r>
        <w:t>2</w:t>
      </w:r>
      <w:r>
        <w:rPr>
          <w:rFonts w:hint="eastAsia"/>
        </w:rPr>
        <w:t>分，得分</w:t>
      </w:r>
      <w:r>
        <w:t>2</w:t>
      </w:r>
      <w:r>
        <w:rPr>
          <w:rFonts w:hint="eastAsia"/>
        </w:rPr>
        <w:t>分，得分率</w:t>
      </w:r>
      <w:r>
        <w:t>100</w:t>
      </w:r>
      <w:r>
        <w:rPr>
          <w:rFonts w:hint="eastAsia"/>
        </w:rPr>
        <w:t>%。依据2</w:t>
      </w:r>
      <w:r>
        <w:t>021</w:t>
      </w:r>
      <w:r>
        <w:rPr>
          <w:rFonts w:hint="eastAsia"/>
        </w:rPr>
        <w:t>年度部门整体绩效目标、部门预算批复文件、部门决算数据进行评分，主要针对部门整体支出绩效目标表中的填报资金是否与人大批复的部门预算相匹配，部门整体支出绩效目标中的资金是否满足部门整体工作任务的完成等方面进行评价。评价结果分析显示，区商务局2</w:t>
      </w:r>
      <w:r>
        <w:t>021</w:t>
      </w:r>
      <w:r>
        <w:rPr>
          <w:rFonts w:hint="eastAsia"/>
        </w:rPr>
        <w:t>年度部门整体支出绩效目标表中的预算金额合计为</w:t>
      </w:r>
      <w:r>
        <w:t>1141.54</w:t>
      </w:r>
      <w:r>
        <w:rPr>
          <w:rFonts w:hint="eastAsia"/>
        </w:rPr>
        <w:t>万元，其中：基本支出</w:t>
      </w:r>
      <w:r>
        <w:t>553.54</w:t>
      </w:r>
      <w:r>
        <w:rPr>
          <w:rFonts w:hint="eastAsia"/>
        </w:rPr>
        <w:t>万元，项目支出</w:t>
      </w:r>
      <w:r>
        <w:t>588</w:t>
      </w:r>
      <w:r>
        <w:rPr>
          <w:rFonts w:hint="eastAsia"/>
        </w:rPr>
        <w:t>万元，与人大批复的部门预算相匹配；根据部门预决算数据，部门2</w:t>
      </w:r>
      <w:r>
        <w:t>021</w:t>
      </w:r>
      <w:r>
        <w:rPr>
          <w:rFonts w:hint="eastAsia"/>
        </w:rPr>
        <w:t>年度预算调减</w:t>
      </w:r>
      <w:r>
        <w:t>216.06</w:t>
      </w:r>
      <w:r>
        <w:rPr>
          <w:rFonts w:hint="eastAsia"/>
        </w:rPr>
        <w:t>万元，预算调整后金额为</w:t>
      </w:r>
      <w:r>
        <w:t>925.48</w:t>
      </w:r>
      <w:r>
        <w:rPr>
          <w:rFonts w:hint="eastAsia"/>
        </w:rPr>
        <w:t>万元，支出预算数为</w:t>
      </w:r>
      <w:r>
        <w:t>922.93</w:t>
      </w:r>
      <w:r>
        <w:rPr>
          <w:rFonts w:hint="eastAsia"/>
        </w:rPr>
        <w:t>万元，部门整体支出绩效目标中的资金满足部门整体工作任务的完成。按照评分标准要求，得</w:t>
      </w:r>
      <w:r>
        <w:t>2</w:t>
      </w:r>
      <w:r>
        <w:rPr>
          <w:rFonts w:hint="eastAsia"/>
        </w:rPr>
        <w:t>分。</w:t>
      </w:r>
    </w:p>
    <w:p>
      <w:pPr>
        <w:pStyle w:val="25"/>
        <w:ind w:firstLine="640"/>
      </w:pPr>
      <w:r>
        <w:rPr>
          <w:rFonts w:hint="eastAsia"/>
        </w:rPr>
        <w:t>（2）决策依据</w:t>
      </w:r>
    </w:p>
    <w:p>
      <w:pPr>
        <w:pStyle w:val="25"/>
        <w:ind w:firstLine="640"/>
        <w:rPr>
          <w:i/>
        </w:rPr>
      </w:pPr>
      <w:r>
        <w:rPr>
          <w:rFonts w:hint="eastAsia"/>
        </w:rPr>
        <w:t>①部门年度工作计划科学性：分值</w:t>
      </w:r>
      <w:r>
        <w:t>1</w:t>
      </w:r>
      <w:r>
        <w:rPr>
          <w:rFonts w:hint="eastAsia"/>
        </w:rPr>
        <w:t>分，得分</w:t>
      </w:r>
      <w:r>
        <w:t>1</w:t>
      </w:r>
      <w:r>
        <w:rPr>
          <w:rFonts w:hint="eastAsia"/>
        </w:rPr>
        <w:t>分，得分率</w:t>
      </w:r>
      <w:r>
        <w:t>100</w:t>
      </w:r>
      <w:r>
        <w:rPr>
          <w:rFonts w:hint="eastAsia"/>
        </w:rPr>
        <w:t>%。依据部门年度工作计划进行评分，主要针对部门工作计划中制定的各项内容是否符合国家法律法规、国民经济发展规划和相关政策，是否属于部门履职所需，与部门职责范围相符进行评价。评价结果分析显示，区商务局2</w:t>
      </w:r>
      <w:r>
        <w:t>021</w:t>
      </w:r>
      <w:r>
        <w:rPr>
          <w:rFonts w:hint="eastAsia"/>
        </w:rPr>
        <w:t>年度工作计划涵盖了“推动全面从严治党”、“打造现代商贸流通体系”、“深化开放型经济体制改革”、“强化招商引资”、“加强商贸行业服务管理”五个方面，部门工作计划制定符合国家法律法规、国民经济发展规划和相关政策，每项工作计划分为若干项工作要点，对应具体部门职责，属于部门履职所需。按照评分标准要求，得</w:t>
      </w:r>
      <w:r>
        <w:t>1</w:t>
      </w:r>
      <w:r>
        <w:rPr>
          <w:rFonts w:hint="eastAsia"/>
        </w:rPr>
        <w:t>分。</w:t>
      </w:r>
    </w:p>
    <w:p>
      <w:pPr>
        <w:pStyle w:val="25"/>
        <w:ind w:firstLine="640"/>
        <w:rPr>
          <w:i/>
        </w:rPr>
      </w:pPr>
      <w:r>
        <w:rPr>
          <w:rFonts w:hint="eastAsia"/>
        </w:rPr>
        <w:t>②重大支出政策的合理性规范性：分值</w:t>
      </w:r>
      <w:r>
        <w:t>2</w:t>
      </w:r>
      <w:r>
        <w:rPr>
          <w:rFonts w:hint="eastAsia"/>
        </w:rPr>
        <w:t>分，得分</w:t>
      </w:r>
      <w:r>
        <w:t>2</w:t>
      </w:r>
      <w:r>
        <w:rPr>
          <w:rFonts w:hint="eastAsia"/>
        </w:rPr>
        <w:t>分，得分率</w:t>
      </w:r>
      <w:r>
        <w:t>100</w:t>
      </w:r>
      <w:r>
        <w:rPr>
          <w:rFonts w:hint="eastAsia"/>
        </w:rPr>
        <w:t>%。依据部门申请财政资金的重大政策和项目的文件依据进行评分，主要针对部门申请财政资金的重大政策和项目的文件依据是否存在补助、奖励、使用方向与部门内外部政策存在重叠交叉，是否符合社会现实需求，是否存在严重滞后情况等方面进行评价。评价结果分析显示，区商务局参照《市发展改革委等九部门关于区人民政府</w:t>
      </w:r>
      <w:r>
        <w:t>2019年度能耗双控考核结果和2020年度考核安排的通知</w:t>
      </w:r>
      <w:r>
        <w:rPr>
          <w:rFonts w:hint="eastAsia"/>
        </w:rPr>
        <w:t>》</w:t>
      </w:r>
      <w:r>
        <w:t>（津发改环资（2020）236号）</w:t>
      </w:r>
      <w:r>
        <w:rPr>
          <w:rFonts w:hint="eastAsia"/>
        </w:rPr>
        <w:t>《和平区贯彻菜篮子市长负责制实施方案》《关于开展食品药品安全大检查工作方案》（津党发〔</w:t>
      </w:r>
      <w:r>
        <w:t>2016〕13号）</w:t>
      </w:r>
      <w:r>
        <w:rPr>
          <w:rFonts w:hint="eastAsia"/>
        </w:rPr>
        <w:t>《关于调整和平区市场建设工作领导小组成员及职能的通知》（和平政〔</w:t>
      </w:r>
      <w:r>
        <w:t>2004〕38号）</w:t>
      </w:r>
      <w:r>
        <w:rPr>
          <w:rFonts w:hint="eastAsia"/>
        </w:rPr>
        <w:t>《国务院办公厅关于加快发展流通促进商业消费的意见》（国办发〔</w:t>
      </w:r>
      <w:r>
        <w:t>2019〕42号）《国务院办公厅关于以新业态新模式引领新型消费加快发展的意见》（国办发〔2020〕32号）《和平区关于鼓励发展商业品牌首店的若干措施（试行）》</w:t>
      </w:r>
      <w:r>
        <w:rPr>
          <w:rFonts w:hint="eastAsia"/>
        </w:rPr>
        <w:t>等政策文件申请财政资金，符合社会现实需求，奖励、补助资金使用方向与部门内外部政策不存在重叠交叉，不存在滞后情况。按照评分标准要求，得</w:t>
      </w:r>
      <w:r>
        <w:t>2</w:t>
      </w:r>
      <w:r>
        <w:rPr>
          <w:rFonts w:hint="eastAsia"/>
        </w:rPr>
        <w:t>分。</w:t>
      </w:r>
    </w:p>
    <w:p>
      <w:pPr>
        <w:pStyle w:val="25"/>
        <w:ind w:firstLine="640"/>
      </w:pPr>
      <w:r>
        <w:rPr>
          <w:rFonts w:hint="eastAsia"/>
        </w:rPr>
        <w:t>（3）预算分配</w:t>
      </w:r>
    </w:p>
    <w:p>
      <w:pPr>
        <w:pStyle w:val="25"/>
        <w:ind w:firstLine="640"/>
      </w:pPr>
      <w:r>
        <w:rPr>
          <w:rFonts w:hint="eastAsia"/>
        </w:rPr>
        <w:t>①决策程序规范性：分值</w:t>
      </w:r>
      <w:r>
        <w:t>2</w:t>
      </w:r>
      <w:r>
        <w:rPr>
          <w:rFonts w:hint="eastAsia"/>
        </w:rPr>
        <w:t>分，得分</w:t>
      </w:r>
      <w:r>
        <w:t>2</w:t>
      </w:r>
      <w:r>
        <w:rPr>
          <w:rFonts w:hint="eastAsia"/>
        </w:rPr>
        <w:t>分，得分率</w:t>
      </w:r>
      <w:r>
        <w:t>100</w:t>
      </w:r>
      <w:r>
        <w:rPr>
          <w:rFonts w:hint="eastAsia"/>
        </w:rPr>
        <w:t>%。依据党组办公会会议纪要、相关审批文件进行评分，主要针对是否按照财政部门规定的程序进行预算编报，预算编报、分配方案是否经“三重一大”程序决策等方面进行评价。评价结果分析显示，区商务局办公室根据天津市和平区财政局要求完成基础数据的填报工作，并在预算编审全过程中根据要求对基础数据进行更新和复核，各科室资金需求经本科室科长审核，审核后由办公室编制预算草案，上报党组会审议，党组会审议通过后的预算报告上报天津市和平区财政局预算科审批，财务根据财政局下达的第二次预算控制数编制第二次预算，行文上报天津市和平区财政局预算科审批，收到财政局预算批复执行预算，预算编报、分配方案经过“三重一大”程序决策，符合财政部门规定的预算编报程序，部门能够提供出相应的党组办公会会议纪要、重大经济事项支出审批单、请款事项呈办单等相关决策文件，资料完整齐全，决策程序明确规范。按照评分标准要求，得2分。</w:t>
      </w:r>
    </w:p>
    <w:p>
      <w:pPr>
        <w:pStyle w:val="25"/>
        <w:ind w:firstLine="640"/>
      </w:pPr>
      <w:r>
        <w:rPr>
          <w:rFonts w:hint="eastAsia"/>
        </w:rPr>
        <w:t>②测算程序合理性：分值</w:t>
      </w:r>
      <w:r>
        <w:t>6</w:t>
      </w:r>
      <w:r>
        <w:rPr>
          <w:rFonts w:hint="eastAsia"/>
        </w:rPr>
        <w:t>分，得分</w:t>
      </w:r>
      <w:r>
        <w:t>6</w:t>
      </w:r>
      <w:r>
        <w:rPr>
          <w:rFonts w:hint="eastAsia"/>
        </w:rPr>
        <w:t>分，得分率</w:t>
      </w:r>
      <w:r>
        <w:t>100</w:t>
      </w:r>
      <w:r>
        <w:rPr>
          <w:rFonts w:hint="eastAsia"/>
        </w:rPr>
        <w:t>%。依据部门预算资金测算明细、测算依据进行评分，主要针对部门预算编制过程中的资金测算程序是否明确规范，数据是否合理准确，项目支出测算细化程度等方面进行评价。评价结果分析显示，区商务局根据部门年度工作计划和工作重点，编制了2</w:t>
      </w:r>
      <w:r>
        <w:t>021</w:t>
      </w:r>
      <w:r>
        <w:rPr>
          <w:rFonts w:hint="eastAsia"/>
        </w:rPr>
        <w:t>年度部门预算，基本支出按照在编人员数量、级别和工资标准，定员、定额编制人员经费预算，按照规定的预算定额标准编制公用经费预算，项目支出按照各项目政策标准、各项目年度工作计划和客观需求编制，区商务局2</w:t>
      </w:r>
      <w:r>
        <w:t>021</w:t>
      </w:r>
      <w:r>
        <w:rPr>
          <w:rFonts w:hint="eastAsia"/>
        </w:rPr>
        <w:t>年度部门预算根据事权划分准确核定本级财政支出，部门自行制定的支出标准符合上级管理部门的标准和社会事实支出水平，不存在重复测算政策规定内相同内容，各项预算测算数据均有相关合同、测算明细表、项目经费申请表、政策文件提供，且经党组会审议通过预算申报方案。按照评分标准要求，得</w:t>
      </w:r>
      <w:r>
        <w:t>6</w:t>
      </w:r>
      <w:r>
        <w:rPr>
          <w:rFonts w:hint="eastAsia"/>
        </w:rPr>
        <w:t>分。</w:t>
      </w:r>
    </w:p>
    <w:p>
      <w:pPr>
        <w:pStyle w:val="25"/>
        <w:ind w:firstLine="640"/>
      </w:pPr>
      <w:r>
        <w:rPr>
          <w:rFonts w:hint="eastAsia"/>
        </w:rPr>
        <w:t>2.管理效率</w:t>
      </w:r>
    </w:p>
    <w:p>
      <w:pPr>
        <w:pStyle w:val="25"/>
        <w:ind w:firstLine="640"/>
      </w:pPr>
      <w:r>
        <w:rPr>
          <w:rFonts w:hint="eastAsia"/>
        </w:rPr>
        <w:t>（1）预算执行</w:t>
      </w:r>
    </w:p>
    <w:p>
      <w:pPr>
        <w:pStyle w:val="25"/>
        <w:ind w:firstLine="640"/>
      </w:pPr>
      <w:r>
        <w:rPr>
          <w:rFonts w:hint="eastAsia"/>
        </w:rPr>
        <w:t>①在职人员控制率：分值</w:t>
      </w:r>
      <w:r>
        <w:t>1</w:t>
      </w:r>
      <w:r>
        <w:rPr>
          <w:rFonts w:hint="eastAsia"/>
        </w:rPr>
        <w:t>分，得分</w:t>
      </w:r>
      <w:r>
        <w:t>1</w:t>
      </w:r>
      <w:r>
        <w:rPr>
          <w:rFonts w:hint="eastAsia"/>
        </w:rPr>
        <w:t>分，得分率</w:t>
      </w:r>
      <w:r>
        <w:t>100</w:t>
      </w:r>
      <w:r>
        <w:rPr>
          <w:rFonts w:hint="eastAsia"/>
        </w:rPr>
        <w:t>%。根据部门三定方案等资料，区商务局编制数为1</w:t>
      </w:r>
      <w:r>
        <w:t>9</w:t>
      </w:r>
      <w:r>
        <w:rPr>
          <w:rFonts w:hint="eastAsia"/>
        </w:rPr>
        <w:t>人，</w:t>
      </w:r>
      <w:r>
        <w:t>2021年经编办审批临时增编1人，截至2021年末实有</w:t>
      </w:r>
      <w:r>
        <w:rPr>
          <w:rFonts w:hint="eastAsia"/>
        </w:rPr>
        <w:t>在职在编</w:t>
      </w:r>
      <w:r>
        <w:t>人员20人</w:t>
      </w:r>
      <w:r>
        <w:rPr>
          <w:rFonts w:hint="eastAsia"/>
        </w:rPr>
        <w:t>，在职人员控制率为9</w:t>
      </w:r>
      <w:r>
        <w:t>4.7</w:t>
      </w:r>
      <w:r>
        <w:rPr>
          <w:rFonts w:hint="eastAsia"/>
        </w:rPr>
        <w:t>%，按照评分标准要求，得</w:t>
      </w:r>
      <w:r>
        <w:t>1</w:t>
      </w:r>
      <w:r>
        <w:rPr>
          <w:rFonts w:hint="eastAsia"/>
        </w:rPr>
        <w:t>分。</w:t>
      </w:r>
    </w:p>
    <w:p>
      <w:pPr>
        <w:pStyle w:val="25"/>
        <w:ind w:firstLine="640"/>
      </w:pPr>
      <w:r>
        <w:rPr>
          <w:rFonts w:hint="eastAsia"/>
        </w:rPr>
        <w:t>②预算执行率：分值</w:t>
      </w:r>
      <w:r>
        <w:t>2</w:t>
      </w:r>
      <w:r>
        <w:rPr>
          <w:rFonts w:hint="eastAsia"/>
        </w:rPr>
        <w:t>分，得分</w:t>
      </w:r>
      <w:r>
        <w:t>1.7</w:t>
      </w:r>
      <w:r>
        <w:rPr>
          <w:rFonts w:hint="eastAsia"/>
        </w:rPr>
        <w:t>分，得分率</w:t>
      </w:r>
      <w:r>
        <w:t>85</w:t>
      </w:r>
      <w:r>
        <w:rPr>
          <w:rFonts w:hint="eastAsia"/>
        </w:rPr>
        <w:t>%。根据部门预决算数据，区商务局2</w:t>
      </w:r>
      <w:r>
        <w:t>021</w:t>
      </w:r>
      <w:r>
        <w:rPr>
          <w:rFonts w:hint="eastAsia"/>
        </w:rPr>
        <w:t>年度调整后部门预算金额为</w:t>
      </w:r>
      <w:r>
        <w:t>1057.77</w:t>
      </w:r>
      <w:r>
        <w:rPr>
          <w:rFonts w:hint="eastAsia"/>
        </w:rPr>
        <w:t>万元，实际支出金额为</w:t>
      </w:r>
      <w:r>
        <w:t>922.93</w:t>
      </w:r>
      <w:r>
        <w:rPr>
          <w:rFonts w:hint="eastAsia"/>
        </w:rPr>
        <w:t>万元，预算执行率为</w:t>
      </w:r>
      <w:r>
        <w:rPr>
          <w:rFonts w:cs="Times New Roman"/>
        </w:rPr>
        <w:t>87.3%</w:t>
      </w:r>
      <w:r>
        <w:rPr>
          <w:rFonts w:hint="eastAsia" w:cs="Times New Roman"/>
        </w:rPr>
        <w:t>。按照评分标准要求，得</w:t>
      </w:r>
      <w:r>
        <w:rPr>
          <w:rFonts w:cs="Times New Roman"/>
        </w:rPr>
        <w:t>1.7</w:t>
      </w:r>
      <w:r>
        <w:rPr>
          <w:rFonts w:hint="eastAsia" w:cs="Times New Roman"/>
        </w:rPr>
        <w:t>分。</w:t>
      </w:r>
    </w:p>
    <w:p>
      <w:pPr>
        <w:pStyle w:val="25"/>
        <w:ind w:firstLine="640"/>
      </w:pPr>
      <w:r>
        <w:rPr>
          <w:rFonts w:hint="eastAsia"/>
        </w:rPr>
        <w:t>③预算调整率：分值</w:t>
      </w:r>
      <w:r>
        <w:t>2</w:t>
      </w:r>
      <w:r>
        <w:rPr>
          <w:rFonts w:hint="eastAsia"/>
        </w:rPr>
        <w:t>分，得分</w:t>
      </w:r>
      <w:r>
        <w:t>0</w:t>
      </w:r>
      <w:r>
        <w:rPr>
          <w:rFonts w:hint="eastAsia"/>
        </w:rPr>
        <w:t>分，得分率</w:t>
      </w:r>
      <w:r>
        <w:t>0</w:t>
      </w:r>
      <w:r>
        <w:rPr>
          <w:rFonts w:hint="eastAsia"/>
        </w:rPr>
        <w:t>%。根据预决算数据，区商务局2</w:t>
      </w:r>
      <w:r>
        <w:t>021</w:t>
      </w:r>
      <w:r>
        <w:rPr>
          <w:rFonts w:hint="eastAsia"/>
        </w:rPr>
        <w:t>年度部门年初预算批复数为</w:t>
      </w:r>
      <w:r>
        <w:t>1141.54</w:t>
      </w:r>
      <w:r>
        <w:rPr>
          <w:rFonts w:hint="eastAsia"/>
        </w:rPr>
        <w:t>万元，调整预算数为-</w:t>
      </w:r>
      <w:r>
        <w:t>216.06</w:t>
      </w:r>
      <w:r>
        <w:rPr>
          <w:rFonts w:hint="eastAsia"/>
        </w:rPr>
        <w:t>万元，预算调整率为-</w:t>
      </w:r>
      <w:r>
        <w:t>18.9</w:t>
      </w:r>
      <w:r>
        <w:rPr>
          <w:rFonts w:hint="eastAsia"/>
        </w:rPr>
        <w:t>%。按照评分标准要求，扣减2分，得0分。</w:t>
      </w:r>
    </w:p>
    <w:p>
      <w:pPr>
        <w:pStyle w:val="25"/>
        <w:ind w:firstLine="640"/>
      </w:pPr>
      <w:r>
        <w:rPr>
          <w:rFonts w:hint="eastAsia"/>
        </w:rPr>
        <w:t>④公用经费控制率：分值</w:t>
      </w:r>
      <w:r>
        <w:t>2</w:t>
      </w:r>
      <w:r>
        <w:rPr>
          <w:rFonts w:hint="eastAsia"/>
        </w:rPr>
        <w:t>分，得分</w:t>
      </w:r>
      <w:r>
        <w:t>0</w:t>
      </w:r>
      <w:r>
        <w:rPr>
          <w:rFonts w:hint="eastAsia"/>
        </w:rPr>
        <w:t>分，得分率</w:t>
      </w:r>
      <w:r>
        <w:t>0</w:t>
      </w:r>
      <w:r>
        <w:rPr>
          <w:rFonts w:hint="eastAsia"/>
        </w:rPr>
        <w:t>%。根据预决算数据，区商务局2</w:t>
      </w:r>
      <w:r>
        <w:t>021</w:t>
      </w:r>
      <w:r>
        <w:rPr>
          <w:rFonts w:hint="eastAsia"/>
        </w:rPr>
        <w:t>年度部门年初预算安排公用经费总额为</w:t>
      </w:r>
      <w:r>
        <w:t>15.07</w:t>
      </w:r>
      <w:r>
        <w:rPr>
          <w:rFonts w:hint="eastAsia"/>
        </w:rPr>
        <w:t>万元，实际支出公用经费总额为</w:t>
      </w:r>
      <w:r>
        <w:t>64.77</w:t>
      </w:r>
      <w:r>
        <w:rPr>
          <w:rFonts w:hint="eastAsia"/>
        </w:rPr>
        <w:t>万元，公用经费控制率为</w:t>
      </w:r>
      <w:r>
        <w:t>429.79</w:t>
      </w:r>
      <w:r>
        <w:rPr>
          <w:rFonts w:hint="eastAsia"/>
        </w:rPr>
        <w:t>%。按照评分标准要求，扣减2分，得</w:t>
      </w:r>
      <w:r>
        <w:t>0</w:t>
      </w:r>
      <w:r>
        <w:rPr>
          <w:rFonts w:hint="eastAsia"/>
        </w:rPr>
        <w:t>分。</w:t>
      </w:r>
    </w:p>
    <w:p>
      <w:pPr>
        <w:pStyle w:val="25"/>
        <w:ind w:firstLine="640"/>
      </w:pPr>
      <w:r>
        <w:rPr>
          <w:rFonts w:hint="eastAsia"/>
        </w:rPr>
        <w:t>⑤“三公”经费控制率：分值</w:t>
      </w:r>
      <w:r>
        <w:t>1</w:t>
      </w:r>
      <w:r>
        <w:rPr>
          <w:rFonts w:hint="eastAsia"/>
        </w:rPr>
        <w:t>分，得分</w:t>
      </w:r>
      <w:r>
        <w:t>0</w:t>
      </w:r>
      <w:r>
        <w:rPr>
          <w:rFonts w:hint="eastAsia"/>
        </w:rPr>
        <w:t>分，得分率</w:t>
      </w:r>
      <w:r>
        <w:t>0</w:t>
      </w:r>
      <w:r>
        <w:rPr>
          <w:rFonts w:hint="eastAsia"/>
        </w:rPr>
        <w:t>%。根据预决算数据，区商务局2</w:t>
      </w:r>
      <w:r>
        <w:t>021</w:t>
      </w:r>
      <w:r>
        <w:rPr>
          <w:rFonts w:hint="eastAsia"/>
        </w:rPr>
        <w:t>年度部门预算安排“三公”经费</w:t>
      </w:r>
      <w:r>
        <w:t>0</w:t>
      </w:r>
      <w:r>
        <w:rPr>
          <w:rFonts w:hint="eastAsia"/>
        </w:rPr>
        <w:t>万元，实际支出“三公”经费</w:t>
      </w:r>
      <w:r>
        <w:t>0.84</w:t>
      </w:r>
      <w:r>
        <w:rPr>
          <w:rFonts w:hint="eastAsia"/>
        </w:rPr>
        <w:t>万元，“三公”经费控制率超过1</w:t>
      </w:r>
      <w:r>
        <w:t>00%</w:t>
      </w:r>
      <w:r>
        <w:rPr>
          <w:rFonts w:hint="eastAsia"/>
        </w:rPr>
        <w:t>。按照评分标准要求，扣减</w:t>
      </w:r>
      <w:r>
        <w:t>1</w:t>
      </w:r>
      <w:r>
        <w:rPr>
          <w:rFonts w:hint="eastAsia"/>
        </w:rPr>
        <w:t>分，得</w:t>
      </w:r>
      <w:r>
        <w:t>0</w:t>
      </w:r>
      <w:r>
        <w:rPr>
          <w:rFonts w:hint="eastAsia"/>
        </w:rPr>
        <w:t>分。</w:t>
      </w:r>
    </w:p>
    <w:p>
      <w:pPr>
        <w:pStyle w:val="25"/>
        <w:ind w:firstLine="640"/>
      </w:pPr>
      <w:r>
        <w:rPr>
          <w:rFonts w:hint="eastAsia"/>
        </w:rPr>
        <w:t>（2）预算管理</w:t>
      </w:r>
    </w:p>
    <w:p>
      <w:pPr>
        <w:pStyle w:val="25"/>
        <w:ind w:firstLine="640"/>
      </w:pPr>
      <w:r>
        <w:rPr>
          <w:rFonts w:hint="eastAsia"/>
        </w:rPr>
        <w:t>①资金使用合规性：分值</w:t>
      </w:r>
      <w:r>
        <w:t>1</w:t>
      </w:r>
      <w:r>
        <w:rPr>
          <w:rFonts w:hint="eastAsia"/>
        </w:rPr>
        <w:t>分，得分</w:t>
      </w:r>
      <w:r>
        <w:t>1</w:t>
      </w:r>
      <w:r>
        <w:rPr>
          <w:rFonts w:hint="eastAsia"/>
        </w:rPr>
        <w:t>分，得分率</w:t>
      </w:r>
      <w:r>
        <w:t>100</w:t>
      </w:r>
      <w:r>
        <w:rPr>
          <w:rFonts w:hint="eastAsia"/>
        </w:rPr>
        <w:t>%。依据财务管理制度进行评分，主要针对部门资金使用</w:t>
      </w:r>
      <w:r>
        <w:t>是否符合相关的财务管理制度</w:t>
      </w:r>
      <w:r>
        <w:rPr>
          <w:rFonts w:hint="eastAsia"/>
        </w:rPr>
        <w:t>和专项资金管理办法</w:t>
      </w:r>
      <w:r>
        <w:t>的规定，</w:t>
      </w:r>
      <w:r>
        <w:rPr>
          <w:rFonts w:hint="eastAsia"/>
        </w:rPr>
        <w:t>资金拨付是否有完整的审批程序和手续，部门预算是否经过部门决策机构审议通过，资金拨付</w:t>
      </w:r>
      <w:r>
        <w:t>是否符合</w:t>
      </w:r>
      <w:r>
        <w:rPr>
          <w:rFonts w:hint="eastAsia"/>
        </w:rPr>
        <w:t>预算批复规定用途等方面进行评价。评价结果分析显示，区商务局提供的凭证及用款审批单完整，财务记账符合国家财经法规和财务管理制度规定，各项资金拨付有完整的审批程序和手续，各项支出有完整的请款申请及资金审批单据，公务卡支出有完整的报销凭证，支出范围和结算符合公务卡使用规定，部门预算资金支出符合预算批复规定用途，部门2</w:t>
      </w:r>
      <w:r>
        <w:t>021</w:t>
      </w:r>
      <w:r>
        <w:rPr>
          <w:rFonts w:hint="eastAsia"/>
        </w:rPr>
        <w:t>年度预算和项目资金的重大开支均经过党组会集体决策，且有重大支出审批单、请款事项呈办单和相关会议纪要提供，部门资金不存在截留、挤占、挪用、虚列支出等情况。按照评分标准要求，得1分。</w:t>
      </w:r>
    </w:p>
    <w:p>
      <w:pPr>
        <w:pStyle w:val="50"/>
      </w:pPr>
      <w:r>
        <w:rPr>
          <w:rFonts w:hint="eastAsia"/>
        </w:rPr>
        <w:t>②预决算公开情况：分值</w:t>
      </w:r>
      <w:r>
        <w:t>1</w:t>
      </w:r>
      <w:r>
        <w:rPr>
          <w:rFonts w:hint="eastAsia"/>
        </w:rPr>
        <w:t>分，得分</w:t>
      </w:r>
      <w:r>
        <w:t>1</w:t>
      </w:r>
      <w:r>
        <w:rPr>
          <w:rFonts w:hint="eastAsia"/>
        </w:rPr>
        <w:t>分，得分率</w:t>
      </w:r>
      <w:r>
        <w:t>100</w:t>
      </w:r>
      <w:r>
        <w:rPr>
          <w:rFonts w:hint="eastAsia"/>
        </w:rPr>
        <w:t>%。依据部门预决算公开情况进行评分，主要针对部门是否按照政府信息公开有关规定公开相关预决算信息等方面进行评价。评价结果分析显示，区商务局根据天津市和平区财政局预决算公开要求，分别于</w:t>
      </w:r>
      <w:r>
        <w:t>2021年2月23日</w:t>
      </w:r>
      <w:r>
        <w:rPr>
          <w:rFonts w:hint="eastAsia"/>
        </w:rPr>
        <w:t>、</w:t>
      </w:r>
      <w:r>
        <w:t>2021年</w:t>
      </w:r>
      <w:r>
        <w:rPr>
          <w:rFonts w:hint="eastAsia"/>
        </w:rPr>
        <w:t>8</w:t>
      </w:r>
      <w:r>
        <w:t>月1日在天津市和平区政务网（http://www.tjhp.gov.cn/）财政预决算专栏对 2021年度部门预算</w:t>
      </w:r>
      <w:r>
        <w:rPr>
          <w:rFonts w:hint="eastAsia"/>
        </w:rPr>
        <w:t>、决算</w:t>
      </w:r>
      <w:r>
        <w:t>信息向社会进行公开，信息公布及时、内容完整，符合《预算法》要求及政府信息公开有关规定</w:t>
      </w:r>
      <w:r>
        <w:rPr>
          <w:rFonts w:hint="eastAsia"/>
        </w:rPr>
        <w:t>。按照评分标准要求，得</w:t>
      </w:r>
      <w:r>
        <w:t>1</w:t>
      </w:r>
      <w:r>
        <w:rPr>
          <w:rFonts w:hint="eastAsia"/>
        </w:rPr>
        <w:t>分。</w:t>
      </w:r>
    </w:p>
    <w:p>
      <w:pPr>
        <w:pStyle w:val="25"/>
        <w:ind w:firstLine="640"/>
      </w:pPr>
      <w:r>
        <w:rPr>
          <w:rFonts w:hint="eastAsia"/>
        </w:rPr>
        <w:t>③管理制度健全性：分值</w:t>
      </w:r>
      <w:r>
        <w:t>6</w:t>
      </w:r>
      <w:r>
        <w:rPr>
          <w:rFonts w:hint="eastAsia"/>
        </w:rPr>
        <w:t>分，得分</w:t>
      </w:r>
      <w:r>
        <w:t>4.5</w:t>
      </w:r>
      <w:r>
        <w:rPr>
          <w:rFonts w:hint="eastAsia"/>
        </w:rPr>
        <w:t>分，得分率</w:t>
      </w:r>
      <w:r>
        <w:t>75</w:t>
      </w:r>
      <w:r>
        <w:rPr>
          <w:rFonts w:hint="eastAsia"/>
        </w:rPr>
        <w:t>%。依据管理制度进行评分，主要针对预算资金管理办法、绩效跟踪管理办法、资产管理办法等各项制度是否健全，部门内部财务管理制度和会计核算制度是否完整、合规，管理制度执行是否有效等方面进行评价。评价结果分析显示，区商务局具有预算管理制度、采购管理制度、资产管理制度、合同管理制度、财务管理制度等，财务管理制度和会计核算制度完整、合规，但部门未制定相关绩效跟踪管理制度，不利于发挥绩效管理对预算编制执行的引导约束和控制作用，部门管理制度有待完善。按照评分标准要求，扣减</w:t>
      </w:r>
      <w:r>
        <w:t>1</w:t>
      </w:r>
      <w:r>
        <w:rPr>
          <w:rFonts w:hint="eastAsia"/>
        </w:rPr>
        <w:t>.5</w:t>
      </w:r>
      <w:r>
        <w:t>分，得4.5分。</w:t>
      </w:r>
    </w:p>
    <w:p>
      <w:pPr>
        <w:pStyle w:val="25"/>
        <w:ind w:firstLine="640"/>
      </w:pPr>
      <w:r>
        <w:rPr>
          <w:rFonts w:hint="eastAsia"/>
        </w:rPr>
        <w:t>（</w:t>
      </w:r>
      <w:r>
        <w:t>3</w:t>
      </w:r>
      <w:r>
        <w:rPr>
          <w:rFonts w:hint="eastAsia"/>
        </w:rPr>
        <w:t>）绩效管理</w:t>
      </w:r>
    </w:p>
    <w:p>
      <w:pPr>
        <w:pStyle w:val="25"/>
        <w:ind w:firstLine="640"/>
      </w:pPr>
      <w:r>
        <w:rPr>
          <w:rFonts w:hint="eastAsia"/>
        </w:rPr>
        <w:t>①绩效管理机构和制度建设情况：分值</w:t>
      </w:r>
      <w:r>
        <w:t>1</w:t>
      </w:r>
      <w:r>
        <w:rPr>
          <w:rFonts w:hint="eastAsia"/>
        </w:rPr>
        <w:t>分，得分</w:t>
      </w:r>
      <w:r>
        <w:t>0.5</w:t>
      </w:r>
      <w:r>
        <w:rPr>
          <w:rFonts w:hint="eastAsia"/>
        </w:rPr>
        <w:t>分，得分率</w:t>
      </w:r>
      <w:r>
        <w:t>50</w:t>
      </w:r>
      <w:r>
        <w:rPr>
          <w:rFonts w:hint="eastAsia"/>
        </w:rPr>
        <w:t>%。依据部门绩效管理机构和制度建设情况进行评分，主要针对部门是否成立绩效管理领导小组、是否指定相关处室和专人负责绩效管理工作，是否建立全过程预算绩效管理相关制度等方面进行评价。评价结果分析显示，根据评价组沟通了解</w:t>
      </w:r>
      <w:r>
        <w:rPr>
          <w:rFonts w:hint="eastAsia" w:cs="Times New Roman"/>
          <w:szCs w:val="32"/>
        </w:rPr>
        <w:t>，</w:t>
      </w:r>
      <w:r>
        <w:rPr>
          <w:rFonts w:hint="eastAsia"/>
        </w:rPr>
        <w:t>依据区商务局预算绩效管理领导小组组织架构，部门由单位领导担任绩效工作领导小组组长，各科室负责人为副组长，各科室工作人员为小组成员，部门以预算资金管理为主线，由办公室负责组织牵头，各科室协同配合开展绩效工作，形成了协调统一、上下贯通、分工明确的工作机制，但部门未建立全过程绩效管理制度，按照评分标准要求，得</w:t>
      </w:r>
      <w:r>
        <w:t>0.5</w:t>
      </w:r>
      <w:r>
        <w:rPr>
          <w:rFonts w:hint="eastAsia"/>
        </w:rPr>
        <w:t>分。</w:t>
      </w:r>
    </w:p>
    <w:p>
      <w:pPr>
        <w:pStyle w:val="25"/>
        <w:ind w:firstLine="640"/>
      </w:pPr>
      <w:r>
        <w:rPr>
          <w:rFonts w:hint="eastAsia"/>
        </w:rPr>
        <w:t>②绩效指标体系健全性：分值</w:t>
      </w:r>
      <w:r>
        <w:t>1</w:t>
      </w:r>
      <w:r>
        <w:rPr>
          <w:rFonts w:hint="eastAsia"/>
        </w:rPr>
        <w:t>分，得分</w:t>
      </w:r>
      <w:r>
        <w:t>1</w:t>
      </w:r>
      <w:r>
        <w:rPr>
          <w:rFonts w:hint="eastAsia"/>
        </w:rPr>
        <w:t>分，得分率</w:t>
      </w:r>
      <w:r>
        <w:t>100</w:t>
      </w:r>
      <w:r>
        <w:rPr>
          <w:rFonts w:hint="eastAsia"/>
        </w:rPr>
        <w:t>%。依据部门绩效管理指标库建设的完善程度进行评分，主要针对部门是否建立完善的指标体系，是否依据已建立的指标体系开展绩效目标编报工作等方面进行评价。评价结果分析显示，区商务局2</w:t>
      </w:r>
      <w:r>
        <w:t>021</w:t>
      </w:r>
      <w:r>
        <w:rPr>
          <w:rFonts w:hint="eastAsia"/>
        </w:rPr>
        <w:t>年度已建立完善的指标体系，</w:t>
      </w:r>
      <w:bookmarkStart w:id="68" w:name="_GoBack"/>
      <w:bookmarkEnd w:id="68"/>
      <w:r>
        <w:rPr>
          <w:rFonts w:hint="eastAsia"/>
        </w:rPr>
        <w:t>并根据已建立的指标体系开展绩效目标编报工作。按照评分标准要求，得1分。</w:t>
      </w:r>
    </w:p>
    <w:p>
      <w:pPr>
        <w:pStyle w:val="25"/>
        <w:ind w:firstLine="640"/>
      </w:pPr>
      <w:r>
        <w:rPr>
          <w:rFonts w:hint="eastAsia"/>
        </w:rPr>
        <w:t>③绩效目标工作开展情况：分值</w:t>
      </w:r>
      <w:r>
        <w:t>1</w:t>
      </w:r>
      <w:r>
        <w:rPr>
          <w:rFonts w:hint="eastAsia"/>
        </w:rPr>
        <w:t>分，得分</w:t>
      </w:r>
      <w:r>
        <w:t>1</w:t>
      </w:r>
      <w:r>
        <w:rPr>
          <w:rFonts w:hint="eastAsia"/>
        </w:rPr>
        <w:t>分，得分率</w:t>
      </w:r>
      <w:r>
        <w:t>100</w:t>
      </w:r>
      <w:r>
        <w:rPr>
          <w:rFonts w:hint="eastAsia"/>
        </w:rPr>
        <w:t>%。依据部门公开的2</w:t>
      </w:r>
      <w:r>
        <w:t>021</w:t>
      </w:r>
      <w:r>
        <w:rPr>
          <w:rFonts w:hint="eastAsia"/>
        </w:rPr>
        <w:t>年度绩效目标表进行评分，主要针对部门是否在规定时间内完成部门整体绩效目标和项目绩效目标的编报工作并及时公开等方面进行评价。评价结果分析显示，区商务局2</w:t>
      </w:r>
      <w:r>
        <w:t>021</w:t>
      </w:r>
      <w:r>
        <w:rPr>
          <w:rFonts w:hint="eastAsia"/>
        </w:rPr>
        <w:t>年度按照天津市和平区财政局要求在规定时间内完成部门整体绩效目标和项目绩效目标的编报工作，并于2</w:t>
      </w:r>
      <w:r>
        <w:t>021</w:t>
      </w:r>
      <w:r>
        <w:rPr>
          <w:rFonts w:hint="eastAsia"/>
        </w:rPr>
        <w:t>年2月2</w:t>
      </w:r>
      <w:r>
        <w:t>4</w:t>
      </w:r>
      <w:r>
        <w:rPr>
          <w:rFonts w:hint="eastAsia"/>
        </w:rPr>
        <w:t>日在天津市和平区政务网（</w:t>
      </w:r>
      <w:r>
        <w:rPr>
          <w:rFonts w:ascii="微软雅黑" w:hAnsi="微软雅黑"/>
          <w:color w:val="404040"/>
          <w:shd w:val="clear" w:color="auto" w:fill="FFFFFF"/>
        </w:rPr>
        <w:t>http://www.tjhp.gov.cn/</w:t>
      </w:r>
      <w:r>
        <w:rPr>
          <w:rFonts w:hint="eastAsia"/>
        </w:rPr>
        <w:t>）财政预决算专栏对</w:t>
      </w:r>
      <w:r>
        <w:t xml:space="preserve"> 2021年</w:t>
      </w:r>
      <w:r>
        <w:rPr>
          <w:rFonts w:hint="eastAsia"/>
        </w:rPr>
        <w:t>度部门整体绩效目标和项目绩效目标向社会进行公开。按照评分标准要求，得1分。</w:t>
      </w:r>
    </w:p>
    <w:p>
      <w:pPr>
        <w:pStyle w:val="25"/>
        <w:ind w:firstLine="640"/>
      </w:pPr>
      <w:r>
        <w:rPr>
          <w:rFonts w:hint="eastAsia"/>
        </w:rPr>
        <w:t>④绩效评价工作开展情况：分值</w:t>
      </w:r>
      <w:r>
        <w:t>1</w:t>
      </w:r>
      <w:r>
        <w:rPr>
          <w:rFonts w:hint="eastAsia"/>
        </w:rPr>
        <w:t>分，得分</w:t>
      </w:r>
      <w:r>
        <w:t>1</w:t>
      </w:r>
      <w:r>
        <w:rPr>
          <w:rFonts w:hint="eastAsia"/>
        </w:rPr>
        <w:t>分，得分率</w:t>
      </w:r>
      <w:r>
        <w:t>100</w:t>
      </w:r>
      <w:r>
        <w:rPr>
          <w:rFonts w:hint="eastAsia"/>
        </w:rPr>
        <w:t>%。依据2</w:t>
      </w:r>
      <w:r>
        <w:t>021</w:t>
      </w:r>
      <w:r>
        <w:rPr>
          <w:rFonts w:hint="eastAsia"/>
        </w:rPr>
        <w:t>年度部门整体支出绩效自评表、部门整体支出绩效自评报告、项目支出绩效自评表、项目支出绩效自评报告进行评分，主要针对部门是否按规定及时完成绩效自评工作等方面进行评价。评价结果分析显示，区商务局2</w:t>
      </w:r>
      <w:r>
        <w:t>021</w:t>
      </w:r>
      <w:r>
        <w:rPr>
          <w:rFonts w:hint="eastAsia"/>
        </w:rPr>
        <w:t>年度按照天津市和平区财政局的要求，按时开展部门整体支出绩效自评工作和项目支出绩效自评工作，完成了部门整体绩效自评表、项目支出绩效自评表的编报工作，部门能够提供出相应的自评工作材料，内容完整，填写较为规范。按照评分标准要求，得1分。</w:t>
      </w:r>
    </w:p>
    <w:p>
      <w:pPr>
        <w:pStyle w:val="25"/>
        <w:ind w:firstLine="640"/>
      </w:pPr>
      <w:r>
        <w:rPr>
          <w:rFonts w:hint="eastAsia"/>
        </w:rPr>
        <w:t>（</w:t>
      </w:r>
      <w:r>
        <w:t>4</w:t>
      </w:r>
      <w:r>
        <w:rPr>
          <w:rFonts w:hint="eastAsia"/>
        </w:rPr>
        <w:t>）资产管理</w:t>
      </w:r>
    </w:p>
    <w:p>
      <w:pPr>
        <w:pStyle w:val="25"/>
        <w:ind w:firstLine="640"/>
      </w:pPr>
      <w:r>
        <w:rPr>
          <w:rFonts w:hint="eastAsia"/>
        </w:rPr>
        <w:t>①资产管理规范性：分值</w:t>
      </w:r>
      <w:r>
        <w:t>2</w:t>
      </w:r>
      <w:r>
        <w:rPr>
          <w:rFonts w:hint="eastAsia"/>
        </w:rPr>
        <w:t>分，得分</w:t>
      </w:r>
      <w:r>
        <w:t>2</w:t>
      </w:r>
      <w:r>
        <w:rPr>
          <w:rFonts w:hint="eastAsia"/>
        </w:rPr>
        <w:t>分，得分率</w:t>
      </w:r>
      <w:r>
        <w:t>100</w:t>
      </w:r>
      <w:r>
        <w:rPr>
          <w:rFonts w:hint="eastAsia"/>
        </w:rPr>
        <w:t>%。依据部门2</w:t>
      </w:r>
      <w:r>
        <w:t>021</w:t>
      </w:r>
      <w:r>
        <w:rPr>
          <w:rFonts w:hint="eastAsia"/>
        </w:rPr>
        <w:t>年度区商务局行政事业性国有资产分析报告、资产年报、</w:t>
      </w:r>
      <w:r>
        <w:t>行政事业单位国有</w:t>
      </w:r>
      <w:r>
        <w:rPr>
          <w:rFonts w:hint="eastAsia"/>
        </w:rPr>
        <w:t>资产处置申报表、核准处置资产清单进行评分，主要针对资产保存是否完整，是否定期对固定资产进行清查，资产配置是否合理，资产使用和处置是否规范，是否做到账实相符等方面进行评价。评价结果分析显示，部门</w:t>
      </w:r>
      <w:r>
        <w:t>2021年度资产保存完整，未发生资产损失和丢失，不存在超标准配置资产，资产使用与资产配置均符合规范，资产处置及资产调拨有完整的审批手续，资产管理规范。</w:t>
      </w:r>
      <w:r>
        <w:rPr>
          <w:rFonts w:hint="eastAsia"/>
        </w:rPr>
        <w:t>按照评分标准要求，得</w:t>
      </w:r>
      <w:r>
        <w:t>2</w:t>
      </w:r>
      <w:r>
        <w:rPr>
          <w:rFonts w:hint="eastAsia"/>
        </w:rPr>
        <w:t>分。</w:t>
      </w:r>
    </w:p>
    <w:p>
      <w:pPr>
        <w:pStyle w:val="25"/>
        <w:ind w:firstLine="640"/>
      </w:pPr>
      <w:r>
        <w:rPr>
          <w:rFonts w:hint="eastAsia"/>
        </w:rPr>
        <w:t>②固定资产利用率：分值</w:t>
      </w:r>
      <w:r>
        <w:t>3</w:t>
      </w:r>
      <w:r>
        <w:rPr>
          <w:rFonts w:hint="eastAsia"/>
        </w:rPr>
        <w:t>分，得分</w:t>
      </w:r>
      <w:r>
        <w:t>3</w:t>
      </w:r>
      <w:r>
        <w:rPr>
          <w:rFonts w:hint="eastAsia"/>
        </w:rPr>
        <w:t>分，得分率</w:t>
      </w:r>
      <w:r>
        <w:t>100</w:t>
      </w:r>
      <w:r>
        <w:rPr>
          <w:rFonts w:hint="eastAsia"/>
        </w:rPr>
        <w:t>%。依据2</w:t>
      </w:r>
      <w:r>
        <w:t>021</w:t>
      </w:r>
      <w:r>
        <w:rPr>
          <w:rFonts w:hint="eastAsia"/>
        </w:rPr>
        <w:t>年度资产年报、资产明细账进行评分，主要针对部门</w:t>
      </w:r>
      <w:r>
        <w:t>实际在用固定资产总额与所有固定资产总额的比率</w:t>
      </w:r>
      <w:r>
        <w:rPr>
          <w:rFonts w:hint="eastAsia"/>
        </w:rPr>
        <w:t>情况进行评价。评价结果分析显示，根据评价组实地调研，区商务局所有</w:t>
      </w:r>
      <w:r>
        <w:t>固定资产总额为254.28 万元</w:t>
      </w:r>
      <w:r>
        <w:rPr>
          <w:rFonts w:hint="eastAsia"/>
        </w:rPr>
        <w:t>，</w:t>
      </w:r>
      <w:r>
        <w:t>其中</w:t>
      </w:r>
      <w:r>
        <w:rPr>
          <w:rFonts w:hint="eastAsia"/>
        </w:rPr>
        <w:t>闲置</w:t>
      </w:r>
      <w:r>
        <w:t xml:space="preserve"> 0.05 万元，占账面固定资产总额的 0.02 % </w:t>
      </w:r>
      <w:r>
        <w:rPr>
          <w:rFonts w:hint="eastAsia"/>
        </w:rPr>
        <w:t>，</w:t>
      </w:r>
      <w:r>
        <w:t>待处置（待报废、毁损等） 4.02 万元，占账面固定资产总额的 1.58 %</w:t>
      </w:r>
      <w:r>
        <w:rPr>
          <w:rFonts w:hint="eastAsia"/>
        </w:rPr>
        <w:t>，</w:t>
      </w:r>
      <w:r>
        <w:t xml:space="preserve">在用250.22万元，占固定资产总额的 98.40 % </w:t>
      </w:r>
      <w:r>
        <w:rPr>
          <w:rFonts w:hint="eastAsia"/>
        </w:rPr>
        <w:t>，固定资产利用率为</w:t>
      </w:r>
      <w:r>
        <w:t>98.40 %</w:t>
      </w:r>
      <w:r>
        <w:rPr>
          <w:rFonts w:hint="eastAsia"/>
        </w:rPr>
        <w:t>，按照评分标准要求，得</w:t>
      </w:r>
      <w:r>
        <w:t>3</w:t>
      </w:r>
      <w:r>
        <w:rPr>
          <w:rFonts w:hint="eastAsia"/>
        </w:rPr>
        <w:t>分。</w:t>
      </w:r>
    </w:p>
    <w:p>
      <w:pPr>
        <w:pStyle w:val="25"/>
        <w:ind w:firstLine="640"/>
      </w:pPr>
      <w:r>
        <w:rPr>
          <w:rFonts w:hint="eastAsia"/>
        </w:rPr>
        <w:t>3</w:t>
      </w:r>
      <w:r>
        <w:t>.</w:t>
      </w:r>
      <w:r>
        <w:rPr>
          <w:rFonts w:hint="eastAsia"/>
        </w:rPr>
        <w:t>履职产出</w:t>
      </w:r>
    </w:p>
    <w:p>
      <w:pPr>
        <w:pStyle w:val="25"/>
        <w:ind w:firstLine="640"/>
      </w:pPr>
      <w:r>
        <w:rPr>
          <w:rFonts w:hint="eastAsia"/>
        </w:rPr>
        <w:t>（</w:t>
      </w:r>
      <w:r>
        <w:t>1</w:t>
      </w:r>
      <w:r>
        <w:rPr>
          <w:rFonts w:hint="eastAsia"/>
        </w:rPr>
        <w:t>）产出数量</w:t>
      </w:r>
    </w:p>
    <w:p>
      <w:pPr>
        <w:pStyle w:val="25"/>
        <w:spacing w:line="360" w:lineRule="auto"/>
        <w:ind w:firstLine="640"/>
      </w:pPr>
      <w:r>
        <w:rPr>
          <w:rFonts w:hint="eastAsia"/>
        </w:rPr>
        <w:t>①提振市场消费活力工作完成情况：分值</w:t>
      </w:r>
      <w:r>
        <w:t>4</w:t>
      </w:r>
      <w:r>
        <w:rPr>
          <w:rFonts w:hint="eastAsia"/>
        </w:rPr>
        <w:t>分，得分</w:t>
      </w:r>
      <w:r>
        <w:t>4</w:t>
      </w:r>
      <w:r>
        <w:rPr>
          <w:rFonts w:hint="eastAsia"/>
        </w:rPr>
        <w:t>分，得分率1</w:t>
      </w:r>
      <w:r>
        <w:t>00</w:t>
      </w:r>
      <w:r>
        <w:rPr>
          <w:rFonts w:hint="eastAsia"/>
        </w:rPr>
        <w:t>%。本指标通过部门2</w:t>
      </w:r>
      <w:r>
        <w:t>021</w:t>
      </w:r>
      <w:r>
        <w:rPr>
          <w:rFonts w:hint="eastAsia"/>
        </w:rPr>
        <w:t>年度完成的提振市场消费活力工作与部门年度工作计划、区重点工作任务比对，反映部门提振市场消费活力工作的完成情况。依据部门年度工作计划、年度工作总结、财务相关数据等资料，主要针对促进消费、推进外贸等方面进行评价。</w:t>
      </w:r>
      <w:r>
        <w:t>评价分析结果如下：</w:t>
      </w:r>
    </w:p>
    <w:p>
      <w:pPr>
        <w:pStyle w:val="25"/>
        <w:ind w:firstLine="640"/>
      </w:pPr>
      <w:r>
        <w:rPr>
          <w:rFonts w:hint="eastAsia"/>
        </w:rPr>
        <w:t>1）促进市场消费活力完成情况：区商务局2</w:t>
      </w:r>
      <w:r>
        <w:t>021</w:t>
      </w:r>
      <w:r>
        <w:rPr>
          <w:rFonts w:hint="eastAsia"/>
        </w:rPr>
        <w:t>年度推进国际消费中心城市标志区建设，金街荣获第二批“全国示范步行街”称号，跟进现代城购物中心、和平印象城等重点项目，支持津湾广场地区业态调整与招商。推进《和平区关于鼓励发展商业品牌首店的若干措施（试行）》，支持企业引进</w:t>
      </w:r>
      <w:r>
        <w:t>Space酒吧、津湾国图等54家首店、旗舰店，商业载体向特色化、品质化、多元化发展的态势充分显现。牵头组织“惠民暖企、畅享和平”消费券活动、“海河国际消费季”和平区5大版块106场主题促消费活动</w:t>
      </w:r>
      <w:r>
        <w:rPr>
          <w:rFonts w:hint="eastAsia"/>
        </w:rPr>
        <w:t>，</w:t>
      </w:r>
      <w:r>
        <w:t>支持举办2021银发购物节等活动</w:t>
      </w:r>
      <w:r>
        <w:rPr>
          <w:rFonts w:hint="eastAsia"/>
        </w:rPr>
        <w:t>；为进一步贯彻落实市、区政府关于发展夜间经济的有关部署要求，促进夜间消费市场繁荣活跃，牵头制定《和平区</w:t>
      </w:r>
      <w:r>
        <w:t>2021年度夜间经济建设工作方案》，并组织区文化旅游局、区繁华办、五大道管委会等部门各自形成夜间经济专项工作方案。5月26日，组织政府有关部门、主要商业街区、重点大型商场以及优质活动资源方、品牌资源方召开2021年度和平区夜间经济部署会议暨夜间经济撮合对接会议</w:t>
      </w:r>
      <w:r>
        <w:rPr>
          <w:rFonts w:hint="eastAsia"/>
        </w:rPr>
        <w:t>，和平大悦城等大型商场、津湾广场等重点商圈、南市食品街等重点商街推出夜市活动。</w:t>
      </w:r>
    </w:p>
    <w:p>
      <w:pPr>
        <w:pStyle w:val="25"/>
        <w:ind w:firstLine="640"/>
      </w:pPr>
      <w:r>
        <w:rPr>
          <w:rFonts w:hint="eastAsia"/>
        </w:rPr>
        <w:t>2）扎实推进外贸工作完成情况：区商务局2</w:t>
      </w:r>
      <w:r>
        <w:t>021</w:t>
      </w:r>
      <w:r>
        <w:rPr>
          <w:rFonts w:hint="eastAsia"/>
        </w:rPr>
        <w:t>年度组织企业参加进博会、广交会、服贸会、消博会等国家级大型会展活动，发掘和联系更多优质商业资源，服务区内企业开拓消费市场，寻求更多合作机会。完成和平区“创新型”外贸业务人才培养工程（</w:t>
      </w:r>
      <w:r>
        <w:t>2020—2022年）第一期培训工作，</w:t>
      </w:r>
      <w:r>
        <w:rPr>
          <w:rFonts w:hint="eastAsia"/>
        </w:rPr>
        <w:t>并</w:t>
      </w:r>
      <w:r>
        <w:t>启动第二期</w:t>
      </w:r>
      <w:r>
        <w:rPr>
          <w:rFonts w:hint="eastAsia"/>
        </w:rPr>
        <w:t>。</w:t>
      </w:r>
      <w:r>
        <w:t xml:space="preserve"> </w:t>
      </w:r>
    </w:p>
    <w:p>
      <w:pPr>
        <w:pStyle w:val="25"/>
        <w:ind w:firstLine="640"/>
      </w:pPr>
      <w:r>
        <w:rPr>
          <w:rFonts w:hint="eastAsia"/>
        </w:rPr>
        <w:t>综上所述，区商务局党提振市场消费活力工作完成内容与年度计划、区重点工作任务相符，提振市场消费活力工作计划完成率为1</w:t>
      </w:r>
      <w:r>
        <w:t>00</w:t>
      </w:r>
      <w:r>
        <w:rPr>
          <w:rFonts w:hint="eastAsia"/>
        </w:rPr>
        <w:t>%。按照评分标准要求，得</w:t>
      </w:r>
      <w:r>
        <w:t>4</w:t>
      </w:r>
      <w:r>
        <w:rPr>
          <w:rFonts w:hint="eastAsia"/>
        </w:rPr>
        <w:t>分。</w:t>
      </w:r>
    </w:p>
    <w:p>
      <w:pPr>
        <w:pStyle w:val="25"/>
        <w:ind w:firstLine="640"/>
      </w:pPr>
      <w:r>
        <w:rPr>
          <w:rFonts w:hint="eastAsia"/>
        </w:rPr>
        <w:t>②民生改善工作完成情况：分值</w:t>
      </w:r>
      <w:r>
        <w:t>4</w:t>
      </w:r>
      <w:r>
        <w:rPr>
          <w:rFonts w:hint="eastAsia"/>
        </w:rPr>
        <w:t>分，得分</w:t>
      </w:r>
      <w:r>
        <w:t>4</w:t>
      </w:r>
      <w:r>
        <w:rPr>
          <w:rFonts w:hint="eastAsia"/>
        </w:rPr>
        <w:t>分，得分率1</w:t>
      </w:r>
      <w:r>
        <w:t>00</w:t>
      </w:r>
      <w:r>
        <w:rPr>
          <w:rFonts w:hint="eastAsia"/>
        </w:rPr>
        <w:t>%。本指标通过部门2</w:t>
      </w:r>
      <w:r>
        <w:t>021</w:t>
      </w:r>
      <w:r>
        <w:rPr>
          <w:rFonts w:hint="eastAsia"/>
        </w:rPr>
        <w:t>年度完成的民生改善工作与部门年度工作计划、区重点工作任务比对，反映部门民生改善工作任务的完成情况。依据部门年度工作计划、年度工作总结、财务相关数据等资料，主要针对菜市场改扩建、商品追溯体系建设及优化便民商业网点布局等方面进行评价。</w:t>
      </w:r>
      <w:r>
        <w:t>评价分析结果如下：</w:t>
      </w:r>
    </w:p>
    <w:p>
      <w:pPr>
        <w:pStyle w:val="25"/>
        <w:ind w:firstLine="640"/>
        <w:rPr>
          <w:rFonts w:ascii="仿宋_GB2312" w:hAnsi="仿宋_GB2312" w:cs="仿宋_GB2312"/>
          <w:bCs/>
          <w:color w:val="000000"/>
          <w:szCs w:val="32"/>
        </w:rPr>
      </w:pPr>
      <w:r>
        <w:rPr>
          <w:rFonts w:ascii="仿宋_GB2312" w:hAnsi="仿宋_GB2312" w:cs="仿宋_GB2312"/>
          <w:bCs/>
          <w:color w:val="000000"/>
          <w:szCs w:val="32"/>
        </w:rPr>
        <w:t>1</w:t>
      </w:r>
      <w:r>
        <w:rPr>
          <w:rFonts w:hint="eastAsia" w:ascii="仿宋_GB2312" w:hAnsi="仿宋_GB2312" w:cs="仿宋_GB2312"/>
          <w:bCs/>
          <w:color w:val="000000"/>
          <w:szCs w:val="32"/>
        </w:rPr>
        <w:t>）</w:t>
      </w:r>
      <w:r>
        <w:rPr>
          <w:rFonts w:hint="eastAsia"/>
        </w:rPr>
        <w:t>菜市场改扩建完成情况</w:t>
      </w:r>
      <w:r>
        <w:rPr>
          <w:rFonts w:hint="eastAsia" w:ascii="仿宋_GB2312" w:hAnsi="仿宋_GB2312" w:cs="仿宋_GB2312"/>
          <w:bCs/>
          <w:color w:val="000000"/>
          <w:szCs w:val="32"/>
        </w:rPr>
        <w:t>：区商务局2</w:t>
      </w:r>
      <w:r>
        <w:rPr>
          <w:rFonts w:ascii="仿宋_GB2312" w:hAnsi="仿宋_GB2312" w:cs="仿宋_GB2312"/>
          <w:bCs/>
          <w:color w:val="000000"/>
          <w:szCs w:val="32"/>
        </w:rPr>
        <w:t>021</w:t>
      </w:r>
      <w:r>
        <w:rPr>
          <w:rFonts w:hint="eastAsia" w:ascii="仿宋_GB2312" w:hAnsi="仿宋_GB2312" w:cs="仿宋_GB2312"/>
          <w:bCs/>
          <w:color w:val="000000"/>
          <w:szCs w:val="32"/>
        </w:rPr>
        <w:t>年度协调推动库农公司选址和硬件改造，新疆路菜市场年初开业，填补了劝业场街地区标准化菜市场的空白，并探索更加细化的为民服务项目；推进企业与区内菜市场对接，金街公司所属</w:t>
      </w:r>
      <w:r>
        <w:rPr>
          <w:rFonts w:ascii="仿宋_GB2312" w:hAnsi="仿宋_GB2312" w:cs="仿宋_GB2312"/>
          <w:bCs/>
          <w:color w:val="000000"/>
          <w:szCs w:val="32"/>
        </w:rPr>
        <w:t>4家菜市场统一交付库农公司运营，</w:t>
      </w:r>
      <w:r>
        <w:rPr>
          <w:rFonts w:hint="eastAsia" w:ascii="仿宋_GB2312" w:hAnsi="仿宋_GB2312" w:cs="仿宋_GB2312"/>
          <w:bCs/>
          <w:color w:val="000000"/>
          <w:szCs w:val="32"/>
        </w:rPr>
        <w:t>推进</w:t>
      </w:r>
      <w:r>
        <w:rPr>
          <w:rFonts w:ascii="仿宋_GB2312" w:hAnsi="仿宋_GB2312" w:cs="仿宋_GB2312"/>
          <w:bCs/>
          <w:color w:val="000000"/>
          <w:szCs w:val="32"/>
        </w:rPr>
        <w:t>芷江路菜市场提升改造</w:t>
      </w:r>
      <w:r>
        <w:rPr>
          <w:rFonts w:hint="eastAsia" w:ascii="仿宋_GB2312" w:hAnsi="仿宋_GB2312" w:cs="仿宋_GB2312"/>
          <w:bCs/>
          <w:color w:val="000000"/>
          <w:szCs w:val="32"/>
        </w:rPr>
        <w:t>。</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2）商品追溯体系建设及优化便民商业网点布局完成情况：区商务局2</w:t>
      </w:r>
      <w:r>
        <w:rPr>
          <w:rFonts w:ascii="仿宋_GB2312" w:hAnsi="仿宋_GB2312" w:cs="仿宋_GB2312"/>
          <w:bCs/>
          <w:color w:val="000000"/>
          <w:szCs w:val="32"/>
        </w:rPr>
        <w:t>021</w:t>
      </w:r>
      <w:r>
        <w:rPr>
          <w:rFonts w:hint="eastAsia" w:ascii="仿宋_GB2312" w:hAnsi="仿宋_GB2312" w:cs="仿宋_GB2312"/>
          <w:bCs/>
          <w:color w:val="000000"/>
          <w:szCs w:val="32"/>
        </w:rPr>
        <w:t>年度对重点超市的商品追溯信息录入情况逐一研究，确保了信息上传及时、真实、有效，</w:t>
      </w:r>
      <w:r>
        <w:rPr>
          <w:rFonts w:ascii="仿宋_GB2312" w:hAnsi="仿宋_GB2312" w:cs="仿宋_GB2312"/>
          <w:bCs/>
          <w:color w:val="000000"/>
          <w:szCs w:val="32"/>
        </w:rPr>
        <w:t>4家大型超市的追溯系统上传</w:t>
      </w:r>
      <w:r>
        <w:rPr>
          <w:rFonts w:hint="eastAsia" w:ascii="仿宋_GB2312" w:hAnsi="仿宋_GB2312" w:cs="仿宋_GB2312"/>
          <w:bCs/>
          <w:color w:val="000000"/>
          <w:szCs w:val="32"/>
        </w:rPr>
        <w:t>完成</w:t>
      </w:r>
      <w:r>
        <w:rPr>
          <w:rFonts w:ascii="仿宋_GB2312" w:hAnsi="仿宋_GB2312" w:cs="仿宋_GB2312"/>
          <w:bCs/>
          <w:color w:val="000000"/>
          <w:szCs w:val="32"/>
        </w:rPr>
        <w:t>率达100%</w:t>
      </w:r>
      <w:r>
        <w:rPr>
          <w:rFonts w:hint="eastAsia" w:ascii="仿宋_GB2312" w:hAnsi="仿宋_GB2312" w:cs="仿宋_GB2312"/>
          <w:bCs/>
          <w:color w:val="000000"/>
          <w:szCs w:val="32"/>
        </w:rPr>
        <w:t>；按照天津市“菜篮子”市长负责制工作要求，对全区“菜篮子”产品零售网点进行自查评价，推动</w:t>
      </w:r>
      <w:r>
        <w:rPr>
          <w:rFonts w:ascii="仿宋_GB2312" w:hAnsi="仿宋_GB2312" w:cs="仿宋_GB2312"/>
          <w:bCs/>
          <w:color w:val="000000"/>
          <w:szCs w:val="32"/>
        </w:rPr>
        <w:t>64个社区完成257个便民生鲜超市网点的铺设。</w:t>
      </w:r>
    </w:p>
    <w:p>
      <w:pPr>
        <w:pStyle w:val="25"/>
        <w:ind w:firstLine="640"/>
      </w:pPr>
      <w:r>
        <w:rPr>
          <w:rFonts w:hint="eastAsia"/>
        </w:rPr>
        <w:t>综上所述，区商务局民生改善工作完成内容与年度计划相符，民生改善工作计划完成率为1</w:t>
      </w:r>
      <w:r>
        <w:t>00</w:t>
      </w:r>
      <w:r>
        <w:rPr>
          <w:rFonts w:hint="eastAsia"/>
        </w:rPr>
        <w:t>%。按照评分标准要求，得</w:t>
      </w:r>
      <w:r>
        <w:t>4</w:t>
      </w:r>
      <w:r>
        <w:rPr>
          <w:rFonts w:hint="eastAsia"/>
        </w:rPr>
        <w:t>分。</w:t>
      </w:r>
    </w:p>
    <w:p>
      <w:pPr>
        <w:pStyle w:val="25"/>
        <w:ind w:firstLine="640"/>
      </w:pPr>
      <w:r>
        <w:rPr>
          <w:rFonts w:ascii="仿宋_GB2312" w:hAnsi="仿宋_GB2312" w:cs="仿宋_GB2312"/>
          <w:szCs w:val="32"/>
        </w:rPr>
        <w:t>③</w:t>
      </w:r>
      <w:r>
        <w:rPr>
          <w:rFonts w:hint="eastAsia" w:ascii="仿宋_GB2312" w:hAnsi="仿宋_GB2312" w:cs="仿宋_GB2312"/>
          <w:szCs w:val="32"/>
        </w:rPr>
        <w:t>节能减排工作完成情况：</w:t>
      </w:r>
      <w:r>
        <w:rPr>
          <w:rFonts w:hint="eastAsia"/>
        </w:rPr>
        <w:t>分值</w:t>
      </w:r>
      <w:r>
        <w:t>4</w:t>
      </w:r>
      <w:r>
        <w:rPr>
          <w:rFonts w:hint="eastAsia"/>
        </w:rPr>
        <w:t>分，得分</w:t>
      </w:r>
      <w:r>
        <w:t>4</w:t>
      </w:r>
      <w:r>
        <w:rPr>
          <w:rFonts w:hint="eastAsia"/>
        </w:rPr>
        <w:t>分，得分率1</w:t>
      </w:r>
      <w:r>
        <w:t>00</w:t>
      </w:r>
      <w:r>
        <w:rPr>
          <w:rFonts w:hint="eastAsia"/>
        </w:rPr>
        <w:t>%。本指标通过部门2</w:t>
      </w:r>
      <w:r>
        <w:t>021</w:t>
      </w:r>
      <w:r>
        <w:rPr>
          <w:rFonts w:hint="eastAsia"/>
        </w:rPr>
        <w:t>年度完成的节能减排工作与部门年度工作计划、区重点工作任务比对比对，反映部门</w:t>
      </w:r>
      <w:r>
        <w:rPr>
          <w:rFonts w:hint="eastAsia" w:ascii="仿宋_GB2312" w:hAnsi="仿宋_GB2312" w:cs="仿宋_GB2312"/>
          <w:szCs w:val="32"/>
        </w:rPr>
        <w:t>节能减排</w:t>
      </w:r>
      <w:r>
        <w:rPr>
          <w:rFonts w:hint="eastAsia"/>
        </w:rPr>
        <w:t>工作任务的完成情况。依据部门年度工作计划、年度工作总结、财务相关数据等资料，主要针对节约型机关创建、能耗双控考核等方面进行评价。</w:t>
      </w:r>
      <w:r>
        <w:t xml:space="preserve">评价分析结果如下： </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节约型机关创建、能耗双控考核完成情况：区商务局2</w:t>
      </w:r>
      <w:r>
        <w:rPr>
          <w:rFonts w:ascii="仿宋_GB2312" w:hAnsi="仿宋_GB2312" w:cs="仿宋_GB2312"/>
          <w:bCs/>
          <w:color w:val="000000"/>
          <w:szCs w:val="32"/>
        </w:rPr>
        <w:t>021</w:t>
      </w:r>
      <w:r>
        <w:rPr>
          <w:rFonts w:hint="eastAsia" w:ascii="仿宋_GB2312" w:hAnsi="仿宋_GB2312" w:cs="仿宋_GB2312"/>
          <w:bCs/>
          <w:color w:val="000000"/>
          <w:szCs w:val="32"/>
        </w:rPr>
        <w:t>年度完成区</w:t>
      </w:r>
      <w:r>
        <w:rPr>
          <w:rFonts w:ascii="仿宋_GB2312" w:hAnsi="仿宋_GB2312" w:cs="仿宋_GB2312"/>
          <w:bCs/>
          <w:color w:val="000000"/>
          <w:szCs w:val="32"/>
        </w:rPr>
        <w:t>2020年节能目标责任评价考核工作</w:t>
      </w:r>
      <w:r>
        <w:rPr>
          <w:rFonts w:hint="eastAsia" w:ascii="仿宋_GB2312" w:hAnsi="仿宋_GB2312" w:cs="仿宋_GB2312"/>
          <w:bCs/>
          <w:color w:val="000000"/>
          <w:szCs w:val="32"/>
        </w:rPr>
        <w:t>，经市发改委、统计局、工信局、住建委等</w:t>
      </w:r>
      <w:r>
        <w:rPr>
          <w:rFonts w:ascii="仿宋_GB2312" w:hAnsi="仿宋_GB2312" w:cs="仿宋_GB2312"/>
          <w:bCs/>
          <w:color w:val="000000"/>
          <w:szCs w:val="32"/>
        </w:rPr>
        <w:t>9部门集中评议，市政府审定，和平区2020年度能耗双控考核结果为超额完成等级</w:t>
      </w:r>
      <w:r>
        <w:rPr>
          <w:rFonts w:hint="eastAsia" w:ascii="仿宋_GB2312" w:hAnsi="仿宋_GB2312" w:cs="仿宋_GB2312"/>
          <w:bCs/>
          <w:color w:val="000000"/>
          <w:szCs w:val="32"/>
        </w:rPr>
        <w:t>；确定</w:t>
      </w:r>
      <w:r>
        <w:rPr>
          <w:rFonts w:ascii="仿宋_GB2312" w:hAnsi="仿宋_GB2312" w:cs="仿宋_GB2312"/>
          <w:bCs/>
          <w:color w:val="000000"/>
          <w:szCs w:val="32"/>
        </w:rPr>
        <w:t>2020年度重点用能单位名单，组织填报2020年能源利用状况报告</w:t>
      </w:r>
      <w:r>
        <w:rPr>
          <w:rFonts w:hint="eastAsia" w:ascii="仿宋_GB2312" w:hAnsi="仿宋_GB2312" w:cs="仿宋_GB2312"/>
          <w:bCs/>
          <w:color w:val="000000"/>
          <w:szCs w:val="32"/>
        </w:rPr>
        <w:t>，</w:t>
      </w:r>
      <w:r>
        <w:rPr>
          <w:rFonts w:ascii="仿宋_GB2312" w:hAnsi="仿宋_GB2312" w:cs="仿宋_GB2312"/>
          <w:bCs/>
          <w:color w:val="000000"/>
          <w:szCs w:val="32"/>
        </w:rPr>
        <w:t>开展了2020年度企业节能信用评价工作</w:t>
      </w:r>
      <w:r>
        <w:rPr>
          <w:rFonts w:hint="eastAsia" w:ascii="仿宋_GB2312" w:hAnsi="仿宋_GB2312" w:cs="仿宋_GB2312"/>
          <w:bCs/>
          <w:color w:val="000000"/>
          <w:szCs w:val="32"/>
        </w:rPr>
        <w:t>；组织专业机构按照《</w:t>
      </w:r>
      <w:r>
        <w:rPr>
          <w:rFonts w:ascii="仿宋_GB2312" w:hAnsi="仿宋_GB2312" w:cs="仿宋_GB2312"/>
          <w:bCs/>
          <w:color w:val="000000"/>
          <w:szCs w:val="32"/>
        </w:rPr>
        <w:t>2020年度重点用能单位能源消耗总量和强度双控考核标准》，对天津市热力有限公司开展能耗双控考核，通过材料初步审核和现场考核验收等环节，完成了考核验收工作</w:t>
      </w:r>
      <w:r>
        <w:rPr>
          <w:rFonts w:hint="eastAsia" w:ascii="仿宋_GB2312" w:hAnsi="仿宋_GB2312" w:cs="仿宋_GB2312"/>
          <w:bCs/>
          <w:color w:val="000000"/>
          <w:szCs w:val="32"/>
        </w:rPr>
        <w:t>，</w:t>
      </w:r>
      <w:r>
        <w:rPr>
          <w:rFonts w:ascii="仿宋_GB2312" w:hAnsi="仿宋_GB2312" w:cs="仿宋_GB2312"/>
          <w:bCs/>
          <w:color w:val="000000"/>
          <w:szCs w:val="32"/>
        </w:rPr>
        <w:t>天津市热力有限公司2020年度能耗“双控”评价考核为超额完成等级</w:t>
      </w:r>
      <w:r>
        <w:rPr>
          <w:rFonts w:hint="eastAsia" w:ascii="仿宋_GB2312" w:hAnsi="仿宋_GB2312" w:cs="仿宋_GB2312"/>
          <w:bCs/>
          <w:color w:val="000000"/>
          <w:szCs w:val="32"/>
        </w:rPr>
        <w:t>；区政府办、司法局、统计局三家单位作为天津市被抽查单位，接受国家机关事务管理局节约型机关创建的书面抽查验收，经国管局等有关部委评价认定，</w:t>
      </w:r>
      <w:r>
        <w:rPr>
          <w:rFonts w:ascii="仿宋_GB2312" w:hAnsi="仿宋_GB2312" w:cs="仿宋_GB2312"/>
          <w:bCs/>
          <w:color w:val="000000"/>
          <w:szCs w:val="32"/>
        </w:rPr>
        <w:t xml:space="preserve"> 35家党政机关建成节约型机关</w:t>
      </w:r>
      <w:r>
        <w:rPr>
          <w:rFonts w:hint="eastAsia" w:ascii="仿宋_GB2312" w:hAnsi="仿宋_GB2312" w:cs="仿宋_GB2312"/>
          <w:bCs/>
          <w:color w:val="000000"/>
          <w:szCs w:val="32"/>
        </w:rPr>
        <w:t>。</w:t>
      </w:r>
    </w:p>
    <w:p>
      <w:pPr>
        <w:pStyle w:val="25"/>
        <w:ind w:firstLine="640"/>
      </w:pPr>
      <w:r>
        <w:rPr>
          <w:rFonts w:hint="eastAsia"/>
        </w:rPr>
        <w:t>综上所述，区商务局节能减排工作完成内容与年度计划相符，节能减排工作计划完成率为1</w:t>
      </w:r>
      <w:r>
        <w:t>00</w:t>
      </w:r>
      <w:r>
        <w:rPr>
          <w:rFonts w:hint="eastAsia"/>
        </w:rPr>
        <w:t>%。按照评分标准要求，得</w:t>
      </w:r>
      <w:r>
        <w:t>4</w:t>
      </w:r>
      <w:r>
        <w:rPr>
          <w:rFonts w:hint="eastAsia"/>
        </w:rPr>
        <w:t>分。</w:t>
      </w:r>
    </w:p>
    <w:p>
      <w:pPr>
        <w:pStyle w:val="25"/>
        <w:ind w:firstLine="640"/>
      </w:pPr>
      <w:r>
        <w:rPr>
          <w:rFonts w:hint="eastAsia"/>
        </w:rPr>
        <w:t>（</w:t>
      </w:r>
      <w:r>
        <w:t>2</w:t>
      </w:r>
      <w:r>
        <w:rPr>
          <w:rFonts w:hint="eastAsia"/>
        </w:rPr>
        <w:t>）产出质量</w:t>
      </w:r>
    </w:p>
    <w:p>
      <w:pPr>
        <w:pStyle w:val="25"/>
        <w:ind w:firstLine="640"/>
      </w:pPr>
      <w:r>
        <w:rPr>
          <w:rFonts w:hint="eastAsia"/>
        </w:rPr>
        <w:t>①提振市场消费活力工作完成质量达标情况：分值</w:t>
      </w:r>
      <w:r>
        <w:t>4</w:t>
      </w:r>
      <w:r>
        <w:rPr>
          <w:rFonts w:hint="eastAsia"/>
        </w:rPr>
        <w:t>分，得分</w:t>
      </w:r>
      <w:r>
        <w:t>4</w:t>
      </w:r>
      <w:r>
        <w:rPr>
          <w:rFonts w:hint="eastAsia"/>
        </w:rPr>
        <w:t>分，得分率1</w:t>
      </w:r>
      <w:r>
        <w:t>00</w:t>
      </w:r>
      <w:r>
        <w:rPr>
          <w:rFonts w:hint="eastAsia"/>
        </w:rPr>
        <w:t>%。本指标通过部门本年度完成质量达标的工作任务数与实际完成工作任务数比对，反映部门提振市场消费活力工作完成质量的达标情况。依据单位提供的年度工作计划、年度工作总结、财务相关数据等资料进行评价，</w:t>
      </w:r>
      <w:r>
        <w:t>评价分析结果如下：</w:t>
      </w:r>
    </w:p>
    <w:p>
      <w:pPr>
        <w:pStyle w:val="25"/>
        <w:ind w:firstLine="640"/>
      </w:pPr>
      <w:r>
        <w:rPr>
          <w:rFonts w:hint="eastAsia"/>
        </w:rPr>
        <w:t>提振市场消费活力工作内容包括步行街提升改造试点验收</w:t>
      </w:r>
      <w:r>
        <w:t>、</w:t>
      </w:r>
      <w:r>
        <w:rPr>
          <w:rFonts w:hint="eastAsia"/>
        </w:rPr>
        <w:t>发展“首店经济”“首发经济”、繁荣夜间经济、发放消费券、推进津湾广场地区业态调整与招商、推进外贸等</w:t>
      </w:r>
      <w:r>
        <w:t>工作任务，</w:t>
      </w:r>
      <w:r>
        <w:rPr>
          <w:rFonts w:hint="eastAsia"/>
        </w:rPr>
        <w:t>其中金街荣获第二批“全国示范步行街”称号，高标准完成全国步行街提升改造验收，工作实施内容及完成情况</w:t>
      </w:r>
      <w:r>
        <w:t>符合部门年度工作计划安排</w:t>
      </w:r>
      <w:r>
        <w:rPr>
          <w:rFonts w:hint="eastAsia"/>
        </w:rPr>
        <w:t>与区重点工作任务要求</w:t>
      </w:r>
      <w:r>
        <w:t>，综上所述，</w:t>
      </w:r>
      <w:r>
        <w:rPr>
          <w:rFonts w:hint="eastAsia"/>
        </w:rPr>
        <w:t>提振市场消费活力工作</w:t>
      </w:r>
      <w:r>
        <w:t>质量达标率为100%。按照评分标准要求，得4分</w:t>
      </w:r>
    </w:p>
    <w:p>
      <w:pPr>
        <w:pStyle w:val="25"/>
        <w:ind w:firstLine="640"/>
      </w:pPr>
      <w:r>
        <w:rPr>
          <w:rFonts w:hint="eastAsia" w:ascii="宋体" w:hAnsi="宋体" w:eastAsia="宋体" w:cs="宋体"/>
        </w:rPr>
        <w:t>②</w:t>
      </w:r>
      <w:r>
        <w:rPr>
          <w:rFonts w:hint="eastAsia"/>
        </w:rPr>
        <w:t>民生改善工作完成质量达标情况：分值</w:t>
      </w:r>
      <w:r>
        <w:t>4</w:t>
      </w:r>
      <w:r>
        <w:rPr>
          <w:rFonts w:hint="eastAsia"/>
        </w:rPr>
        <w:t>分，得分</w:t>
      </w:r>
      <w:r>
        <w:t>4</w:t>
      </w:r>
      <w:r>
        <w:rPr>
          <w:rFonts w:hint="eastAsia"/>
        </w:rPr>
        <w:t>分，得分率1</w:t>
      </w:r>
      <w:r>
        <w:t>00</w:t>
      </w:r>
      <w:r>
        <w:rPr>
          <w:rFonts w:hint="eastAsia"/>
        </w:rPr>
        <w:t>%。本指标通过部门本年度完成质量达标的工作任务数与实际完成工作任务数比对，反映部门民生改善工作完成质量的达标情况。依据单位提供的年度工作计划、年度工作总结、财务相关数据等资料进行评价，</w:t>
      </w:r>
      <w:r>
        <w:t>评价分析结果如下：</w:t>
      </w:r>
    </w:p>
    <w:p>
      <w:pPr>
        <w:pStyle w:val="25"/>
        <w:ind w:firstLine="640"/>
      </w:pPr>
      <w:r>
        <w:rPr>
          <w:rFonts w:hint="eastAsia"/>
        </w:rPr>
        <w:t>区商务局完成推动新疆路菜市场2</w:t>
      </w:r>
      <w:r>
        <w:t>021</w:t>
      </w:r>
      <w:r>
        <w:rPr>
          <w:rFonts w:hint="eastAsia"/>
        </w:rPr>
        <w:t>年年初开业、推进芷江路菜市场提升改造、商品追溯体系建设、优化便民商业网点布局，其中</w:t>
      </w:r>
      <w:r>
        <w:t>4家大型超市的追溯系统上传达标率达100%</w:t>
      </w:r>
      <w:r>
        <w:rPr>
          <w:rFonts w:hint="eastAsia"/>
        </w:rPr>
        <w:t>，实现全区</w:t>
      </w:r>
      <w:r>
        <w:t>64个社区便民生鲜超市网点铺设</w:t>
      </w:r>
      <w:r>
        <w:rPr>
          <w:rFonts w:hint="eastAsia"/>
        </w:rPr>
        <w:t>全覆盖，民生改善工作完成情况符合部门年度工作计划安排与区重点工作任务要求。</w:t>
      </w:r>
      <w:r>
        <w:rPr>
          <w:rFonts w:hint="eastAsia" w:ascii="仿宋_GB2312" w:hAnsi="仿宋_GB2312" w:cs="仿宋_GB2312"/>
          <w:szCs w:val="32"/>
        </w:rPr>
        <w:t>综上所述，</w:t>
      </w:r>
      <w:r>
        <w:rPr>
          <w:rFonts w:hint="eastAsia"/>
        </w:rPr>
        <w:t>民生改善工作完成质量情况达到预期目标，民生改善工作完成质量达标率为100%。按照评分标准要求，得</w:t>
      </w:r>
      <w:r>
        <w:t>4</w:t>
      </w:r>
      <w:r>
        <w:rPr>
          <w:rFonts w:hint="eastAsia"/>
        </w:rPr>
        <w:t>分。</w:t>
      </w:r>
    </w:p>
    <w:p>
      <w:pPr>
        <w:pStyle w:val="25"/>
        <w:ind w:firstLine="640"/>
      </w:pPr>
      <w:r>
        <w:rPr>
          <w:rFonts w:hint="eastAsia"/>
        </w:rPr>
        <w:t>③节能减排工作完成质量达标情况：分值</w:t>
      </w:r>
      <w:r>
        <w:t>4</w:t>
      </w:r>
      <w:r>
        <w:rPr>
          <w:rFonts w:hint="eastAsia"/>
        </w:rPr>
        <w:t>分，得分</w:t>
      </w:r>
      <w:r>
        <w:t>4</w:t>
      </w:r>
      <w:r>
        <w:rPr>
          <w:rFonts w:hint="eastAsia"/>
        </w:rPr>
        <w:t>分，得分率1</w:t>
      </w:r>
      <w:r>
        <w:t>00</w:t>
      </w:r>
      <w:r>
        <w:rPr>
          <w:rFonts w:hint="eastAsia"/>
        </w:rPr>
        <w:t>%。本指标通过部门本年度完成质量达标的工作任务数与实际完成工作任务数比对，反映部门节能减排工作工作完成质量的达标情况。依据单位提供的年度工作计划、年度工作总结、财务相关数据等资料进行评价，</w:t>
      </w:r>
      <w:r>
        <w:t>评价分析结果如下：</w:t>
      </w:r>
    </w:p>
    <w:p>
      <w:pPr>
        <w:pStyle w:val="25"/>
        <w:ind w:firstLine="640"/>
      </w:pPr>
      <w:bookmarkStart w:id="55" w:name="_Hlk119869834"/>
      <w:r>
        <w:rPr>
          <w:rFonts w:hint="eastAsia"/>
        </w:rPr>
        <w:t>节能减排工作</w:t>
      </w:r>
      <w:bookmarkEnd w:id="55"/>
      <w:r>
        <w:rPr>
          <w:rFonts w:hint="eastAsia"/>
        </w:rPr>
        <w:t>完成内容包括节约型机关创建、能耗双控</w:t>
      </w:r>
    </w:p>
    <w:p>
      <w:pPr>
        <w:pStyle w:val="25"/>
        <w:ind w:firstLine="0" w:firstLineChars="0"/>
      </w:pPr>
      <w:r>
        <w:rPr>
          <w:rFonts w:hint="eastAsia"/>
        </w:rPr>
        <w:t>考核，其中经市发改委、统计局、工信局、住建委等</w:t>
      </w:r>
      <w:r>
        <w:t>9部门集中评议，市政府审定，和平区2020年度能耗双控考核结果为超额完成等级</w:t>
      </w:r>
      <w:r>
        <w:rPr>
          <w:rFonts w:hint="eastAsia"/>
        </w:rPr>
        <w:t>，专业机构按照《</w:t>
      </w:r>
      <w:r>
        <w:t>2020年度重点用能单位能源消耗总量和强度双控考核标准》，对天津市热力有限公司开展能耗双控考核，</w:t>
      </w:r>
      <w:r>
        <w:rPr>
          <w:rFonts w:hint="eastAsia"/>
        </w:rPr>
        <w:t>考核结果显示</w:t>
      </w:r>
      <w:r>
        <w:t>天津市热力有限公司2020年度能耗“双控”评价考核为超额完成等级。</w:t>
      </w:r>
      <w:r>
        <w:rPr>
          <w:rFonts w:hint="eastAsia"/>
        </w:rPr>
        <w:t>区政府办、司法局、统计局三家单位作为天津市被抽查单位，接受国家机关事务管理局节约型机关创建的书面抽查验收，经国管局等有关部委评价认定，全区</w:t>
      </w:r>
      <w:r>
        <w:t>35家党政机关建成节约型机关</w:t>
      </w:r>
      <w:r>
        <w:rPr>
          <w:rFonts w:hint="eastAsia"/>
        </w:rPr>
        <w:t>，节能减排工作完成情况符合部门年度工作计划安排与区重点工作任务要求。</w:t>
      </w:r>
      <w:r>
        <w:rPr>
          <w:rFonts w:hint="eastAsia" w:ascii="仿宋_GB2312" w:hAnsi="仿宋_GB2312" w:cs="仿宋_GB2312"/>
          <w:szCs w:val="32"/>
        </w:rPr>
        <w:t>综上所述，区商务局</w:t>
      </w:r>
      <w:r>
        <w:rPr>
          <w:rFonts w:hint="eastAsia"/>
        </w:rPr>
        <w:t>节能减排工作完成质量情况达到预期目标，节能减排工作完成质量达标率为100%。按照评分标准要求，得</w:t>
      </w:r>
      <w:r>
        <w:t>4</w:t>
      </w:r>
      <w:r>
        <w:rPr>
          <w:rFonts w:hint="eastAsia"/>
        </w:rPr>
        <w:t>分。</w:t>
      </w:r>
    </w:p>
    <w:p>
      <w:pPr>
        <w:pStyle w:val="25"/>
        <w:ind w:firstLine="640"/>
      </w:pPr>
      <w:r>
        <w:rPr>
          <w:rFonts w:hint="eastAsia"/>
        </w:rPr>
        <w:t>（</w:t>
      </w:r>
      <w:r>
        <w:t>3</w:t>
      </w:r>
      <w:r>
        <w:rPr>
          <w:rFonts w:hint="eastAsia"/>
        </w:rPr>
        <w:t>）产出进度</w:t>
      </w:r>
    </w:p>
    <w:p>
      <w:pPr>
        <w:pStyle w:val="25"/>
        <w:ind w:firstLine="640"/>
      </w:pPr>
      <w:r>
        <w:rPr>
          <w:rFonts w:hint="eastAsia"/>
        </w:rPr>
        <w:t>①提振市场消费活力工作完成及时情况：分值</w:t>
      </w:r>
      <w:r>
        <w:t>1.5分，得分1.5分，得分率100%。</w:t>
      </w:r>
      <w:r>
        <w:rPr>
          <w:rFonts w:hint="eastAsia"/>
        </w:rPr>
        <w:t>依据单位提供的年度工作计划、年度工作总结、部门整体绩效目标表等资料，</w:t>
      </w:r>
      <w:r>
        <w:t>2021年</w:t>
      </w:r>
      <w:r>
        <w:rPr>
          <w:rFonts w:hint="eastAsia"/>
        </w:rPr>
        <w:t>区商务局及时推进国际消费中心城市标志区建设</w:t>
      </w:r>
      <w:r>
        <w:t>、</w:t>
      </w:r>
      <w:r>
        <w:rPr>
          <w:rFonts w:hint="eastAsia"/>
        </w:rPr>
        <w:t>消费券活动</w:t>
      </w:r>
      <w:r>
        <w:t>、</w:t>
      </w:r>
      <w:r>
        <w:rPr>
          <w:rFonts w:hint="eastAsia"/>
        </w:rPr>
        <w:t>繁荣夜间经济、推进外贸</w:t>
      </w:r>
      <w:r>
        <w:t>等工作</w:t>
      </w:r>
      <w:r>
        <w:rPr>
          <w:rFonts w:hint="eastAsia"/>
        </w:rPr>
        <w:t>开展，且</w:t>
      </w:r>
      <w:r>
        <w:t>与预期开展时间相符合，</w:t>
      </w:r>
      <w:r>
        <w:rPr>
          <w:rFonts w:hint="eastAsia"/>
        </w:rPr>
        <w:t>提振市场消费活力</w:t>
      </w:r>
      <w:r>
        <w:t>工作开展及时率100%。按照评分标准要求，得1</w:t>
      </w:r>
      <w:r>
        <w:rPr>
          <w:rFonts w:hint="eastAsia"/>
        </w:rPr>
        <w:t>.5</w:t>
      </w:r>
      <w:r>
        <w:t>分</w:t>
      </w:r>
      <w:r>
        <w:rPr>
          <w:rFonts w:hint="eastAsia"/>
        </w:rPr>
        <w:t>。</w:t>
      </w:r>
    </w:p>
    <w:p>
      <w:pPr>
        <w:pStyle w:val="25"/>
        <w:ind w:firstLine="640"/>
      </w:pPr>
      <w:r>
        <w:rPr>
          <w:rFonts w:hint="eastAsia"/>
        </w:rPr>
        <w:t>②民生改善工作完成及时情况：分值</w:t>
      </w:r>
      <w:r>
        <w:t>1.5分，得分1.5分，得分率100%。</w:t>
      </w:r>
      <w:r>
        <w:rPr>
          <w:rFonts w:hint="eastAsia"/>
        </w:rPr>
        <w:t>依据单位提供的年度工作计划、年度工作总结、部门整体绩效目标表等资料，</w:t>
      </w:r>
      <w:r>
        <w:t>2021年</w:t>
      </w:r>
      <w:r>
        <w:rPr>
          <w:rFonts w:hint="eastAsia"/>
        </w:rPr>
        <w:t>区商务局及时推进新疆路菜市场</w:t>
      </w:r>
      <w:r>
        <w:t>2021年年初开业、推进芷江路菜市场提升改造、商品追溯体系建设、优化便民商业网点布局等工作</w:t>
      </w:r>
      <w:r>
        <w:rPr>
          <w:rFonts w:hint="eastAsia"/>
        </w:rPr>
        <w:t>开展，且</w:t>
      </w:r>
      <w:r>
        <w:t>与预期开展时间相符合，</w:t>
      </w:r>
      <w:r>
        <w:rPr>
          <w:rFonts w:hint="eastAsia"/>
        </w:rPr>
        <w:t>民生改善工作</w:t>
      </w:r>
      <w:r>
        <w:t>开展及时率100%。按照评分标准要求，得1</w:t>
      </w:r>
      <w:r>
        <w:rPr>
          <w:rFonts w:hint="eastAsia"/>
        </w:rPr>
        <w:t>.5</w:t>
      </w:r>
      <w:r>
        <w:t>分</w:t>
      </w:r>
      <w:r>
        <w:rPr>
          <w:rFonts w:hint="eastAsia"/>
        </w:rPr>
        <w:t>。</w:t>
      </w:r>
    </w:p>
    <w:p>
      <w:pPr>
        <w:pStyle w:val="25"/>
        <w:ind w:firstLine="640"/>
      </w:pPr>
      <w:r>
        <w:rPr>
          <w:rFonts w:hint="eastAsia"/>
        </w:rPr>
        <w:t>③节能减排工作完成及时情况：分值</w:t>
      </w:r>
      <w:r>
        <w:t>1分，得分1分，得分率100%。</w:t>
      </w:r>
      <w:r>
        <w:rPr>
          <w:rFonts w:hint="eastAsia"/>
        </w:rPr>
        <w:t>依据单位提供的年度工作计划、年度工作总结、部门整体绩效目标表等资料，</w:t>
      </w:r>
      <w:r>
        <w:t>2021年</w:t>
      </w:r>
      <w:r>
        <w:rPr>
          <w:rFonts w:hint="eastAsia"/>
        </w:rPr>
        <w:t>区商务局及时推进节约型机关创建、能耗双控考核</w:t>
      </w:r>
      <w:r>
        <w:t>等工作</w:t>
      </w:r>
      <w:r>
        <w:rPr>
          <w:rFonts w:hint="eastAsia"/>
        </w:rPr>
        <w:t>开展，且</w:t>
      </w:r>
      <w:r>
        <w:t>与预期开展时间相符合，</w:t>
      </w:r>
      <w:r>
        <w:rPr>
          <w:rFonts w:hint="eastAsia"/>
        </w:rPr>
        <w:t>节能减排工作</w:t>
      </w:r>
      <w:r>
        <w:t>开展及时率100%。按照评分标准要求，得1分</w:t>
      </w:r>
      <w:r>
        <w:rPr>
          <w:rFonts w:hint="eastAsia"/>
        </w:rPr>
        <w:t>。</w:t>
      </w:r>
    </w:p>
    <w:p>
      <w:pPr>
        <w:pStyle w:val="25"/>
        <w:ind w:firstLine="640"/>
      </w:pPr>
      <w:r>
        <w:rPr>
          <w:rFonts w:hint="eastAsia"/>
        </w:rPr>
        <w:t>（</w:t>
      </w:r>
      <w:r>
        <w:t>4</w:t>
      </w:r>
      <w:r>
        <w:rPr>
          <w:rFonts w:hint="eastAsia"/>
        </w:rPr>
        <w:t>）产出成本</w:t>
      </w:r>
    </w:p>
    <w:p>
      <w:pPr>
        <w:pStyle w:val="25"/>
        <w:ind w:firstLine="640"/>
      </w:pPr>
      <w:r>
        <w:rPr>
          <w:rFonts w:hint="eastAsia"/>
        </w:rPr>
        <w:t>①成本控制措施有效性：分值</w:t>
      </w:r>
      <w:r>
        <w:t>3</w:t>
      </w:r>
      <w:r>
        <w:rPr>
          <w:rFonts w:hint="eastAsia"/>
        </w:rPr>
        <w:t>分，得分</w:t>
      </w:r>
      <w:r>
        <w:t>3</w:t>
      </w:r>
      <w:r>
        <w:rPr>
          <w:rFonts w:hint="eastAsia"/>
        </w:rPr>
        <w:t>分，得分率</w:t>
      </w:r>
      <w:r>
        <w:t>100</w:t>
      </w:r>
      <w:r>
        <w:rPr>
          <w:rFonts w:hint="eastAsia"/>
        </w:rPr>
        <w:t>%。依据部门成本控制措施制定情况进行评分，主要针对部门对日常工作经费成本控制措施的保障情况进行评价。评价结果分析显示，区商务局已制定厉行节约措施，包括精准编制支出预算、压减一般性支出、压减办公成本、压减“三公”经费支出等，保障了日常工作经费成本控制情况。按照评分标准要求，得3分。</w:t>
      </w:r>
    </w:p>
    <w:p>
      <w:pPr>
        <w:pStyle w:val="25"/>
        <w:ind w:firstLine="640"/>
      </w:pPr>
      <w:r>
        <w:rPr>
          <w:rFonts w:hint="eastAsia"/>
        </w:rPr>
        <w:t>②成本控制措施执行情况：分值</w:t>
      </w:r>
      <w:r>
        <w:t>3</w:t>
      </w:r>
      <w:r>
        <w:rPr>
          <w:rFonts w:hint="eastAsia"/>
        </w:rPr>
        <w:t>分，得分</w:t>
      </w:r>
      <w:r>
        <w:t>2</w:t>
      </w:r>
      <w:r>
        <w:rPr>
          <w:rFonts w:hint="eastAsia"/>
        </w:rPr>
        <w:t>分，得分率</w:t>
      </w:r>
      <w:r>
        <w:t>66.7</w:t>
      </w:r>
      <w:r>
        <w:rPr>
          <w:rFonts w:hint="eastAsia"/>
        </w:rPr>
        <w:t>%。依据部门成本控制措施执行情况进行评分，主要针对部门对日常工作经费成本控制措施的执行情况进行评价。评价结果分析显示，区商务局按照《天津市和平区商务局关于节约资金开支的相关措施》执行；</w:t>
      </w:r>
      <w:r>
        <w:rPr>
          <w:rFonts w:cs="Times New Roman"/>
        </w:rPr>
        <w:t>通过对比同类型的其他单位，</w:t>
      </w:r>
      <w:r>
        <w:rPr>
          <w:rFonts w:hint="eastAsia" w:cs="Times New Roman"/>
        </w:rPr>
        <w:t>区商务局</w:t>
      </w:r>
      <w:r>
        <w:rPr>
          <w:rFonts w:cs="Times New Roman"/>
        </w:rPr>
        <w:t>产出处于正常水平</w:t>
      </w:r>
      <w:r>
        <w:rPr>
          <w:rFonts w:hint="eastAsia" w:cs="Times New Roman"/>
        </w:rPr>
        <w:t>；年初预算安排公用经费总额为</w:t>
      </w:r>
      <w:r>
        <w:rPr>
          <w:rFonts w:cs="Times New Roman"/>
        </w:rPr>
        <w:t>15.07万元，实际支出公用经费总额为64.77万元，公用经费控制率为429.79%</w:t>
      </w:r>
      <w:r>
        <w:rPr>
          <w:rFonts w:hint="eastAsia" w:cs="Times New Roman"/>
        </w:rPr>
        <w:t>，</w:t>
      </w:r>
      <w:r>
        <w:rPr>
          <w:rFonts w:hint="eastAsia"/>
        </w:rPr>
        <w:t>成本控制措施执行效果有待加强。按照评分标准要求，得</w:t>
      </w:r>
      <w:r>
        <w:t>2</w:t>
      </w:r>
      <w:r>
        <w:rPr>
          <w:rFonts w:hint="eastAsia"/>
        </w:rPr>
        <w:t>分。</w:t>
      </w:r>
    </w:p>
    <w:p>
      <w:pPr>
        <w:pStyle w:val="25"/>
        <w:ind w:firstLine="640"/>
      </w:pPr>
      <w:r>
        <w:rPr>
          <w:rFonts w:hint="eastAsia"/>
        </w:rPr>
        <w:t>4.履职效益</w:t>
      </w:r>
    </w:p>
    <w:p>
      <w:pPr>
        <w:pStyle w:val="25"/>
        <w:ind w:firstLine="640"/>
      </w:pPr>
      <w:r>
        <w:rPr>
          <w:rFonts w:hint="eastAsia"/>
        </w:rPr>
        <w:t>（1）经济效益</w:t>
      </w:r>
    </w:p>
    <w:p>
      <w:pPr>
        <w:pStyle w:val="25"/>
        <w:ind w:firstLine="640"/>
        <w:rPr>
          <w:rFonts w:ascii="仿宋_GB2312" w:hAnsi="仿宋_GB2312" w:cs="仿宋_GB2312"/>
        </w:rPr>
      </w:pPr>
      <w:r>
        <w:rPr>
          <w:rFonts w:hint="eastAsia"/>
        </w:rPr>
        <w:t>销售总额同比增长情况：</w:t>
      </w:r>
      <w:r>
        <w:rPr>
          <w:rFonts w:hint="eastAsia" w:ascii="仿宋_GB2312" w:hAnsi="仿宋_GB2312" w:cs="仿宋_GB2312"/>
        </w:rPr>
        <w:t>分值</w:t>
      </w:r>
      <w:r>
        <w:rPr>
          <w:rFonts w:ascii="仿宋_GB2312" w:hAnsi="仿宋_GB2312" w:cs="仿宋_GB2312"/>
        </w:rPr>
        <w:t>8分，得分8分，得分率100%。</w:t>
      </w:r>
      <w:r>
        <w:rPr>
          <w:rFonts w:hint="eastAsia" w:ascii="仿宋_GB2312" w:hAnsi="仿宋_GB2312" w:cs="仿宋_GB2312"/>
        </w:rPr>
        <w:t>本指标针对2</w:t>
      </w:r>
      <w:r>
        <w:rPr>
          <w:rFonts w:ascii="仿宋_GB2312" w:hAnsi="仿宋_GB2312" w:cs="仿宋_GB2312"/>
        </w:rPr>
        <w:t>021</w:t>
      </w:r>
      <w:r>
        <w:rPr>
          <w:rFonts w:hint="eastAsia" w:ascii="仿宋_GB2312" w:hAnsi="仿宋_GB2312" w:cs="仿宋_GB2312"/>
        </w:rPr>
        <w:t>年度区销售总额是否达到预期目标进行评分，反映提振市场消费活力工作对和平区商业高质量发展的促进作用。评价结果分析显示，限上企业销售额实现</w:t>
      </w:r>
      <w:r>
        <w:rPr>
          <w:rFonts w:ascii="仿宋_GB2312" w:hAnsi="仿宋_GB2312" w:cs="仿宋_GB2312"/>
        </w:rPr>
        <w:t>907.6亿，同比增长4.6%，全区销售额实现1000亿元，同比增长4.7%。</w:t>
      </w:r>
      <w:r>
        <w:rPr>
          <w:rFonts w:hint="eastAsia" w:ascii="仿宋_GB2312" w:hAnsi="仿宋_GB2312" w:cs="仿宋_GB2312"/>
        </w:rPr>
        <w:t>进出口</w:t>
      </w:r>
      <w:r>
        <w:rPr>
          <w:rFonts w:ascii="仿宋_GB2312" w:hAnsi="仿宋_GB2312" w:cs="仿宋_GB2312"/>
        </w:rPr>
        <w:t>194.6亿元，同比增长13.6%</w:t>
      </w:r>
      <w:r>
        <w:rPr>
          <w:rFonts w:hint="eastAsia" w:ascii="仿宋_GB2312" w:hAnsi="仿宋_GB2312" w:cs="仿宋_GB2312"/>
        </w:rPr>
        <w:t>，</w:t>
      </w:r>
      <w:r>
        <w:rPr>
          <w:rFonts w:ascii="仿宋_GB2312" w:hAnsi="仿宋_GB2312" w:cs="仿宋_GB2312"/>
        </w:rPr>
        <w:t>其中出口101.1亿元，同比增长8.4%</w:t>
      </w:r>
      <w:r>
        <w:rPr>
          <w:rFonts w:hint="eastAsia" w:ascii="仿宋_GB2312" w:hAnsi="仿宋_GB2312" w:cs="仿宋_GB2312"/>
        </w:rPr>
        <w:t>。社会消费品零售总额</w:t>
      </w:r>
      <w:r>
        <w:rPr>
          <w:rFonts w:ascii="仿宋_GB2312" w:hAnsi="仿宋_GB2312" w:cs="仿宋_GB2312"/>
        </w:rPr>
        <w:t>204</w:t>
      </w:r>
      <w:r>
        <w:rPr>
          <w:rFonts w:hint="eastAsia" w:ascii="仿宋_GB2312" w:hAnsi="仿宋_GB2312" w:cs="仿宋_GB2312"/>
        </w:rPr>
        <w:t>亿元，同比增长</w:t>
      </w:r>
      <w:r>
        <w:rPr>
          <w:rFonts w:ascii="仿宋_GB2312" w:hAnsi="仿宋_GB2312" w:cs="仿宋_GB2312"/>
        </w:rPr>
        <w:t>4.9%</w:t>
      </w:r>
      <w:r>
        <w:rPr>
          <w:rFonts w:hint="eastAsia" w:ascii="仿宋_GB2312" w:hAnsi="仿宋_GB2312" w:cs="仿宋_GB2312"/>
        </w:rPr>
        <w:t>。完成情况符合区重点工作任务中“外贸进出口总额保持稳定增长”“社会消费品零售总额同比增长</w:t>
      </w:r>
      <w:r>
        <w:rPr>
          <w:rFonts w:ascii="仿宋_GB2312" w:hAnsi="仿宋_GB2312" w:cs="仿宋_GB2312"/>
        </w:rPr>
        <w:t>4%</w:t>
      </w:r>
      <w:r>
        <w:rPr>
          <w:rFonts w:hint="eastAsia" w:ascii="仿宋_GB2312" w:hAnsi="仿宋_GB2312" w:cs="仿宋_GB2312"/>
        </w:rPr>
        <w:t>”的要求，按照评分标准要求，得</w:t>
      </w:r>
      <w:r>
        <w:rPr>
          <w:rFonts w:ascii="仿宋_GB2312" w:hAnsi="仿宋_GB2312" w:cs="仿宋_GB2312"/>
        </w:rPr>
        <w:t>8</w:t>
      </w:r>
      <w:r>
        <w:rPr>
          <w:rFonts w:hint="eastAsia" w:ascii="仿宋_GB2312" w:hAnsi="仿宋_GB2312" w:cs="仿宋_GB2312"/>
        </w:rPr>
        <w:t>分。</w:t>
      </w:r>
    </w:p>
    <w:p>
      <w:pPr>
        <w:pStyle w:val="25"/>
        <w:ind w:firstLine="640"/>
      </w:pPr>
      <w:r>
        <w:rPr>
          <w:rFonts w:hint="eastAsia"/>
        </w:rPr>
        <w:t>（</w:t>
      </w:r>
      <w:r>
        <w:t>2</w:t>
      </w:r>
      <w:r>
        <w:rPr>
          <w:rFonts w:hint="eastAsia"/>
        </w:rPr>
        <w:t>）社会效益</w:t>
      </w:r>
    </w:p>
    <w:p>
      <w:pPr>
        <w:pStyle w:val="25"/>
        <w:ind w:firstLine="640"/>
      </w:pPr>
      <w:r>
        <w:rPr>
          <w:rFonts w:hint="eastAsia"/>
        </w:rPr>
        <w:t>①能耗同比下降情况：分值</w:t>
      </w:r>
      <w:r>
        <w:t>6分，得分6分，得分率100%。本指标</w:t>
      </w:r>
      <w:r>
        <w:rPr>
          <w:rFonts w:hint="eastAsia"/>
        </w:rPr>
        <w:t>针对</w:t>
      </w:r>
      <w:r>
        <w:t>部门</w:t>
      </w:r>
      <w:r>
        <w:rPr>
          <w:rFonts w:hint="eastAsia"/>
        </w:rPr>
        <w:t>节能减排</w:t>
      </w:r>
      <w:r>
        <w:t>工作是否达到预期</w:t>
      </w:r>
      <w:r>
        <w:rPr>
          <w:rFonts w:hint="eastAsia"/>
        </w:rPr>
        <w:t>目标，</w:t>
      </w:r>
      <w:r>
        <w:t>进行评分，反映</w:t>
      </w:r>
      <w:r>
        <w:rPr>
          <w:rFonts w:hint="eastAsia"/>
        </w:rPr>
        <w:t>节能减排工作对区生态文明建设，高质量发展水平的提升情况</w:t>
      </w:r>
      <w:r>
        <w:t>。评价结果分析显示</w:t>
      </w:r>
      <w:r>
        <w:rPr>
          <w:rFonts w:hint="eastAsia"/>
        </w:rPr>
        <w:t>，2</w:t>
      </w:r>
      <w:r>
        <w:t>021</w:t>
      </w:r>
      <w:r>
        <w:rPr>
          <w:rFonts w:hint="eastAsia"/>
        </w:rPr>
        <w:t>年全区和平区万元地区生产总值能耗下降3</w:t>
      </w:r>
      <w:r>
        <w:t>.8%</w:t>
      </w:r>
      <w:r>
        <w:rPr>
          <w:rFonts w:hint="eastAsia"/>
        </w:rPr>
        <w:t>，符合天津市发展和改革委员会下达“单位地区生产总值能耗同比下降</w:t>
      </w:r>
      <w:r>
        <w:t>3.7%</w:t>
      </w:r>
      <w:r>
        <w:rPr>
          <w:rFonts w:hint="eastAsia"/>
        </w:rPr>
        <w:t>”的要求，</w:t>
      </w:r>
      <w:r>
        <w:rPr>
          <w:rFonts w:hint="eastAsia" w:ascii="仿宋_GB2312" w:hAnsi="仿宋_GB2312" w:cs="仿宋_GB2312"/>
        </w:rPr>
        <w:t>按照评分标准要求，得</w:t>
      </w:r>
      <w:r>
        <w:rPr>
          <w:rFonts w:ascii="仿宋_GB2312" w:hAnsi="仿宋_GB2312" w:cs="仿宋_GB2312"/>
        </w:rPr>
        <w:t>6</w:t>
      </w:r>
      <w:r>
        <w:rPr>
          <w:rFonts w:hint="eastAsia" w:ascii="仿宋_GB2312" w:hAnsi="仿宋_GB2312" w:cs="仿宋_GB2312"/>
        </w:rPr>
        <w:t>分。</w:t>
      </w:r>
    </w:p>
    <w:p>
      <w:pPr>
        <w:pStyle w:val="25"/>
        <w:ind w:firstLine="640"/>
        <w:rPr>
          <w:rFonts w:ascii="仿宋_GB2312" w:hAnsi="仿宋_GB2312" w:cs="仿宋_GB2312"/>
        </w:rPr>
      </w:pPr>
      <w:r>
        <w:rPr>
          <w:rFonts w:hint="eastAsia"/>
        </w:rPr>
        <w:t>②民生保障情况</w:t>
      </w:r>
      <w:r>
        <w:rPr>
          <w:rFonts w:hint="eastAsia" w:ascii="仿宋_GB2312" w:hAnsi="仿宋_GB2312" w:cs="仿宋_GB2312"/>
        </w:rPr>
        <w:t>：分值</w:t>
      </w:r>
      <w:r>
        <w:rPr>
          <w:rFonts w:ascii="仿宋_GB2312" w:hAnsi="仿宋_GB2312" w:cs="仿宋_GB2312"/>
        </w:rPr>
        <w:t>6分，得分6分，得分率100%。</w:t>
      </w:r>
      <w:r>
        <w:rPr>
          <w:rFonts w:hint="eastAsia" w:ascii="仿宋_GB2312" w:hAnsi="仿宋_GB2312" w:cs="仿宋_GB2312"/>
        </w:rPr>
        <w:t>本指标针对部门民生改善工作是否达到预期目标进行评分，反映民生改善工作对群众便民商业需求的满足情况。评价结果分析显示，一是区商务局2</w:t>
      </w:r>
      <w:r>
        <w:rPr>
          <w:rFonts w:ascii="仿宋_GB2312" w:hAnsi="仿宋_GB2312" w:cs="仿宋_GB2312"/>
        </w:rPr>
        <w:t>021</w:t>
      </w:r>
      <w:r>
        <w:rPr>
          <w:rFonts w:hint="eastAsia" w:ascii="仿宋_GB2312" w:hAnsi="仿宋_GB2312" w:cs="仿宋_GB2312"/>
        </w:rPr>
        <w:t>年协调推动库农公司选址和硬件改造，新疆路菜市场年初开业，填补了劝业场街地区标准化菜市场的空白，并探索更加细化的为民服务项目，推进企业与区内菜市场对接，金街公司所属</w:t>
      </w:r>
      <w:r>
        <w:rPr>
          <w:rFonts w:ascii="仿宋_GB2312" w:hAnsi="仿宋_GB2312" w:cs="仿宋_GB2312"/>
        </w:rPr>
        <w:t>4家菜市场统一交付库农公司运营，推进芷江路菜市场提升改造。</w:t>
      </w:r>
      <w:r>
        <w:rPr>
          <w:rFonts w:hint="eastAsia" w:ascii="仿宋_GB2312" w:hAnsi="仿宋_GB2312" w:cs="仿宋_GB2312"/>
        </w:rPr>
        <w:t>二是落实人民群众就地过年服务保障要求，组织超市、菜市场等重点行业企业召开会议，部署节日期间市场保供稳供工作，引导推动重点商贸企业春节连市经营，多渠道、多方式满足居民消费需求。春节期间，大型商场、大型超市、菜市场积极响应号召，有序组织员工上岗及货物供应，大多数企业能够实现春节期间连市经营，且每日经营时间不少于</w:t>
      </w:r>
      <w:r>
        <w:rPr>
          <w:rFonts w:ascii="仿宋_GB2312" w:hAnsi="仿宋_GB2312" w:cs="仿宋_GB2312"/>
        </w:rPr>
        <w:t>8小时</w:t>
      </w:r>
      <w:r>
        <w:rPr>
          <w:rFonts w:hint="eastAsia" w:ascii="仿宋_GB2312" w:hAnsi="仿宋_GB2312" w:cs="仿宋_GB2312"/>
        </w:rPr>
        <w:t>，</w:t>
      </w:r>
      <w:r>
        <w:rPr>
          <w:rFonts w:ascii="仿宋_GB2312" w:hAnsi="仿宋_GB2312" w:cs="仿宋_GB2312"/>
        </w:rPr>
        <w:t>各企业备足货源、加快补货，主动提高节日期间服务质量，为消费需求增长进行了充足准备，确保了春节市场安全平稳、繁荣有序。</w:t>
      </w:r>
      <w:r>
        <w:rPr>
          <w:rFonts w:hint="eastAsia" w:ascii="仿宋_GB2312" w:hAnsi="仿宋_GB2312" w:cs="仿宋_GB2312"/>
        </w:rPr>
        <w:t>同时，按照 “菜篮子”市长负责制工作要求，对全区“菜篮子”产品零售网点进行自查评价，推动</w:t>
      </w:r>
      <w:r>
        <w:rPr>
          <w:rFonts w:ascii="仿宋_GB2312" w:hAnsi="仿宋_GB2312" w:cs="仿宋_GB2312"/>
        </w:rPr>
        <w:t>64个社区完成257个便民生鲜超市网点的铺设</w:t>
      </w:r>
      <w:r>
        <w:rPr>
          <w:rFonts w:hint="eastAsia" w:ascii="仿宋_GB2312" w:hAnsi="仿宋_GB2312" w:cs="仿宋_GB2312"/>
        </w:rPr>
        <w:t>，有效满了群众需求。按照评分标准要求，得</w:t>
      </w:r>
      <w:r>
        <w:rPr>
          <w:rFonts w:ascii="仿宋_GB2312" w:hAnsi="仿宋_GB2312" w:cs="仿宋_GB2312"/>
        </w:rPr>
        <w:t>6</w:t>
      </w:r>
      <w:r>
        <w:rPr>
          <w:rFonts w:hint="eastAsia" w:ascii="仿宋_GB2312" w:hAnsi="仿宋_GB2312" w:cs="仿宋_GB2312"/>
        </w:rPr>
        <w:t>分。</w:t>
      </w:r>
    </w:p>
    <w:p>
      <w:pPr>
        <w:pStyle w:val="25"/>
        <w:ind w:firstLine="640"/>
      </w:pPr>
      <w:r>
        <w:rPr>
          <w:rFonts w:hint="eastAsia"/>
        </w:rPr>
        <w:t>5</w:t>
      </w:r>
      <w:r>
        <w:t>.</w:t>
      </w:r>
      <w:r>
        <w:rPr>
          <w:rFonts w:hint="eastAsia"/>
        </w:rPr>
        <w:t>履职满意度</w:t>
      </w:r>
    </w:p>
    <w:p>
      <w:pPr>
        <w:pStyle w:val="25"/>
        <w:ind w:firstLine="640"/>
      </w:pPr>
      <w:r>
        <w:rPr>
          <w:rFonts w:hint="eastAsia"/>
        </w:rPr>
        <w:t>服务对象满意度</w:t>
      </w:r>
    </w:p>
    <w:p>
      <w:pPr>
        <w:pStyle w:val="25"/>
        <w:ind w:firstLine="640"/>
      </w:pPr>
      <w:r>
        <w:rPr>
          <w:rFonts w:hint="eastAsia"/>
        </w:rPr>
        <w:t>企业及群众满意度：分值</w:t>
      </w:r>
      <w:r>
        <w:t>6分，得分6分，得分率100%。本次满意度调查人群为服务企业</w:t>
      </w:r>
      <w:r>
        <w:rPr>
          <w:rFonts w:hint="eastAsia"/>
        </w:rPr>
        <w:t>及群众</w:t>
      </w:r>
      <w:r>
        <w:t>，评价组对该人群进行随机满意度调查，服务企业</w:t>
      </w:r>
      <w:r>
        <w:rPr>
          <w:rFonts w:hint="eastAsia"/>
        </w:rPr>
        <w:t>及群众</w:t>
      </w:r>
      <w:r>
        <w:t>满意度调查问卷共发放50份，收到有效问卷50份，针对政策力度、需求响应、</w:t>
      </w:r>
      <w:r>
        <w:rPr>
          <w:rFonts w:hint="eastAsia"/>
        </w:rPr>
        <w:t>节能降碳、促进消费、便民商业</w:t>
      </w:r>
      <w:r>
        <w:t>等方面，涉及满意度问题5项，根据调查结果显示，</w:t>
      </w:r>
      <w:r>
        <w:rPr>
          <w:rFonts w:hint="eastAsia"/>
        </w:rPr>
        <w:t>群众及</w:t>
      </w:r>
      <w:r>
        <w:t>企业满意度为100%。按照评分标准要求，得6分。</w:t>
      </w:r>
    </w:p>
    <w:p>
      <w:pPr>
        <w:pStyle w:val="27"/>
      </w:pPr>
      <w:bookmarkStart w:id="56" w:name="_Toc120143632"/>
      <w:r>
        <w:rPr>
          <w:rFonts w:hint="eastAsia"/>
        </w:rPr>
        <w:t>四、存在问题</w:t>
      </w:r>
      <w:bookmarkEnd w:id="56"/>
    </w:p>
    <w:p>
      <w:pPr>
        <w:pStyle w:val="29"/>
        <w:ind w:firstLine="640"/>
      </w:pPr>
      <w:bookmarkStart w:id="57" w:name="_Toc120143633"/>
      <w:r>
        <w:rPr>
          <w:rFonts w:hint="eastAsia"/>
        </w:rPr>
        <w:t>（一）年度主要工作任务、绩效指标设置不规范</w:t>
      </w:r>
      <w:bookmarkEnd w:id="57"/>
    </w:p>
    <w:p>
      <w:pPr>
        <w:pStyle w:val="25"/>
        <w:ind w:firstLine="640"/>
      </w:pPr>
      <w:r>
        <w:rPr>
          <w:rFonts w:hint="eastAsia"/>
        </w:rPr>
        <w:t>一是部门制定的绩效指标存在指标内容不全面、设置不规范问题，如数量指标中未针对“菜市场农药监测服务”、“节能降耗”、“应急物资储备”三项主要工作任务制定相关指标，质量指标中“有效缓解企业因疫情等不可抗力导致的内外贸企业现实困难，保持经济持续健康发展”，指标未体现工作达到的质量水平及标准，不符合质量指标概念，且上述指标内容未具体量化，存在指标不可衡量问题。二是“物业补贴、编外人员经费”不属于部门年度主要工作任务，年度主要任务制定不合理。</w:t>
      </w:r>
    </w:p>
    <w:p>
      <w:pPr>
        <w:pStyle w:val="29"/>
        <w:ind w:firstLine="640"/>
      </w:pPr>
      <w:bookmarkStart w:id="58" w:name="_Toc120143634"/>
      <w:r>
        <w:rPr>
          <w:rFonts w:hint="eastAsia"/>
        </w:rPr>
        <w:t>（二）年初预算编制不精准、支出成本控制有待加强</w:t>
      </w:r>
      <w:bookmarkEnd w:id="58"/>
    </w:p>
    <w:p>
      <w:pPr>
        <w:pStyle w:val="25"/>
        <w:ind w:firstLine="640"/>
      </w:pPr>
      <w:r>
        <w:rPr>
          <w:rFonts w:hint="eastAsia"/>
        </w:rPr>
        <w:t>一是根据预决算数据，区商务局</w:t>
      </w:r>
      <w:r>
        <w:t>2021年度部门年初预算批复数为1141.54万元，调整预算数为-216.06万元，预算调整率为-18.9%</w:t>
      </w:r>
      <w:r>
        <w:rPr>
          <w:rFonts w:hint="eastAsia"/>
        </w:rPr>
        <w:t>；二是部门年初预算安排公用经费总额为</w:t>
      </w:r>
      <w:r>
        <w:t>15.07万元，实际支出公用经费总额为64.77万元，公用经费控制率为429.79%</w:t>
      </w:r>
      <w:r>
        <w:rPr>
          <w:rFonts w:hint="eastAsia"/>
        </w:rPr>
        <w:t>；三是</w:t>
      </w:r>
      <w:r>
        <w:t>部门</w:t>
      </w:r>
      <w:r>
        <w:rPr>
          <w:rFonts w:hint="eastAsia"/>
        </w:rPr>
        <w:t>年初</w:t>
      </w:r>
      <w:r>
        <w:t>预算安排“三公”经费0万元，实际支出“三公”经费0.84万元，“三公”经费控制率超过100%</w:t>
      </w:r>
      <w:r>
        <w:rPr>
          <w:rFonts w:hint="eastAsia"/>
        </w:rPr>
        <w:t>。</w:t>
      </w:r>
      <w:bookmarkStart w:id="59" w:name="_Toc116062790"/>
    </w:p>
    <w:p>
      <w:pPr>
        <w:pStyle w:val="29"/>
        <w:ind w:firstLine="640"/>
      </w:pPr>
      <w:bookmarkStart w:id="60" w:name="_Toc120143635"/>
      <w:r>
        <w:rPr>
          <w:rFonts w:hint="eastAsia"/>
        </w:rPr>
        <w:t>（三）部门管理制度有待完善</w:t>
      </w:r>
      <w:bookmarkEnd w:id="59"/>
      <w:bookmarkEnd w:id="60"/>
    </w:p>
    <w:p>
      <w:pPr>
        <w:pStyle w:val="25"/>
        <w:ind w:firstLine="640"/>
      </w:pPr>
      <w:r>
        <w:rPr>
          <w:rFonts w:hint="eastAsia"/>
        </w:rPr>
        <w:t>部门未制定相关绩效管理制度，</w:t>
      </w:r>
      <w:r>
        <w:rPr>
          <w:rFonts w:hint="eastAsia"/>
          <w:bCs/>
        </w:rPr>
        <w:t>并且未对部门预算指标和绩效目标的实现情况进行定期的分析总结，对于绩效目标偏离情况暂未制定相关矫正管理办法，绩效实施跟踪工作落实情况有待加强，</w:t>
      </w:r>
      <w:r>
        <w:rPr>
          <w:rFonts w:hint="eastAsia"/>
        </w:rPr>
        <w:t>不利于发挥绩效管理对预算编制执行的引导约束和控制作用。</w:t>
      </w:r>
    </w:p>
    <w:p>
      <w:pPr>
        <w:pStyle w:val="27"/>
        <w:ind w:firstLine="420"/>
      </w:pPr>
      <w:bookmarkStart w:id="61" w:name="_Toc120143636"/>
      <w:r>
        <w:rPr>
          <w:rFonts w:hint="eastAsia"/>
        </w:rPr>
        <w:t>五、相关建议</w:t>
      </w:r>
      <w:bookmarkEnd w:id="61"/>
    </w:p>
    <w:p>
      <w:pPr>
        <w:pStyle w:val="29"/>
        <w:ind w:firstLine="640"/>
      </w:pPr>
      <w:bookmarkStart w:id="62" w:name="_Toc120143637"/>
      <w:r>
        <w:rPr>
          <w:rFonts w:hint="eastAsia"/>
        </w:rPr>
        <w:t>（一）加强绩效理念，提升绩效管理水平</w:t>
      </w:r>
      <w:bookmarkEnd w:id="62"/>
    </w:p>
    <w:p>
      <w:pPr>
        <w:pStyle w:val="25"/>
        <w:ind w:firstLine="640"/>
      </w:pPr>
      <w:r>
        <w:rPr>
          <w:rFonts w:hint="eastAsia"/>
        </w:rPr>
        <w:t>一是建议部门严格按照《天津市预算部门整体支出绩效管理办法》（试行）等文件要求制定部门整体支出绩效目标，提高绩效目标编制的规范性、完整性、明确性、合理性，清晰反映部门使用财政资金履行职责的预期产出和效果，重点围绕部门履职、年度工作计划细化年度主要工作任务与年度绩效目标。二是建议部门在设置年度绩效目标、绩效指标时要具有适当性，对于绩效指标的表述要清晰规范，指标值的设置要围绕相关政策依据和部门年度工作计划，要符合行业标准，有一定可行性。三是建议部门在设置年度绩效目标、绩效指标时要具有合理性，指标值要可衡量，细化指标时要覆盖全面，指标间要相互对应，规范合理的设置年度绩效目标和绩效指标。四是建议部门加强绩效培训力度，提高绩效工作的重视程度，强化对绩效基本概念的理解，近而提高整体绩效工作质量，以充分发挥绩效目标对预算执行的引导约束和控制作用。</w:t>
      </w:r>
    </w:p>
    <w:p>
      <w:pPr>
        <w:pStyle w:val="29"/>
        <w:ind w:firstLine="640"/>
      </w:pPr>
      <w:bookmarkStart w:id="63" w:name="_Toc120143638"/>
      <w:r>
        <w:rPr>
          <w:rFonts w:hint="eastAsia"/>
        </w:rPr>
        <w:t>（二）加强部门预算管理，增强成本管理意识</w:t>
      </w:r>
      <w:bookmarkEnd w:id="63"/>
    </w:p>
    <w:p>
      <w:pPr>
        <w:pStyle w:val="25"/>
        <w:ind w:firstLine="640"/>
      </w:pPr>
      <w:r>
        <w:rPr>
          <w:rFonts w:hint="eastAsia"/>
          <w:bCs/>
        </w:rPr>
        <w:t>一是建议部门提高预算编制准确性，优化预算编制测算流程，强化预算编制精准程度，预算编制时应考虑人员变动、项目变更等多方面因素，进行综合测算，降低部门预算调整浮动。二是建议部门加强预算执行力，对预算资金进行实时监控，对执行进度滞后的项目进行督促，对当年确定无法执行的项目及时进行调整，确保部门预算执行进度。三是增强部门成本管理意识，强化支出管理和成本控制，严格审批和控制三公经费支出，避免违规支出，不断降低行政运行成本，提高公共服务效率和水平。</w:t>
      </w:r>
    </w:p>
    <w:p>
      <w:pPr>
        <w:pStyle w:val="29"/>
        <w:ind w:firstLine="640"/>
      </w:pPr>
      <w:bookmarkStart w:id="64" w:name="_Toc116062795"/>
      <w:bookmarkStart w:id="65" w:name="_Toc120143639"/>
      <w:r>
        <w:rPr>
          <w:rFonts w:hint="eastAsia"/>
        </w:rPr>
        <w:t>（三）健全绩效管理制度</w:t>
      </w:r>
      <w:bookmarkEnd w:id="64"/>
      <w:r>
        <w:rPr>
          <w:rFonts w:hint="eastAsia"/>
        </w:rPr>
        <w:t>，确保部门年度预期目标实现</w:t>
      </w:r>
      <w:bookmarkEnd w:id="65"/>
    </w:p>
    <w:p>
      <w:pPr>
        <w:widowControl/>
        <w:spacing w:line="240" w:lineRule="auto"/>
        <w:ind w:firstLine="640"/>
      </w:pPr>
      <w:r>
        <w:rPr>
          <w:rFonts w:hint="eastAsia" w:ascii="Times New Roman" w:hAnsi="Times New Roman" w:eastAsia="仿宋_GB2312"/>
          <w:sz w:val="32"/>
        </w:rPr>
        <w:t>建议部门建立绩效管理制度，加强绩效跟踪管理，强化对预算资金使用效果的监管，对各项工作的完成情况及时进行汇总、分析、整理，掌控各项工作完成进度，定期将部门主要工作任务的完成情况与部门年度工作计划、年度总体绩效目标比对，对工作进度或完成内容产生偏差的，及时采取改进措施，保障部门工作的完成质量与预算资金的使用效益，确保部门年度预期目标实现。</w:t>
      </w:r>
    </w:p>
    <w:p>
      <w:pPr>
        <w:pStyle w:val="27"/>
        <w:ind w:firstLine="420"/>
      </w:pPr>
      <w:bookmarkStart w:id="66" w:name="_Toc120143640"/>
      <w:r>
        <w:rPr>
          <w:rFonts w:hint="eastAsia"/>
        </w:rPr>
        <w:t>六、相关附件</w:t>
      </w:r>
      <w:bookmarkEnd w:id="66"/>
    </w:p>
    <w:p>
      <w:pPr>
        <w:pStyle w:val="29"/>
        <w:ind w:firstLine="640"/>
        <w:rPr>
          <w:rFonts w:ascii="Times New Roman" w:hAnsi="Times New Roman" w:eastAsia="仿宋_GB2312"/>
          <w:bCs w:val="0"/>
          <w:szCs w:val="21"/>
        </w:rPr>
      </w:pPr>
      <w:bookmarkStart w:id="67" w:name="_Toc120143641"/>
      <w:r>
        <w:rPr>
          <w:rFonts w:hint="eastAsia" w:ascii="Times New Roman" w:hAnsi="Times New Roman" w:eastAsia="仿宋_GB2312"/>
          <w:bCs w:val="0"/>
          <w:szCs w:val="21"/>
        </w:rPr>
        <w:t>附件：</w:t>
      </w:r>
      <w:r>
        <w:rPr>
          <w:rFonts w:ascii="Times New Roman" w:hAnsi="Times New Roman" w:eastAsia="仿宋_GB2312"/>
          <w:bCs w:val="0"/>
          <w:szCs w:val="21"/>
        </w:rPr>
        <w:t>2021年</w:t>
      </w:r>
      <w:r>
        <w:rPr>
          <w:rFonts w:hint="eastAsia" w:ascii="Times New Roman" w:hAnsi="Times New Roman" w:eastAsia="仿宋_GB2312"/>
          <w:bCs w:val="0"/>
          <w:szCs w:val="21"/>
        </w:rPr>
        <w:t>天津市和平区商务局</w:t>
      </w:r>
      <w:r>
        <w:rPr>
          <w:rFonts w:ascii="Times New Roman" w:hAnsi="Times New Roman" w:eastAsia="仿宋_GB2312"/>
          <w:bCs w:val="0"/>
          <w:szCs w:val="21"/>
        </w:rPr>
        <w:t>部门整体支出绩效评价指标体系及评分表</w:t>
      </w:r>
      <w:bookmarkEnd w:id="67"/>
    </w:p>
    <w:sectPr>
      <w:footerReference r:id="rId9" w:type="default"/>
      <w:pgSz w:w="11906" w:h="16838"/>
      <w:pgMar w:top="2268" w:right="1797" w:bottom="1701"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3198681"/>
    </w:sdtPr>
    <w:sdtEndPr>
      <w:rPr>
        <w:rFonts w:ascii="Times New Roman" w:hAnsi="Times New Roman"/>
        <w:sz w:val="28"/>
      </w:rPr>
    </w:sdtEndPr>
    <w:sdtContent>
      <w:p>
        <w:pPr>
          <w:pStyle w:val="11"/>
          <w:ind w:firstLine="360"/>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65</w:t>
        </w:r>
        <w:r>
          <w:rPr>
            <w:rFonts w:ascii="Times New Roman" w:hAnsi="Times New Roman"/>
            <w:sz w:val="28"/>
          </w:rPr>
          <w:fldChar w:fldCharType="end"/>
        </w:r>
      </w:p>
    </w:sdtContent>
  </w:sdt>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057"/>
    <w:rsid w:val="00003302"/>
    <w:rsid w:val="00010865"/>
    <w:rsid w:val="000126B9"/>
    <w:rsid w:val="00015C05"/>
    <w:rsid w:val="00017921"/>
    <w:rsid w:val="00021949"/>
    <w:rsid w:val="00022ADC"/>
    <w:rsid w:val="00024AFD"/>
    <w:rsid w:val="000265D4"/>
    <w:rsid w:val="000315D7"/>
    <w:rsid w:val="000320CF"/>
    <w:rsid w:val="00032E12"/>
    <w:rsid w:val="00036AD5"/>
    <w:rsid w:val="00037102"/>
    <w:rsid w:val="00041A50"/>
    <w:rsid w:val="00041EC4"/>
    <w:rsid w:val="000422F4"/>
    <w:rsid w:val="00045FD5"/>
    <w:rsid w:val="00053EC5"/>
    <w:rsid w:val="000543F6"/>
    <w:rsid w:val="00055086"/>
    <w:rsid w:val="00055BB6"/>
    <w:rsid w:val="00065BE8"/>
    <w:rsid w:val="000700C5"/>
    <w:rsid w:val="00071034"/>
    <w:rsid w:val="0007429F"/>
    <w:rsid w:val="000746D9"/>
    <w:rsid w:val="000751CF"/>
    <w:rsid w:val="00082A79"/>
    <w:rsid w:val="00084078"/>
    <w:rsid w:val="000849FC"/>
    <w:rsid w:val="000869DC"/>
    <w:rsid w:val="00090B22"/>
    <w:rsid w:val="0009582D"/>
    <w:rsid w:val="000966C1"/>
    <w:rsid w:val="00097470"/>
    <w:rsid w:val="000A2973"/>
    <w:rsid w:val="000A6312"/>
    <w:rsid w:val="000B0764"/>
    <w:rsid w:val="000B12D4"/>
    <w:rsid w:val="000B3239"/>
    <w:rsid w:val="000B5035"/>
    <w:rsid w:val="000B57FD"/>
    <w:rsid w:val="000B765C"/>
    <w:rsid w:val="000C161F"/>
    <w:rsid w:val="000C297D"/>
    <w:rsid w:val="000C5FA5"/>
    <w:rsid w:val="000C677C"/>
    <w:rsid w:val="000D0CBC"/>
    <w:rsid w:val="000D1B8A"/>
    <w:rsid w:val="000D4798"/>
    <w:rsid w:val="000D59C4"/>
    <w:rsid w:val="000E09D3"/>
    <w:rsid w:val="000E0A81"/>
    <w:rsid w:val="000E1645"/>
    <w:rsid w:val="000E1F51"/>
    <w:rsid w:val="000E4EB4"/>
    <w:rsid w:val="000E60B5"/>
    <w:rsid w:val="000F36FE"/>
    <w:rsid w:val="000F37AF"/>
    <w:rsid w:val="000F55E0"/>
    <w:rsid w:val="000F5749"/>
    <w:rsid w:val="000F57C3"/>
    <w:rsid w:val="000F74B8"/>
    <w:rsid w:val="000F7620"/>
    <w:rsid w:val="00100043"/>
    <w:rsid w:val="00100141"/>
    <w:rsid w:val="001004FA"/>
    <w:rsid w:val="00101BA5"/>
    <w:rsid w:val="0010563C"/>
    <w:rsid w:val="001144A3"/>
    <w:rsid w:val="0011634F"/>
    <w:rsid w:val="001203C4"/>
    <w:rsid w:val="00122314"/>
    <w:rsid w:val="00122E23"/>
    <w:rsid w:val="00123D79"/>
    <w:rsid w:val="00132E57"/>
    <w:rsid w:val="00133A6C"/>
    <w:rsid w:val="0013412C"/>
    <w:rsid w:val="00135ED3"/>
    <w:rsid w:val="001364FD"/>
    <w:rsid w:val="00140F26"/>
    <w:rsid w:val="0014294F"/>
    <w:rsid w:val="00142FBC"/>
    <w:rsid w:val="001437CA"/>
    <w:rsid w:val="00147D12"/>
    <w:rsid w:val="00150419"/>
    <w:rsid w:val="00153E84"/>
    <w:rsid w:val="00156000"/>
    <w:rsid w:val="00156667"/>
    <w:rsid w:val="00156C5D"/>
    <w:rsid w:val="00162746"/>
    <w:rsid w:val="001646C3"/>
    <w:rsid w:val="001704F7"/>
    <w:rsid w:val="0017117B"/>
    <w:rsid w:val="00171C9C"/>
    <w:rsid w:val="00175429"/>
    <w:rsid w:val="0017581B"/>
    <w:rsid w:val="00175DFB"/>
    <w:rsid w:val="0017673E"/>
    <w:rsid w:val="00184BDA"/>
    <w:rsid w:val="00185478"/>
    <w:rsid w:val="00186246"/>
    <w:rsid w:val="001871E9"/>
    <w:rsid w:val="0019129E"/>
    <w:rsid w:val="00191749"/>
    <w:rsid w:val="0019546D"/>
    <w:rsid w:val="00195E1D"/>
    <w:rsid w:val="001979DC"/>
    <w:rsid w:val="001A2DD7"/>
    <w:rsid w:val="001A5D0F"/>
    <w:rsid w:val="001B2951"/>
    <w:rsid w:val="001B7035"/>
    <w:rsid w:val="001C1E60"/>
    <w:rsid w:val="001C455A"/>
    <w:rsid w:val="001C501F"/>
    <w:rsid w:val="001C5588"/>
    <w:rsid w:val="001C68F0"/>
    <w:rsid w:val="001D0C4F"/>
    <w:rsid w:val="001D4D25"/>
    <w:rsid w:val="001D598D"/>
    <w:rsid w:val="001D5B5E"/>
    <w:rsid w:val="001D60A4"/>
    <w:rsid w:val="001E13DA"/>
    <w:rsid w:val="001E6F03"/>
    <w:rsid w:val="001F3834"/>
    <w:rsid w:val="001F3C73"/>
    <w:rsid w:val="001F5AAC"/>
    <w:rsid w:val="00201EAB"/>
    <w:rsid w:val="00202699"/>
    <w:rsid w:val="002030BB"/>
    <w:rsid w:val="00206ED6"/>
    <w:rsid w:val="00210763"/>
    <w:rsid w:val="00210EA1"/>
    <w:rsid w:val="00212ACC"/>
    <w:rsid w:val="00213586"/>
    <w:rsid w:val="00214D89"/>
    <w:rsid w:val="00216D3D"/>
    <w:rsid w:val="002171D3"/>
    <w:rsid w:val="00217841"/>
    <w:rsid w:val="00223431"/>
    <w:rsid w:val="00224E25"/>
    <w:rsid w:val="0022716B"/>
    <w:rsid w:val="00230C9C"/>
    <w:rsid w:val="00231B10"/>
    <w:rsid w:val="00231BC3"/>
    <w:rsid w:val="00231E73"/>
    <w:rsid w:val="002362E6"/>
    <w:rsid w:val="00245EEA"/>
    <w:rsid w:val="0025214F"/>
    <w:rsid w:val="00252F45"/>
    <w:rsid w:val="00254126"/>
    <w:rsid w:val="00255788"/>
    <w:rsid w:val="00256F67"/>
    <w:rsid w:val="002606BD"/>
    <w:rsid w:val="00264F7B"/>
    <w:rsid w:val="002651AF"/>
    <w:rsid w:val="00265D4E"/>
    <w:rsid w:val="002678A4"/>
    <w:rsid w:val="002703F2"/>
    <w:rsid w:val="0027222E"/>
    <w:rsid w:val="002753AA"/>
    <w:rsid w:val="00280184"/>
    <w:rsid w:val="0028146C"/>
    <w:rsid w:val="002815AF"/>
    <w:rsid w:val="00281E66"/>
    <w:rsid w:val="00282482"/>
    <w:rsid w:val="00285E85"/>
    <w:rsid w:val="0028626F"/>
    <w:rsid w:val="00293612"/>
    <w:rsid w:val="0029647F"/>
    <w:rsid w:val="00297E04"/>
    <w:rsid w:val="002A3861"/>
    <w:rsid w:val="002A3D27"/>
    <w:rsid w:val="002A425C"/>
    <w:rsid w:val="002A68B9"/>
    <w:rsid w:val="002A6AEF"/>
    <w:rsid w:val="002B455C"/>
    <w:rsid w:val="002B6E5F"/>
    <w:rsid w:val="002C23B2"/>
    <w:rsid w:val="002C2ECC"/>
    <w:rsid w:val="002C3E62"/>
    <w:rsid w:val="002C5750"/>
    <w:rsid w:val="002D308D"/>
    <w:rsid w:val="002D4527"/>
    <w:rsid w:val="002D741B"/>
    <w:rsid w:val="002E0D16"/>
    <w:rsid w:val="002E25A1"/>
    <w:rsid w:val="002E3C4E"/>
    <w:rsid w:val="002F077A"/>
    <w:rsid w:val="002F2542"/>
    <w:rsid w:val="002F27F9"/>
    <w:rsid w:val="002F3170"/>
    <w:rsid w:val="002F31E3"/>
    <w:rsid w:val="002F5405"/>
    <w:rsid w:val="002F7F21"/>
    <w:rsid w:val="003026FA"/>
    <w:rsid w:val="003029A1"/>
    <w:rsid w:val="003032A9"/>
    <w:rsid w:val="00303D5F"/>
    <w:rsid w:val="00304E75"/>
    <w:rsid w:val="00305364"/>
    <w:rsid w:val="00305852"/>
    <w:rsid w:val="00306C58"/>
    <w:rsid w:val="00307C0E"/>
    <w:rsid w:val="00307E6B"/>
    <w:rsid w:val="00310651"/>
    <w:rsid w:val="00315E20"/>
    <w:rsid w:val="00317520"/>
    <w:rsid w:val="00317DFF"/>
    <w:rsid w:val="003207E1"/>
    <w:rsid w:val="00321338"/>
    <w:rsid w:val="00321C47"/>
    <w:rsid w:val="00325B50"/>
    <w:rsid w:val="00327CF4"/>
    <w:rsid w:val="00330844"/>
    <w:rsid w:val="00334459"/>
    <w:rsid w:val="0033456A"/>
    <w:rsid w:val="0033568E"/>
    <w:rsid w:val="00335C30"/>
    <w:rsid w:val="0033624F"/>
    <w:rsid w:val="00346F76"/>
    <w:rsid w:val="003502BF"/>
    <w:rsid w:val="0035577F"/>
    <w:rsid w:val="003574C0"/>
    <w:rsid w:val="003606F4"/>
    <w:rsid w:val="003652D2"/>
    <w:rsid w:val="0037372D"/>
    <w:rsid w:val="00373FF5"/>
    <w:rsid w:val="0038049A"/>
    <w:rsid w:val="0038053D"/>
    <w:rsid w:val="0038076B"/>
    <w:rsid w:val="00380E46"/>
    <w:rsid w:val="00381F5C"/>
    <w:rsid w:val="00383F32"/>
    <w:rsid w:val="003854CE"/>
    <w:rsid w:val="00386038"/>
    <w:rsid w:val="00386369"/>
    <w:rsid w:val="003872AE"/>
    <w:rsid w:val="00390A0C"/>
    <w:rsid w:val="003920E7"/>
    <w:rsid w:val="003925BE"/>
    <w:rsid w:val="003934AE"/>
    <w:rsid w:val="00395D8F"/>
    <w:rsid w:val="00396581"/>
    <w:rsid w:val="0039718C"/>
    <w:rsid w:val="003A2940"/>
    <w:rsid w:val="003A2F91"/>
    <w:rsid w:val="003A30C9"/>
    <w:rsid w:val="003A6227"/>
    <w:rsid w:val="003B19A0"/>
    <w:rsid w:val="003B2023"/>
    <w:rsid w:val="003B4F6C"/>
    <w:rsid w:val="003B73D7"/>
    <w:rsid w:val="003C254A"/>
    <w:rsid w:val="003C3423"/>
    <w:rsid w:val="003C3B9B"/>
    <w:rsid w:val="003D19D5"/>
    <w:rsid w:val="003D42E6"/>
    <w:rsid w:val="003D5E93"/>
    <w:rsid w:val="003D7659"/>
    <w:rsid w:val="003E1CAB"/>
    <w:rsid w:val="003E23F6"/>
    <w:rsid w:val="003E28DB"/>
    <w:rsid w:val="003E5D8A"/>
    <w:rsid w:val="003E7C97"/>
    <w:rsid w:val="003F12E1"/>
    <w:rsid w:val="003F1BDA"/>
    <w:rsid w:val="003F269E"/>
    <w:rsid w:val="003F49BD"/>
    <w:rsid w:val="003F4C3B"/>
    <w:rsid w:val="003F4E92"/>
    <w:rsid w:val="003F550B"/>
    <w:rsid w:val="003F61ED"/>
    <w:rsid w:val="0040110C"/>
    <w:rsid w:val="0040162E"/>
    <w:rsid w:val="00403197"/>
    <w:rsid w:val="0040742C"/>
    <w:rsid w:val="00407BC4"/>
    <w:rsid w:val="00407F2A"/>
    <w:rsid w:val="004132DE"/>
    <w:rsid w:val="004138CE"/>
    <w:rsid w:val="004174C2"/>
    <w:rsid w:val="00422450"/>
    <w:rsid w:val="0043312F"/>
    <w:rsid w:val="004366CD"/>
    <w:rsid w:val="00436AFF"/>
    <w:rsid w:val="00436C38"/>
    <w:rsid w:val="00440EAF"/>
    <w:rsid w:val="004429F6"/>
    <w:rsid w:val="00442C96"/>
    <w:rsid w:val="0044422D"/>
    <w:rsid w:val="00452C2A"/>
    <w:rsid w:val="004548E7"/>
    <w:rsid w:val="00455F34"/>
    <w:rsid w:val="00456D8D"/>
    <w:rsid w:val="004621FD"/>
    <w:rsid w:val="004641D4"/>
    <w:rsid w:val="00464C69"/>
    <w:rsid w:val="004665A5"/>
    <w:rsid w:val="0046745A"/>
    <w:rsid w:val="00467644"/>
    <w:rsid w:val="00467BED"/>
    <w:rsid w:val="004700FE"/>
    <w:rsid w:val="004746B7"/>
    <w:rsid w:val="0047484C"/>
    <w:rsid w:val="004762AF"/>
    <w:rsid w:val="00476742"/>
    <w:rsid w:val="00481085"/>
    <w:rsid w:val="00487573"/>
    <w:rsid w:val="0048792B"/>
    <w:rsid w:val="004921CE"/>
    <w:rsid w:val="00494151"/>
    <w:rsid w:val="00497CB5"/>
    <w:rsid w:val="004A023E"/>
    <w:rsid w:val="004A053B"/>
    <w:rsid w:val="004A14E5"/>
    <w:rsid w:val="004A499E"/>
    <w:rsid w:val="004A5987"/>
    <w:rsid w:val="004A6BE4"/>
    <w:rsid w:val="004B7A85"/>
    <w:rsid w:val="004B7D81"/>
    <w:rsid w:val="004C02CC"/>
    <w:rsid w:val="004C0450"/>
    <w:rsid w:val="004C0765"/>
    <w:rsid w:val="004C1741"/>
    <w:rsid w:val="004C31E6"/>
    <w:rsid w:val="004C4A72"/>
    <w:rsid w:val="004C5E4A"/>
    <w:rsid w:val="004C6122"/>
    <w:rsid w:val="004C6995"/>
    <w:rsid w:val="004C6B1E"/>
    <w:rsid w:val="004C7430"/>
    <w:rsid w:val="004D10A8"/>
    <w:rsid w:val="004D3BC4"/>
    <w:rsid w:val="004E0271"/>
    <w:rsid w:val="004E0D4E"/>
    <w:rsid w:val="004E26FB"/>
    <w:rsid w:val="004E4480"/>
    <w:rsid w:val="004E51AA"/>
    <w:rsid w:val="004E5550"/>
    <w:rsid w:val="004E6D65"/>
    <w:rsid w:val="004F0C37"/>
    <w:rsid w:val="004F117B"/>
    <w:rsid w:val="004F637F"/>
    <w:rsid w:val="004F6424"/>
    <w:rsid w:val="004F6A0A"/>
    <w:rsid w:val="004F7399"/>
    <w:rsid w:val="004F7B1D"/>
    <w:rsid w:val="00500272"/>
    <w:rsid w:val="00500D69"/>
    <w:rsid w:val="0050309A"/>
    <w:rsid w:val="0050469C"/>
    <w:rsid w:val="00506277"/>
    <w:rsid w:val="00507119"/>
    <w:rsid w:val="00507928"/>
    <w:rsid w:val="00513E56"/>
    <w:rsid w:val="00514FCA"/>
    <w:rsid w:val="00517695"/>
    <w:rsid w:val="0051795C"/>
    <w:rsid w:val="005200BD"/>
    <w:rsid w:val="005227CB"/>
    <w:rsid w:val="0052280F"/>
    <w:rsid w:val="005252C6"/>
    <w:rsid w:val="005256D0"/>
    <w:rsid w:val="005301DF"/>
    <w:rsid w:val="005304D2"/>
    <w:rsid w:val="0053130C"/>
    <w:rsid w:val="00532532"/>
    <w:rsid w:val="005375FD"/>
    <w:rsid w:val="00541337"/>
    <w:rsid w:val="005418D0"/>
    <w:rsid w:val="00544DE7"/>
    <w:rsid w:val="0054544C"/>
    <w:rsid w:val="00545C58"/>
    <w:rsid w:val="00545D2C"/>
    <w:rsid w:val="00547E5D"/>
    <w:rsid w:val="00547F1D"/>
    <w:rsid w:val="005513AC"/>
    <w:rsid w:val="0055360D"/>
    <w:rsid w:val="00556E3D"/>
    <w:rsid w:val="00561F87"/>
    <w:rsid w:val="00563B61"/>
    <w:rsid w:val="005650E4"/>
    <w:rsid w:val="005719A5"/>
    <w:rsid w:val="00573B4A"/>
    <w:rsid w:val="00575954"/>
    <w:rsid w:val="005773A2"/>
    <w:rsid w:val="00577671"/>
    <w:rsid w:val="005806ED"/>
    <w:rsid w:val="00582E93"/>
    <w:rsid w:val="005831C0"/>
    <w:rsid w:val="00583D92"/>
    <w:rsid w:val="00590B7F"/>
    <w:rsid w:val="005920AD"/>
    <w:rsid w:val="00593069"/>
    <w:rsid w:val="00593895"/>
    <w:rsid w:val="00595F1A"/>
    <w:rsid w:val="00596A6D"/>
    <w:rsid w:val="005978EB"/>
    <w:rsid w:val="005A02D6"/>
    <w:rsid w:val="005A401C"/>
    <w:rsid w:val="005A681C"/>
    <w:rsid w:val="005A7556"/>
    <w:rsid w:val="005B13A5"/>
    <w:rsid w:val="005C4163"/>
    <w:rsid w:val="005C4F23"/>
    <w:rsid w:val="005C5F21"/>
    <w:rsid w:val="005C633F"/>
    <w:rsid w:val="005C66DA"/>
    <w:rsid w:val="005C7A5D"/>
    <w:rsid w:val="005D0D3C"/>
    <w:rsid w:val="005D2B39"/>
    <w:rsid w:val="005D4559"/>
    <w:rsid w:val="005D5CF9"/>
    <w:rsid w:val="005D7F5B"/>
    <w:rsid w:val="005E0A86"/>
    <w:rsid w:val="005E3B63"/>
    <w:rsid w:val="005F02BE"/>
    <w:rsid w:val="005F72E1"/>
    <w:rsid w:val="00601702"/>
    <w:rsid w:val="0060374B"/>
    <w:rsid w:val="00604556"/>
    <w:rsid w:val="006048EA"/>
    <w:rsid w:val="006207A7"/>
    <w:rsid w:val="0062238D"/>
    <w:rsid w:val="0062428F"/>
    <w:rsid w:val="00635391"/>
    <w:rsid w:val="00642613"/>
    <w:rsid w:val="00642B6B"/>
    <w:rsid w:val="006440B5"/>
    <w:rsid w:val="00644309"/>
    <w:rsid w:val="00644F88"/>
    <w:rsid w:val="006509C0"/>
    <w:rsid w:val="00650BAB"/>
    <w:rsid w:val="00652EFA"/>
    <w:rsid w:val="006539B8"/>
    <w:rsid w:val="006555B4"/>
    <w:rsid w:val="00661057"/>
    <w:rsid w:val="00664461"/>
    <w:rsid w:val="0066490F"/>
    <w:rsid w:val="0066557D"/>
    <w:rsid w:val="00665A76"/>
    <w:rsid w:val="006667E5"/>
    <w:rsid w:val="0067390E"/>
    <w:rsid w:val="00674234"/>
    <w:rsid w:val="00674C17"/>
    <w:rsid w:val="00677282"/>
    <w:rsid w:val="0068007F"/>
    <w:rsid w:val="006802B6"/>
    <w:rsid w:val="00680FC8"/>
    <w:rsid w:val="00683CE1"/>
    <w:rsid w:val="006853D5"/>
    <w:rsid w:val="006855F9"/>
    <w:rsid w:val="006917F4"/>
    <w:rsid w:val="0069381F"/>
    <w:rsid w:val="00695DC1"/>
    <w:rsid w:val="006A1A15"/>
    <w:rsid w:val="006A2799"/>
    <w:rsid w:val="006A29B6"/>
    <w:rsid w:val="006A2AA8"/>
    <w:rsid w:val="006B33B3"/>
    <w:rsid w:val="006B6D9D"/>
    <w:rsid w:val="006B6F79"/>
    <w:rsid w:val="006C3511"/>
    <w:rsid w:val="006C6EE8"/>
    <w:rsid w:val="006D0238"/>
    <w:rsid w:val="006D43E0"/>
    <w:rsid w:val="006D642B"/>
    <w:rsid w:val="006E39FD"/>
    <w:rsid w:val="006F433C"/>
    <w:rsid w:val="006F71A1"/>
    <w:rsid w:val="007026DF"/>
    <w:rsid w:val="00704183"/>
    <w:rsid w:val="00704870"/>
    <w:rsid w:val="007058AC"/>
    <w:rsid w:val="007079CF"/>
    <w:rsid w:val="0071296D"/>
    <w:rsid w:val="00712E12"/>
    <w:rsid w:val="00712F83"/>
    <w:rsid w:val="00713AFA"/>
    <w:rsid w:val="00716ABF"/>
    <w:rsid w:val="007178E2"/>
    <w:rsid w:val="0072230F"/>
    <w:rsid w:val="0072315E"/>
    <w:rsid w:val="007266A6"/>
    <w:rsid w:val="00726B01"/>
    <w:rsid w:val="007318B7"/>
    <w:rsid w:val="007330BF"/>
    <w:rsid w:val="00733E6B"/>
    <w:rsid w:val="00736FB8"/>
    <w:rsid w:val="00742B8C"/>
    <w:rsid w:val="00742DEF"/>
    <w:rsid w:val="00743FB6"/>
    <w:rsid w:val="00747168"/>
    <w:rsid w:val="00747CF7"/>
    <w:rsid w:val="00762F32"/>
    <w:rsid w:val="0076377A"/>
    <w:rsid w:val="00767111"/>
    <w:rsid w:val="00774788"/>
    <w:rsid w:val="00776EBA"/>
    <w:rsid w:val="00777795"/>
    <w:rsid w:val="0078121B"/>
    <w:rsid w:val="00781ADF"/>
    <w:rsid w:val="007823FB"/>
    <w:rsid w:val="00783F5D"/>
    <w:rsid w:val="00784B44"/>
    <w:rsid w:val="00787058"/>
    <w:rsid w:val="007903CE"/>
    <w:rsid w:val="00792C36"/>
    <w:rsid w:val="00793670"/>
    <w:rsid w:val="00793B29"/>
    <w:rsid w:val="007959B7"/>
    <w:rsid w:val="00795C3D"/>
    <w:rsid w:val="00795E9D"/>
    <w:rsid w:val="00797554"/>
    <w:rsid w:val="007A002D"/>
    <w:rsid w:val="007A0119"/>
    <w:rsid w:val="007A7048"/>
    <w:rsid w:val="007A7BE7"/>
    <w:rsid w:val="007B1BA0"/>
    <w:rsid w:val="007B2E2E"/>
    <w:rsid w:val="007C06E4"/>
    <w:rsid w:val="007C0EDE"/>
    <w:rsid w:val="007C3B95"/>
    <w:rsid w:val="007C58EC"/>
    <w:rsid w:val="007D0EE0"/>
    <w:rsid w:val="007D1E3D"/>
    <w:rsid w:val="007D330F"/>
    <w:rsid w:val="007D7C3F"/>
    <w:rsid w:val="007E1792"/>
    <w:rsid w:val="007E3E34"/>
    <w:rsid w:val="007F1203"/>
    <w:rsid w:val="007F5AC1"/>
    <w:rsid w:val="007F68E4"/>
    <w:rsid w:val="007F6C2C"/>
    <w:rsid w:val="007F7F99"/>
    <w:rsid w:val="0080140B"/>
    <w:rsid w:val="00802749"/>
    <w:rsid w:val="00802F36"/>
    <w:rsid w:val="00803D57"/>
    <w:rsid w:val="008059C4"/>
    <w:rsid w:val="008062BD"/>
    <w:rsid w:val="0080696E"/>
    <w:rsid w:val="00806B78"/>
    <w:rsid w:val="008104FF"/>
    <w:rsid w:val="00814D5C"/>
    <w:rsid w:val="0081535C"/>
    <w:rsid w:val="008169B3"/>
    <w:rsid w:val="008202A4"/>
    <w:rsid w:val="008205F0"/>
    <w:rsid w:val="0082272D"/>
    <w:rsid w:val="0082624D"/>
    <w:rsid w:val="008329B3"/>
    <w:rsid w:val="00840466"/>
    <w:rsid w:val="00843D09"/>
    <w:rsid w:val="00845B3E"/>
    <w:rsid w:val="0085010B"/>
    <w:rsid w:val="008509FA"/>
    <w:rsid w:val="0085260F"/>
    <w:rsid w:val="008543BE"/>
    <w:rsid w:val="00855D04"/>
    <w:rsid w:val="00860004"/>
    <w:rsid w:val="00860DF6"/>
    <w:rsid w:val="00862FEA"/>
    <w:rsid w:val="0086315F"/>
    <w:rsid w:val="00864691"/>
    <w:rsid w:val="00866D67"/>
    <w:rsid w:val="008712EC"/>
    <w:rsid w:val="00871A31"/>
    <w:rsid w:val="00872A79"/>
    <w:rsid w:val="0088084D"/>
    <w:rsid w:val="00880DB3"/>
    <w:rsid w:val="008850A4"/>
    <w:rsid w:val="00890929"/>
    <w:rsid w:val="008924A7"/>
    <w:rsid w:val="00892E0C"/>
    <w:rsid w:val="00895503"/>
    <w:rsid w:val="00895AEA"/>
    <w:rsid w:val="008A1518"/>
    <w:rsid w:val="008A3C59"/>
    <w:rsid w:val="008A6D43"/>
    <w:rsid w:val="008A759E"/>
    <w:rsid w:val="008B0066"/>
    <w:rsid w:val="008B59A6"/>
    <w:rsid w:val="008B76DE"/>
    <w:rsid w:val="008C626E"/>
    <w:rsid w:val="008D2D00"/>
    <w:rsid w:val="008D62C2"/>
    <w:rsid w:val="008D7374"/>
    <w:rsid w:val="008D7880"/>
    <w:rsid w:val="008E2473"/>
    <w:rsid w:val="008E5D59"/>
    <w:rsid w:val="008E5E84"/>
    <w:rsid w:val="008F0212"/>
    <w:rsid w:val="008F062C"/>
    <w:rsid w:val="008F29CF"/>
    <w:rsid w:val="008F417A"/>
    <w:rsid w:val="008F5986"/>
    <w:rsid w:val="008F7880"/>
    <w:rsid w:val="009040D7"/>
    <w:rsid w:val="00905F95"/>
    <w:rsid w:val="009061EE"/>
    <w:rsid w:val="00906991"/>
    <w:rsid w:val="00907E73"/>
    <w:rsid w:val="009103B4"/>
    <w:rsid w:val="00910630"/>
    <w:rsid w:val="00912ED4"/>
    <w:rsid w:val="00913830"/>
    <w:rsid w:val="00913D95"/>
    <w:rsid w:val="00913E98"/>
    <w:rsid w:val="009150E1"/>
    <w:rsid w:val="00916643"/>
    <w:rsid w:val="00925257"/>
    <w:rsid w:val="00933EE9"/>
    <w:rsid w:val="00934AD2"/>
    <w:rsid w:val="00935816"/>
    <w:rsid w:val="009363BB"/>
    <w:rsid w:val="00936A70"/>
    <w:rsid w:val="009415F7"/>
    <w:rsid w:val="00941CE3"/>
    <w:rsid w:val="00942771"/>
    <w:rsid w:val="009511FE"/>
    <w:rsid w:val="0095347B"/>
    <w:rsid w:val="009545F4"/>
    <w:rsid w:val="00955B84"/>
    <w:rsid w:val="00957B6C"/>
    <w:rsid w:val="00964501"/>
    <w:rsid w:val="0097216C"/>
    <w:rsid w:val="0097373A"/>
    <w:rsid w:val="009748DA"/>
    <w:rsid w:val="00976240"/>
    <w:rsid w:val="00977C36"/>
    <w:rsid w:val="00981659"/>
    <w:rsid w:val="00982706"/>
    <w:rsid w:val="00983CF8"/>
    <w:rsid w:val="00985716"/>
    <w:rsid w:val="009866A6"/>
    <w:rsid w:val="00987CB1"/>
    <w:rsid w:val="00990D0D"/>
    <w:rsid w:val="00990F30"/>
    <w:rsid w:val="00992019"/>
    <w:rsid w:val="009952E2"/>
    <w:rsid w:val="009A3ADB"/>
    <w:rsid w:val="009A7D50"/>
    <w:rsid w:val="009C1629"/>
    <w:rsid w:val="009C1B2A"/>
    <w:rsid w:val="009C2C2E"/>
    <w:rsid w:val="009C4DCE"/>
    <w:rsid w:val="009D210E"/>
    <w:rsid w:val="009D402B"/>
    <w:rsid w:val="009D7BC1"/>
    <w:rsid w:val="009E109E"/>
    <w:rsid w:val="009E204A"/>
    <w:rsid w:val="009E290A"/>
    <w:rsid w:val="009E4267"/>
    <w:rsid w:val="009E65E9"/>
    <w:rsid w:val="009E72FC"/>
    <w:rsid w:val="009E768A"/>
    <w:rsid w:val="009E79DC"/>
    <w:rsid w:val="009F58DB"/>
    <w:rsid w:val="009F6318"/>
    <w:rsid w:val="009F78B6"/>
    <w:rsid w:val="00A04DF6"/>
    <w:rsid w:val="00A05058"/>
    <w:rsid w:val="00A061D0"/>
    <w:rsid w:val="00A06C54"/>
    <w:rsid w:val="00A10B31"/>
    <w:rsid w:val="00A16E33"/>
    <w:rsid w:val="00A207D3"/>
    <w:rsid w:val="00A23B57"/>
    <w:rsid w:val="00A25B3A"/>
    <w:rsid w:val="00A25CC2"/>
    <w:rsid w:val="00A308A4"/>
    <w:rsid w:val="00A3186C"/>
    <w:rsid w:val="00A31C1E"/>
    <w:rsid w:val="00A3400F"/>
    <w:rsid w:val="00A40173"/>
    <w:rsid w:val="00A414FB"/>
    <w:rsid w:val="00A41542"/>
    <w:rsid w:val="00A4206E"/>
    <w:rsid w:val="00A45126"/>
    <w:rsid w:val="00A46147"/>
    <w:rsid w:val="00A4688B"/>
    <w:rsid w:val="00A50863"/>
    <w:rsid w:val="00A5116D"/>
    <w:rsid w:val="00A52917"/>
    <w:rsid w:val="00A5496C"/>
    <w:rsid w:val="00A56829"/>
    <w:rsid w:val="00A56FDB"/>
    <w:rsid w:val="00A60C59"/>
    <w:rsid w:val="00A610E7"/>
    <w:rsid w:val="00A6224E"/>
    <w:rsid w:val="00A63A21"/>
    <w:rsid w:val="00A63C47"/>
    <w:rsid w:val="00A653E9"/>
    <w:rsid w:val="00A709F4"/>
    <w:rsid w:val="00A74304"/>
    <w:rsid w:val="00A74379"/>
    <w:rsid w:val="00A745BD"/>
    <w:rsid w:val="00A751C5"/>
    <w:rsid w:val="00A8117E"/>
    <w:rsid w:val="00A84941"/>
    <w:rsid w:val="00A850BF"/>
    <w:rsid w:val="00A85EDE"/>
    <w:rsid w:val="00A86391"/>
    <w:rsid w:val="00A877DE"/>
    <w:rsid w:val="00A87D6E"/>
    <w:rsid w:val="00A90D9B"/>
    <w:rsid w:val="00A91945"/>
    <w:rsid w:val="00A92B51"/>
    <w:rsid w:val="00A947F2"/>
    <w:rsid w:val="00A96858"/>
    <w:rsid w:val="00A96AAB"/>
    <w:rsid w:val="00AA1D9F"/>
    <w:rsid w:val="00AA26AC"/>
    <w:rsid w:val="00AA2D9C"/>
    <w:rsid w:val="00AA5CBD"/>
    <w:rsid w:val="00AB1333"/>
    <w:rsid w:val="00AB2391"/>
    <w:rsid w:val="00AB54FE"/>
    <w:rsid w:val="00AB65E0"/>
    <w:rsid w:val="00AC02F2"/>
    <w:rsid w:val="00AC04B9"/>
    <w:rsid w:val="00AC0D86"/>
    <w:rsid w:val="00AC3016"/>
    <w:rsid w:val="00AC41C7"/>
    <w:rsid w:val="00AC4F69"/>
    <w:rsid w:val="00AD776C"/>
    <w:rsid w:val="00AE03EE"/>
    <w:rsid w:val="00AE0785"/>
    <w:rsid w:val="00AE240E"/>
    <w:rsid w:val="00AE323E"/>
    <w:rsid w:val="00AE44A0"/>
    <w:rsid w:val="00AE4B56"/>
    <w:rsid w:val="00AE672C"/>
    <w:rsid w:val="00AE7063"/>
    <w:rsid w:val="00AE76FA"/>
    <w:rsid w:val="00AF00D2"/>
    <w:rsid w:val="00AF1D19"/>
    <w:rsid w:val="00AF55D3"/>
    <w:rsid w:val="00AF55FC"/>
    <w:rsid w:val="00AF560B"/>
    <w:rsid w:val="00AF57C9"/>
    <w:rsid w:val="00AF63FA"/>
    <w:rsid w:val="00AF77F0"/>
    <w:rsid w:val="00B002BF"/>
    <w:rsid w:val="00B00376"/>
    <w:rsid w:val="00B00F20"/>
    <w:rsid w:val="00B013C9"/>
    <w:rsid w:val="00B03444"/>
    <w:rsid w:val="00B04131"/>
    <w:rsid w:val="00B066C7"/>
    <w:rsid w:val="00B1013E"/>
    <w:rsid w:val="00B10202"/>
    <w:rsid w:val="00B11A02"/>
    <w:rsid w:val="00B14F75"/>
    <w:rsid w:val="00B15D0A"/>
    <w:rsid w:val="00B2113F"/>
    <w:rsid w:val="00B22276"/>
    <w:rsid w:val="00B2296D"/>
    <w:rsid w:val="00B238F1"/>
    <w:rsid w:val="00B23EF4"/>
    <w:rsid w:val="00B23F0C"/>
    <w:rsid w:val="00B2434A"/>
    <w:rsid w:val="00B26714"/>
    <w:rsid w:val="00B34F9B"/>
    <w:rsid w:val="00B35E24"/>
    <w:rsid w:val="00B36FFC"/>
    <w:rsid w:val="00B4027B"/>
    <w:rsid w:val="00B42E59"/>
    <w:rsid w:val="00B43992"/>
    <w:rsid w:val="00B44075"/>
    <w:rsid w:val="00B4638E"/>
    <w:rsid w:val="00B5638F"/>
    <w:rsid w:val="00B6027A"/>
    <w:rsid w:val="00B60A6B"/>
    <w:rsid w:val="00B610AF"/>
    <w:rsid w:val="00B62796"/>
    <w:rsid w:val="00B62C18"/>
    <w:rsid w:val="00B63F59"/>
    <w:rsid w:val="00B640BC"/>
    <w:rsid w:val="00B66CC2"/>
    <w:rsid w:val="00B73694"/>
    <w:rsid w:val="00B76822"/>
    <w:rsid w:val="00B76F1D"/>
    <w:rsid w:val="00B82391"/>
    <w:rsid w:val="00B836F1"/>
    <w:rsid w:val="00B841DD"/>
    <w:rsid w:val="00B8712D"/>
    <w:rsid w:val="00B906BE"/>
    <w:rsid w:val="00B9646F"/>
    <w:rsid w:val="00B976F1"/>
    <w:rsid w:val="00BA1E27"/>
    <w:rsid w:val="00BA3E3D"/>
    <w:rsid w:val="00BA498F"/>
    <w:rsid w:val="00BB092D"/>
    <w:rsid w:val="00BB12C2"/>
    <w:rsid w:val="00BB25CA"/>
    <w:rsid w:val="00BB59FC"/>
    <w:rsid w:val="00BB6BFC"/>
    <w:rsid w:val="00BC7924"/>
    <w:rsid w:val="00BD4AE6"/>
    <w:rsid w:val="00BD6AC0"/>
    <w:rsid w:val="00BE0428"/>
    <w:rsid w:val="00BE05CF"/>
    <w:rsid w:val="00BE0603"/>
    <w:rsid w:val="00BE5A9C"/>
    <w:rsid w:val="00BE5B7E"/>
    <w:rsid w:val="00BE5C78"/>
    <w:rsid w:val="00BE65F5"/>
    <w:rsid w:val="00BF08E7"/>
    <w:rsid w:val="00BF125B"/>
    <w:rsid w:val="00BF42E6"/>
    <w:rsid w:val="00BF624F"/>
    <w:rsid w:val="00BF6478"/>
    <w:rsid w:val="00BF7A97"/>
    <w:rsid w:val="00C02D76"/>
    <w:rsid w:val="00C03193"/>
    <w:rsid w:val="00C041C4"/>
    <w:rsid w:val="00C04CAE"/>
    <w:rsid w:val="00C061DB"/>
    <w:rsid w:val="00C06924"/>
    <w:rsid w:val="00C07B2B"/>
    <w:rsid w:val="00C1029F"/>
    <w:rsid w:val="00C1073E"/>
    <w:rsid w:val="00C10AC5"/>
    <w:rsid w:val="00C116C8"/>
    <w:rsid w:val="00C13C67"/>
    <w:rsid w:val="00C200C9"/>
    <w:rsid w:val="00C21A77"/>
    <w:rsid w:val="00C2225A"/>
    <w:rsid w:val="00C22794"/>
    <w:rsid w:val="00C35168"/>
    <w:rsid w:val="00C35C0B"/>
    <w:rsid w:val="00C36200"/>
    <w:rsid w:val="00C362F8"/>
    <w:rsid w:val="00C36EC6"/>
    <w:rsid w:val="00C4588A"/>
    <w:rsid w:val="00C506F0"/>
    <w:rsid w:val="00C5133E"/>
    <w:rsid w:val="00C51B32"/>
    <w:rsid w:val="00C53E45"/>
    <w:rsid w:val="00C54952"/>
    <w:rsid w:val="00C54DC3"/>
    <w:rsid w:val="00C56450"/>
    <w:rsid w:val="00C63291"/>
    <w:rsid w:val="00C65AB2"/>
    <w:rsid w:val="00C663EC"/>
    <w:rsid w:val="00C66D1A"/>
    <w:rsid w:val="00C66FD3"/>
    <w:rsid w:val="00C727E1"/>
    <w:rsid w:val="00C737E4"/>
    <w:rsid w:val="00C75F4D"/>
    <w:rsid w:val="00C77579"/>
    <w:rsid w:val="00C82B56"/>
    <w:rsid w:val="00C84297"/>
    <w:rsid w:val="00C85726"/>
    <w:rsid w:val="00C85C2A"/>
    <w:rsid w:val="00C8684E"/>
    <w:rsid w:val="00C86CC8"/>
    <w:rsid w:val="00C87832"/>
    <w:rsid w:val="00C87B48"/>
    <w:rsid w:val="00C91759"/>
    <w:rsid w:val="00C91AE4"/>
    <w:rsid w:val="00C91F96"/>
    <w:rsid w:val="00C96A15"/>
    <w:rsid w:val="00CA012D"/>
    <w:rsid w:val="00CA0E79"/>
    <w:rsid w:val="00CA5462"/>
    <w:rsid w:val="00CA74CF"/>
    <w:rsid w:val="00CB097C"/>
    <w:rsid w:val="00CB137E"/>
    <w:rsid w:val="00CB3D9C"/>
    <w:rsid w:val="00CB4376"/>
    <w:rsid w:val="00CB4662"/>
    <w:rsid w:val="00CB4951"/>
    <w:rsid w:val="00CB5B22"/>
    <w:rsid w:val="00CB680C"/>
    <w:rsid w:val="00CC12EF"/>
    <w:rsid w:val="00CC1C9E"/>
    <w:rsid w:val="00CC3B44"/>
    <w:rsid w:val="00CC5CAC"/>
    <w:rsid w:val="00CC6388"/>
    <w:rsid w:val="00CC6F34"/>
    <w:rsid w:val="00CC704D"/>
    <w:rsid w:val="00CD01C9"/>
    <w:rsid w:val="00CD15AD"/>
    <w:rsid w:val="00CD188A"/>
    <w:rsid w:val="00CD2BE9"/>
    <w:rsid w:val="00CD4757"/>
    <w:rsid w:val="00CD6F4C"/>
    <w:rsid w:val="00CE1B8A"/>
    <w:rsid w:val="00CE3AF2"/>
    <w:rsid w:val="00CE6F29"/>
    <w:rsid w:val="00CE77D0"/>
    <w:rsid w:val="00CF18A9"/>
    <w:rsid w:val="00CF22DB"/>
    <w:rsid w:val="00CF4C49"/>
    <w:rsid w:val="00D02A23"/>
    <w:rsid w:val="00D054B1"/>
    <w:rsid w:val="00D0572A"/>
    <w:rsid w:val="00D06AC5"/>
    <w:rsid w:val="00D07A9E"/>
    <w:rsid w:val="00D1019C"/>
    <w:rsid w:val="00D103D9"/>
    <w:rsid w:val="00D12E9B"/>
    <w:rsid w:val="00D13CE2"/>
    <w:rsid w:val="00D15851"/>
    <w:rsid w:val="00D175B1"/>
    <w:rsid w:val="00D217CE"/>
    <w:rsid w:val="00D21DCB"/>
    <w:rsid w:val="00D22FFC"/>
    <w:rsid w:val="00D23192"/>
    <w:rsid w:val="00D23322"/>
    <w:rsid w:val="00D33EDC"/>
    <w:rsid w:val="00D351A7"/>
    <w:rsid w:val="00D42233"/>
    <w:rsid w:val="00D42400"/>
    <w:rsid w:val="00D43049"/>
    <w:rsid w:val="00D47E28"/>
    <w:rsid w:val="00D54967"/>
    <w:rsid w:val="00D56DD6"/>
    <w:rsid w:val="00D57910"/>
    <w:rsid w:val="00D5798B"/>
    <w:rsid w:val="00D57A11"/>
    <w:rsid w:val="00D61412"/>
    <w:rsid w:val="00D61993"/>
    <w:rsid w:val="00D63451"/>
    <w:rsid w:val="00D650C7"/>
    <w:rsid w:val="00D7101A"/>
    <w:rsid w:val="00D71A29"/>
    <w:rsid w:val="00D7729E"/>
    <w:rsid w:val="00D77B0C"/>
    <w:rsid w:val="00D81222"/>
    <w:rsid w:val="00D814FA"/>
    <w:rsid w:val="00D833D4"/>
    <w:rsid w:val="00D84F79"/>
    <w:rsid w:val="00D852FB"/>
    <w:rsid w:val="00D8540E"/>
    <w:rsid w:val="00D85EDA"/>
    <w:rsid w:val="00D87E72"/>
    <w:rsid w:val="00D91ABA"/>
    <w:rsid w:val="00D94D1A"/>
    <w:rsid w:val="00D961CD"/>
    <w:rsid w:val="00D96687"/>
    <w:rsid w:val="00DA02DC"/>
    <w:rsid w:val="00DA0BF0"/>
    <w:rsid w:val="00DA5588"/>
    <w:rsid w:val="00DA7CFA"/>
    <w:rsid w:val="00DB0A45"/>
    <w:rsid w:val="00DB729A"/>
    <w:rsid w:val="00DC0184"/>
    <w:rsid w:val="00DC2003"/>
    <w:rsid w:val="00DC48BE"/>
    <w:rsid w:val="00DC5D0B"/>
    <w:rsid w:val="00DD15F6"/>
    <w:rsid w:val="00DD234D"/>
    <w:rsid w:val="00DD48C7"/>
    <w:rsid w:val="00DD4F8C"/>
    <w:rsid w:val="00DD7100"/>
    <w:rsid w:val="00DE0DD3"/>
    <w:rsid w:val="00DF0A28"/>
    <w:rsid w:val="00DF0F3D"/>
    <w:rsid w:val="00DF20DF"/>
    <w:rsid w:val="00DF2687"/>
    <w:rsid w:val="00DF369C"/>
    <w:rsid w:val="00DF40BC"/>
    <w:rsid w:val="00DF55F7"/>
    <w:rsid w:val="00DF6D0A"/>
    <w:rsid w:val="00E05FE5"/>
    <w:rsid w:val="00E06041"/>
    <w:rsid w:val="00E11346"/>
    <w:rsid w:val="00E13132"/>
    <w:rsid w:val="00E178BD"/>
    <w:rsid w:val="00E33794"/>
    <w:rsid w:val="00E33B46"/>
    <w:rsid w:val="00E35F6E"/>
    <w:rsid w:val="00E369D0"/>
    <w:rsid w:val="00E40109"/>
    <w:rsid w:val="00E45385"/>
    <w:rsid w:val="00E4743E"/>
    <w:rsid w:val="00E512EC"/>
    <w:rsid w:val="00E5192C"/>
    <w:rsid w:val="00E56741"/>
    <w:rsid w:val="00E56AFF"/>
    <w:rsid w:val="00E572D8"/>
    <w:rsid w:val="00E65786"/>
    <w:rsid w:val="00E719AC"/>
    <w:rsid w:val="00E72475"/>
    <w:rsid w:val="00E743DD"/>
    <w:rsid w:val="00E744B0"/>
    <w:rsid w:val="00E752B7"/>
    <w:rsid w:val="00E76319"/>
    <w:rsid w:val="00E773F9"/>
    <w:rsid w:val="00E85038"/>
    <w:rsid w:val="00E850C6"/>
    <w:rsid w:val="00E86857"/>
    <w:rsid w:val="00E86950"/>
    <w:rsid w:val="00E87E19"/>
    <w:rsid w:val="00E97147"/>
    <w:rsid w:val="00EA32EF"/>
    <w:rsid w:val="00EA6DA2"/>
    <w:rsid w:val="00EB012E"/>
    <w:rsid w:val="00EB100A"/>
    <w:rsid w:val="00EB274A"/>
    <w:rsid w:val="00EB35C3"/>
    <w:rsid w:val="00EB48F8"/>
    <w:rsid w:val="00EB557C"/>
    <w:rsid w:val="00EC1FD8"/>
    <w:rsid w:val="00EC2367"/>
    <w:rsid w:val="00EC73A6"/>
    <w:rsid w:val="00ED153D"/>
    <w:rsid w:val="00ED2749"/>
    <w:rsid w:val="00ED490D"/>
    <w:rsid w:val="00ED57E2"/>
    <w:rsid w:val="00ED6EF6"/>
    <w:rsid w:val="00ED7AA6"/>
    <w:rsid w:val="00EE2829"/>
    <w:rsid w:val="00EE57EF"/>
    <w:rsid w:val="00EE5FF0"/>
    <w:rsid w:val="00EE69D6"/>
    <w:rsid w:val="00EE7D4A"/>
    <w:rsid w:val="00EF1219"/>
    <w:rsid w:val="00EF2702"/>
    <w:rsid w:val="00EF3D73"/>
    <w:rsid w:val="00EF447D"/>
    <w:rsid w:val="00EF4E0D"/>
    <w:rsid w:val="00EF5402"/>
    <w:rsid w:val="00EF5DA5"/>
    <w:rsid w:val="00EF72FF"/>
    <w:rsid w:val="00F00CA5"/>
    <w:rsid w:val="00F01F08"/>
    <w:rsid w:val="00F01F61"/>
    <w:rsid w:val="00F03815"/>
    <w:rsid w:val="00F04803"/>
    <w:rsid w:val="00F04CD4"/>
    <w:rsid w:val="00F064CE"/>
    <w:rsid w:val="00F07D83"/>
    <w:rsid w:val="00F1060F"/>
    <w:rsid w:val="00F117DF"/>
    <w:rsid w:val="00F1736C"/>
    <w:rsid w:val="00F22538"/>
    <w:rsid w:val="00F229E4"/>
    <w:rsid w:val="00F23C01"/>
    <w:rsid w:val="00F24D75"/>
    <w:rsid w:val="00F25493"/>
    <w:rsid w:val="00F2621D"/>
    <w:rsid w:val="00F4310A"/>
    <w:rsid w:val="00F4431D"/>
    <w:rsid w:val="00F46F73"/>
    <w:rsid w:val="00F5341C"/>
    <w:rsid w:val="00F54EC4"/>
    <w:rsid w:val="00F55003"/>
    <w:rsid w:val="00F552B0"/>
    <w:rsid w:val="00F56608"/>
    <w:rsid w:val="00F624C0"/>
    <w:rsid w:val="00F6655C"/>
    <w:rsid w:val="00F73404"/>
    <w:rsid w:val="00F73AC3"/>
    <w:rsid w:val="00F73B54"/>
    <w:rsid w:val="00F73C16"/>
    <w:rsid w:val="00F73FEC"/>
    <w:rsid w:val="00F75B3D"/>
    <w:rsid w:val="00F8291C"/>
    <w:rsid w:val="00F82FB7"/>
    <w:rsid w:val="00F840B1"/>
    <w:rsid w:val="00F874AF"/>
    <w:rsid w:val="00F87CA1"/>
    <w:rsid w:val="00F87DD3"/>
    <w:rsid w:val="00F919A6"/>
    <w:rsid w:val="00F948E1"/>
    <w:rsid w:val="00F973E5"/>
    <w:rsid w:val="00FA3A53"/>
    <w:rsid w:val="00FA5929"/>
    <w:rsid w:val="00FB118F"/>
    <w:rsid w:val="00FB2C9E"/>
    <w:rsid w:val="00FB5434"/>
    <w:rsid w:val="00FB5900"/>
    <w:rsid w:val="00FB66CB"/>
    <w:rsid w:val="00FC11A4"/>
    <w:rsid w:val="00FC3A6B"/>
    <w:rsid w:val="00FC7683"/>
    <w:rsid w:val="00FC77B3"/>
    <w:rsid w:val="00FD248C"/>
    <w:rsid w:val="00FD2AF9"/>
    <w:rsid w:val="00FD2DAD"/>
    <w:rsid w:val="00FD3B3A"/>
    <w:rsid w:val="00FD4D14"/>
    <w:rsid w:val="00FD5C67"/>
    <w:rsid w:val="00FD6BF3"/>
    <w:rsid w:val="00FE27D0"/>
    <w:rsid w:val="00FF0E85"/>
    <w:rsid w:val="00FF5079"/>
    <w:rsid w:val="00FF64E9"/>
    <w:rsid w:val="00FF77FC"/>
    <w:rsid w:val="412147C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semiHidden="0" w:name="toc 1"/>
    <w:lsdException w:unhideWhenUsed="0" w:uiPriority="39" w:semiHidden="0" w:name="toc 2"/>
    <w:lsdException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unhideWhenUsed="0" w:uiPriority="0" w:semiHidden="0" w:name="annotation text"/>
    <w:lsdException w:unhideWhenUsed="0" w:uiPriority="99" w:name="header"/>
    <w:lsdException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4">
    <w:name w:val="Default Paragraph Font"/>
    <w:unhideWhenUsed/>
    <w:uiPriority w:val="1"/>
  </w:style>
  <w:style w:type="table" w:default="1" w:styleId="17">
    <w:name w:val="Normal Table"/>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45"/>
    <w:semiHidden/>
    <w:uiPriority w:val="99"/>
    <w:rPr>
      <w:b/>
      <w:bCs/>
    </w:rPr>
  </w:style>
  <w:style w:type="paragraph" w:styleId="8">
    <w:name w:val="annotation text"/>
    <w:basedOn w:val="1"/>
    <w:link w:val="44"/>
    <w:uiPriority w:val="0"/>
  </w:style>
  <w:style w:type="paragraph" w:styleId="9">
    <w:name w:val="toc 3"/>
    <w:basedOn w:val="1"/>
    <w:next w:val="1"/>
    <w:uiPriority w:val="39"/>
    <w:pPr>
      <w:tabs>
        <w:tab w:val="right" w:leader="dot" w:pos="8834"/>
      </w:tabs>
      <w:spacing w:line="600" w:lineRule="exact"/>
      <w:ind w:left="400" w:leftChars="136" w:hanging="264" w:hangingChars="264"/>
    </w:pPr>
    <w:rPr>
      <w:rFonts w:eastAsia="仿宋_GB2312"/>
      <w:sz w:val="32"/>
    </w:rPr>
  </w:style>
  <w:style w:type="paragraph" w:styleId="10">
    <w:name w:val="Balloon Text"/>
    <w:basedOn w:val="1"/>
    <w:link w:val="41"/>
    <w:semiHidden/>
    <w:uiPriority w:val="99"/>
    <w:pPr>
      <w:spacing w:line="240" w:lineRule="auto"/>
    </w:pPr>
    <w:rPr>
      <w:sz w:val="18"/>
      <w:szCs w:val="18"/>
    </w:rPr>
  </w:style>
  <w:style w:type="paragraph" w:styleId="11">
    <w:name w:val="footer"/>
    <w:basedOn w:val="1"/>
    <w:link w:val="40"/>
    <w:uiPriority w:val="99"/>
    <w:pPr>
      <w:tabs>
        <w:tab w:val="center" w:pos="4153"/>
        <w:tab w:val="right" w:pos="8306"/>
      </w:tabs>
      <w:snapToGrid w:val="0"/>
      <w:spacing w:line="240" w:lineRule="auto"/>
    </w:pPr>
    <w:rPr>
      <w:sz w:val="18"/>
      <w:szCs w:val="18"/>
    </w:rPr>
  </w:style>
  <w:style w:type="paragraph" w:styleId="12">
    <w:name w:val="toc 1"/>
    <w:basedOn w:val="1"/>
    <w:next w:val="1"/>
    <w:uiPriority w:val="39"/>
    <w:pPr>
      <w:spacing w:line="600" w:lineRule="exact"/>
      <w:ind w:firstLine="0" w:firstLineChars="0"/>
    </w:pPr>
    <w:rPr>
      <w:rFonts w:ascii="Times New Roman" w:hAnsi="Times New Roman" w:eastAsia="仿宋_GB2312"/>
      <w:b/>
      <w:sz w:val="32"/>
    </w:rPr>
  </w:style>
  <w:style w:type="paragraph" w:styleId="13">
    <w:name w:val="toc 2"/>
    <w:basedOn w:val="1"/>
    <w:next w:val="1"/>
    <w:uiPriority w:val="39"/>
    <w:pPr>
      <w:tabs>
        <w:tab w:val="right" w:leader="dot" w:pos="8834"/>
      </w:tabs>
      <w:spacing w:line="600" w:lineRule="exact"/>
      <w:ind w:left="640" w:hanging="640" w:hangingChars="200"/>
    </w:pPr>
    <w:rPr>
      <w:rFonts w:ascii="Times New Roman" w:hAnsi="Times New Roman" w:eastAsia="仿宋_GB2312"/>
      <w:b/>
      <w:sz w:val="32"/>
    </w:rPr>
  </w:style>
  <w:style w:type="character" w:styleId="15">
    <w:name w:val="Hyperlink"/>
    <w:basedOn w:val="14"/>
    <w:unhideWhenUsed/>
    <w:uiPriority w:val="99"/>
    <w:rPr>
      <w:color w:val="0563C1" w:themeColor="hyperlink"/>
      <w:u w:val="single"/>
      <w14:textFill>
        <w14:solidFill>
          <w14:schemeClr w14:val="hlink"/>
        </w14:solidFill>
      </w14:textFill>
    </w:rPr>
  </w:style>
  <w:style w:type="character" w:styleId="16">
    <w:name w:val="annotation reference"/>
    <w:basedOn w:val="14"/>
    <w:semiHidden/>
    <w:uiPriority w:val="99"/>
    <w:rPr>
      <w:sz w:val="21"/>
      <w:szCs w:val="21"/>
    </w:rPr>
  </w:style>
  <w:style w:type="table" w:styleId="18">
    <w:name w:val="Table Grid"/>
    <w:basedOn w:val="1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字符"/>
    <w:basedOn w:val="14"/>
    <w:link w:val="2"/>
    <w:semiHidden/>
    <w:uiPriority w:val="9"/>
    <w:rPr>
      <w:b/>
      <w:bCs/>
      <w:kern w:val="44"/>
      <w:sz w:val="44"/>
      <w:szCs w:val="44"/>
    </w:rPr>
  </w:style>
  <w:style w:type="character" w:customStyle="1" w:styleId="20">
    <w:name w:val="标题 2 字符"/>
    <w:basedOn w:val="14"/>
    <w:link w:val="3"/>
    <w:semiHidden/>
    <w:uiPriority w:val="9"/>
    <w:rPr>
      <w:rFonts w:asciiTheme="majorHAnsi" w:hAnsiTheme="majorHAnsi" w:cstheme="majorBidi"/>
      <w:b/>
      <w:bCs/>
      <w:sz w:val="32"/>
      <w:szCs w:val="32"/>
    </w:rPr>
  </w:style>
  <w:style w:type="character" w:customStyle="1" w:styleId="21">
    <w:name w:val="标题 3 字符"/>
    <w:basedOn w:val="14"/>
    <w:link w:val="4"/>
    <w:semiHidden/>
    <w:uiPriority w:val="9"/>
    <w:rPr>
      <w:b/>
      <w:bCs/>
      <w:sz w:val="30"/>
      <w:szCs w:val="32"/>
    </w:rPr>
  </w:style>
  <w:style w:type="character" w:customStyle="1" w:styleId="22">
    <w:name w:val="标题 5 字符"/>
    <w:basedOn w:val="14"/>
    <w:link w:val="6"/>
    <w:semiHidden/>
    <w:uiPriority w:val="9"/>
    <w:rPr>
      <w:b/>
      <w:bCs/>
      <w:szCs w:val="28"/>
    </w:rPr>
  </w:style>
  <w:style w:type="character" w:customStyle="1" w:styleId="23">
    <w:name w:val="标题 4 字符"/>
    <w:basedOn w:val="14"/>
    <w:link w:val="5"/>
    <w:semiHidden/>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4"/>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4"/>
    <w:link w:val="32"/>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宋体"/>
      <w:b/>
      <w:sz w:val="21"/>
    </w:rPr>
  </w:style>
  <w:style w:type="character" w:customStyle="1" w:styleId="36">
    <w:name w:val="市局绩效-表格单位 字符"/>
    <w:basedOn w:val="14"/>
    <w:link w:val="33"/>
    <w:uiPriority w:val="0"/>
    <w:rPr>
      <w:rFonts w:ascii="Times New Roman" w:hAnsi="Times New Roman" w:eastAsia="宋体"/>
      <w:bCs/>
      <w:szCs w:val="18"/>
    </w:rPr>
  </w:style>
  <w:style w:type="paragraph" w:customStyle="1" w:styleId="37">
    <w:name w:val="市局绩效-表格内容"/>
    <w:basedOn w:val="25"/>
    <w:link w:val="39"/>
    <w:qFormat/>
    <w:uiPriority w:val="0"/>
    <w:pPr>
      <w:spacing w:line="240" w:lineRule="auto"/>
      <w:ind w:firstLine="0" w:firstLineChars="0"/>
      <w:jc w:val="center"/>
    </w:pPr>
    <w:rPr>
      <w:rFonts w:eastAsia="宋体"/>
      <w:sz w:val="21"/>
    </w:rPr>
  </w:style>
  <w:style w:type="character" w:customStyle="1" w:styleId="38">
    <w:name w:val="市局绩效-表格表头 字符"/>
    <w:basedOn w:val="28"/>
    <w:link w:val="35"/>
    <w:uiPriority w:val="0"/>
    <w:rPr>
      <w:rFonts w:ascii="Times New Roman" w:hAnsi="Times New Roman" w:eastAsia="宋体"/>
      <w:b/>
      <w:sz w:val="32"/>
    </w:rPr>
  </w:style>
  <w:style w:type="character" w:customStyle="1" w:styleId="39">
    <w:name w:val="市局绩效-表格内容 字符"/>
    <w:basedOn w:val="28"/>
    <w:link w:val="37"/>
    <w:uiPriority w:val="0"/>
    <w:rPr>
      <w:rFonts w:ascii="Times New Roman" w:hAnsi="Times New Roman" w:eastAsia="宋体"/>
      <w:sz w:val="32"/>
    </w:rPr>
  </w:style>
  <w:style w:type="character" w:customStyle="1" w:styleId="40">
    <w:name w:val="页脚 字符"/>
    <w:basedOn w:val="14"/>
    <w:link w:val="11"/>
    <w:uiPriority w:val="99"/>
    <w:rPr>
      <w:sz w:val="18"/>
      <w:szCs w:val="18"/>
    </w:rPr>
  </w:style>
  <w:style w:type="character" w:customStyle="1" w:styleId="41">
    <w:name w:val="批注框文本 字符"/>
    <w:basedOn w:val="14"/>
    <w:link w:val="10"/>
    <w:semiHidden/>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uiPriority w:val="0"/>
    <w:rPr>
      <w:rFonts w:ascii="Times New Roman" w:hAnsi="Times New Roman" w:eastAsia="宋体"/>
      <w:bCs/>
      <w:sz w:val="32"/>
    </w:rPr>
  </w:style>
  <w:style w:type="character" w:customStyle="1" w:styleId="44">
    <w:name w:val="批注文字 字符"/>
    <w:basedOn w:val="14"/>
    <w:link w:val="8"/>
    <w:uiPriority w:val="0"/>
  </w:style>
  <w:style w:type="character" w:customStyle="1" w:styleId="45">
    <w:name w:val="批注主题 字符"/>
    <w:basedOn w:val="44"/>
    <w:link w:val="7"/>
    <w:semiHidden/>
    <w:uiPriority w:val="99"/>
    <w:rPr>
      <w:b/>
      <w:bCs/>
    </w:rPr>
  </w:style>
  <w:style w:type="paragraph" w:customStyle="1" w:styleId="4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7">
    <w:name w:val="未处理的提及1"/>
    <w:basedOn w:val="14"/>
    <w:unhideWhenUsed/>
    <w:uiPriority w:val="99"/>
    <w:rPr>
      <w:color w:val="605E5C"/>
      <w:shd w:val="clear" w:color="auto" w:fill="E1DFDD"/>
    </w:rPr>
  </w:style>
  <w:style w:type="paragraph" w:customStyle="1" w:styleId="48">
    <w:name w:val="绩效标题2"/>
    <w:basedOn w:val="3"/>
    <w:link w:val="49"/>
    <w:qFormat/>
    <w:uiPriority w:val="0"/>
    <w:pPr>
      <w:spacing w:before="0" w:after="0" w:line="480" w:lineRule="atLeast"/>
    </w:pPr>
    <w:rPr>
      <w:rFonts w:ascii="仿宋" w:hAnsi="仿宋" w:eastAsia="仿宋"/>
      <w:bCs w:val="0"/>
      <w:sz w:val="36"/>
      <w:szCs w:val="44"/>
    </w:rPr>
  </w:style>
  <w:style w:type="character" w:customStyle="1" w:styleId="49">
    <w:name w:val="绩效标题2 字符"/>
    <w:basedOn w:val="20"/>
    <w:link w:val="48"/>
    <w:qFormat/>
    <w:uiPriority w:val="0"/>
    <w:rPr>
      <w:rFonts w:ascii="仿宋" w:hAnsi="仿宋" w:eastAsia="仿宋" w:cstheme="majorBidi"/>
      <w:bCs w:val="0"/>
      <w:sz w:val="36"/>
      <w:szCs w:val="44"/>
    </w:rPr>
  </w:style>
  <w:style w:type="paragraph" w:customStyle="1" w:styleId="50">
    <w:name w:val="绩效正文"/>
    <w:basedOn w:val="1"/>
    <w:link w:val="51"/>
    <w:qFormat/>
    <w:uiPriority w:val="0"/>
    <w:pPr>
      <w:spacing w:line="600" w:lineRule="exact"/>
      <w:ind w:firstLine="640"/>
      <w:jc w:val="both"/>
      <w:textAlignment w:val="baseline"/>
    </w:pPr>
    <w:rPr>
      <w:rFonts w:ascii="Times New Roman" w:hAnsi="Times New Roman" w:eastAsia="仿宋_GB2312" w:cs="Times New Roman"/>
      <w:sz w:val="32"/>
      <w:szCs w:val="32"/>
    </w:rPr>
  </w:style>
  <w:style w:type="character" w:customStyle="1" w:styleId="51">
    <w:name w:val="绩效正文 字符"/>
    <w:basedOn w:val="14"/>
    <w:link w:val="50"/>
    <w:qFormat/>
    <w:uiPriority w:val="0"/>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11A6DB-1C38-4D9D-942C-5FCDA0AB5CEE}">
  <ds:schemaRefs/>
</ds:datastoreItem>
</file>

<file path=docProps/app.xml><?xml version="1.0" encoding="utf-8"?>
<Properties xmlns="http://schemas.openxmlformats.org/officeDocument/2006/extended-properties" xmlns:vt="http://schemas.openxmlformats.org/officeDocument/2006/docPropsVTypes">
  <Template>Normal</Template>
  <Pages>49</Pages>
  <Words>3603</Words>
  <Characters>20542</Characters>
  <Lines>171</Lines>
  <Paragraphs>48</Paragraphs>
  <TotalTime>0</TotalTime>
  <ScaleCrop>false</ScaleCrop>
  <LinksUpToDate>false</LinksUpToDate>
  <CharactersWithSpaces>24097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2021-10-05T04:17:00Z</dcterms:created>
  <dc:creator>忠晔 张</dc:creator>
  <cp:lastModifiedBy>User</cp:lastModifiedBy>
  <cp:lastPrinted>2022-07-09T12:02:00Z</cp:lastPrinted>
  <dcterms:modified xsi:type="dcterms:W3CDTF">2023-06-26T00:29:06Z</dcterms:modified>
  <cp:revision>699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