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ascii="Times New Roman" w:hAnsi="Times New Roman" w:eastAsia="方正小标宋简体"/>
          <w:sz w:val="52"/>
          <w:szCs w:val="52"/>
        </w:rPr>
        <w:t>项目支出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2021</w:t>
      </w:r>
      <w:r>
        <w:rPr>
          <w:rFonts w:ascii="Times New Roman" w:hAnsi="Times New Roman" w:eastAsia="方正小标宋简体"/>
          <w:sz w:val="40"/>
          <w:szCs w:val="36"/>
        </w:rPr>
        <w:t>年度）</w:t>
      </w: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900" w:lineRule="exact"/>
        <w:ind w:firstLine="480" w:firstLineChars="150"/>
        <w:rPr>
          <w:rFonts w:ascii="Times New Roman" w:hAnsi="Times New Roman" w:eastAsia="仿宋_GB2312"/>
          <w:sz w:val="32"/>
          <w:szCs w:val="32"/>
          <w:u w:val="single"/>
        </w:rPr>
      </w:pPr>
      <w:r>
        <w:rPr>
          <w:rFonts w:ascii="Times New Roman" w:hAnsi="Times New Roman" w:eastAsia="仿宋_GB2312"/>
          <w:sz w:val="32"/>
          <w:szCs w:val="32"/>
        </w:rPr>
        <w:t>项 目 名 称：</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政务服务全过程帮办领办服务项目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480" w:firstLineChars="150"/>
        <w:rPr>
          <w:rFonts w:ascii="Times New Roman" w:hAnsi="Times New Roman" w:eastAsia="仿宋_GB2312"/>
          <w:sz w:val="32"/>
          <w:szCs w:val="32"/>
          <w:u w:val="single"/>
        </w:rPr>
      </w:pPr>
      <w:r>
        <w:rPr>
          <w:rFonts w:ascii="Times New Roman" w:hAnsi="Times New Roman" w:eastAsia="仿宋_GB2312"/>
          <w:sz w:val="32"/>
          <w:szCs w:val="32"/>
        </w:rPr>
        <w:t>项 目 单 位：</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天津市和平区人民政府政务服务办公室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480" w:firstLineChars="150"/>
        <w:rPr>
          <w:rFonts w:ascii="Times New Roman" w:hAnsi="Times New Roman" w:eastAsia="仿宋_GB2312"/>
          <w:sz w:val="32"/>
          <w:szCs w:val="32"/>
        </w:rPr>
      </w:pPr>
      <w:r>
        <w:rPr>
          <w:rFonts w:ascii="Times New Roman" w:hAnsi="Times New Roman" w:eastAsia="仿宋_GB2312"/>
          <w:sz w:val="32"/>
          <w:szCs w:val="32"/>
        </w:rPr>
        <w:t>主 管 部 门：</w:t>
      </w:r>
      <w:r>
        <w:rPr>
          <w:rFonts w:hint="eastAsia" w:ascii="Times New Roman" w:hAnsi="Times New Roman" w:eastAsia="仿宋_GB2312"/>
          <w:sz w:val="32"/>
          <w:szCs w:val="32"/>
          <w:u w:val="single"/>
        </w:rPr>
        <w:t xml:space="preserve"> 天津市和平区人民政府政务服务办公室 </w:t>
      </w:r>
      <w:r>
        <w:rPr>
          <w:rFonts w:ascii="Times New Roman" w:hAnsi="Times New Roman" w:eastAsia="仿宋_GB2312"/>
          <w:sz w:val="32"/>
          <w:szCs w:val="32"/>
          <w:u w:val="single"/>
        </w:rPr>
        <w:t xml:space="preserve">     </w:t>
      </w:r>
    </w:p>
    <w:p>
      <w:pPr>
        <w:spacing w:line="900" w:lineRule="exact"/>
        <w:ind w:firstLine="480" w:firstLineChars="15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 xml:space="preserve">有限公司                    </w:t>
      </w:r>
    </w:p>
    <w:p>
      <w:pPr>
        <w:spacing w:line="900" w:lineRule="exact"/>
        <w:ind w:firstLine="480" w:firstLineChars="15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2022</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黑体" w:cs="黑体"/>
          <w:sz w:val="32"/>
          <w:szCs w:val="32"/>
        </w:rPr>
      </w:pPr>
    </w:p>
    <w:p>
      <w:pPr>
        <w:widowControl/>
        <w:spacing w:line="240" w:lineRule="auto"/>
        <w:ind w:firstLine="0" w:firstLineChars="0"/>
        <w:rPr>
          <w:rFonts w:ascii="Times New Roman" w:hAnsi="Times New Roman" w:eastAsia="黑体" w:cs="黑体"/>
          <w:sz w:val="32"/>
          <w:szCs w:val="32"/>
        </w:rPr>
      </w:pPr>
      <w:r>
        <w:rPr>
          <w:rFonts w:ascii="Times New Roman" w:hAnsi="Times New Roman" w:eastAsia="黑体" w:cs="黑体"/>
          <w:sz w:val="32"/>
          <w:szCs w:val="32"/>
        </w:rPr>
        <w:br w:type="page"/>
      </w:r>
    </w:p>
    <w:sdt>
      <w:sdtPr>
        <w:rPr>
          <w:rFonts w:ascii="Times New Roman" w:hAnsi="Times New Roman" w:eastAsiaTheme="minorEastAsia" w:cstheme="minorBidi"/>
          <w:color w:val="auto"/>
          <w:kern w:val="2"/>
          <w:sz w:val="21"/>
          <w:szCs w:val="21"/>
          <w:lang w:val="zh-CN"/>
        </w:rPr>
        <w:id w:val="1322844121"/>
      </w:sdtPr>
      <w:sdtEndPr>
        <w:rPr>
          <w:rFonts w:ascii="Times New Roman" w:hAnsi="Times New Roman" w:eastAsiaTheme="minorEastAsia" w:cstheme="minorBidi"/>
          <w:b/>
          <w:bCs/>
          <w:color w:val="auto"/>
          <w:kern w:val="2"/>
          <w:sz w:val="21"/>
          <w:szCs w:val="21"/>
          <w:lang w:val="zh-CN"/>
        </w:rPr>
      </w:sdtEndPr>
      <w:sdtContent>
        <w:p>
          <w:pPr>
            <w:pStyle w:val="51"/>
            <w:ind w:firstLine="420"/>
            <w:jc w:val="center"/>
            <w:rPr>
              <w:rFonts w:ascii="Times New Roman" w:hAnsi="Times New Roman" w:eastAsia="黑体"/>
              <w:color w:val="auto"/>
            </w:rPr>
          </w:pPr>
          <w:r>
            <w:rPr>
              <w:rFonts w:ascii="Times New Roman" w:hAnsi="Times New Roman" w:eastAsia="黑体"/>
              <w:color w:val="auto"/>
              <w:lang w:val="zh-CN"/>
            </w:rPr>
            <w:t>目</w:t>
          </w:r>
          <w:r>
            <w:rPr>
              <w:rFonts w:hint="eastAsia" w:ascii="Times New Roman" w:hAnsi="Times New Roman" w:eastAsia="黑体"/>
              <w:color w:val="auto"/>
              <w:lang w:val="zh-CN"/>
            </w:rPr>
            <w:t xml:space="preserve"> </w:t>
          </w:r>
          <w:r>
            <w:rPr>
              <w:rFonts w:ascii="Times New Roman" w:hAnsi="Times New Roman" w:eastAsia="黑体"/>
              <w:color w:val="auto"/>
              <w:lang w:val="zh-CN"/>
            </w:rPr>
            <w:t xml:space="preserve"> 录</w:t>
          </w:r>
        </w:p>
        <w:p>
          <w:pPr>
            <w:pStyle w:val="13"/>
            <w:rPr>
              <w:rFonts w:asciiTheme="minorHAnsi" w:eastAsiaTheme="minorEastAsia" w:cstheme="minorBidi"/>
              <w:b w:val="0"/>
              <w:kern w:val="2"/>
              <w:sz w:val="21"/>
              <w:szCs w:val="22"/>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"_Toc120546885" </w:instrText>
          </w:r>
          <w:r>
            <w:fldChar w:fldCharType="separate"/>
          </w:r>
          <w:r>
            <w:rPr>
              <w:rStyle w:val="16"/>
            </w:rPr>
            <w:t>一、项目基本情况</w:t>
          </w:r>
          <w:r>
            <w:tab/>
          </w:r>
          <w:r>
            <w:fldChar w:fldCharType="begin"/>
          </w:r>
          <w:r>
            <w:instrText xml:space="preserve"> PAGEREF _Toc120546885 \h </w:instrText>
          </w:r>
          <w:r>
            <w:fldChar w:fldCharType="separate"/>
          </w:r>
          <w:r>
            <w:t>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"_Toc120546886" </w:instrText>
          </w:r>
          <w:r>
            <w:fldChar w:fldCharType="separate"/>
          </w:r>
          <w:r>
            <w:rPr>
              <w:rStyle w:val="16"/>
              <w:rFonts w:ascii="Times New Roman" w:hAnsi="Times New Roman"/>
            </w:rPr>
            <w:t>（一）项目概况</w:t>
          </w:r>
          <w:r>
            <w:tab/>
          </w:r>
          <w:r>
            <w:fldChar w:fldCharType="begin"/>
          </w:r>
          <w:r>
            <w:instrText xml:space="preserve"> PAGEREF _Toc120546886 \h </w:instrText>
          </w:r>
          <w:r>
            <w:fldChar w:fldCharType="separate"/>
          </w:r>
          <w:r>
            <w:t>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"_Toc120546887" </w:instrText>
          </w:r>
          <w:r>
            <w:fldChar w:fldCharType="separate"/>
          </w:r>
          <w:r>
            <w:rPr>
              <w:rStyle w:val="16"/>
              <w:rFonts w:ascii="Times New Roman" w:hAnsi="Times New Roman"/>
            </w:rPr>
            <w:t>（二）项目绩效目标</w:t>
          </w:r>
          <w:r>
            <w:tab/>
          </w:r>
          <w:r>
            <w:fldChar w:fldCharType="begin"/>
          </w:r>
          <w:r>
            <w:instrText xml:space="preserve"> PAGEREF _Toc120546887 \h </w:instrText>
          </w:r>
          <w:r>
            <w:fldChar w:fldCharType="separate"/>
          </w:r>
          <w:r>
            <w:t>5</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"_Toc120546888" </w:instrText>
          </w:r>
          <w:r>
            <w:fldChar w:fldCharType="separate"/>
          </w:r>
          <w:r>
            <w:rPr>
              <w:rStyle w:val="16"/>
            </w:rPr>
            <w:t>二、绩效评价工作开展情况</w:t>
          </w:r>
          <w:r>
            <w:tab/>
          </w:r>
          <w:r>
            <w:fldChar w:fldCharType="begin"/>
          </w:r>
          <w:r>
            <w:instrText xml:space="preserve"> PAGEREF _Toc120546888 \h </w:instrText>
          </w:r>
          <w:r>
            <w:fldChar w:fldCharType="separate"/>
          </w:r>
          <w:r>
            <w:t>6</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"_Toc120546889" </w:instrText>
          </w:r>
          <w:r>
            <w:fldChar w:fldCharType="separate"/>
          </w:r>
          <w:r>
            <w:rPr>
              <w:rStyle w:val="16"/>
              <w:rFonts w:ascii="Times New Roman" w:hAnsi="Times New Roman"/>
            </w:rPr>
            <w:t>（一）绩效评价的目的、对象和范围</w:t>
          </w:r>
          <w:r>
            <w:tab/>
          </w:r>
          <w:r>
            <w:fldChar w:fldCharType="begin"/>
          </w:r>
          <w:r>
            <w:instrText xml:space="preserve"> PAGEREF _Toc120546889 \h </w:instrText>
          </w:r>
          <w:r>
            <w:fldChar w:fldCharType="separate"/>
          </w:r>
          <w:r>
            <w:t>6</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"_Toc120546890" </w:instrText>
          </w:r>
          <w:r>
            <w:fldChar w:fldCharType="separate"/>
          </w:r>
          <w:r>
            <w:rPr>
              <w:rStyle w:val="16"/>
              <w:rFonts w:ascii="Times New Roman" w:hAnsi="Times New Roman"/>
            </w:rPr>
            <w:t>（二）</w:t>
          </w:r>
          <w:r>
            <w:rPr>
              <w:rStyle w:val="16"/>
              <w:rFonts w:ascii="Times New Roman" w:hAnsi="Times New Roman" w:cs="楷体_GB2312"/>
            </w:rPr>
            <w:t>绩效评价原则、评价指标体系、评价方法</w:t>
          </w:r>
          <w:r>
            <w:tab/>
          </w:r>
          <w:r>
            <w:fldChar w:fldCharType="begin"/>
          </w:r>
          <w:r>
            <w:instrText xml:space="preserve"> PAGEREF _Toc120546890 \h </w:instrText>
          </w:r>
          <w:r>
            <w:fldChar w:fldCharType="separate"/>
          </w:r>
          <w:r>
            <w:t>8</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"_Toc120546891" </w:instrText>
          </w:r>
          <w:r>
            <w:fldChar w:fldCharType="separate"/>
          </w:r>
          <w:r>
            <w:rPr>
              <w:rStyle w:val="16"/>
              <w:rFonts w:ascii="Times New Roman" w:hAnsi="Times New Roman"/>
            </w:rPr>
            <w:t>（三）绩效评价工作过程</w:t>
          </w:r>
          <w:r>
            <w:tab/>
          </w:r>
          <w:r>
            <w:fldChar w:fldCharType="begin"/>
          </w:r>
          <w:r>
            <w:instrText xml:space="preserve"> PAGEREF _Toc120546891 \h </w:instrText>
          </w:r>
          <w:r>
            <w:fldChar w:fldCharType="separate"/>
          </w:r>
          <w:r>
            <w:t>13</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"_Toc120546892" </w:instrText>
          </w:r>
          <w:r>
            <w:fldChar w:fldCharType="separate"/>
          </w:r>
          <w:r>
            <w:rPr>
              <w:rStyle w:val="16"/>
            </w:rPr>
            <w:t>三、综合评价情况及评价结论</w:t>
          </w:r>
          <w:r>
            <w:tab/>
          </w:r>
          <w:r>
            <w:fldChar w:fldCharType="begin"/>
          </w:r>
          <w:r>
            <w:instrText xml:space="preserve"> PAGEREF _Toc120546892 \h </w:instrText>
          </w:r>
          <w:r>
            <w:fldChar w:fldCharType="separate"/>
          </w:r>
          <w:r>
            <w:t>16</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"_Toc120546893" </w:instrText>
          </w:r>
          <w:r>
            <w:fldChar w:fldCharType="separate"/>
          </w:r>
          <w:r>
            <w:rPr>
              <w:rStyle w:val="16"/>
            </w:rPr>
            <w:t>四、绩效评价指标分析</w:t>
          </w:r>
          <w:r>
            <w:tab/>
          </w:r>
          <w:r>
            <w:fldChar w:fldCharType="begin"/>
          </w:r>
          <w:r>
            <w:instrText xml:space="preserve"> PAGEREF _Toc120546893 \h </w:instrText>
          </w:r>
          <w:r>
            <w:fldChar w:fldCharType="separate"/>
          </w:r>
          <w:r>
            <w:t>17</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"_Toc120546894" </w:instrText>
          </w:r>
          <w:r>
            <w:fldChar w:fldCharType="separate"/>
          </w:r>
          <w:r>
            <w:rPr>
              <w:rStyle w:val="16"/>
              <w:rFonts w:ascii="Times New Roman" w:hAnsi="Times New Roman"/>
            </w:rPr>
            <w:t>（一）项目决策情况</w:t>
          </w:r>
          <w:r>
            <w:tab/>
          </w:r>
          <w:r>
            <w:fldChar w:fldCharType="begin"/>
          </w:r>
          <w:r>
            <w:instrText xml:space="preserve"> PAGEREF _Toc120546894 \h </w:instrText>
          </w:r>
          <w:r>
            <w:fldChar w:fldCharType="separate"/>
          </w:r>
          <w:r>
            <w:t>17</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"_Toc120546895" </w:instrText>
          </w:r>
          <w:r>
            <w:fldChar w:fldCharType="separate"/>
          </w:r>
          <w:r>
            <w:rPr>
              <w:rStyle w:val="16"/>
              <w:rFonts w:ascii="Times New Roman" w:hAnsi="Times New Roman"/>
            </w:rPr>
            <w:t>（二）项目过程情况</w:t>
          </w:r>
          <w:r>
            <w:tab/>
          </w:r>
          <w:r>
            <w:fldChar w:fldCharType="begin"/>
          </w:r>
          <w:r>
            <w:instrText xml:space="preserve"> PAGEREF _Toc120546895 \h </w:instrText>
          </w:r>
          <w:r>
            <w:fldChar w:fldCharType="separate"/>
          </w:r>
          <w:r>
            <w:t>22</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"_Toc120546896" </w:instrText>
          </w:r>
          <w:r>
            <w:fldChar w:fldCharType="separate"/>
          </w:r>
          <w:r>
            <w:rPr>
              <w:rStyle w:val="16"/>
              <w:rFonts w:ascii="Times New Roman" w:hAnsi="Times New Roman"/>
            </w:rPr>
            <w:t>（三）项目产出情况</w:t>
          </w:r>
          <w:r>
            <w:tab/>
          </w:r>
          <w:r>
            <w:fldChar w:fldCharType="begin"/>
          </w:r>
          <w:r>
            <w:instrText xml:space="preserve"> PAGEREF _Toc120546896 \h </w:instrText>
          </w:r>
          <w:r>
            <w:fldChar w:fldCharType="separate"/>
          </w:r>
          <w:r>
            <w:t>24</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"_Toc120546897" </w:instrText>
          </w:r>
          <w:r>
            <w:fldChar w:fldCharType="separate"/>
          </w:r>
          <w:r>
            <w:rPr>
              <w:rStyle w:val="16"/>
              <w:rFonts w:ascii="Times New Roman" w:hAnsi="Times New Roman"/>
            </w:rPr>
            <w:t>（四）项目效益情况</w:t>
          </w:r>
          <w:r>
            <w:tab/>
          </w:r>
          <w:r>
            <w:fldChar w:fldCharType="begin"/>
          </w:r>
          <w:r>
            <w:instrText xml:space="preserve"> PAGEREF _Toc120546897 \h </w:instrText>
          </w:r>
          <w:r>
            <w:fldChar w:fldCharType="separate"/>
          </w:r>
          <w:r>
            <w:t>26</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"_Toc120546898" </w:instrText>
          </w:r>
          <w:r>
            <w:fldChar w:fldCharType="separate"/>
          </w:r>
          <w:r>
            <w:rPr>
              <w:rStyle w:val="16"/>
            </w:rPr>
            <w:t>五、存在的主要问题</w:t>
          </w:r>
          <w:r>
            <w:tab/>
          </w:r>
          <w:r>
            <w:fldChar w:fldCharType="begin"/>
          </w:r>
          <w:r>
            <w:instrText xml:space="preserve"> PAGEREF _Toc120546898 \h </w:instrText>
          </w:r>
          <w:r>
            <w:fldChar w:fldCharType="separate"/>
          </w:r>
          <w:r>
            <w:t>29</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"_Toc120546899" </w:instrText>
          </w:r>
          <w:r>
            <w:fldChar w:fldCharType="separate"/>
          </w:r>
          <w:r>
            <w:rPr>
              <w:rStyle w:val="16"/>
              <w:rFonts w:ascii="Times New Roman" w:hAnsi="Times New Roman"/>
            </w:rPr>
            <w:t>（一）项目绩效目标设置规划性、细化程度不足</w:t>
          </w:r>
          <w:r>
            <w:tab/>
          </w:r>
          <w:r>
            <w:fldChar w:fldCharType="begin"/>
          </w:r>
          <w:r>
            <w:instrText xml:space="preserve"> PAGEREF _Toc120546899 \h </w:instrText>
          </w:r>
          <w:r>
            <w:fldChar w:fldCharType="separate"/>
          </w:r>
          <w:r>
            <w:t>29</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"_Toc120546900" </w:instrText>
          </w:r>
          <w:r>
            <w:fldChar w:fldCharType="separate"/>
          </w:r>
          <w:r>
            <w:rPr>
              <w:rStyle w:val="16"/>
              <w:rFonts w:ascii="Times New Roman" w:hAnsi="Times New Roman"/>
            </w:rPr>
            <w:t>（二）预算编制与资金管理不足</w:t>
          </w:r>
          <w:r>
            <w:tab/>
          </w:r>
          <w:r>
            <w:fldChar w:fldCharType="begin"/>
          </w:r>
          <w:r>
            <w:instrText xml:space="preserve"> PAGEREF _Toc120546900 \h </w:instrText>
          </w:r>
          <w:r>
            <w:fldChar w:fldCharType="separate"/>
          </w:r>
          <w:r>
            <w:t>29</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"_Toc120546901" </w:instrText>
          </w:r>
          <w:r>
            <w:fldChar w:fldCharType="separate"/>
          </w:r>
          <w:r>
            <w:rPr>
              <w:rStyle w:val="16"/>
              <w:rFonts w:ascii="Times New Roman" w:hAnsi="Times New Roman"/>
            </w:rPr>
            <w:t>（三）合同制度执行有待完善</w:t>
          </w:r>
          <w:r>
            <w:tab/>
          </w:r>
          <w:r>
            <w:fldChar w:fldCharType="begin"/>
          </w:r>
          <w:r>
            <w:instrText xml:space="preserve"> PAGEREF _Toc120546901 \h </w:instrText>
          </w:r>
          <w:r>
            <w:fldChar w:fldCharType="separate"/>
          </w:r>
          <w:r>
            <w:t>30</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"_Toc120546902" </w:instrText>
          </w:r>
          <w:r>
            <w:fldChar w:fldCharType="separate"/>
          </w:r>
          <w:r>
            <w:rPr>
              <w:rStyle w:val="16"/>
            </w:rPr>
            <w:t>六、相关建议</w:t>
          </w:r>
          <w:r>
            <w:tab/>
          </w:r>
          <w:r>
            <w:fldChar w:fldCharType="begin"/>
          </w:r>
          <w:r>
            <w:instrText xml:space="preserve"> PAGEREF _Toc120546902 \h </w:instrText>
          </w:r>
          <w:r>
            <w:fldChar w:fldCharType="separate"/>
          </w:r>
          <w:r>
            <w:t>30</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"_Toc120546903" </w:instrText>
          </w:r>
          <w:r>
            <w:fldChar w:fldCharType="separate"/>
          </w:r>
          <w:r>
            <w:rPr>
              <w:rStyle w:val="16"/>
              <w:rFonts w:ascii="Times New Roman" w:hAnsi="Times New Roman"/>
            </w:rPr>
            <w:t>（一）加强绩效理念，提升绩效管理水平</w:t>
          </w:r>
          <w:r>
            <w:tab/>
          </w:r>
          <w:r>
            <w:fldChar w:fldCharType="begin"/>
          </w:r>
          <w:r>
            <w:instrText xml:space="preserve"> PAGEREF _Toc120546903 \h </w:instrText>
          </w:r>
          <w:r>
            <w:fldChar w:fldCharType="separate"/>
          </w:r>
          <w:r>
            <w:t>30</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"_Toc120546904" </w:instrText>
          </w:r>
          <w:r>
            <w:fldChar w:fldCharType="separate"/>
          </w:r>
          <w:r>
            <w:rPr>
              <w:rStyle w:val="16"/>
              <w:rFonts w:ascii="Times New Roman" w:hAnsi="Times New Roman"/>
            </w:rPr>
            <w:t>（二）加强项目预算编制与资金管理</w:t>
          </w:r>
          <w:r>
            <w:tab/>
          </w:r>
          <w:r>
            <w:fldChar w:fldCharType="begin"/>
          </w:r>
          <w:r>
            <w:instrText xml:space="preserve"> PAGEREF _Toc120546904 \h </w:instrText>
          </w:r>
          <w:r>
            <w:fldChar w:fldCharType="separate"/>
          </w:r>
          <w:r>
            <w:t>31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"_Toc120546905" </w:instrText>
          </w:r>
          <w:r>
            <w:fldChar w:fldCharType="separate"/>
          </w:r>
          <w:r>
            <w:rPr>
              <w:rStyle w:val="16"/>
              <w:rFonts w:ascii="Times New Roman" w:hAnsi="Times New Roman"/>
            </w:rPr>
            <w:t>（三）加强合同管理与沟通能力</w:t>
          </w:r>
          <w:r>
            <w:tab/>
          </w:r>
          <w:r>
            <w:fldChar w:fldCharType="begin"/>
          </w:r>
          <w:r>
            <w:instrText xml:space="preserve"> PAGEREF _Toc120546905 \h </w:instrText>
          </w:r>
          <w:r>
            <w:fldChar w:fldCharType="separate"/>
          </w:r>
          <w:r>
            <w:t>31</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"_Toc120546906" </w:instrText>
          </w:r>
          <w:r>
            <w:fldChar w:fldCharType="separate"/>
          </w:r>
          <w:r>
            <w:rPr>
              <w:rStyle w:val="16"/>
            </w:rPr>
            <w:t>七、附件</w:t>
          </w:r>
          <w:r>
            <w:tab/>
          </w:r>
          <w:r>
            <w:fldChar w:fldCharType="begin"/>
          </w:r>
          <w:r>
            <w:instrText xml:space="preserve"> PAGEREF _Toc120546906 \h </w:instrText>
          </w:r>
          <w:r>
            <w:fldChar w:fldCharType="separate"/>
          </w:r>
          <w:r>
            <w:t>32</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"_Toc120546907" </w:instrText>
          </w:r>
          <w:r>
            <w:fldChar w:fldCharType="separate"/>
          </w:r>
          <w:r>
            <w:rPr>
              <w:rStyle w:val="16"/>
              <w:rFonts w:ascii="Times New Roman" w:hAnsi="Times New Roman"/>
            </w:rPr>
            <w:t>附件：天津市和平区人民政府政务服务办公室政务服务全过程帮办领办服务项目绩效评价指标体系及评分表</w:t>
          </w:r>
          <w:r>
            <w:tab/>
          </w:r>
          <w:r>
            <w:fldChar w:fldCharType="begin"/>
          </w:r>
          <w:r>
            <w:instrText xml:space="preserve"> PAGEREF _Toc120546907 \h </w:instrText>
          </w:r>
          <w:r>
            <w:fldChar w:fldCharType="separate"/>
          </w:r>
          <w:r>
            <w:t>32</w:t>
          </w:r>
          <w:r>
            <w:fldChar w:fldCharType="end"/>
          </w:r>
          <w:r>
            <w:fldChar w:fldCharType="end"/>
          </w:r>
        </w:p>
        <w:p>
          <w:pPr>
            <w:ind w:firstLine="420"/>
            <w:rPr>
              <w:rFonts w:ascii="Times New Roman" w:hAnsi="Times New Roman"/>
            </w:rPr>
          </w:pPr>
          <w:r>
            <w:rPr>
              <w:rFonts w:ascii="Times New Roman" w:hAnsi="Times New Roman"/>
              <w:b/>
              <w:bCs/>
              <w:lang w:val="zh-CN"/>
            </w:rPr>
            <w:fldChar w:fldCharType="end"/>
          </w:r>
        </w:p>
      </w:sdtContent>
    </w:sdt>
    <w:p>
      <w:pPr>
        <w:widowControl/>
        <w:spacing w:line="240" w:lineRule="auto"/>
        <w:ind w:firstLine="0" w:firstLineChars="0"/>
        <w:rPr>
          <w:rFonts w:ascii="Times New Roman" w:hAnsi="Times New Roman" w:eastAsia="方正小标宋简体"/>
          <w:bCs/>
          <w:kern w:val="44"/>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268" w:right="1797" w:bottom="1701" w:left="1797" w:header="851" w:footer="992" w:gutter="0"/>
          <w:pgNumType w:fmt="numberInDash"/>
          <w:cols w:space="425" w:num="1"/>
          <w:docGrid w:type="lines" w:linePitch="312" w:charSpace="0"/>
        </w:sectPr>
      </w:pPr>
    </w:p>
    <w:p>
      <w:pPr>
        <w:pStyle w:val="26"/>
        <w:ind w:firstLine="640"/>
      </w:pPr>
      <w:r>
        <w:t>为提高财政资金使用效益，合理配置公共财政资源，根据市委、市政府关于全面推进预算绩效管理的实施方案和《天津市市级财政项目支出绩效评价管理办法》（津财绩效〔2020〕12号）等文件要求，</w:t>
      </w:r>
      <w:r>
        <w:rPr>
          <w:rFonts w:hint="eastAsia"/>
        </w:rPr>
        <w:t>天津市和平区财政</w:t>
      </w:r>
      <w:r>
        <w:t>局</w:t>
      </w:r>
      <w:r>
        <w:rPr>
          <w:rFonts w:hint="eastAsia"/>
        </w:rPr>
        <w:t>引入</w:t>
      </w:r>
      <w:r>
        <w:t>第三方专业机构</w:t>
      </w:r>
      <w:r>
        <w:rPr>
          <w:rFonts w:hint="eastAsia"/>
        </w:rPr>
        <w:t>成立</w:t>
      </w:r>
      <w:r>
        <w:t>绩效评价组，于2022年9</w:t>
      </w:r>
      <w:r>
        <w:rPr>
          <w:rFonts w:hint="eastAsia"/>
        </w:rPr>
        <w:t>月</w:t>
      </w:r>
      <w:r>
        <w:t>，</w:t>
      </w:r>
      <w:r>
        <w:rPr>
          <w:rFonts w:hint="eastAsia"/>
          <w:color w:val="000000" w:themeColor="text1"/>
          <w14:textFill>
            <w14:solidFill>
              <w14:schemeClr w14:val="tx1"/>
            </w14:solidFill>
          </w14:textFill>
        </w:rPr>
        <w:t>对天津市和平区人民政府政务服务办公室的“政务服务全过程帮办领办服务”项目开展了绩效评价</w:t>
      </w:r>
      <w:r>
        <w:t>。该项目评价结果为95分，评价等级为“</w:t>
      </w:r>
      <w:r>
        <w:rPr>
          <w:rFonts w:hint="eastAsia"/>
        </w:rPr>
        <w:t>优</w:t>
      </w:r>
      <w:r>
        <w:t>”，有关情况如下。</w:t>
      </w:r>
    </w:p>
    <w:p>
      <w:pPr>
        <w:pStyle w:val="28"/>
      </w:pPr>
      <w:bookmarkStart w:id="0" w:name="_Toc120546885"/>
      <w:bookmarkStart w:id="1" w:name="_Hlk91875033"/>
      <w:r>
        <w:rPr>
          <w:rFonts w:hint="eastAsia"/>
        </w:rPr>
        <w:t>一、项目基本情况</w:t>
      </w:r>
      <w:bookmarkEnd w:id="0"/>
    </w:p>
    <w:p>
      <w:pPr>
        <w:pStyle w:val="30"/>
        <w:ind w:firstLine="640"/>
        <w:rPr>
          <w:rFonts w:ascii="Times New Roman" w:hAnsi="Times New Roman"/>
        </w:rPr>
      </w:pPr>
      <w:bookmarkStart w:id="2" w:name="_Toc120546886"/>
      <w:r>
        <w:rPr>
          <w:rFonts w:hint="eastAsia" w:ascii="Times New Roman" w:hAnsi="Times New Roman"/>
        </w:rPr>
        <w:t>（一）项目概况</w:t>
      </w:r>
      <w:bookmarkEnd w:id="2"/>
    </w:p>
    <w:p>
      <w:pPr>
        <w:pStyle w:val="26"/>
        <w:ind w:firstLine="640"/>
      </w:pPr>
      <w:r>
        <w:rPr>
          <w:rFonts w:hint="eastAsia"/>
        </w:rPr>
        <w:t>1.项目背景</w:t>
      </w:r>
    </w:p>
    <w:p>
      <w:pPr>
        <w:pStyle w:val="26"/>
        <w:ind w:firstLine="640"/>
      </w:pPr>
      <w:r>
        <w:rPr>
          <w:rFonts w:hint="eastAsia"/>
        </w:rPr>
        <w:t>近年来，我国经济已由高速增长阶段转向高质量发展阶段，正经历质量变革、效率变革、动力变革，传统的劳动力、土地等生产要素的优势正在逐渐减弱，制度供给成为重要的核心竞争力，要推动经济高质量发展，不仅需要基础设施等“硬实力”的持续改善，更需要深化体制机制改革创新，在“软实力”上实现新的突破。</w:t>
      </w:r>
      <w:r>
        <w:t>2015年5月，</w:t>
      </w:r>
      <w:r>
        <w:rPr>
          <w:rFonts w:hint="eastAsia"/>
          <w:lang w:eastAsia="zh-CN"/>
        </w:rPr>
        <w:t>国务院</w:t>
      </w:r>
      <w:bookmarkStart w:id="34" w:name="_GoBack"/>
      <w:bookmarkEnd w:id="34"/>
      <w:r>
        <w:t>总理李克强</w:t>
      </w:r>
      <w:r>
        <w:rPr>
          <w:rFonts w:hint="eastAsia"/>
        </w:rPr>
        <w:t>在</w:t>
      </w:r>
      <w:r>
        <w:t>推进简政放权、放管结合职能转变工作会议上第一次提出</w:t>
      </w:r>
      <w:r>
        <w:rPr>
          <w:rFonts w:hint="eastAsia"/>
        </w:rPr>
        <w:t>“简政放权、放管结合、优化服务协同推进，即‘放、管、服’三管齐下，推动大众创业、万众创新，充分发挥中央和地方两个积极性，促进经济社会持续健康发展，加快建设与社会主义市场经济体制和中国特色社会主义事业发展相适应的法治政府、创新政府、廉洁政府和服务型政府，逐步实现政府治理能力现代化”的要求。</w:t>
      </w:r>
      <w:r>
        <w:t>推进“放管服”改革，牵涉官、民、商之间的关系，使市场在资源配置中起决定性</w:t>
      </w:r>
      <w:r>
        <w:rPr>
          <w:rFonts w:hint="eastAsia"/>
        </w:rPr>
        <w:t>作用和更好发挥政府作用，</w:t>
      </w:r>
      <w:r>
        <w:t>破除制约企业和群众办事创业的体制机制障碍</w:t>
      </w:r>
      <w:r>
        <w:rPr>
          <w:rFonts w:hint="eastAsia"/>
        </w:rPr>
        <w:t>，</w:t>
      </w:r>
      <w:r>
        <w:t>着力降低</w:t>
      </w:r>
      <w:r>
        <w:rPr>
          <w:rFonts w:hint="eastAsia"/>
        </w:rPr>
        <w:t>制度</w:t>
      </w:r>
      <w:r>
        <w:t>交易成本，优化营商环境，激发市场活力和社会创造力，与大众创业、万众创新和发展壮大新经济紧密结合起来，进一步形成经济增长内生动力，促进经济社会持续健康发展。</w:t>
      </w:r>
    </w:p>
    <w:p>
      <w:pPr>
        <w:pStyle w:val="26"/>
        <w:ind w:firstLine="640"/>
      </w:pPr>
      <w:r>
        <w:t>2018年，天津市委市政府落实国家“放管服”改革出台《天津市承诺制标准化智能化便利化审批制度改革实施方案》，深化简政放权、强化市场监管、改进公共服务、提高办事效率。2019年，</w:t>
      </w:r>
      <w:r>
        <w:rPr>
          <w:rFonts w:hint="eastAsia"/>
        </w:rPr>
        <w:t>又</w:t>
      </w:r>
      <w:r>
        <w:t>印发了《加大职能转变 切实简政放权 推动“一制三化”改革深入进行》</w:t>
      </w:r>
      <w:r>
        <w:rPr>
          <w:rFonts w:hint="eastAsia"/>
        </w:rPr>
        <w:t>，</w:t>
      </w:r>
      <w:r>
        <w:t>进一步加大推动改革措施落地，提高政务服务效率，推动政府治理体系和治理能力现代化，激发市场活力和社会创造力。2020年我市出台的《关于天津市进一步深化“一制三化”改革打造一流政务服务体系的实施方案》，始终坚持以解决企业群众问题为导向，以制度创新为突</w:t>
      </w:r>
      <w:r>
        <w:rPr>
          <w:rFonts w:hint="eastAsia"/>
        </w:rPr>
        <w:t>破口，持续推进、有效落实各项改革措施，承诺制审批得到广泛认可，标准化建设显著加强，智能化程度不断提升，政务服务更加高效便捷。</w:t>
      </w:r>
    </w:p>
    <w:p>
      <w:pPr>
        <w:pStyle w:val="26"/>
        <w:ind w:firstLine="640"/>
      </w:pPr>
      <w:r>
        <w:rPr>
          <w:rFonts w:hint="eastAsia"/>
        </w:rPr>
        <w:t>深化“一制三化”改革是天津市和平区落实国家、天津市“放管服”改革、优化营商环境的重要举措，推进“放管服”改革，就是使市场在资源配置中起决定性作用和更好发挥政府作用，通过转变职能，削减不必要的行政审批行为、降低对市场的干预程度，来增强市场主体的潜能和自主性，优化营商环境，促进经济社会持续健康发展。</w:t>
      </w:r>
    </w:p>
    <w:p>
      <w:pPr>
        <w:pStyle w:val="26"/>
        <w:ind w:firstLine="640"/>
      </w:pPr>
      <w:r>
        <w:rPr>
          <w:rFonts w:hint="eastAsia"/>
        </w:rPr>
        <w:t>2.主要内容</w:t>
      </w:r>
    </w:p>
    <w:p>
      <w:pPr>
        <w:pStyle w:val="26"/>
        <w:ind w:firstLine="640"/>
      </w:pPr>
      <w:r>
        <w:rPr>
          <w:rFonts w:hint="eastAsia"/>
        </w:rPr>
        <w:t>政务服务全过程帮办领办服务项目主要内容为通过招标确定三家中介帮办公司，每家派遣4名帮办领办人员，共计1</w:t>
      </w:r>
      <w:r>
        <w:t>2</w:t>
      </w:r>
      <w:r>
        <w:rPr>
          <w:rFonts w:hint="eastAsia"/>
        </w:rPr>
        <w:t>人进驻政务服务大厅，服务期限为2</w:t>
      </w:r>
      <w:r>
        <w:t>021</w:t>
      </w:r>
      <w:r>
        <w:rPr>
          <w:rFonts w:hint="eastAsia"/>
        </w:rPr>
        <w:t>年1月至1</w:t>
      </w:r>
      <w:r>
        <w:t>2</w:t>
      </w:r>
      <w:r>
        <w:rPr>
          <w:rFonts w:hint="eastAsia"/>
        </w:rPr>
        <w:t>月，对到服务大厅办理政务服务事项的人员进行政务服务全过程帮办领办服务。政务帮办领办服务人员主要负责协调部门提供业务咨询，解答企业和群众提出的相关问题；帮助“一事全办”申请人准备所需基础性材料；对“一事全办”申请人进行当场指导、审查所需基础性材料是否齐全；帮办领办人员带领材料齐全的申请人至相应窗口或部门办理，当场领取审批结果送至申请人；对于材料需补齐的，帮办领办人员一次性列出缺少材料名录以及补齐材料的途径或方法，必要时帮办领办人员可以登门受理相关材料，方便群众方便快捷地补齐材料，实现“最多跑一次”；帮办领办服务完成后，帮办领办人员应及时与申请人办理交接手续，移交相关材料。政务服务全过程帮办领办服务的实施，提高政务事项审批效率，减低企业申报成本，提升政务服务质量，促进经济社会持续健康发展。</w:t>
      </w:r>
    </w:p>
    <w:p>
      <w:pPr>
        <w:pStyle w:val="26"/>
        <w:ind w:firstLine="640"/>
      </w:pPr>
      <w:r>
        <w:rPr>
          <w:rFonts w:hint="eastAsia"/>
        </w:rPr>
        <w:t>3.项目组织管理</w:t>
      </w:r>
    </w:p>
    <w:p>
      <w:pPr>
        <w:pStyle w:val="26"/>
        <w:ind w:firstLine="640"/>
      </w:pPr>
      <w:r>
        <w:rPr>
          <w:rFonts w:hint="eastAsia"/>
        </w:rPr>
        <w:t>政务服务全过程帮办领办服务项目主管单位和实施单位为天津市和平区人民政府政务服务办公室，负责项目的统筹管理工作，项目的采购招标，与供应商签订服务合同，确定服务范围、服务内容和服务标准，组织验收工作，监督管理项目实施与预算资金使用情况，保障项目顺利实施。</w:t>
      </w:r>
    </w:p>
    <w:p>
      <w:pPr>
        <w:pStyle w:val="26"/>
        <w:ind w:firstLine="640"/>
      </w:pPr>
      <w:r>
        <w:rPr>
          <w:rFonts w:hint="eastAsia"/>
        </w:rPr>
        <w:t>政务服务全过程帮办领办服务项目服务供应商为天津跨越财务咨询有限公司，天津万象财务咨询服务有限公司，天津市天信有限责任税务师事务所，负责</w:t>
      </w:r>
      <w:r>
        <w:t>协助采购单位对到服务大厅办理政务服务事项的人员进行</w:t>
      </w:r>
      <w:r>
        <w:rPr>
          <w:rFonts w:hint="eastAsia"/>
        </w:rPr>
        <w:t>政务服务全过程</w:t>
      </w:r>
      <w:r>
        <w:t>帮办领办</w:t>
      </w:r>
      <w:r>
        <w:rPr>
          <w:rFonts w:hint="eastAsia"/>
        </w:rPr>
        <w:t>服务</w:t>
      </w:r>
      <w:r>
        <w:t>工作，做好因政</w:t>
      </w:r>
      <w:r>
        <w:rPr>
          <w:rFonts w:hint="eastAsia"/>
        </w:rPr>
        <w:t>策法规调整更新或重大事项变更而进行调整的相关咨询服务工作等。</w:t>
      </w:r>
    </w:p>
    <w:p>
      <w:pPr>
        <w:pStyle w:val="26"/>
        <w:ind w:firstLine="640"/>
      </w:pPr>
      <w:r>
        <w:rPr>
          <w:rFonts w:hint="eastAsia"/>
        </w:rPr>
        <w:t>4.资金投入和使用情况</w:t>
      </w:r>
    </w:p>
    <w:p>
      <w:pPr>
        <w:pStyle w:val="26"/>
        <w:ind w:firstLine="640"/>
      </w:pPr>
      <w:r>
        <w:rPr>
          <w:rFonts w:hint="eastAsia"/>
        </w:rPr>
        <w:t>政务服务全过程帮办领办服务项目资金总投入9</w:t>
      </w:r>
      <w:r>
        <w:t>9</w:t>
      </w:r>
      <w:r>
        <w:rPr>
          <w:rFonts w:hint="eastAsia"/>
        </w:rPr>
        <w:t>万元，2</w:t>
      </w:r>
      <w:r>
        <w:t>021</w:t>
      </w:r>
      <w:r>
        <w:rPr>
          <w:rFonts w:hint="eastAsia"/>
        </w:rPr>
        <w:t>年预算安排资金</w:t>
      </w:r>
      <w:r>
        <w:t>47.70</w:t>
      </w:r>
      <w:r>
        <w:rPr>
          <w:rFonts w:hint="eastAsia"/>
        </w:rPr>
        <w:t>万元，截至2</w:t>
      </w:r>
      <w:r>
        <w:t>021</w:t>
      </w:r>
      <w:r>
        <w:rPr>
          <w:rFonts w:hint="eastAsia"/>
        </w:rPr>
        <w:t>年</w:t>
      </w:r>
      <w:r>
        <w:t>12</w:t>
      </w:r>
      <w:r>
        <w:rPr>
          <w:rFonts w:hint="eastAsia"/>
        </w:rPr>
        <w:t>月3</w:t>
      </w:r>
      <w:r>
        <w:t>1</w:t>
      </w:r>
      <w:r>
        <w:rPr>
          <w:rFonts w:hint="eastAsia"/>
        </w:rPr>
        <w:t>日，实际已到位</w:t>
      </w:r>
      <w:r>
        <w:t>47.70</w:t>
      </w:r>
      <w:r>
        <w:rPr>
          <w:rFonts w:hint="eastAsia"/>
        </w:rPr>
        <w:t>万元，资金到位率</w:t>
      </w:r>
      <w:r>
        <w:t>100</w:t>
      </w:r>
      <w:r>
        <w:rPr>
          <w:rFonts w:hint="eastAsia"/>
        </w:rPr>
        <w:t>%。</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项目执行过程中，项目主要用于聘用三家中介帮办公司进行全过程政务帮办领办服务所需费用，截止2</w:t>
      </w:r>
      <w:r>
        <w:rPr>
          <w:rFonts w:ascii="Times New Roman" w:hAnsi="Times New Roman" w:eastAsia="仿宋_GB2312"/>
          <w:sz w:val="32"/>
        </w:rPr>
        <w:t>021</w:t>
      </w:r>
      <w:r>
        <w:rPr>
          <w:rFonts w:hint="eastAsia" w:ascii="Times New Roman" w:hAnsi="Times New Roman" w:eastAsia="仿宋_GB2312"/>
          <w:sz w:val="32"/>
        </w:rPr>
        <w:t>年1</w:t>
      </w:r>
      <w:r>
        <w:rPr>
          <w:rFonts w:ascii="Times New Roman" w:hAnsi="Times New Roman" w:eastAsia="仿宋_GB2312"/>
          <w:sz w:val="32"/>
        </w:rPr>
        <w:t>2</w:t>
      </w:r>
      <w:r>
        <w:rPr>
          <w:rFonts w:hint="eastAsia" w:ascii="Times New Roman" w:hAnsi="Times New Roman" w:eastAsia="仿宋_GB2312"/>
          <w:sz w:val="32"/>
        </w:rPr>
        <w:t>月底，项目实际支出预算金额</w:t>
      </w:r>
      <w:r>
        <w:rPr>
          <w:rFonts w:ascii="Times New Roman" w:hAnsi="Times New Roman" w:eastAsia="仿宋_GB2312"/>
          <w:sz w:val="32"/>
        </w:rPr>
        <w:t>47.70</w:t>
      </w:r>
      <w:r>
        <w:rPr>
          <w:rFonts w:hint="eastAsia" w:ascii="Times New Roman" w:hAnsi="Times New Roman" w:eastAsia="仿宋_GB2312"/>
          <w:sz w:val="32"/>
        </w:rPr>
        <w:t>万元，预算执行率</w:t>
      </w:r>
      <w:r>
        <w:rPr>
          <w:rFonts w:ascii="Times New Roman" w:hAnsi="Times New Roman" w:eastAsia="仿宋_GB2312"/>
          <w:sz w:val="32"/>
        </w:rPr>
        <w:t>100</w:t>
      </w:r>
      <w:r>
        <w:rPr>
          <w:rFonts w:hint="eastAsia" w:ascii="Times New Roman" w:hAnsi="Times New Roman" w:eastAsia="仿宋_GB2312"/>
          <w:sz w:val="32"/>
        </w:rPr>
        <w:t>%。</w:t>
      </w:r>
    </w:p>
    <w:p>
      <w:pPr>
        <w:pStyle w:val="26"/>
        <w:ind w:firstLine="640"/>
      </w:pPr>
      <w:r>
        <w:rPr>
          <w:rFonts w:hint="eastAsia"/>
        </w:rPr>
        <w:t>资金具体情况见表1：</w:t>
      </w:r>
    </w:p>
    <w:p>
      <w:pPr>
        <w:pStyle w:val="33"/>
        <w:rPr>
          <w:rFonts w:eastAsia="黑体" w:cs="宋体"/>
          <w:bCs w:val="0"/>
          <w:sz w:val="28"/>
          <w:szCs w:val="28"/>
        </w:rPr>
      </w:pPr>
      <w:r>
        <w:rPr>
          <w:rFonts w:eastAsia="黑体" w:cs="宋体"/>
          <w:bCs w:val="0"/>
          <w:sz w:val="28"/>
          <w:szCs w:val="28"/>
        </w:rPr>
        <w:t>表1  资金预算执行率情况表</w:t>
      </w:r>
    </w:p>
    <w:p>
      <w:pPr>
        <w:pStyle w:val="34"/>
      </w:pPr>
      <w:r>
        <w:rPr>
          <w:rFonts w:hint="eastAsia"/>
        </w:rPr>
        <w:t>单位：万元</w:t>
      </w:r>
    </w:p>
    <w:tbl>
      <w:tblPr>
        <w:tblStyle w:val="19"/>
        <w:tblW w:w="829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08"/>
        <w:gridCol w:w="1416"/>
        <w:gridCol w:w="1420"/>
        <w:gridCol w:w="1275"/>
        <w:gridCol w:w="1416"/>
        <w:gridCol w:w="135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blHeader/>
          <w:jc w:val="center"/>
        </w:trPr>
        <w:tc>
          <w:tcPr>
            <w:tcW w:w="1408" w:type="dxa"/>
            <w:vAlign w:val="center"/>
          </w:tcPr>
          <w:p>
            <w:pPr>
              <w:pStyle w:val="36"/>
            </w:pPr>
            <w:r>
              <w:rPr>
                <w:rFonts w:hint="eastAsia"/>
              </w:rPr>
              <w:t>资金计划</w:t>
            </w:r>
          </w:p>
          <w:p>
            <w:pPr>
              <w:pStyle w:val="36"/>
            </w:pPr>
            <w:r>
              <w:rPr>
                <w:rFonts w:hint="eastAsia"/>
              </w:rPr>
              <w:t>下达时间</w:t>
            </w:r>
          </w:p>
        </w:tc>
        <w:tc>
          <w:tcPr>
            <w:tcW w:w="1416" w:type="dxa"/>
            <w:vAlign w:val="center"/>
          </w:tcPr>
          <w:p>
            <w:pPr>
              <w:pStyle w:val="36"/>
            </w:pPr>
            <w:r>
              <w:rPr>
                <w:rFonts w:hint="eastAsia"/>
              </w:rPr>
              <w:t>资金计划</w:t>
            </w:r>
          </w:p>
          <w:p>
            <w:pPr>
              <w:pStyle w:val="36"/>
            </w:pPr>
            <w:r>
              <w:rPr>
                <w:rFonts w:hint="eastAsia"/>
              </w:rPr>
              <w:t>下达金额</w:t>
            </w:r>
          </w:p>
        </w:tc>
        <w:tc>
          <w:tcPr>
            <w:tcW w:w="1420" w:type="dxa"/>
            <w:vAlign w:val="center"/>
          </w:tcPr>
          <w:p>
            <w:pPr>
              <w:pStyle w:val="36"/>
            </w:pPr>
            <w:r>
              <w:rPr>
                <w:rFonts w:hint="eastAsia"/>
              </w:rPr>
              <w:t>实际到位</w:t>
            </w:r>
          </w:p>
          <w:p>
            <w:pPr>
              <w:pStyle w:val="36"/>
            </w:pPr>
            <w:r>
              <w:rPr>
                <w:rFonts w:hint="eastAsia"/>
              </w:rPr>
              <w:t>资金</w:t>
            </w:r>
          </w:p>
        </w:tc>
        <w:tc>
          <w:tcPr>
            <w:tcW w:w="1275" w:type="dxa"/>
            <w:vAlign w:val="center"/>
          </w:tcPr>
          <w:p>
            <w:pPr>
              <w:pStyle w:val="36"/>
            </w:pPr>
            <w:r>
              <w:rPr>
                <w:rFonts w:hint="eastAsia"/>
              </w:rPr>
              <w:t>资金到位率</w:t>
            </w:r>
          </w:p>
        </w:tc>
        <w:tc>
          <w:tcPr>
            <w:tcW w:w="1416" w:type="dxa"/>
            <w:vAlign w:val="center"/>
          </w:tcPr>
          <w:p>
            <w:pPr>
              <w:pStyle w:val="36"/>
            </w:pPr>
            <w:r>
              <w:rPr>
                <w:rFonts w:hint="eastAsia"/>
              </w:rPr>
              <w:t>实际支付</w:t>
            </w:r>
          </w:p>
          <w:p>
            <w:pPr>
              <w:pStyle w:val="36"/>
            </w:pPr>
            <w:r>
              <w:rPr>
                <w:rFonts w:hint="eastAsia"/>
              </w:rPr>
              <w:t>资金</w:t>
            </w:r>
          </w:p>
        </w:tc>
        <w:tc>
          <w:tcPr>
            <w:tcW w:w="1357" w:type="dxa"/>
            <w:vAlign w:val="center"/>
          </w:tcPr>
          <w:p>
            <w:pPr>
              <w:pStyle w:val="36"/>
            </w:pPr>
            <w:r>
              <w:rPr>
                <w:rFonts w:hint="eastAsia"/>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408" w:type="dxa"/>
            <w:vAlign w:val="center"/>
          </w:tcPr>
          <w:p>
            <w:pPr>
              <w:pStyle w:val="38"/>
              <w:jc w:val="center"/>
            </w:pPr>
            <w:r>
              <w:rPr>
                <w:rFonts w:hint="eastAsia"/>
              </w:rPr>
              <w:t>2021年</w:t>
            </w:r>
          </w:p>
        </w:tc>
        <w:tc>
          <w:tcPr>
            <w:tcW w:w="1416" w:type="dxa"/>
            <w:vAlign w:val="center"/>
          </w:tcPr>
          <w:p>
            <w:pPr>
              <w:pStyle w:val="38"/>
              <w:jc w:val="center"/>
            </w:pPr>
            <w:r>
              <w:t>47.70</w:t>
            </w:r>
          </w:p>
        </w:tc>
        <w:tc>
          <w:tcPr>
            <w:tcW w:w="1420" w:type="dxa"/>
            <w:vAlign w:val="center"/>
          </w:tcPr>
          <w:p>
            <w:pPr>
              <w:pStyle w:val="38"/>
              <w:jc w:val="center"/>
            </w:pPr>
            <w:r>
              <w:t>47.70</w:t>
            </w:r>
          </w:p>
        </w:tc>
        <w:tc>
          <w:tcPr>
            <w:tcW w:w="1275" w:type="dxa"/>
            <w:vAlign w:val="center"/>
          </w:tcPr>
          <w:p>
            <w:pPr>
              <w:pStyle w:val="38"/>
              <w:jc w:val="center"/>
            </w:pPr>
            <w:r>
              <w:t>100</w:t>
            </w:r>
            <w:r>
              <w:rPr>
                <w:rFonts w:hint="eastAsia"/>
              </w:rPr>
              <w:t>%</w:t>
            </w:r>
          </w:p>
        </w:tc>
        <w:tc>
          <w:tcPr>
            <w:tcW w:w="1416" w:type="dxa"/>
            <w:vAlign w:val="center"/>
          </w:tcPr>
          <w:p>
            <w:pPr>
              <w:pStyle w:val="38"/>
              <w:jc w:val="center"/>
              <w:rPr>
                <w:highlight w:val="yellow"/>
              </w:rPr>
            </w:pPr>
            <w:r>
              <w:t>47.70</w:t>
            </w:r>
          </w:p>
        </w:tc>
        <w:tc>
          <w:tcPr>
            <w:tcW w:w="1357" w:type="dxa"/>
            <w:vAlign w:val="center"/>
          </w:tcPr>
          <w:p>
            <w:pPr>
              <w:pStyle w:val="38"/>
              <w:jc w:val="center"/>
            </w:pPr>
            <w: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408" w:type="dxa"/>
            <w:vAlign w:val="center"/>
          </w:tcPr>
          <w:p>
            <w:pPr>
              <w:pStyle w:val="38"/>
              <w:jc w:val="center"/>
            </w:pPr>
            <w:r>
              <w:rPr>
                <w:rFonts w:hint="eastAsia"/>
              </w:rPr>
              <w:t>合计</w:t>
            </w:r>
          </w:p>
        </w:tc>
        <w:tc>
          <w:tcPr>
            <w:tcW w:w="1416" w:type="dxa"/>
            <w:vAlign w:val="center"/>
          </w:tcPr>
          <w:p>
            <w:pPr>
              <w:pStyle w:val="38"/>
              <w:jc w:val="center"/>
            </w:pPr>
            <w:r>
              <w:t>47.70</w:t>
            </w:r>
          </w:p>
        </w:tc>
        <w:tc>
          <w:tcPr>
            <w:tcW w:w="1420" w:type="dxa"/>
            <w:vAlign w:val="center"/>
          </w:tcPr>
          <w:p>
            <w:pPr>
              <w:pStyle w:val="38"/>
              <w:jc w:val="center"/>
            </w:pPr>
            <w:r>
              <w:t>47.70</w:t>
            </w:r>
          </w:p>
        </w:tc>
        <w:tc>
          <w:tcPr>
            <w:tcW w:w="1275" w:type="dxa"/>
            <w:vAlign w:val="center"/>
          </w:tcPr>
          <w:p>
            <w:pPr>
              <w:pStyle w:val="38"/>
              <w:jc w:val="center"/>
            </w:pPr>
            <w:r>
              <w:t>100</w:t>
            </w:r>
            <w:r>
              <w:rPr>
                <w:rFonts w:hint="eastAsia"/>
              </w:rPr>
              <w:t>%</w:t>
            </w:r>
          </w:p>
        </w:tc>
        <w:tc>
          <w:tcPr>
            <w:tcW w:w="1416" w:type="dxa"/>
            <w:vAlign w:val="center"/>
          </w:tcPr>
          <w:p>
            <w:pPr>
              <w:pStyle w:val="38"/>
              <w:jc w:val="center"/>
            </w:pPr>
            <w:r>
              <w:t>47.70</w:t>
            </w:r>
          </w:p>
        </w:tc>
        <w:tc>
          <w:tcPr>
            <w:tcW w:w="1357" w:type="dxa"/>
            <w:vAlign w:val="center"/>
          </w:tcPr>
          <w:p>
            <w:pPr>
              <w:pStyle w:val="38"/>
              <w:jc w:val="center"/>
            </w:pPr>
            <w:r>
              <w:t>100%</w:t>
            </w:r>
          </w:p>
        </w:tc>
      </w:tr>
    </w:tbl>
    <w:p>
      <w:pPr>
        <w:pStyle w:val="30"/>
        <w:ind w:firstLine="640"/>
        <w:rPr>
          <w:rFonts w:ascii="Times New Roman" w:hAnsi="Times New Roman"/>
        </w:rPr>
      </w:pPr>
      <w:bookmarkStart w:id="3" w:name="_Toc120546887"/>
      <w:r>
        <w:rPr>
          <w:rFonts w:hint="eastAsia" w:ascii="Times New Roman" w:hAnsi="Times New Roman"/>
        </w:rPr>
        <w:t>（二）项目绩效目标</w:t>
      </w:r>
      <w:bookmarkEnd w:id="3"/>
    </w:p>
    <w:p>
      <w:pPr>
        <w:pStyle w:val="26"/>
        <w:ind w:firstLine="640"/>
      </w:pPr>
      <w:r>
        <w:rPr>
          <w:rFonts w:hint="eastAsia"/>
        </w:rPr>
        <w:t>政务服务全过程帮办领办服务项目绩效目标为：通过招标确定三家中介帮办公司共计</w:t>
      </w:r>
      <w:r>
        <w:t>12人进驻大厅，采取“政府买单、中介领办”的模式为企业免费提供全程帮办领办服务。减低企业成本，提高服务质量，增强企业活力，激励大众创业、万众创新，扩大就业</w:t>
      </w:r>
      <w:r>
        <w:rPr>
          <w:rFonts w:hint="eastAsia"/>
        </w:rPr>
        <w:t>。</w:t>
      </w:r>
    </w:p>
    <w:p>
      <w:pPr>
        <w:pStyle w:val="26"/>
        <w:ind w:firstLine="640"/>
        <w:rPr>
          <w:bCs/>
        </w:rPr>
      </w:pPr>
      <w:r>
        <w:rPr>
          <w:rFonts w:hint="eastAsia"/>
        </w:rPr>
        <w:t>预期产出指标</w:t>
      </w:r>
      <w:r>
        <w:rPr>
          <w:rFonts w:hint="eastAsia"/>
          <w:bCs/>
        </w:rPr>
        <w:t>为通过招标确定三家中介帮办公司共计</w:t>
      </w:r>
      <w:r>
        <w:rPr>
          <w:bCs/>
        </w:rPr>
        <w:t>12人进驻大厅，采取</w:t>
      </w:r>
      <w:r>
        <w:rPr>
          <w:rFonts w:hint="eastAsia"/>
          <w:bCs/>
        </w:rPr>
        <w:t>‘</w:t>
      </w:r>
      <w:r>
        <w:rPr>
          <w:bCs/>
        </w:rPr>
        <w:t>政府买单、中介代办</w:t>
      </w:r>
      <w:r>
        <w:rPr>
          <w:rFonts w:hint="eastAsia"/>
          <w:bCs/>
        </w:rPr>
        <w:t>’</w:t>
      </w:r>
      <w:r>
        <w:rPr>
          <w:bCs/>
        </w:rPr>
        <w:t>的模式为企业免费提供帮办领办服务</w:t>
      </w:r>
      <w:r>
        <w:rPr>
          <w:rFonts w:hint="eastAsia"/>
          <w:bCs/>
        </w:rPr>
        <w:t>，为每年为企业提供帮办领办</w:t>
      </w:r>
      <w:r>
        <w:rPr>
          <w:bCs/>
        </w:rPr>
        <w:t>5000人次以上</w:t>
      </w:r>
      <w:r>
        <w:rPr>
          <w:rFonts w:hint="eastAsia"/>
          <w:bCs/>
        </w:rPr>
        <w:t>；《关于进一步压缩企业开办时间推行企业开办一网通办的意见》通知要求，企业开办</w:t>
      </w:r>
      <w:r>
        <w:rPr>
          <w:bCs/>
        </w:rPr>
        <w:t>1个工作日完成（其中企业设立登记0.5个工作日）</w:t>
      </w:r>
      <w:r>
        <w:rPr>
          <w:rFonts w:hint="eastAsia"/>
          <w:bCs/>
        </w:rPr>
        <w:t>，为企业设立不高于</w:t>
      </w:r>
      <w:r>
        <w:rPr>
          <w:bCs/>
        </w:rPr>
        <w:t>0.5个工作日，满意率达到99%以上</w:t>
      </w:r>
      <w:r>
        <w:rPr>
          <w:rFonts w:hint="eastAsia"/>
          <w:bCs/>
        </w:rPr>
        <w:t>；企业开办</w:t>
      </w:r>
      <w:r>
        <w:rPr>
          <w:bCs/>
        </w:rPr>
        <w:t>1个工作日完成（其中企业设立登记0.5个工作日）</w:t>
      </w:r>
      <w:r>
        <w:rPr>
          <w:rFonts w:hint="eastAsia"/>
          <w:bCs/>
        </w:rPr>
        <w:t>，为提高中介帮办领办服务水平，落实企业开办</w:t>
      </w:r>
      <w:r>
        <w:rPr>
          <w:bCs/>
        </w:rPr>
        <w:t>1个工作日完成（其中企业设立登记0.5个工作日）</w:t>
      </w:r>
      <w:r>
        <w:rPr>
          <w:rFonts w:hint="eastAsia"/>
          <w:bCs/>
        </w:rPr>
        <w:t>；通过招标确定三家中介帮办公司共计</w:t>
      </w:r>
      <w:r>
        <w:rPr>
          <w:bCs/>
        </w:rPr>
        <w:t>12人进驻大厅，为企业提供全程帮</w:t>
      </w:r>
      <w:r>
        <w:rPr>
          <w:rFonts w:hint="eastAsia"/>
          <w:bCs/>
        </w:rPr>
        <w:t>办领办</w:t>
      </w:r>
      <w:r>
        <w:rPr>
          <w:bCs/>
        </w:rPr>
        <w:t>服务，每家中介公司预算33万元</w:t>
      </w:r>
      <w:r>
        <w:rPr>
          <w:rFonts w:hint="eastAsia"/>
          <w:bCs/>
        </w:rPr>
        <w:t>，通过招标，每家中介公司每年服务费不超过</w:t>
      </w:r>
      <w:r>
        <w:rPr>
          <w:bCs/>
        </w:rPr>
        <w:t>33万元</w:t>
      </w:r>
      <w:r>
        <w:rPr>
          <w:rFonts w:hint="eastAsia"/>
          <w:bCs/>
        </w:rPr>
        <w:t>；</w:t>
      </w:r>
    </w:p>
    <w:p>
      <w:pPr>
        <w:pStyle w:val="26"/>
        <w:ind w:firstLine="640"/>
        <w:rPr>
          <w:bCs/>
        </w:rPr>
      </w:pPr>
      <w:r>
        <w:rPr>
          <w:rFonts w:hint="eastAsia"/>
          <w:bCs/>
        </w:rPr>
        <w:t>预期效益指标为减低企业成本，提高服务质量，增强企业活力，激励大众创业、万众创新，扩大就业，为持续减低企业成本，提高服务质量，增强企业活力，扩大就业； 全力打造办事方便、法治良好、成本竞争力强、生态宜居的营商环境，吸引企业到和平落户，持续提升营商环境，和平区注册企业持续增长；预期满意度指标为提高满意率，降低企业投诉率，企业满意率达到</w:t>
      </w:r>
      <w:r>
        <w:rPr>
          <w:bCs/>
        </w:rPr>
        <w:t>99%以上</w:t>
      </w:r>
      <w:r>
        <w:rPr>
          <w:rFonts w:hint="eastAsia"/>
          <w:bCs/>
        </w:rPr>
        <w:t>。</w:t>
      </w:r>
    </w:p>
    <w:bookmarkEnd w:id="1"/>
    <w:p>
      <w:pPr>
        <w:pStyle w:val="28"/>
      </w:pPr>
      <w:bookmarkStart w:id="4" w:name="_Toc120546888"/>
      <w:r>
        <w:rPr>
          <w:rFonts w:hint="eastAsia"/>
        </w:rPr>
        <w:t>二、绩效评价工作开展情况</w:t>
      </w:r>
      <w:bookmarkEnd w:id="4"/>
    </w:p>
    <w:p>
      <w:pPr>
        <w:pStyle w:val="30"/>
        <w:ind w:firstLine="640"/>
        <w:rPr>
          <w:rFonts w:ascii="Times New Roman" w:hAnsi="Times New Roman"/>
        </w:rPr>
      </w:pPr>
      <w:bookmarkStart w:id="5" w:name="_Toc120546889"/>
      <w:r>
        <w:rPr>
          <w:rFonts w:hint="eastAsia" w:ascii="Times New Roman" w:hAnsi="Times New Roman"/>
        </w:rPr>
        <w:t>（一）绩效评价的目的、对象和范围</w:t>
      </w:r>
      <w:bookmarkEnd w:id="5"/>
    </w:p>
    <w:p>
      <w:pPr>
        <w:pStyle w:val="26"/>
        <w:ind w:firstLine="640"/>
      </w:pPr>
      <w:r>
        <w:rPr>
          <w:rFonts w:hint="eastAsia"/>
        </w:rPr>
        <w:t>1.绩效评价目的</w:t>
      </w:r>
    </w:p>
    <w:p>
      <w:pPr>
        <w:pStyle w:val="26"/>
        <w:ind w:firstLine="640"/>
      </w:pPr>
      <w:r>
        <w:rPr>
          <w:rFonts w:hint="eastAsia"/>
        </w:rPr>
        <w:t>本次评价以《财政部关于印发〈项目支出绩效评价管理办法〉的通知》</w:t>
      </w:r>
      <w:bookmarkStart w:id="6" w:name="_Hlk119188900"/>
      <w:r>
        <w:rPr>
          <w:rFonts w:hint="eastAsia"/>
        </w:rPr>
        <w:t>（</w:t>
      </w:r>
      <w:r>
        <w:rPr>
          <w:rFonts w:hint="eastAsia" w:cs="仿宋_GB2312"/>
        </w:rPr>
        <w:t>财预〔</w:t>
      </w:r>
      <w:r>
        <w:t>2020</w:t>
      </w:r>
      <w:r>
        <w:rPr>
          <w:rFonts w:hint="eastAsia" w:cs="仿宋_GB2312"/>
        </w:rPr>
        <w:t>〕</w:t>
      </w:r>
      <w:r>
        <w:rPr>
          <w:rFonts w:hint="eastAsia"/>
        </w:rPr>
        <w:t>1</w:t>
      </w:r>
      <w:r>
        <w:t>0</w:t>
      </w:r>
      <w:r>
        <w:rPr>
          <w:rFonts w:hint="eastAsia" w:cs="仿宋_GB2312"/>
        </w:rPr>
        <w:t>号</w:t>
      </w:r>
      <w:r>
        <w:rPr>
          <w:rFonts w:hint="eastAsia"/>
        </w:rPr>
        <w:t>）</w:t>
      </w:r>
      <w:bookmarkEnd w:id="6"/>
      <w:r>
        <w:rPr>
          <w:rFonts w:hint="eastAsia"/>
        </w:rPr>
        <w:t>《中共天津市委</w:t>
      </w:r>
      <w:r>
        <w:t xml:space="preserve"> 天津市人民政府印发〈关于全面推进预算绩效管理的实施方案〉的通知》（津党发〔2019〕25号）</w:t>
      </w:r>
      <w:r>
        <w:rPr>
          <w:rFonts w:hint="eastAsia"/>
        </w:rPr>
        <w:t>《天津市市级财政项目支出绩效评价管理办法》（</w:t>
      </w:r>
      <w:r>
        <w:t>津财绩效〔2020〕12号</w:t>
      </w:r>
      <w:r>
        <w:rPr>
          <w:rFonts w:hint="eastAsia"/>
        </w:rPr>
        <w:t>）《中共和平区委 和平区人民政府印发〈关于全面推进预算绩效管理的实施方案〉的通知》（津和党发〔2019〕23号）《和平区项目支出绩效评价管理办法》等文件为依据，对政务服务全过程帮办领办服务项目财政专项资金使用绩效情况进行评价。开展此次评价工作的目的在于：</w:t>
      </w:r>
    </w:p>
    <w:p>
      <w:pPr>
        <w:pStyle w:val="26"/>
        <w:numPr>
          <w:ilvl w:val="0"/>
          <w:numId w:val="1"/>
        </w:numPr>
        <w:ind w:firstLine="640"/>
      </w:pPr>
      <w:r>
        <w:rPr>
          <w:rFonts w:hint="eastAsia"/>
        </w:rPr>
        <w:t>通过对政务服务全过程帮办领办服务项目的实施情况进行核实评价，了解掌握项目的实施情况。</w:t>
      </w:r>
    </w:p>
    <w:p>
      <w:pPr>
        <w:pStyle w:val="26"/>
        <w:numPr>
          <w:ilvl w:val="0"/>
          <w:numId w:val="1"/>
        </w:numPr>
        <w:ind w:firstLine="640"/>
      </w:pPr>
      <w:r>
        <w:rPr>
          <w:rFonts w:hint="eastAsia"/>
        </w:rPr>
        <w:t>根据政务服务全过程帮办领办服务项目实施的具体情况，评价其项目资金安排的科学性、合理性、规范性，完善项目管理办法，提高项目管理水平和资金的使用效率。</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从决策、过程、产出、效益四个方面对天津市和平区人民政府政务服务办公室政务服务全过程帮办领办服务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6"/>
        <w:ind w:firstLine="640"/>
      </w:pPr>
      <w:r>
        <w:rPr>
          <w:rFonts w:hint="eastAsia"/>
        </w:rPr>
        <w:t>（4）进一步丰富和完善政务服务全过程帮办领办服务项目绩效评价方法体系，推动建立以绩效评价结果为导向的财政资金分配与管理制度，提升财政资金科学化、精细化管理水平，为政务服务全过程帮办领办服务项目专项资金的安排提供重要依据。</w:t>
      </w:r>
    </w:p>
    <w:p>
      <w:pPr>
        <w:pStyle w:val="26"/>
        <w:ind w:firstLine="640"/>
      </w:pPr>
      <w:r>
        <w:rPr>
          <w:rFonts w:hint="eastAsia"/>
        </w:rPr>
        <w:t>2.绩效评价对象和范围</w:t>
      </w:r>
    </w:p>
    <w:p>
      <w:pPr>
        <w:pStyle w:val="26"/>
        <w:ind w:firstLine="640"/>
      </w:pPr>
      <w:r>
        <w:rPr>
          <w:rFonts w:hint="eastAsia"/>
        </w:rPr>
        <w:t>本次绩效评价针对天津市和平区人民政府政务服务办公室政务服务全过程帮办领办服务项目展开，主要评价内容及范围如下：</w:t>
      </w:r>
    </w:p>
    <w:p>
      <w:pPr>
        <w:pStyle w:val="26"/>
        <w:ind w:firstLine="640"/>
      </w:pPr>
      <w:r>
        <w:rPr>
          <w:rFonts w:hint="eastAsia"/>
        </w:rPr>
        <w:t>（</w:t>
      </w:r>
      <w:r>
        <w:t>1</w:t>
      </w:r>
      <w:r>
        <w:rPr>
          <w:rFonts w:hint="eastAsia"/>
        </w:rPr>
        <w:t>）立项依据和立项程序情况；</w:t>
      </w:r>
    </w:p>
    <w:p>
      <w:pPr>
        <w:pStyle w:val="26"/>
        <w:ind w:firstLine="640"/>
      </w:pPr>
      <w:r>
        <w:rPr>
          <w:rFonts w:hint="eastAsia"/>
        </w:rPr>
        <w:t>（</w:t>
      </w:r>
      <w:r>
        <w:t>2</w:t>
      </w:r>
      <w:r>
        <w:rPr>
          <w:rFonts w:hint="eastAsia"/>
        </w:rPr>
        <w:t>）绩效目标和指标设定情况；</w:t>
      </w:r>
    </w:p>
    <w:p>
      <w:pPr>
        <w:pStyle w:val="26"/>
        <w:ind w:firstLine="640"/>
      </w:pPr>
      <w:r>
        <w:rPr>
          <w:rFonts w:hint="eastAsia"/>
        </w:rPr>
        <w:t>（</w:t>
      </w:r>
      <w:r>
        <w:t>3</w:t>
      </w:r>
      <w:r>
        <w:rPr>
          <w:rFonts w:hint="eastAsia"/>
        </w:rPr>
        <w:t>）预算编制和资金分配情况；</w:t>
      </w:r>
    </w:p>
    <w:p>
      <w:pPr>
        <w:pStyle w:val="26"/>
        <w:ind w:firstLine="640"/>
      </w:pPr>
      <w:r>
        <w:rPr>
          <w:rFonts w:hint="eastAsia"/>
        </w:rPr>
        <w:t>（</w:t>
      </w:r>
      <w:r>
        <w:t>4</w:t>
      </w:r>
      <w:r>
        <w:rPr>
          <w:rFonts w:hint="eastAsia"/>
        </w:rPr>
        <w:t>）资金管理和使用情况；</w:t>
      </w:r>
    </w:p>
    <w:p>
      <w:pPr>
        <w:pStyle w:val="26"/>
        <w:ind w:firstLine="640"/>
      </w:pPr>
      <w:r>
        <w:rPr>
          <w:rFonts w:hint="eastAsia"/>
        </w:rPr>
        <w:t>（</w:t>
      </w:r>
      <w:r>
        <w:t>5</w:t>
      </w:r>
      <w:r>
        <w:rPr>
          <w:rFonts w:hint="eastAsia"/>
        </w:rPr>
        <w:t>）相关制度办法的健全性及执行情况；</w:t>
      </w:r>
    </w:p>
    <w:p>
      <w:pPr>
        <w:pStyle w:val="26"/>
        <w:ind w:firstLine="640"/>
      </w:pPr>
      <w:r>
        <w:rPr>
          <w:rFonts w:hint="eastAsia"/>
        </w:rPr>
        <w:t>（</w:t>
      </w:r>
      <w:r>
        <w:t>6</w:t>
      </w:r>
      <w:r>
        <w:rPr>
          <w:rFonts w:hint="eastAsia"/>
        </w:rPr>
        <w:t>）实现的产出情况；</w:t>
      </w:r>
    </w:p>
    <w:p>
      <w:pPr>
        <w:pStyle w:val="26"/>
        <w:ind w:firstLine="640"/>
      </w:pPr>
      <w:r>
        <w:rPr>
          <w:rFonts w:hint="eastAsia"/>
        </w:rPr>
        <w:t>（</w:t>
      </w:r>
      <w:r>
        <w:t>7</w:t>
      </w:r>
      <w:r>
        <w:rPr>
          <w:rFonts w:hint="eastAsia"/>
        </w:rPr>
        <w:t>）取得的效益情况；</w:t>
      </w:r>
    </w:p>
    <w:p>
      <w:pPr>
        <w:pStyle w:val="26"/>
        <w:ind w:firstLine="640"/>
      </w:pPr>
      <w:r>
        <w:rPr>
          <w:rFonts w:hint="eastAsia"/>
        </w:rPr>
        <w:t>（</w:t>
      </w:r>
      <w:r>
        <w:t>8</w:t>
      </w:r>
      <w:r>
        <w:rPr>
          <w:rFonts w:hint="eastAsia"/>
        </w:rPr>
        <w:t>）其他相关内容。</w:t>
      </w:r>
    </w:p>
    <w:p>
      <w:pPr>
        <w:pStyle w:val="30"/>
        <w:ind w:firstLine="640"/>
        <w:rPr>
          <w:rFonts w:ascii="Times New Roman" w:hAnsi="Times New Roman"/>
        </w:rPr>
      </w:pPr>
      <w:bookmarkStart w:id="7" w:name="_Toc120546890"/>
      <w:r>
        <w:rPr>
          <w:rFonts w:hint="eastAsia" w:ascii="Times New Roman" w:hAnsi="Times New Roman"/>
        </w:rPr>
        <w:t>（二）</w:t>
      </w:r>
      <w:r>
        <w:rPr>
          <w:rFonts w:hint="eastAsia" w:ascii="Times New Roman" w:hAnsi="Times New Roman" w:cs="楷体_GB2312"/>
          <w:bCs w:val="0"/>
        </w:rPr>
        <w:t>绩效评价原则、评价指标体系、评价方法</w:t>
      </w:r>
      <w:bookmarkEnd w:id="7"/>
    </w:p>
    <w:p>
      <w:pPr>
        <w:pStyle w:val="26"/>
        <w:ind w:firstLine="640"/>
      </w:pPr>
      <w:r>
        <w:rPr>
          <w:rFonts w:hint="eastAsia"/>
        </w:rPr>
        <w:t>1.绩效评价原则</w:t>
      </w:r>
    </w:p>
    <w:p>
      <w:pPr>
        <w:pStyle w:val="26"/>
        <w:ind w:firstLine="640"/>
      </w:pPr>
      <w:r>
        <w:rPr>
          <w:rFonts w:hint="eastAsia"/>
        </w:rPr>
        <w:t>（</w:t>
      </w:r>
      <w:r>
        <w:t>1</w:t>
      </w:r>
      <w:r>
        <w:rPr>
          <w:rFonts w:hint="eastAsia"/>
        </w:rPr>
        <w:t>）坚持科学规范的原则。此次绩效评价运用科学合理的评价指标体系和方法，按照规范的程序，对支出绩效进行客观、公正的反映。</w:t>
      </w:r>
    </w:p>
    <w:p>
      <w:pPr>
        <w:pStyle w:val="26"/>
        <w:ind w:firstLine="640"/>
      </w:pPr>
      <w:r>
        <w:rPr>
          <w:rFonts w:hint="eastAsia"/>
        </w:rPr>
        <w:t>（</w:t>
      </w:r>
      <w:r>
        <w:t>2）坚持统筹兼顾的原则。单位自评、部门评价和财政评价各方职责明确，各有侧重，互相衔接。此次评价我方作为第三方受委托机构在</w:t>
      </w:r>
      <w:r>
        <w:rPr>
          <w:rFonts w:hint="eastAsia"/>
        </w:rPr>
        <w:t>单位自评</w:t>
      </w:r>
      <w:r>
        <w:t>的基础上开展。</w:t>
      </w:r>
    </w:p>
    <w:p>
      <w:pPr>
        <w:pStyle w:val="26"/>
        <w:ind w:firstLine="640"/>
      </w:pPr>
      <w:r>
        <w:rPr>
          <w:rFonts w:hint="eastAsia"/>
        </w:rPr>
        <w:t>（</w:t>
      </w:r>
      <w:r>
        <w:t>3</w:t>
      </w:r>
      <w:r>
        <w:rPr>
          <w:rFonts w:hint="eastAsia"/>
        </w:rPr>
        <w:t>）坚持激励约束的原则。本次绩效评价结果可以作为预算安排、政策调整、改进管理的参考。</w:t>
      </w:r>
    </w:p>
    <w:p>
      <w:pPr>
        <w:pStyle w:val="26"/>
        <w:ind w:firstLine="640"/>
      </w:pPr>
      <w:r>
        <w:rPr>
          <w:rFonts w:hint="eastAsia"/>
        </w:rPr>
        <w:t>（</w:t>
      </w:r>
      <w:r>
        <w:t>4</w:t>
      </w:r>
      <w:r>
        <w:rPr>
          <w:rFonts w:hint="eastAsia"/>
        </w:rPr>
        <w:t>）坚持客观公正的原则。本次绩效评价将自觉接受有关机构和社会监督，全面、客观、公正、准确反映项目实际情况。</w:t>
      </w:r>
    </w:p>
    <w:p>
      <w:pPr>
        <w:pStyle w:val="26"/>
        <w:ind w:firstLine="640"/>
      </w:pPr>
      <w:r>
        <w:rPr>
          <w:rFonts w:hint="eastAsia"/>
        </w:rPr>
        <w:t>（</w:t>
      </w:r>
      <w:r>
        <w:t>5</w:t>
      </w:r>
      <w:r>
        <w:rPr>
          <w:rFonts w:hint="eastAsia"/>
        </w:rPr>
        <w:t>）坚持综合绩效评价，定量分析与定性分析相结合的原则。</w:t>
      </w:r>
    </w:p>
    <w:p>
      <w:pPr>
        <w:pStyle w:val="26"/>
        <w:ind w:firstLine="640"/>
      </w:pPr>
      <w:r>
        <w:rPr>
          <w:rFonts w:hint="eastAsia"/>
        </w:rPr>
        <w:t>（</w:t>
      </w:r>
      <w:r>
        <w:t>6</w:t>
      </w:r>
      <w:r>
        <w:rPr>
          <w:rFonts w:hint="eastAsia"/>
        </w:rPr>
        <w:t>）坚持绩效相关性原则。此次绩效评价将针对具体支出及其产出绩效进行，评价结果将清晰反映支出和产出绩效之间的紧密对应关系。</w:t>
      </w:r>
    </w:p>
    <w:p>
      <w:pPr>
        <w:pStyle w:val="26"/>
        <w:ind w:firstLine="640"/>
      </w:pPr>
      <w:r>
        <w:rPr>
          <w:rFonts w:hint="eastAsia"/>
        </w:rPr>
        <w:t>2.评价指标体系</w:t>
      </w:r>
    </w:p>
    <w:p>
      <w:pPr>
        <w:pStyle w:val="26"/>
        <w:ind w:firstLine="640"/>
      </w:pPr>
      <w:r>
        <w:rPr>
          <w:rFonts w:hint="eastAsia"/>
        </w:rPr>
        <w:t>针对项目情况，从决策、过程、产出及效益四大方面拟定绩效评价指标，其中：</w:t>
      </w:r>
    </w:p>
    <w:p>
      <w:pPr>
        <w:pStyle w:val="26"/>
        <w:ind w:firstLine="640"/>
        <w:rPr>
          <w:rFonts w:cs="仿宋_GB2312"/>
        </w:rPr>
      </w:pPr>
      <w:r>
        <w:rPr>
          <w:rFonts w:hint="eastAsia"/>
        </w:rPr>
        <w:t>（1）</w:t>
      </w:r>
      <w:r>
        <w:rPr>
          <w:rFonts w:hint="eastAsia" w:cs="仿宋_GB2312"/>
        </w:rPr>
        <w:t>项目决策指标</w:t>
      </w:r>
    </w:p>
    <w:p>
      <w:pPr>
        <w:pStyle w:val="26"/>
        <w:ind w:firstLine="640"/>
      </w:pPr>
      <w:r>
        <w:rPr>
          <w:rFonts w:hint="eastAsia"/>
        </w:rPr>
        <w:t>①项目立项</w:t>
      </w:r>
    </w:p>
    <w:p>
      <w:pPr>
        <w:pStyle w:val="26"/>
        <w:ind w:firstLine="640"/>
      </w:pPr>
      <w:r>
        <w:t>a.</w:t>
      </w:r>
      <w:r>
        <w:rPr>
          <w:rFonts w:hint="eastAsia"/>
        </w:rPr>
        <w:t>立项依据充分性。项目立项是否符合法律法规、相关政策、发展规划以及部门职责，用于反映和考核项目立项依据情况。</w:t>
      </w:r>
    </w:p>
    <w:p>
      <w:pPr>
        <w:pStyle w:val="26"/>
        <w:ind w:firstLine="640"/>
      </w:pPr>
      <w:r>
        <w:t>b.</w:t>
      </w:r>
      <w:r>
        <w:rPr>
          <w:rFonts w:hint="eastAsia"/>
        </w:rPr>
        <w:t>立项程序规范性。项目申请、设立过程是否符合相关要求，用以反映和考核项目立项的规范情况。</w:t>
      </w:r>
    </w:p>
    <w:p>
      <w:pPr>
        <w:pStyle w:val="26"/>
        <w:ind w:firstLine="640"/>
      </w:pPr>
      <w:r>
        <w:rPr>
          <w:rFonts w:hint="eastAsia"/>
        </w:rPr>
        <w:t>②绩效目标</w:t>
      </w:r>
    </w:p>
    <w:p>
      <w:pPr>
        <w:pStyle w:val="26"/>
        <w:ind w:firstLine="640"/>
      </w:pPr>
      <w:r>
        <w:rPr>
          <w:rFonts w:hint="eastAsia"/>
        </w:rPr>
        <w:t>a</w:t>
      </w:r>
      <w:r>
        <w:t>.</w:t>
      </w:r>
      <w:r>
        <w:rPr>
          <w:rFonts w:hint="eastAsia"/>
        </w:rPr>
        <w:t>绩效目标明确性。依据绩效目标设定的绩效指标是否清晰、细化、可衡量等，用以反映和考核项目绩效目标的明细化情况。</w:t>
      </w:r>
    </w:p>
    <w:p>
      <w:pPr>
        <w:pStyle w:val="26"/>
        <w:ind w:firstLine="640"/>
      </w:pPr>
      <w:r>
        <w:t>b.</w:t>
      </w:r>
      <w:r>
        <w:rPr>
          <w:rFonts w:hint="eastAsia"/>
        </w:rPr>
        <w:t>绩效目标合理性。项目所设定的绩效目标是否依据充分，是否符合客观实际，用以反映和考核项目绩效目标与项目实施的相符情况。</w:t>
      </w:r>
    </w:p>
    <w:p>
      <w:pPr>
        <w:pStyle w:val="26"/>
        <w:ind w:firstLine="640"/>
      </w:pPr>
      <w:r>
        <w:rPr>
          <w:rFonts w:hint="eastAsia"/>
        </w:rPr>
        <w:t>③预算编制</w:t>
      </w:r>
    </w:p>
    <w:p>
      <w:pPr>
        <w:pStyle w:val="26"/>
        <w:ind w:firstLine="640"/>
      </w:pPr>
      <w:r>
        <w:rPr>
          <w:rFonts w:hint="eastAsia"/>
        </w:rPr>
        <w:t>a</w:t>
      </w:r>
      <w:r>
        <w:t>.</w:t>
      </w:r>
      <w:r>
        <w:rPr>
          <w:rFonts w:hint="eastAsia"/>
        </w:rPr>
        <w:t>测算内容合规性。项目预算测算内容是否符合相关政策文件规定范围。</w:t>
      </w:r>
    </w:p>
    <w:p>
      <w:pPr>
        <w:pStyle w:val="26"/>
        <w:ind w:firstLine="640"/>
      </w:pPr>
      <w:r>
        <w:rPr>
          <w:rFonts w:hint="eastAsia"/>
        </w:rPr>
        <w:t>b</w:t>
      </w:r>
      <w:r>
        <w:t>.</w:t>
      </w:r>
      <w:r>
        <w:rPr>
          <w:rFonts w:hint="eastAsia"/>
        </w:rPr>
        <w:t>测算标准合理性。项目预算测算项目支出标准是否符合相关政策制度或行业、领域规定。</w:t>
      </w:r>
    </w:p>
    <w:p>
      <w:pPr>
        <w:pStyle w:val="26"/>
        <w:ind w:firstLine="640"/>
      </w:pPr>
      <w:r>
        <w:rPr>
          <w:rFonts w:hint="eastAsia"/>
        </w:rPr>
        <w:t>c</w:t>
      </w:r>
      <w:r>
        <w:t>.</w:t>
      </w:r>
      <w:r>
        <w:rPr>
          <w:rFonts w:hint="eastAsia"/>
        </w:rPr>
        <w:t>测算数据客观性。项目预算测算数据是否客观、真实、准确。</w:t>
      </w:r>
    </w:p>
    <w:p>
      <w:pPr>
        <w:pStyle w:val="26"/>
        <w:ind w:firstLine="640"/>
      </w:pPr>
      <w:r>
        <w:rPr>
          <w:rFonts w:hint="eastAsia"/>
        </w:rPr>
        <w:t>d</w:t>
      </w:r>
      <w:r>
        <w:t>.</w:t>
      </w:r>
      <w:r>
        <w:rPr>
          <w:rFonts w:hint="eastAsia"/>
        </w:rPr>
        <w:t>测算过程细化度。测算过程是否细化清晰。</w:t>
      </w:r>
    </w:p>
    <w:p>
      <w:pPr>
        <w:pStyle w:val="26"/>
        <w:ind w:firstLine="640"/>
      </w:pPr>
      <w:r>
        <w:rPr>
          <w:rFonts w:hint="eastAsia"/>
        </w:rPr>
        <w:t>（2）项目过程指标</w:t>
      </w:r>
    </w:p>
    <w:p>
      <w:pPr>
        <w:pStyle w:val="26"/>
        <w:ind w:firstLine="640"/>
      </w:pPr>
      <w:r>
        <w:rPr>
          <w:rFonts w:hint="eastAsia"/>
        </w:rPr>
        <w:t>①资金管理</w:t>
      </w:r>
    </w:p>
    <w:p>
      <w:pPr>
        <w:pStyle w:val="26"/>
        <w:ind w:firstLine="640"/>
      </w:pPr>
      <w:r>
        <w:rPr>
          <w:rFonts w:hint="eastAsia"/>
        </w:rPr>
        <w:t>a</w:t>
      </w:r>
      <w:r>
        <w:t>.</w:t>
      </w:r>
      <w:r>
        <w:rPr>
          <w:rFonts w:hint="eastAsia"/>
        </w:rPr>
        <w:t>资金到位率。实际到位资金与预算资金的比率，用以反映和考核资金落实情况对项目实施的总体保障程度。</w:t>
      </w:r>
    </w:p>
    <w:p>
      <w:pPr>
        <w:pStyle w:val="26"/>
        <w:ind w:firstLine="640"/>
      </w:pPr>
      <w:r>
        <w:rPr>
          <w:rFonts w:hint="eastAsia"/>
        </w:rPr>
        <w:t>b</w:t>
      </w:r>
      <w:r>
        <w:t>.</w:t>
      </w:r>
      <w:r>
        <w:rPr>
          <w:rFonts w:hint="eastAsia"/>
        </w:rPr>
        <w:t>资金到位及时率。及时到位资金与实际到位资金的比率，用以反映和考核项目资金落实的及时性程度。</w:t>
      </w:r>
    </w:p>
    <w:p>
      <w:pPr>
        <w:pStyle w:val="26"/>
        <w:ind w:firstLine="640"/>
      </w:pPr>
      <w:r>
        <w:rPr>
          <w:rFonts w:hint="eastAsia"/>
        </w:rPr>
        <w:t>c</w:t>
      </w:r>
      <w:r>
        <w:t>.</w:t>
      </w:r>
      <w:r>
        <w:rPr>
          <w:rFonts w:hint="eastAsia"/>
        </w:rPr>
        <w:t>预算执行率。项目预算资金是否按照计划执行，用以反映或考核项目预算执行情况。</w:t>
      </w:r>
    </w:p>
    <w:p>
      <w:pPr>
        <w:pStyle w:val="26"/>
        <w:ind w:firstLine="640"/>
      </w:pPr>
      <w:r>
        <w:t>d.</w:t>
      </w:r>
      <w:r>
        <w:rPr>
          <w:rFonts w:hint="eastAsia"/>
        </w:rPr>
        <w:t>资金使用合规性。项目资金使用是否符合相关的财务管理制度规定，用以反映和考核项目资金的规范运行情况。</w:t>
      </w:r>
    </w:p>
    <w:p>
      <w:pPr>
        <w:pStyle w:val="26"/>
        <w:ind w:firstLine="640"/>
      </w:pPr>
      <w:r>
        <w:rPr>
          <w:rFonts w:hint="eastAsia"/>
        </w:rPr>
        <w:t>②组织实施</w:t>
      </w:r>
    </w:p>
    <w:p>
      <w:pPr>
        <w:pStyle w:val="26"/>
        <w:ind w:firstLine="640"/>
      </w:pPr>
      <w:r>
        <w:rPr>
          <w:rFonts w:hint="eastAsia"/>
        </w:rPr>
        <w:t>a</w:t>
      </w:r>
      <w:r>
        <w:t>.</w:t>
      </w:r>
      <w:r>
        <w:rPr>
          <w:rFonts w:hint="eastAsia"/>
        </w:rPr>
        <w:t>管理制度健全性。项目实施单位的财务和业务管理制度是否健全，用以反映和考核财务和业务管理制度对项目顺利实施的保障情况。</w:t>
      </w:r>
    </w:p>
    <w:p>
      <w:pPr>
        <w:pStyle w:val="26"/>
        <w:ind w:firstLine="640"/>
      </w:pPr>
      <w:r>
        <w:rPr>
          <w:rFonts w:hint="eastAsia"/>
        </w:rPr>
        <w:t>b</w:t>
      </w:r>
      <w:r>
        <w:t>.</w:t>
      </w:r>
      <w:r>
        <w:rPr>
          <w:rFonts w:hint="eastAsia"/>
        </w:rPr>
        <w:t>制度执行有效性。主要从项目申报、项目实施、项目验收等</w:t>
      </w:r>
      <w:r>
        <w:t>3个环节展开，结合相关管理规定进行评价</w:t>
      </w:r>
      <w:r>
        <w:rPr>
          <w:rFonts w:hint="eastAsia"/>
        </w:rPr>
        <w:t>。</w:t>
      </w:r>
    </w:p>
    <w:p>
      <w:pPr>
        <w:pStyle w:val="26"/>
        <w:ind w:firstLine="640"/>
      </w:pPr>
      <w:r>
        <w:rPr>
          <w:rFonts w:hint="eastAsia"/>
        </w:rPr>
        <w:t>（3）项目产出指标</w:t>
      </w:r>
    </w:p>
    <w:p>
      <w:pPr>
        <w:pStyle w:val="26"/>
        <w:ind w:firstLine="640"/>
      </w:pPr>
      <w:r>
        <w:rPr>
          <w:rFonts w:hint="eastAsia"/>
        </w:rPr>
        <w:t>①产出数量</w:t>
      </w:r>
    </w:p>
    <w:p>
      <w:pPr>
        <w:pStyle w:val="26"/>
        <w:ind w:firstLine="640"/>
      </w:pPr>
      <w:r>
        <w:rPr>
          <w:rFonts w:hint="eastAsia"/>
        </w:rPr>
        <w:t>a</w:t>
      </w:r>
      <w:r>
        <w:t>.</w:t>
      </w:r>
      <w:r>
        <w:rPr>
          <w:rFonts w:hint="eastAsia"/>
        </w:rPr>
        <w:t>政务帮办领办服务人员配备完成率。项目实施期间实际配备政务帮办领办服务人员数量与合同规定配备政务帮办领办服务人员数量对比，用以反映政务帮办领办服务中人力配备的完成情况。</w:t>
      </w:r>
    </w:p>
    <w:p>
      <w:pPr>
        <w:pStyle w:val="26"/>
        <w:ind w:firstLine="640"/>
      </w:pPr>
      <w:r>
        <w:t>b</w:t>
      </w:r>
      <w:r>
        <w:rPr>
          <w:rFonts w:hint="eastAsia"/>
        </w:rPr>
        <w:t>政务帮办领办服务企业完成率。项目实施期间实际政务帮办领办服务企业数与计划服务企业数对比，用以反映政务帮办领办服务企业的完成情况。</w:t>
      </w:r>
    </w:p>
    <w:p>
      <w:pPr>
        <w:pStyle w:val="26"/>
        <w:ind w:firstLine="640"/>
      </w:pPr>
      <w:r>
        <w:rPr>
          <w:rFonts w:hint="eastAsia"/>
        </w:rPr>
        <w:t>②产出质量</w:t>
      </w:r>
    </w:p>
    <w:p>
      <w:pPr>
        <w:pStyle w:val="26"/>
        <w:ind w:firstLine="640"/>
      </w:pPr>
      <w:r>
        <w:rPr>
          <w:rFonts w:hint="eastAsia"/>
        </w:rPr>
        <w:t>a</w:t>
      </w:r>
      <w:r>
        <w:t>.</w:t>
      </w:r>
      <w:r>
        <w:rPr>
          <w:rFonts w:hint="eastAsia"/>
        </w:rPr>
        <w:t xml:space="preserve"> 政务帮办领办服务人员考核达标率。项目实施期间考核达标的政务帮办领办服务人员数量与实际配备政务帮办领办服务人员数量对比，用以反映政务帮办领办服务人员考核达标的情况。</w:t>
      </w:r>
    </w:p>
    <w:p>
      <w:pPr>
        <w:pStyle w:val="26"/>
        <w:ind w:firstLine="640"/>
      </w:pPr>
      <w:r>
        <w:rPr>
          <w:rFonts w:hint="eastAsia"/>
        </w:rPr>
        <w:t>b</w:t>
      </w:r>
      <w:r>
        <w:t>.</w:t>
      </w:r>
      <w:r>
        <w:rPr>
          <w:rFonts w:hint="eastAsia"/>
        </w:rPr>
        <w:t xml:space="preserve"> 政务帮办领办服务验收合格率。项目实施期间实际政务帮办领办服务验收合格的中介机构数量与合同签订政务帮办领办服务中介机构数量对比，用以反映政务帮办领办服务验收的合格情况。</w:t>
      </w:r>
    </w:p>
    <w:p>
      <w:pPr>
        <w:pStyle w:val="26"/>
        <w:ind w:firstLine="640"/>
      </w:pPr>
      <w:r>
        <w:rPr>
          <w:rFonts w:hint="eastAsia"/>
        </w:rPr>
        <w:t>③产出时效</w:t>
      </w:r>
    </w:p>
    <w:p>
      <w:pPr>
        <w:pStyle w:val="26"/>
        <w:ind w:firstLine="640"/>
      </w:pPr>
      <w:r>
        <w:rPr>
          <w:rFonts w:hint="eastAsia"/>
        </w:rPr>
        <w:t>a</w:t>
      </w:r>
      <w:r>
        <w:t>.</w:t>
      </w:r>
      <w:r>
        <w:rPr>
          <w:rFonts w:hint="eastAsia"/>
        </w:rPr>
        <w:t xml:space="preserve"> 政务帮办领办服务人员配备及时率。项目实施期间及时配备的政务帮办领办服务人员数量与实际配备政务帮办领办服务人员数量对比，用以反映政务帮办领办服务人员配备及时的情况。</w:t>
      </w:r>
    </w:p>
    <w:p>
      <w:pPr>
        <w:pStyle w:val="26"/>
        <w:ind w:firstLine="640"/>
      </w:pPr>
      <w:r>
        <w:t>b.</w:t>
      </w:r>
      <w:r>
        <w:rPr>
          <w:rFonts w:hint="eastAsia"/>
        </w:rPr>
        <w:t xml:space="preserve"> 政务帮办领办服务完成及时率。项目实施期间及时完成政务帮办领办服务次数与实际提供政务帮办领办服务次数对比，用以反映政务帮办领办服务完成的及时情况。</w:t>
      </w:r>
    </w:p>
    <w:p>
      <w:pPr>
        <w:pStyle w:val="26"/>
        <w:ind w:firstLine="640"/>
      </w:pPr>
      <w:r>
        <w:rPr>
          <w:rFonts w:hint="eastAsia"/>
        </w:rPr>
        <w:t>④产出成本</w:t>
      </w:r>
    </w:p>
    <w:p>
      <w:pPr>
        <w:pStyle w:val="26"/>
        <w:ind w:firstLine="640"/>
      </w:pPr>
      <w:r>
        <w:rPr>
          <w:rFonts w:hint="eastAsia"/>
        </w:rPr>
        <w:t>政务帮办领办服务成本节约率。项目实施期间签订合同金额与采购计划支出对比，用以反映政务服务全过程帮办领办服务项目成本支出控制情况。</w:t>
      </w:r>
    </w:p>
    <w:p>
      <w:pPr>
        <w:pStyle w:val="26"/>
        <w:ind w:firstLine="640"/>
      </w:pPr>
      <w:r>
        <w:rPr>
          <w:rFonts w:hint="eastAsia"/>
        </w:rPr>
        <w:t>（</w:t>
      </w:r>
      <w:r>
        <w:t>4</w:t>
      </w:r>
      <w:r>
        <w:rPr>
          <w:rFonts w:hint="eastAsia"/>
        </w:rPr>
        <w:t>）项目效益指标</w:t>
      </w:r>
    </w:p>
    <w:p>
      <w:pPr>
        <w:pStyle w:val="26"/>
        <w:ind w:firstLine="640"/>
      </w:pPr>
      <w:r>
        <w:rPr>
          <w:rFonts w:hint="eastAsia"/>
        </w:rPr>
        <w:t>①社会效益</w:t>
      </w:r>
    </w:p>
    <w:p>
      <w:pPr>
        <w:pStyle w:val="26"/>
        <w:ind w:firstLine="640"/>
      </w:pPr>
      <w:r>
        <w:rPr>
          <w:rFonts w:hint="eastAsia"/>
        </w:rPr>
        <w:t>企业办件数量增长率。通过本年度实际完成企业办件数量较上一年度完成企业办件数量的对比，用以反映政务事项审批效率的提升情况。</w:t>
      </w:r>
    </w:p>
    <w:p>
      <w:pPr>
        <w:pStyle w:val="26"/>
        <w:ind w:firstLine="640"/>
      </w:pPr>
      <w:r>
        <w:rPr>
          <w:rFonts w:hint="eastAsia"/>
        </w:rPr>
        <w:t>②可持续影响</w:t>
      </w:r>
    </w:p>
    <w:p>
      <w:pPr>
        <w:pStyle w:val="26"/>
        <w:ind w:firstLine="640"/>
      </w:pPr>
      <w:r>
        <w:rPr>
          <w:rFonts w:hint="eastAsia"/>
        </w:rPr>
        <w:t>a</w:t>
      </w:r>
      <w:r>
        <w:t>.</w:t>
      </w:r>
      <w:r>
        <w:rPr>
          <w:rFonts w:hint="eastAsia"/>
        </w:rPr>
        <w:t>建立健全政务帮办领办服务机构管理机制。通过政务帮办领办服务机构管理机制的建立健全情况，用以反映项目持续开展的保障程度。</w:t>
      </w:r>
    </w:p>
    <w:p>
      <w:pPr>
        <w:pStyle w:val="26"/>
        <w:ind w:firstLine="640"/>
      </w:pPr>
      <w:r>
        <w:t>b.</w:t>
      </w:r>
      <w:r>
        <w:rPr>
          <w:rFonts w:hint="eastAsia"/>
        </w:rPr>
        <w:t>建立健全政务帮办领办服务机构考核管理机制。通过全政务帮办领办服务机构考核管理机制的建立健全情况，用以反映项目持续开展的保障程度。</w:t>
      </w:r>
    </w:p>
    <w:p>
      <w:pPr>
        <w:pStyle w:val="26"/>
        <w:ind w:firstLine="640"/>
      </w:pPr>
      <w:r>
        <w:rPr>
          <w:rFonts w:hint="eastAsia"/>
        </w:rPr>
        <w:t>③服务对象满意度</w:t>
      </w:r>
    </w:p>
    <w:p>
      <w:pPr>
        <w:pStyle w:val="26"/>
        <w:ind w:firstLine="640"/>
      </w:pPr>
      <w:r>
        <w:rPr>
          <w:rFonts w:hint="eastAsia"/>
        </w:rPr>
        <w:t>享受服务企业人员满意度。通过调查问卷中享受帮办领办服务的企业人员满意人数与被调查人员总人数的比率，用以反映被调查享受帮办领办服务的企业人员对本项目的满意程度。</w:t>
      </w:r>
    </w:p>
    <w:p>
      <w:pPr>
        <w:pStyle w:val="26"/>
        <w:ind w:firstLine="640"/>
      </w:pPr>
      <w:r>
        <w:t>3</w:t>
      </w:r>
      <w:r>
        <w:rPr>
          <w:rFonts w:hint="eastAsia"/>
        </w:rPr>
        <w:t>.绩效评价方法</w:t>
      </w:r>
    </w:p>
    <w:p>
      <w:pPr>
        <w:pStyle w:val="26"/>
        <w:ind w:firstLine="640"/>
      </w:pPr>
      <w:bookmarkStart w:id="8" w:name="_Hlk91875362"/>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bookmarkEnd w:id="8"/>
      <w:r>
        <w:rPr>
          <w:rFonts w:hint="eastAsia"/>
        </w:rPr>
        <w:t>，并对天津市和平区人民政府政务服务办公室进行了现场评价，绩效评价指标体系详见附件。</w:t>
      </w:r>
    </w:p>
    <w:p>
      <w:pPr>
        <w:pStyle w:val="30"/>
        <w:ind w:firstLine="640"/>
        <w:rPr>
          <w:rFonts w:ascii="Times New Roman" w:hAnsi="Times New Roman"/>
        </w:rPr>
      </w:pPr>
      <w:bookmarkStart w:id="9" w:name="_Toc120546891"/>
      <w:r>
        <w:rPr>
          <w:rFonts w:hint="eastAsia" w:ascii="Times New Roman" w:hAnsi="Times New Roman"/>
        </w:rPr>
        <w:t>（三）绩效评价工作过程</w:t>
      </w:r>
      <w:bookmarkEnd w:id="9"/>
    </w:p>
    <w:p>
      <w:pPr>
        <w:pStyle w:val="26"/>
        <w:ind w:firstLine="640"/>
      </w:pPr>
      <w:bookmarkStart w:id="10" w:name="_Toc57967893"/>
      <w:r>
        <w:t>1.</w:t>
      </w:r>
      <w:r>
        <w:rPr>
          <w:rFonts w:hint="eastAsia"/>
        </w:rPr>
        <w:t>前期准备阶段</w:t>
      </w:r>
      <w:bookmarkEnd w:id="10"/>
    </w:p>
    <w:p>
      <w:pPr>
        <w:pStyle w:val="26"/>
        <w:ind w:firstLine="640"/>
      </w:pPr>
      <w:r>
        <w:rPr>
          <w:rFonts w:hint="eastAsia"/>
        </w:rPr>
        <w:t>（</w:t>
      </w:r>
      <w:r>
        <w:t>1</w:t>
      </w:r>
      <w:r>
        <w:rPr>
          <w:rFonts w:hint="eastAsia"/>
        </w:rPr>
        <w:t>）接受委托，成立绩效评价项目组</w:t>
      </w:r>
    </w:p>
    <w:p>
      <w:pPr>
        <w:pStyle w:val="26"/>
        <w:ind w:firstLine="640"/>
      </w:pPr>
      <w:r>
        <w:rPr>
          <w:rFonts w:hint="eastAsia"/>
        </w:rPr>
        <w:t>根据中央和天津市关于全面实施预算绩效管理的部署要求，天津市和平区财政局委托我司（天津安信管理咨询有限公司）对政务服务全过程帮办领办服务项目进行绩效评价工作。</w:t>
      </w:r>
    </w:p>
    <w:p>
      <w:pPr>
        <w:pStyle w:val="26"/>
        <w:ind w:firstLine="640"/>
      </w:pPr>
      <w:r>
        <w:t>2022</w:t>
      </w:r>
      <w:r>
        <w:rPr>
          <w:rFonts w:hint="eastAsia"/>
        </w:rPr>
        <w:t>年9月</w:t>
      </w:r>
      <w:r>
        <w:t>29</w:t>
      </w:r>
      <w:r>
        <w:rPr>
          <w:rFonts w:hint="eastAsia"/>
        </w:rPr>
        <w:t>日，绩效评价项目组（以下简称“评价组”）赴天津市和平区人民政府政务服务办公室参加了项目见面会，听取了该单位对政务服务全过程帮办领办服务项目的项目背景、申请立项、资金落实、业务管理、财务管理、项目产出、项目效益等方面的情况介绍，并对项目后续评价工作的基本原则及所需的各类资料文件提出了要求。</w:t>
      </w:r>
    </w:p>
    <w:p>
      <w:pPr>
        <w:pStyle w:val="26"/>
        <w:ind w:firstLine="640"/>
      </w:pPr>
      <w:r>
        <w:rPr>
          <w:rFonts w:hint="eastAsia"/>
        </w:rPr>
        <w:t>（</w:t>
      </w:r>
      <w:r>
        <w:t>2</w:t>
      </w:r>
      <w:r>
        <w:rPr>
          <w:rFonts w:hint="eastAsia"/>
        </w:rPr>
        <w:t>）制定绩效评价方案</w:t>
      </w:r>
    </w:p>
    <w:p>
      <w:pPr>
        <w:pStyle w:val="26"/>
        <w:ind w:firstLine="640"/>
      </w:pPr>
      <w:r>
        <w:rPr>
          <w:rFonts w:hint="eastAsia"/>
        </w:rPr>
        <w:t>根据</w:t>
      </w:r>
      <w:r>
        <w:rPr>
          <w:rFonts w:hint="eastAsia"/>
          <w:color w:val="000000"/>
          <w:szCs w:val="32"/>
        </w:rPr>
        <w:t>《中共天津市委 天津市人民政府印发&lt;关于全面推进预算绩效管理的实施方案&gt;的通知》（津党发〔2019〕25号）</w:t>
      </w:r>
      <w:r>
        <w:rPr>
          <w:rFonts w:hint="eastAsia"/>
        </w:rPr>
        <w:t>要求，评价项目组制定了《天津市和平区人民政府政务服务办公室政务服务全过程帮办领办服务项目</w:t>
      </w:r>
      <w:r>
        <w:t>绩效评价实施工作方案</w:t>
      </w:r>
      <w:r>
        <w:rPr>
          <w:rFonts w:hint="eastAsia"/>
        </w:rPr>
        <w:t>》，根据评价方案组织开展项目评价工作。</w:t>
      </w:r>
    </w:p>
    <w:p>
      <w:pPr>
        <w:pStyle w:val="26"/>
        <w:ind w:firstLine="640"/>
      </w:pPr>
      <w:r>
        <w:rPr>
          <w:rFonts w:hint="eastAsia"/>
        </w:rPr>
        <w:t>（</w:t>
      </w:r>
      <w:r>
        <w:t>3</w:t>
      </w:r>
      <w:r>
        <w:rPr>
          <w:rFonts w:hint="eastAsia"/>
        </w:rPr>
        <w:t>）指标体系设计</w:t>
      </w:r>
    </w:p>
    <w:p>
      <w:pPr>
        <w:pStyle w:val="26"/>
        <w:ind w:firstLine="640"/>
      </w:pPr>
      <w:r>
        <w:rPr>
          <w:rFonts w:hint="eastAsia"/>
        </w:rPr>
        <w:t>根据政务服务全过程帮办领办服务项目绩效目标及实际工作需要，从决策、过程、产出、效益四个维度出发，设立项目立项、绩效目标、预算编制、资金管理、组织实施、产出数量、产出质量、产出时效、产出成本、社会效益、可持续影响、服务对象满意度</w:t>
      </w:r>
      <w:r>
        <w:t>12</w:t>
      </w:r>
      <w:r>
        <w:rPr>
          <w:rFonts w:hint="eastAsia"/>
        </w:rPr>
        <w:t>项二级指标和2</w:t>
      </w:r>
      <w:r>
        <w:t>5</w:t>
      </w:r>
      <w:r>
        <w:rPr>
          <w:rFonts w:hint="eastAsia"/>
        </w:rPr>
        <w:t>项三级指标，采取指标分值百分制，将</w:t>
      </w:r>
      <w:r>
        <w:t>25</w:t>
      </w:r>
      <w:r>
        <w:rPr>
          <w:rFonts w:hint="eastAsia"/>
        </w:rPr>
        <w:t>项指标量化为</w:t>
      </w:r>
      <w:r>
        <w:t>100</w:t>
      </w:r>
      <w:r>
        <w:rPr>
          <w:rFonts w:hint="eastAsia"/>
        </w:rPr>
        <w:t>分，详见附表。</w:t>
      </w:r>
    </w:p>
    <w:p>
      <w:pPr>
        <w:pStyle w:val="26"/>
        <w:ind w:firstLine="640"/>
      </w:pPr>
      <w:bookmarkStart w:id="11" w:name="_Toc57967894"/>
      <w:r>
        <w:t>2.</w:t>
      </w:r>
      <w:r>
        <w:rPr>
          <w:rFonts w:hint="eastAsia"/>
        </w:rPr>
        <w:t>评价实施阶段</w:t>
      </w:r>
      <w:bookmarkEnd w:id="11"/>
    </w:p>
    <w:p>
      <w:pPr>
        <w:pStyle w:val="26"/>
        <w:ind w:firstLine="640"/>
      </w:pPr>
      <w:r>
        <w:rPr>
          <w:rFonts w:hint="eastAsia"/>
        </w:rPr>
        <w:t>（</w:t>
      </w:r>
      <w:r>
        <w:t>1</w:t>
      </w:r>
      <w:r>
        <w:rPr>
          <w:rFonts w:hint="eastAsia"/>
        </w:rPr>
        <w:t>）正式进驻。</w:t>
      </w:r>
    </w:p>
    <w:p>
      <w:pPr>
        <w:pStyle w:val="26"/>
        <w:ind w:firstLine="640"/>
      </w:pPr>
      <w:r>
        <w:rPr>
          <w:rFonts w:hint="eastAsia"/>
        </w:rPr>
        <w:t>评价组于</w:t>
      </w:r>
      <w:r>
        <w:t>2022</w:t>
      </w:r>
      <w:r>
        <w:rPr>
          <w:rFonts w:hint="eastAsia"/>
        </w:rPr>
        <w:t>年</w:t>
      </w:r>
      <w:r>
        <w:t>9</w:t>
      </w:r>
      <w:r>
        <w:rPr>
          <w:rFonts w:hint="eastAsia"/>
        </w:rPr>
        <w:t>月</w:t>
      </w:r>
      <w:r>
        <w:t>29</w:t>
      </w:r>
      <w:r>
        <w:rPr>
          <w:rFonts w:hint="eastAsia"/>
        </w:rPr>
        <w:t>日正式进驻天津市和平区人民政府政务服务办公室实施评价工作。</w:t>
      </w:r>
    </w:p>
    <w:p>
      <w:pPr>
        <w:pStyle w:val="26"/>
        <w:ind w:firstLine="640"/>
      </w:pPr>
      <w:r>
        <w:rPr>
          <w:rFonts w:hint="eastAsia"/>
        </w:rPr>
        <w:t>（</w:t>
      </w:r>
      <w:r>
        <w:t>2</w:t>
      </w:r>
      <w:r>
        <w:rPr>
          <w:rFonts w:hint="eastAsia"/>
        </w:rPr>
        <w:t>）全面审查。</w:t>
      </w:r>
    </w:p>
    <w:p>
      <w:pPr>
        <w:pStyle w:val="26"/>
        <w:ind w:firstLine="640"/>
      </w:pPr>
      <w:r>
        <w:rPr>
          <w:rFonts w:hint="eastAsia"/>
        </w:rPr>
        <w:t>评价过程中，评价组对政务服务全过程帮办领办服务项目的文件依据、预算编制、制度执行、资金拨付、资金使用情况、产生效益等方面进行了全面梳理。评价组根据《和平区承诺制标准化智能化便利化审批制度改革实施方案》</w:t>
      </w:r>
      <w:bookmarkStart w:id="12" w:name="_Hlk118669994"/>
      <w:r>
        <w:rPr>
          <w:rFonts w:hint="eastAsia"/>
          <w:color w:val="000000"/>
          <w:szCs w:val="32"/>
        </w:rPr>
        <w:t>（津和党办发〔</w:t>
      </w:r>
      <w:r>
        <w:rPr>
          <w:color w:val="000000"/>
          <w:szCs w:val="32"/>
        </w:rPr>
        <w:t>2018〕17号</w:t>
      </w:r>
      <w:r>
        <w:rPr>
          <w:rFonts w:hint="eastAsia"/>
          <w:color w:val="000000"/>
          <w:szCs w:val="32"/>
        </w:rPr>
        <w:t>）</w:t>
      </w:r>
      <w:bookmarkEnd w:id="12"/>
      <w:r>
        <w:rPr>
          <w:rFonts w:hint="eastAsia"/>
          <w:color w:val="000000"/>
          <w:szCs w:val="32"/>
          <w:shd w:val="clear" w:color="auto" w:fill="FFFFFF"/>
        </w:rPr>
        <w:t>《和平区落实</w:t>
      </w:r>
      <w:r>
        <w:rPr>
          <w:rFonts w:cs="Times New Roman"/>
          <w:color w:val="000000"/>
          <w:szCs w:val="32"/>
          <w:shd w:val="clear" w:color="auto" w:fill="FFFFFF"/>
        </w:rPr>
        <w:t>&lt;</w:t>
      </w:r>
      <w:r>
        <w:rPr>
          <w:rFonts w:hint="eastAsia"/>
          <w:color w:val="000000"/>
          <w:szCs w:val="32"/>
          <w:shd w:val="clear" w:color="auto" w:fill="FFFFFF"/>
        </w:rPr>
        <w:t>天津市优化营商环境三年行动计划</w:t>
      </w:r>
      <w:r>
        <w:rPr>
          <w:rFonts w:cs="Times New Roman"/>
          <w:color w:val="000000"/>
          <w:szCs w:val="32"/>
          <w:shd w:val="clear" w:color="auto" w:fill="FFFFFF"/>
        </w:rPr>
        <w:t>&gt;</w:t>
      </w:r>
      <w:r>
        <w:rPr>
          <w:rFonts w:hint="eastAsia"/>
          <w:color w:val="000000"/>
          <w:szCs w:val="32"/>
          <w:shd w:val="clear" w:color="auto" w:fill="FFFFFF"/>
        </w:rPr>
        <w:t>实施方案》</w:t>
      </w:r>
      <w:r>
        <w:rPr>
          <w:rFonts w:hint="eastAsia"/>
          <w:color w:val="000000"/>
          <w:szCs w:val="32"/>
        </w:rPr>
        <w:t>（和平政〔</w:t>
      </w:r>
      <w:r>
        <w:rPr>
          <w:color w:val="000000"/>
          <w:szCs w:val="32"/>
        </w:rPr>
        <w:t>2021〕8号</w:t>
      </w:r>
      <w:r>
        <w:rPr>
          <w:rFonts w:hint="eastAsia"/>
          <w:color w:val="000000"/>
          <w:szCs w:val="32"/>
        </w:rPr>
        <w:t>）</w:t>
      </w:r>
      <w:r>
        <w:rPr>
          <w:rFonts w:hint="eastAsia"/>
        </w:rPr>
        <w:t>等文件，对专项经费的到位情况、预算编制、资金使用、服务工作开展情况、项目签订合同、项目验收等相关业务文件进行了核查。</w:t>
      </w:r>
    </w:p>
    <w:p>
      <w:pPr>
        <w:pStyle w:val="26"/>
        <w:ind w:firstLine="640"/>
      </w:pPr>
      <w:r>
        <w:rPr>
          <w:rFonts w:hint="eastAsia"/>
        </w:rPr>
        <w:t>（</w:t>
      </w:r>
      <w:r>
        <w:t>3</w:t>
      </w:r>
      <w:r>
        <w:rPr>
          <w:rFonts w:hint="eastAsia"/>
        </w:rPr>
        <w:t>）实地核查。</w:t>
      </w:r>
    </w:p>
    <w:p>
      <w:pPr>
        <w:pStyle w:val="26"/>
        <w:ind w:firstLine="640"/>
      </w:pPr>
      <w:r>
        <w:rPr>
          <w:rFonts w:hint="eastAsia"/>
        </w:rPr>
        <w:t>对天津市和平区人民政府政务服务办公室开展现场评价，针对项目服务完成情况进行一一核查，根据上述核查内容形成评价清单；同时评价组成员针对项目涉及的服务对象，对享受帮办领办服务的企业人员进行问卷调查。</w:t>
      </w:r>
    </w:p>
    <w:p>
      <w:pPr>
        <w:pStyle w:val="26"/>
        <w:ind w:firstLine="640"/>
      </w:pPr>
      <w:r>
        <w:rPr>
          <w:rFonts w:hint="eastAsia"/>
        </w:rPr>
        <w:t>（</w:t>
      </w:r>
      <w:r>
        <w:t>4</w:t>
      </w:r>
      <w:r>
        <w:rPr>
          <w:rFonts w:hint="eastAsia"/>
        </w:rPr>
        <w:t>）评价打分。</w:t>
      </w:r>
    </w:p>
    <w:p>
      <w:pPr>
        <w:pStyle w:val="26"/>
        <w:ind w:firstLine="640"/>
      </w:pPr>
      <w:r>
        <w:rPr>
          <w:rFonts w:hint="eastAsia"/>
        </w:rPr>
        <w:t>按照绩效评价指标体系编制了工作底稿，并对各绩效评价指标进行了评分。</w:t>
      </w:r>
    </w:p>
    <w:p>
      <w:pPr>
        <w:pStyle w:val="26"/>
        <w:ind w:firstLine="640"/>
      </w:pPr>
      <w:r>
        <w:rPr>
          <w:rFonts w:hint="eastAsia"/>
        </w:rPr>
        <w:t>（</w:t>
      </w:r>
      <w:r>
        <w:t>5</w:t>
      </w:r>
      <w:r>
        <w:rPr>
          <w:rFonts w:hint="eastAsia"/>
        </w:rPr>
        <w:t>）编制报告。</w:t>
      </w:r>
    </w:p>
    <w:p>
      <w:pPr>
        <w:pStyle w:val="26"/>
        <w:ind w:firstLine="640"/>
      </w:pPr>
      <w:r>
        <w:rPr>
          <w:rFonts w:hint="eastAsia"/>
        </w:rPr>
        <w:t>评价组根据实地核查打分，编制绩效评价报告，全面梳理本项目在决策依据、过程管理、产出情况、取得效益等方面存在的问题及工作建议。</w:t>
      </w:r>
    </w:p>
    <w:p>
      <w:pPr>
        <w:pStyle w:val="28"/>
      </w:pPr>
      <w:bookmarkStart w:id="13" w:name="_Toc120546892"/>
      <w:r>
        <w:rPr>
          <w:rFonts w:hint="eastAsia"/>
        </w:rPr>
        <w:t>三、综合评价情况及评价结论</w:t>
      </w:r>
      <w:bookmarkEnd w:id="13"/>
    </w:p>
    <w:p>
      <w:pPr>
        <w:pStyle w:val="26"/>
        <w:ind w:firstLine="640"/>
      </w:pPr>
      <w:bookmarkStart w:id="14" w:name="_Hlk91875381"/>
      <w:r>
        <w:rPr>
          <w:rFonts w:hint="eastAsia"/>
        </w:rPr>
        <w:t>经过综合评价，政务服务全过程帮办领办服务项目得分</w:t>
      </w:r>
      <w:r>
        <w:t>95</w:t>
      </w:r>
      <w:r>
        <w:rPr>
          <w:rFonts w:hint="eastAsia"/>
        </w:rPr>
        <w:t>分，评价等级为“优”。其中，项目决策</w:t>
      </w:r>
      <w:r>
        <w:t>13</w:t>
      </w:r>
      <w:r>
        <w:rPr>
          <w:rFonts w:hint="eastAsia"/>
        </w:rPr>
        <w:t>分，项目过程</w:t>
      </w:r>
      <w:r>
        <w:t>22</w:t>
      </w:r>
      <w:r>
        <w:rPr>
          <w:rFonts w:hint="eastAsia"/>
        </w:rPr>
        <w:t>分，项目产出</w:t>
      </w:r>
      <w:r>
        <w:t>38</w:t>
      </w:r>
      <w:r>
        <w:rPr>
          <w:rFonts w:hint="eastAsia"/>
        </w:rPr>
        <w:t>分，项目效益</w:t>
      </w:r>
      <w:r>
        <w:t>22</w:t>
      </w:r>
      <w:r>
        <w:rPr>
          <w:rFonts w:hint="eastAsia"/>
        </w:rPr>
        <w:t>分</w:t>
      </w:r>
      <w:bookmarkEnd w:id="14"/>
      <w:r>
        <w:rPr>
          <w:rFonts w:hint="eastAsia"/>
        </w:rPr>
        <w:t>。</w:t>
      </w:r>
    </w:p>
    <w:p>
      <w:pPr>
        <w:pStyle w:val="26"/>
        <w:ind w:firstLine="640"/>
      </w:pPr>
      <w:bookmarkStart w:id="15" w:name="_Hlk91875395"/>
      <w:r>
        <w:rPr>
          <w:rFonts w:hint="eastAsia"/>
        </w:rPr>
        <w:t>具体情况见表2：</w:t>
      </w:r>
    </w:p>
    <w:p>
      <w:pPr>
        <w:pStyle w:val="33"/>
        <w:rPr>
          <w:rFonts w:eastAsia="黑体" w:cs="宋体"/>
          <w:bCs w:val="0"/>
          <w:sz w:val="28"/>
          <w:szCs w:val="28"/>
        </w:rPr>
      </w:pPr>
      <w:r>
        <w:rPr>
          <w:rFonts w:eastAsia="黑体" w:cs="宋体"/>
          <w:bCs w:val="0"/>
          <w:sz w:val="28"/>
          <w:szCs w:val="28"/>
        </w:rPr>
        <w:t xml:space="preserve">表2  </w:t>
      </w:r>
      <w:r>
        <w:rPr>
          <w:rFonts w:hint="eastAsia" w:eastAsia="黑体" w:cs="宋体"/>
          <w:bCs w:val="0"/>
          <w:sz w:val="28"/>
          <w:szCs w:val="28"/>
        </w:rPr>
        <w:t>政务服务全过程帮办领办服务项目绩效得分</w:t>
      </w:r>
    </w:p>
    <w:p>
      <w:pPr>
        <w:pStyle w:val="33"/>
        <w:rPr>
          <w:rFonts w:eastAsia="黑体" w:cs="宋体"/>
          <w:bCs w:val="0"/>
          <w:sz w:val="28"/>
          <w:szCs w:val="28"/>
        </w:rPr>
      </w:pPr>
      <w:r>
        <w:rPr>
          <w:rFonts w:hint="eastAsia" w:eastAsia="黑体" w:cs="宋体"/>
          <w:bCs w:val="0"/>
          <w:sz w:val="28"/>
          <w:szCs w:val="28"/>
        </w:rPr>
        <w:t>情况表</w:t>
      </w:r>
    </w:p>
    <w:p>
      <w:pPr>
        <w:pStyle w:val="34"/>
        <w:ind w:right="630"/>
      </w:pPr>
      <w:r>
        <w:rPr>
          <w:rFonts w:hint="eastAsia"/>
        </w:rPr>
        <w:t>单位：分值</w:t>
      </w:r>
    </w:p>
    <w:tbl>
      <w:tblPr>
        <w:tblStyle w:val="19"/>
        <w:tblW w:w="8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376"/>
        <w:gridCol w:w="1375"/>
        <w:gridCol w:w="1405"/>
        <w:gridCol w:w="137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76" w:type="dxa"/>
            <w:vAlign w:val="center"/>
          </w:tcPr>
          <w:p>
            <w:pPr>
              <w:pStyle w:val="36"/>
            </w:pPr>
            <w:r>
              <w:rPr>
                <w:rFonts w:hint="eastAsia"/>
              </w:rPr>
              <w:t>指标</w:t>
            </w:r>
          </w:p>
        </w:tc>
        <w:tc>
          <w:tcPr>
            <w:tcW w:w="1376" w:type="dxa"/>
            <w:vAlign w:val="center"/>
          </w:tcPr>
          <w:p>
            <w:pPr>
              <w:pStyle w:val="36"/>
            </w:pPr>
            <w:r>
              <w:rPr>
                <w:rFonts w:hint="eastAsia"/>
              </w:rPr>
              <w:t>项目决策</w:t>
            </w:r>
          </w:p>
        </w:tc>
        <w:tc>
          <w:tcPr>
            <w:tcW w:w="1375" w:type="dxa"/>
            <w:vAlign w:val="center"/>
          </w:tcPr>
          <w:p>
            <w:pPr>
              <w:pStyle w:val="36"/>
            </w:pPr>
            <w:r>
              <w:rPr>
                <w:rFonts w:hint="eastAsia"/>
              </w:rPr>
              <w:t>项目过程</w:t>
            </w:r>
          </w:p>
        </w:tc>
        <w:tc>
          <w:tcPr>
            <w:tcW w:w="1405" w:type="dxa"/>
            <w:vAlign w:val="center"/>
          </w:tcPr>
          <w:p>
            <w:pPr>
              <w:pStyle w:val="36"/>
            </w:pPr>
            <w:r>
              <w:rPr>
                <w:rFonts w:hint="eastAsia"/>
              </w:rPr>
              <w:t>项目产出</w:t>
            </w:r>
          </w:p>
        </w:tc>
        <w:tc>
          <w:tcPr>
            <w:tcW w:w="1375" w:type="dxa"/>
            <w:vAlign w:val="center"/>
          </w:tcPr>
          <w:p>
            <w:pPr>
              <w:pStyle w:val="36"/>
            </w:pPr>
            <w:r>
              <w:rPr>
                <w:rFonts w:hint="eastAsia"/>
              </w:rPr>
              <w:t>项目效益</w:t>
            </w:r>
          </w:p>
        </w:tc>
        <w:tc>
          <w:tcPr>
            <w:tcW w:w="1395" w:type="dxa"/>
            <w:vAlign w:val="center"/>
          </w:tcPr>
          <w:p>
            <w:pPr>
              <w:pStyle w:val="36"/>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76" w:type="dxa"/>
            <w:vAlign w:val="center"/>
          </w:tcPr>
          <w:p>
            <w:pPr>
              <w:pStyle w:val="38"/>
              <w:jc w:val="center"/>
            </w:pPr>
            <w:r>
              <w:rPr>
                <w:rFonts w:hint="eastAsia"/>
              </w:rPr>
              <w:t>分值</w:t>
            </w:r>
          </w:p>
        </w:tc>
        <w:tc>
          <w:tcPr>
            <w:tcW w:w="1376" w:type="dxa"/>
            <w:vAlign w:val="center"/>
          </w:tcPr>
          <w:p>
            <w:pPr>
              <w:pStyle w:val="38"/>
              <w:jc w:val="center"/>
            </w:pPr>
            <w:r>
              <w:t>17</w:t>
            </w:r>
          </w:p>
        </w:tc>
        <w:tc>
          <w:tcPr>
            <w:tcW w:w="1375" w:type="dxa"/>
            <w:vAlign w:val="center"/>
          </w:tcPr>
          <w:p>
            <w:pPr>
              <w:pStyle w:val="38"/>
              <w:jc w:val="center"/>
            </w:pPr>
            <w:r>
              <w:t>23</w:t>
            </w:r>
          </w:p>
        </w:tc>
        <w:tc>
          <w:tcPr>
            <w:tcW w:w="1405" w:type="dxa"/>
            <w:vAlign w:val="center"/>
          </w:tcPr>
          <w:p>
            <w:pPr>
              <w:pStyle w:val="38"/>
              <w:jc w:val="center"/>
            </w:pPr>
            <w:r>
              <w:t>38</w:t>
            </w:r>
          </w:p>
        </w:tc>
        <w:tc>
          <w:tcPr>
            <w:tcW w:w="1375" w:type="dxa"/>
            <w:vAlign w:val="center"/>
          </w:tcPr>
          <w:p>
            <w:pPr>
              <w:pStyle w:val="38"/>
              <w:jc w:val="center"/>
            </w:pPr>
            <w:r>
              <w:t>22</w:t>
            </w:r>
          </w:p>
        </w:tc>
        <w:tc>
          <w:tcPr>
            <w:tcW w:w="1395" w:type="dxa"/>
            <w:vAlign w:val="center"/>
          </w:tcPr>
          <w:p>
            <w:pPr>
              <w:pStyle w:val="38"/>
              <w:jc w:val="center"/>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76" w:type="dxa"/>
            <w:vAlign w:val="center"/>
          </w:tcPr>
          <w:p>
            <w:pPr>
              <w:pStyle w:val="38"/>
              <w:jc w:val="center"/>
            </w:pPr>
            <w:r>
              <w:rPr>
                <w:rFonts w:hint="eastAsia"/>
              </w:rPr>
              <w:t>得分</w:t>
            </w:r>
          </w:p>
        </w:tc>
        <w:tc>
          <w:tcPr>
            <w:tcW w:w="1376" w:type="dxa"/>
            <w:vAlign w:val="center"/>
          </w:tcPr>
          <w:p>
            <w:pPr>
              <w:pStyle w:val="38"/>
              <w:jc w:val="center"/>
            </w:pPr>
            <w:r>
              <w:t>13</w:t>
            </w:r>
          </w:p>
        </w:tc>
        <w:tc>
          <w:tcPr>
            <w:tcW w:w="1375" w:type="dxa"/>
            <w:vAlign w:val="center"/>
          </w:tcPr>
          <w:p>
            <w:pPr>
              <w:pStyle w:val="38"/>
              <w:jc w:val="center"/>
            </w:pPr>
            <w:r>
              <w:t>22</w:t>
            </w:r>
          </w:p>
        </w:tc>
        <w:tc>
          <w:tcPr>
            <w:tcW w:w="1405" w:type="dxa"/>
            <w:vAlign w:val="center"/>
          </w:tcPr>
          <w:p>
            <w:pPr>
              <w:pStyle w:val="38"/>
              <w:jc w:val="center"/>
            </w:pPr>
            <w:r>
              <w:t>38</w:t>
            </w:r>
          </w:p>
        </w:tc>
        <w:tc>
          <w:tcPr>
            <w:tcW w:w="1375" w:type="dxa"/>
            <w:vAlign w:val="center"/>
          </w:tcPr>
          <w:p>
            <w:pPr>
              <w:pStyle w:val="38"/>
              <w:jc w:val="center"/>
            </w:pPr>
            <w:r>
              <w:t>22</w:t>
            </w:r>
          </w:p>
        </w:tc>
        <w:tc>
          <w:tcPr>
            <w:tcW w:w="1395" w:type="dxa"/>
            <w:vAlign w:val="center"/>
          </w:tcPr>
          <w:p>
            <w:pPr>
              <w:pStyle w:val="38"/>
              <w:jc w:val="center"/>
            </w:pPr>
            <w: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76" w:type="dxa"/>
            <w:vAlign w:val="center"/>
          </w:tcPr>
          <w:p>
            <w:pPr>
              <w:pStyle w:val="38"/>
              <w:jc w:val="center"/>
            </w:pPr>
            <w:r>
              <w:rPr>
                <w:rFonts w:hint="eastAsia"/>
              </w:rPr>
              <w:t>得分率</w:t>
            </w:r>
          </w:p>
        </w:tc>
        <w:tc>
          <w:tcPr>
            <w:tcW w:w="1376" w:type="dxa"/>
            <w:vAlign w:val="center"/>
          </w:tcPr>
          <w:p>
            <w:pPr>
              <w:pStyle w:val="38"/>
              <w:jc w:val="center"/>
            </w:pPr>
            <w:r>
              <w:t>76.5</w:t>
            </w:r>
            <w:r>
              <w:rPr>
                <w:rFonts w:hint="eastAsia"/>
              </w:rPr>
              <w:t>%</w:t>
            </w:r>
          </w:p>
        </w:tc>
        <w:tc>
          <w:tcPr>
            <w:tcW w:w="1375" w:type="dxa"/>
            <w:vAlign w:val="center"/>
          </w:tcPr>
          <w:p>
            <w:pPr>
              <w:pStyle w:val="38"/>
              <w:jc w:val="center"/>
            </w:pPr>
            <w:r>
              <w:t>95.7</w:t>
            </w:r>
            <w:r>
              <w:rPr>
                <w:rFonts w:hint="eastAsia"/>
              </w:rPr>
              <w:t>%</w:t>
            </w:r>
          </w:p>
        </w:tc>
        <w:tc>
          <w:tcPr>
            <w:tcW w:w="1405" w:type="dxa"/>
            <w:vAlign w:val="center"/>
          </w:tcPr>
          <w:p>
            <w:pPr>
              <w:pStyle w:val="38"/>
              <w:jc w:val="center"/>
            </w:pPr>
            <w:r>
              <w:t>100</w:t>
            </w:r>
            <w:r>
              <w:rPr>
                <w:rFonts w:hint="eastAsia"/>
              </w:rPr>
              <w:t>%</w:t>
            </w:r>
          </w:p>
        </w:tc>
        <w:tc>
          <w:tcPr>
            <w:tcW w:w="1375" w:type="dxa"/>
            <w:vAlign w:val="center"/>
          </w:tcPr>
          <w:p>
            <w:pPr>
              <w:pStyle w:val="38"/>
              <w:jc w:val="center"/>
            </w:pPr>
            <w:r>
              <w:t>100</w:t>
            </w:r>
            <w:r>
              <w:rPr>
                <w:rFonts w:hint="eastAsia"/>
              </w:rPr>
              <w:t>%</w:t>
            </w:r>
          </w:p>
        </w:tc>
        <w:tc>
          <w:tcPr>
            <w:tcW w:w="1395" w:type="dxa"/>
            <w:vAlign w:val="center"/>
          </w:tcPr>
          <w:p>
            <w:pPr>
              <w:pStyle w:val="38"/>
              <w:jc w:val="center"/>
            </w:pPr>
            <w:r>
              <w:t>95</w:t>
            </w:r>
            <w:r>
              <w:rPr>
                <w:rFonts w:hint="eastAsia"/>
              </w:rPr>
              <w:t>%</w:t>
            </w:r>
          </w:p>
        </w:tc>
      </w:tr>
      <w:bookmarkEnd w:id="15"/>
    </w:tbl>
    <w:p>
      <w:pPr>
        <w:pStyle w:val="26"/>
        <w:ind w:firstLine="640"/>
      </w:pPr>
      <w:bookmarkStart w:id="16" w:name="_Hlk91875411"/>
      <w:r>
        <w:rPr>
          <w:rFonts w:hint="eastAsia"/>
        </w:rPr>
        <w:t>评价结论：</w:t>
      </w:r>
      <w:bookmarkEnd w:id="16"/>
      <w:r>
        <w:rPr>
          <w:rFonts w:hint="eastAsia" w:cs="仿宋_GB2312"/>
        </w:rPr>
        <w:t>一是项目决策方面，政务服务全过程帮办领办服务项目立项依据充分，立项程序规范合理；项目绩效目标</w:t>
      </w:r>
      <w:r>
        <w:rPr>
          <w:rFonts w:hint="eastAsia"/>
          <w:bCs/>
        </w:rPr>
        <w:t>与项目规划的工作任务内容一致，但存在</w:t>
      </w:r>
      <w:r>
        <w:rPr>
          <w:rFonts w:hint="eastAsia" w:cs="仿宋_GB2312"/>
        </w:rPr>
        <w:t>绩效指标设置不明确、不够细化的问题；预算编制测算内容合规，测算标准合理，但存在预算测算数据不够客观、测算过程细化程度不足的问题。二是项目过程方面，财政资金到位及时、充足，到位预算资金执行情况良好，资金使用符合规定，管理制度健全，但制度执行有待完善。三是项目产出方面，保质保量及时完成了政务帮办领办服务工作，全部达成预期目标。四是项目效益方面，项目实施</w:t>
      </w:r>
      <w:r>
        <w:rPr>
          <w:rFonts w:hint="eastAsia"/>
        </w:rPr>
        <w:t>有效使企业办件数量较上一年持续增长，提高了政务事项审批效率，减低了企业申报成本，受到了申报企业的好评，严格执行中介机构管理与考核管理制度，提升了政务服务质量，促进区域经济社会持续健康发展。</w:t>
      </w:r>
    </w:p>
    <w:p>
      <w:pPr>
        <w:pStyle w:val="28"/>
      </w:pPr>
      <w:bookmarkStart w:id="17" w:name="_Toc120546893"/>
      <w:r>
        <w:rPr>
          <w:rFonts w:hint="eastAsia"/>
        </w:rPr>
        <w:t>四、绩效评价指标分析</w:t>
      </w:r>
      <w:bookmarkEnd w:id="17"/>
    </w:p>
    <w:p>
      <w:pPr>
        <w:pStyle w:val="30"/>
        <w:ind w:firstLine="640"/>
        <w:rPr>
          <w:rFonts w:ascii="Times New Roman" w:hAnsi="Times New Roman"/>
        </w:rPr>
      </w:pPr>
      <w:bookmarkStart w:id="18" w:name="_Toc120546894"/>
      <w:r>
        <w:rPr>
          <w:rFonts w:hint="eastAsia" w:ascii="Times New Roman" w:hAnsi="Times New Roman"/>
        </w:rPr>
        <w:t>（一）项目决策情况</w:t>
      </w:r>
      <w:bookmarkEnd w:id="18"/>
    </w:p>
    <w:p>
      <w:pPr>
        <w:pStyle w:val="26"/>
        <w:ind w:firstLine="640"/>
      </w:pPr>
      <w:r>
        <w:rPr>
          <w:rFonts w:hint="eastAsia"/>
        </w:rPr>
        <w:t>决策指标主要包括项目立项、绩效目标、预算编制</w:t>
      </w:r>
      <w:r>
        <w:t>3</w:t>
      </w:r>
      <w:r>
        <w:rPr>
          <w:rFonts w:hint="eastAsia"/>
        </w:rPr>
        <w:t>项二级指标，</w:t>
      </w:r>
      <w:r>
        <w:t>8</w:t>
      </w:r>
      <w:r>
        <w:rPr>
          <w:rFonts w:hint="eastAsia"/>
        </w:rPr>
        <w:t>项三级指标，基础总分</w:t>
      </w:r>
      <w:r>
        <w:t>17</w:t>
      </w:r>
      <w:r>
        <w:rPr>
          <w:rFonts w:hint="eastAsia"/>
        </w:rPr>
        <w:t>分，合计得分</w:t>
      </w:r>
      <w:r>
        <w:t>13</w:t>
      </w:r>
      <w:r>
        <w:rPr>
          <w:rFonts w:hint="eastAsia"/>
        </w:rPr>
        <w:t>分。</w:t>
      </w:r>
    </w:p>
    <w:p>
      <w:pPr>
        <w:pStyle w:val="26"/>
        <w:ind w:firstLine="640"/>
      </w:pPr>
      <w:r>
        <w:rPr>
          <w:rFonts w:hint="eastAsia"/>
        </w:rPr>
        <w:t>1.项目立项</w:t>
      </w:r>
    </w:p>
    <w:p>
      <w:pPr>
        <w:pStyle w:val="26"/>
        <w:ind w:firstLine="640"/>
      </w:pPr>
      <w:r>
        <w:rPr>
          <w:rFonts w:hint="eastAsia"/>
        </w:rPr>
        <w:t>（1）立项依据充分性（总分2分，得分2分）。政务服务全过程帮办领办服务项目立项依据为《和平区承诺制标准化智能化便利化审批制度改革实施方案》</w:t>
      </w:r>
      <w:r>
        <w:rPr>
          <w:rFonts w:hint="eastAsia"/>
          <w:color w:val="000000"/>
          <w:szCs w:val="32"/>
        </w:rPr>
        <w:t>（津和党办发〔</w:t>
      </w:r>
      <w:r>
        <w:rPr>
          <w:color w:val="000000"/>
          <w:szCs w:val="32"/>
        </w:rPr>
        <w:t>2018〕17号</w:t>
      </w:r>
      <w:r>
        <w:rPr>
          <w:rFonts w:hint="eastAsia"/>
          <w:color w:val="000000"/>
          <w:szCs w:val="32"/>
        </w:rPr>
        <w:t>）</w:t>
      </w:r>
      <w:r>
        <w:rPr>
          <w:rFonts w:hint="eastAsia"/>
        </w:rPr>
        <w:t>，与文件中</w:t>
      </w:r>
      <w:r>
        <w:rPr>
          <w:rFonts w:hint="eastAsia"/>
          <w:bCs/>
        </w:rPr>
        <w:t>“弱化审批、强化监管、优化服务，推行‘宽进、快办、严管、便民、公开’的政务服务模式，切实增强政府公信力和执行力，充分激发市场活力和社会创造力，促进经济社会可持续发展和高质量发展”的要求匹配；同时符合单位三定方案中“落实有关优化政务服务和改善营商环境的部署要求，以方便企业群众办事创业便利性为导向，不断创新政务服务模式，优化政务服务流程，改进工作方式，组织推进政务服务更加贴近群众期盼和企业需求，使政务服务更加集中、更加高效、更加便利，为提升政务服务工作水平、优化营商环境提供坚强有力保障”的部门职责，</w:t>
      </w:r>
      <w:r>
        <w:rPr>
          <w:rFonts w:hint="eastAsia"/>
        </w:rPr>
        <w:t>属于部门履职所需；属于公共财政支持范围，未与其他部门同类项目或部门内部相关项目重复，项目立项依据充分。</w:t>
      </w:r>
    </w:p>
    <w:p>
      <w:pPr>
        <w:pStyle w:val="26"/>
        <w:ind w:firstLine="640"/>
      </w:pPr>
      <w:r>
        <w:rPr>
          <w:rFonts w:hint="eastAsia"/>
        </w:rPr>
        <w:t>（2）立项程序规范性（总分2分，得分</w:t>
      </w:r>
      <w:r>
        <w:t>2</w:t>
      </w:r>
      <w:r>
        <w:rPr>
          <w:rFonts w:hint="eastAsia"/>
        </w:rPr>
        <w:t>分）。</w:t>
      </w:r>
    </w:p>
    <w:p>
      <w:pPr>
        <w:pStyle w:val="26"/>
        <w:ind w:firstLine="640"/>
      </w:pPr>
      <w:r>
        <w:rPr>
          <w:rFonts w:hint="eastAsia"/>
        </w:rPr>
        <w:t>政务服务全过程帮办领办服务项目按照规定程序进行申请设立，业务部门按照部署备选项目申报要求，编制项目支出预算申报表，形成备选项目，经过单位“党组会”集体决策讨论通过后，</w:t>
      </w:r>
      <w:r>
        <w:t>报</w:t>
      </w:r>
      <w:r>
        <w:rPr>
          <w:rFonts w:hint="eastAsia"/>
        </w:rPr>
        <w:t>天津市和平区</w:t>
      </w:r>
      <w:r>
        <w:t>财政局进行预算审批，预算审批通过后，项目正式立项实施</w:t>
      </w:r>
      <w:r>
        <w:rPr>
          <w:rFonts w:hint="eastAsia"/>
        </w:rPr>
        <w:t>。各项审批材料齐全，符合项目立项要求，立项程序规范。</w:t>
      </w:r>
    </w:p>
    <w:p>
      <w:pPr>
        <w:pStyle w:val="26"/>
        <w:ind w:firstLine="640"/>
      </w:pPr>
      <w:r>
        <w:rPr>
          <w:rFonts w:hint="eastAsia"/>
        </w:rPr>
        <w:t>2.绩效目标</w:t>
      </w:r>
    </w:p>
    <w:p>
      <w:pPr>
        <w:pStyle w:val="26"/>
        <w:ind w:firstLine="640"/>
        <w:rPr>
          <w:bCs/>
        </w:rPr>
      </w:pPr>
      <w:r>
        <w:rPr>
          <w:rFonts w:hint="eastAsia"/>
        </w:rPr>
        <w:t>（1）绩效目标明确性（总分2分，得分</w:t>
      </w:r>
      <w:r>
        <w:t>1</w:t>
      </w:r>
      <w:r>
        <w:rPr>
          <w:rFonts w:hint="eastAsia"/>
        </w:rPr>
        <w:t>分）。</w:t>
      </w:r>
      <w:r>
        <w:rPr>
          <w:rFonts w:hint="eastAsia"/>
          <w:bCs/>
        </w:rPr>
        <w:t>根据天津市和平区人民政府政务服务办公室提供的项目绩效目标申报表，项目绩效目标与项目规划的工作任务内容一致，但产出、效益和满意度指标的三级指标描述冗长，未通过清晰、量化、可衡量的指标值进行体现，指标值缺少逻辑运算符号，无法衡量部门履职完成效果，如：数量指标“通过招标确定三家中介帮办公司共计</w:t>
      </w:r>
      <w:r>
        <w:rPr>
          <w:bCs/>
        </w:rPr>
        <w:t>12人进驻大厅，采取</w:t>
      </w:r>
      <w:r>
        <w:rPr>
          <w:rFonts w:hint="eastAsia"/>
          <w:bCs/>
        </w:rPr>
        <w:t>‘</w:t>
      </w:r>
      <w:r>
        <w:rPr>
          <w:bCs/>
        </w:rPr>
        <w:t>政府买单、中介代办</w:t>
      </w:r>
      <w:r>
        <w:rPr>
          <w:rFonts w:hint="eastAsia"/>
          <w:bCs/>
        </w:rPr>
        <w:t>’</w:t>
      </w:r>
      <w:r>
        <w:rPr>
          <w:bCs/>
        </w:rPr>
        <w:t>的模式为企业免费提供帮办领办服务</w:t>
      </w:r>
      <w:r>
        <w:rPr>
          <w:rFonts w:hint="eastAsia"/>
          <w:bCs/>
        </w:rPr>
        <w:t>，指标值为每年为企业提供帮办领办</w:t>
      </w:r>
      <w:r>
        <w:rPr>
          <w:bCs/>
        </w:rPr>
        <w:t>5000人次以上</w:t>
      </w:r>
      <w:r>
        <w:rPr>
          <w:rFonts w:hint="eastAsia"/>
          <w:bCs/>
        </w:rPr>
        <w:t>”；质量指标 “《关于进一步压缩企业开办时间推行企业开办一网通办的意见》通知要求，企业开办</w:t>
      </w:r>
      <w:r>
        <w:rPr>
          <w:bCs/>
        </w:rPr>
        <w:t>1个工作日完成（其中企业设立登记0.5个工作日）</w:t>
      </w:r>
      <w:r>
        <w:rPr>
          <w:rFonts w:hint="eastAsia"/>
          <w:bCs/>
        </w:rPr>
        <w:t>，指标值为企业设立≤</w:t>
      </w:r>
      <w:r>
        <w:rPr>
          <w:bCs/>
        </w:rPr>
        <w:t>0.5个工作日，满意率达到99%以上</w:t>
      </w:r>
      <w:r>
        <w:rPr>
          <w:rFonts w:hint="eastAsia"/>
          <w:bCs/>
        </w:rPr>
        <w:t>”；时效指标“企业开办</w:t>
      </w:r>
      <w:r>
        <w:rPr>
          <w:bCs/>
        </w:rPr>
        <w:t>1个工作日完成（其中企业设立登记0.5个工作日）</w:t>
      </w:r>
      <w:r>
        <w:rPr>
          <w:rFonts w:hint="eastAsia"/>
          <w:bCs/>
        </w:rPr>
        <w:t>，指标值为提高中介帮办领办服务水平，落实企业开办</w:t>
      </w:r>
      <w:r>
        <w:rPr>
          <w:bCs/>
        </w:rPr>
        <w:t>1个工作日完成（其中企业设立登记0.5个工作日）</w:t>
      </w:r>
      <w:r>
        <w:rPr>
          <w:rFonts w:hint="eastAsia"/>
          <w:bCs/>
        </w:rPr>
        <w:t>”；成本指标 “通过招标确定三家中介帮办公司共计</w:t>
      </w:r>
      <w:r>
        <w:rPr>
          <w:bCs/>
        </w:rPr>
        <w:t>12人进驻大厅，为企业提供全程帮</w:t>
      </w:r>
      <w:r>
        <w:rPr>
          <w:rFonts w:hint="eastAsia"/>
          <w:bCs/>
        </w:rPr>
        <w:t>办领办</w:t>
      </w:r>
      <w:r>
        <w:rPr>
          <w:bCs/>
        </w:rPr>
        <w:t>服务，每家中介公司预算33万元</w:t>
      </w:r>
      <w:r>
        <w:rPr>
          <w:rFonts w:hint="eastAsia"/>
          <w:bCs/>
        </w:rPr>
        <w:t>，指标值为通过招标，每家中介公司每年服务费不超过</w:t>
      </w:r>
      <w:r>
        <w:rPr>
          <w:bCs/>
        </w:rPr>
        <w:t>33万元</w:t>
      </w:r>
      <w:r>
        <w:rPr>
          <w:rFonts w:hint="eastAsia"/>
          <w:bCs/>
        </w:rPr>
        <w:t>”；社会效益指标“减低企业成本，提高服务质量，增强企业活力，激励大众创业、万众创新，扩大就业，指标值为持续减低企业成本，提高服务质量，增强企业活力，扩大就业”；服务对象满意度指标“提高满意率，降低企业投诉率，指标值为企业满意率达到</w:t>
      </w:r>
      <w:r>
        <w:rPr>
          <w:bCs/>
        </w:rPr>
        <w:t>99%以上</w:t>
      </w:r>
      <w:r>
        <w:rPr>
          <w:rFonts w:hint="eastAsia"/>
          <w:bCs/>
        </w:rPr>
        <w:t>”；可持续影响指标“全力打造办事方便、法治良好、成本竞争力强、生态宜居的营商环境，吸引企业到和平落户，指标值为持续提升营商环境，和平区注册企业持续增长”，该指标未通过相关制度、办法、措施的建立健全完善情况，保障项目活动的持续开展或项目活动取得的效果持续影响。</w:t>
      </w:r>
    </w:p>
    <w:p>
      <w:pPr>
        <w:pStyle w:val="26"/>
        <w:ind w:firstLine="640"/>
        <w:rPr>
          <w:bCs/>
        </w:rPr>
      </w:pPr>
      <w:r>
        <w:rPr>
          <w:rFonts w:hint="eastAsia"/>
          <w:bCs/>
        </w:rPr>
        <w:t>（2）绩效目标合理性（总分</w:t>
      </w:r>
      <w:r>
        <w:rPr>
          <w:bCs/>
        </w:rPr>
        <w:t>4</w:t>
      </w:r>
      <w:r>
        <w:rPr>
          <w:rFonts w:hint="eastAsia"/>
          <w:bCs/>
        </w:rPr>
        <w:t>分，得分</w:t>
      </w:r>
      <w:r>
        <w:rPr>
          <w:bCs/>
        </w:rPr>
        <w:t>3</w:t>
      </w:r>
      <w:r>
        <w:rPr>
          <w:rFonts w:hint="eastAsia"/>
          <w:bCs/>
        </w:rPr>
        <w:t>分）。根据天津市和平区人民政府政务服务办公室提供的项目绩效目标申报表</w:t>
      </w:r>
      <w:r>
        <w:rPr>
          <w:bCs/>
        </w:rPr>
        <w:t>，</w:t>
      </w:r>
      <w:r>
        <w:rPr>
          <w:rFonts w:hint="eastAsia"/>
          <w:bCs/>
        </w:rPr>
        <w:t>政务服务全过程帮办领办服务项目绩效目标“通过招标确定三家中介帮办公司共计</w:t>
      </w:r>
      <w:r>
        <w:rPr>
          <w:bCs/>
        </w:rPr>
        <w:t>12人进驻大厅，采取</w:t>
      </w:r>
      <w:r>
        <w:rPr>
          <w:rFonts w:hint="eastAsia"/>
          <w:bCs/>
        </w:rPr>
        <w:t>‘</w:t>
      </w:r>
      <w:r>
        <w:rPr>
          <w:bCs/>
        </w:rPr>
        <w:t>政府买单、中介代办</w:t>
      </w:r>
      <w:r>
        <w:rPr>
          <w:rFonts w:hint="eastAsia"/>
          <w:bCs/>
        </w:rPr>
        <w:t>’</w:t>
      </w:r>
      <w:r>
        <w:rPr>
          <w:bCs/>
        </w:rPr>
        <w:t>的模式为企业免费提供全程帮办领办服务。减低企业成本，提高服务质量，增强企业活力，激励大众创业、万众创新，扩大就业</w:t>
      </w:r>
      <w:r>
        <w:rPr>
          <w:rFonts w:hint="eastAsia"/>
          <w:bCs/>
        </w:rPr>
        <w:t>”与项目实际工作内容相匹配，能清晰反映预算资金的预期产出和效果；绩效指标中存在未细化的情况，如成本指标 “通过招标确定三家中介帮办公司共计</w:t>
      </w:r>
      <w:r>
        <w:rPr>
          <w:bCs/>
        </w:rPr>
        <w:t>12人进驻大厅，为企业提供全程帮</w:t>
      </w:r>
      <w:r>
        <w:rPr>
          <w:rFonts w:hint="eastAsia"/>
          <w:bCs/>
        </w:rPr>
        <w:t>办领办</w:t>
      </w:r>
      <w:r>
        <w:rPr>
          <w:bCs/>
        </w:rPr>
        <w:t>服务，每家中介公司预算33万元</w:t>
      </w:r>
      <w:r>
        <w:rPr>
          <w:rFonts w:hint="eastAsia"/>
          <w:bCs/>
        </w:rPr>
        <w:t>，指标值为通过招标，每家中介公司每年服务费不超过</w:t>
      </w:r>
      <w:r>
        <w:rPr>
          <w:bCs/>
        </w:rPr>
        <w:t>33万元</w:t>
      </w:r>
      <w:r>
        <w:rPr>
          <w:rFonts w:hint="eastAsia"/>
          <w:bCs/>
        </w:rPr>
        <w:t>”；项目</w:t>
      </w:r>
      <w:r>
        <w:rPr>
          <w:bCs/>
        </w:rPr>
        <w:t>2021绩效目标设立的金额为99万元，与</w:t>
      </w:r>
      <w:r>
        <w:rPr>
          <w:rFonts w:hint="eastAsia"/>
          <w:bCs/>
        </w:rPr>
        <w:t>预算确定的项目投入额9</w:t>
      </w:r>
      <w:r>
        <w:rPr>
          <w:bCs/>
        </w:rPr>
        <w:t>9</w:t>
      </w:r>
      <w:r>
        <w:rPr>
          <w:rFonts w:hint="eastAsia"/>
          <w:bCs/>
        </w:rPr>
        <w:t>万元相匹配；项目预期产出效益符合正常业绩水平。</w:t>
      </w:r>
    </w:p>
    <w:p>
      <w:pPr>
        <w:pStyle w:val="26"/>
        <w:ind w:firstLine="640"/>
        <w:rPr>
          <w:bCs/>
        </w:rPr>
      </w:pPr>
      <w:r>
        <w:rPr>
          <w:rFonts w:hint="eastAsia"/>
          <w:bCs/>
        </w:rPr>
        <w:t>3.预算编制</w:t>
      </w:r>
    </w:p>
    <w:p>
      <w:pPr>
        <w:pStyle w:val="26"/>
        <w:ind w:firstLine="640"/>
        <w:rPr>
          <w:bCs/>
        </w:rPr>
      </w:pPr>
      <w:r>
        <w:rPr>
          <w:rFonts w:hint="eastAsia"/>
          <w:bCs/>
        </w:rPr>
        <w:t>（1）测算内容合规性（总分2分，得分2分）。政务服务全过程帮办领办服务项目预算测算内容为聘用</w:t>
      </w:r>
      <w:r>
        <w:rPr>
          <w:rFonts w:hint="eastAsia"/>
        </w:rPr>
        <w:t>三家中介帮办公司配备</w:t>
      </w:r>
      <w:r>
        <w:rPr>
          <w:bCs/>
        </w:rPr>
        <w:t>帮办领办服务人员15名，为一楼综合审批区、二楼企业设区立及三楼公共服务区提供全程帮办领办服务</w:t>
      </w:r>
      <w:r>
        <w:rPr>
          <w:rFonts w:hint="eastAsia"/>
          <w:bCs/>
        </w:rPr>
        <w:t>费用，</w:t>
      </w:r>
      <w:r>
        <w:t>与</w:t>
      </w:r>
      <w:r>
        <w:rPr>
          <w:rFonts w:hint="eastAsia"/>
        </w:rPr>
        <w:t>《和平区承诺制标准化智能化便利化审批制度改革实施方案》（津和党办发〔</w:t>
      </w:r>
      <w:r>
        <w:t>2018〕17号）文件中“</w:t>
      </w:r>
      <w:r>
        <w:rPr>
          <w:rFonts w:hint="eastAsia"/>
        </w:rPr>
        <w:t>深化简政放权、强化市场监管、改进公共服务、提高办事效率”相符，预算测算内容</w:t>
      </w:r>
      <w:r>
        <w:rPr>
          <w:rFonts w:hint="eastAsia"/>
          <w:bCs/>
        </w:rPr>
        <w:t>主要依据实施计划中的工作内容进行测算，</w:t>
      </w:r>
      <w:r>
        <w:rPr>
          <w:rFonts w:hint="eastAsia"/>
        </w:rPr>
        <w:t>内容</w:t>
      </w:r>
      <w:r>
        <w:rPr>
          <w:rFonts w:hint="eastAsia"/>
          <w:bCs/>
        </w:rPr>
        <w:t>不存在重复测算，项目测算内容合规。</w:t>
      </w:r>
    </w:p>
    <w:p>
      <w:pPr>
        <w:pStyle w:val="26"/>
        <w:ind w:firstLine="640"/>
      </w:pPr>
      <w:r>
        <w:rPr>
          <w:rFonts w:hint="eastAsia"/>
          <w:bCs/>
        </w:rPr>
        <w:t>（2）测算标准合理性（总分1分，得分1分）。政务服务全过程帮办领办服务项目为经常性项目，预算测算采用历史标准进行测算，测算标准来源以前年度中标金额，测算内容</w:t>
      </w:r>
      <w:r>
        <w:rPr>
          <w:rFonts w:hint="eastAsia"/>
        </w:rPr>
        <w:t>符合社会实际支出水平</w:t>
      </w:r>
      <w:r>
        <w:rPr>
          <w:rFonts w:hint="eastAsia"/>
          <w:bCs/>
        </w:rPr>
        <w:t>，测算标准合理。</w:t>
      </w:r>
    </w:p>
    <w:p>
      <w:pPr>
        <w:pStyle w:val="26"/>
        <w:ind w:firstLine="640"/>
      </w:pPr>
      <w:r>
        <w:rPr>
          <w:rFonts w:hint="eastAsia"/>
          <w:bCs/>
        </w:rPr>
        <w:t>（3）测算数据客观性（总分2分，得分</w:t>
      </w:r>
      <w:r>
        <w:rPr>
          <w:bCs/>
        </w:rPr>
        <w:t>1</w:t>
      </w:r>
      <w:r>
        <w:rPr>
          <w:rFonts w:hint="eastAsia"/>
          <w:bCs/>
        </w:rPr>
        <w:t>分）。政务服务全过程帮办领办服务项目为经常性项目，2</w:t>
      </w:r>
      <w:r>
        <w:rPr>
          <w:bCs/>
        </w:rPr>
        <w:t>019</w:t>
      </w:r>
      <w:r>
        <w:rPr>
          <w:rFonts w:hint="eastAsia"/>
          <w:bCs/>
        </w:rPr>
        <w:t>年实际支出9</w:t>
      </w:r>
      <w:r>
        <w:rPr>
          <w:bCs/>
        </w:rPr>
        <w:t>5.5</w:t>
      </w:r>
      <w:r>
        <w:rPr>
          <w:rFonts w:hint="eastAsia"/>
          <w:bCs/>
        </w:rPr>
        <w:t>万元，2</w:t>
      </w:r>
      <w:r>
        <w:rPr>
          <w:bCs/>
        </w:rPr>
        <w:t>020</w:t>
      </w:r>
      <w:r>
        <w:rPr>
          <w:rFonts w:hint="eastAsia"/>
          <w:bCs/>
        </w:rPr>
        <w:t>年实际支出9</w:t>
      </w:r>
      <w:r>
        <w:rPr>
          <w:bCs/>
        </w:rPr>
        <w:t>9</w:t>
      </w:r>
      <w:r>
        <w:rPr>
          <w:rFonts w:hint="eastAsia"/>
          <w:bCs/>
        </w:rPr>
        <w:t>万元，服务范围仅限于二楼企业设立帮办领办服务；2</w:t>
      </w:r>
      <w:r>
        <w:rPr>
          <w:bCs/>
        </w:rPr>
        <w:t>021</w:t>
      </w:r>
      <w:r>
        <w:rPr>
          <w:rFonts w:hint="eastAsia"/>
          <w:bCs/>
        </w:rPr>
        <w:t>年项目测算内容为聘用</w:t>
      </w:r>
      <w:r>
        <w:rPr>
          <w:rFonts w:hint="eastAsia"/>
        </w:rPr>
        <w:t>三家中介帮办公司配备</w:t>
      </w:r>
      <w:r>
        <w:rPr>
          <w:bCs/>
        </w:rPr>
        <w:t>帮办领办服务人员15名，为一楼综合审批区、二楼企业设区立及三楼公共服务区提供全程帮办领办服务</w:t>
      </w:r>
      <w:r>
        <w:rPr>
          <w:rFonts w:hint="eastAsia"/>
          <w:bCs/>
        </w:rPr>
        <w:t>费用</w:t>
      </w:r>
      <w:r>
        <w:rPr>
          <w:bCs/>
        </w:rPr>
        <w:t>，预算拟增加至120万元</w:t>
      </w:r>
      <w:r>
        <w:rPr>
          <w:rFonts w:hint="eastAsia"/>
        </w:rPr>
        <w:t>，预算测算数据有合规佐证依据，测算内容符合客观实际需求，但测算数据缺少</w:t>
      </w:r>
      <w:r>
        <w:rPr>
          <w:rFonts w:hint="eastAsia"/>
          <w:bCs/>
        </w:rPr>
        <w:t>测算支出明细</w:t>
      </w:r>
      <w:r>
        <w:rPr>
          <w:rFonts w:hint="eastAsia"/>
        </w:rPr>
        <w:t>，无法考量测算数据与历史数据的可比性。</w:t>
      </w:r>
    </w:p>
    <w:p>
      <w:pPr>
        <w:pStyle w:val="26"/>
        <w:ind w:firstLine="640"/>
        <w:rPr>
          <w:bCs/>
        </w:rPr>
      </w:pPr>
      <w:r>
        <w:rPr>
          <w:rFonts w:hint="eastAsia"/>
          <w:bCs/>
        </w:rPr>
        <w:t>（4）测算过程细化度（总分2分，得分</w:t>
      </w:r>
      <w:r>
        <w:rPr>
          <w:bCs/>
        </w:rPr>
        <w:t>1</w:t>
      </w:r>
      <w:r>
        <w:rPr>
          <w:rFonts w:hint="eastAsia"/>
          <w:bCs/>
        </w:rPr>
        <w:t>分）。政务服务全过程帮办领办服务项目为区级预算资金全额保障项目，按照事权划分全部为区级财政支出；测算过程中只针对工作内容与预算金额笼统测算，未按照人力、商品和服务、资本性等各类支出进行测算成本。</w:t>
      </w:r>
    </w:p>
    <w:p>
      <w:pPr>
        <w:pStyle w:val="30"/>
        <w:ind w:firstLine="640"/>
        <w:rPr>
          <w:rFonts w:ascii="Times New Roman" w:hAnsi="Times New Roman"/>
        </w:rPr>
      </w:pPr>
      <w:bookmarkStart w:id="19" w:name="_Toc120546895"/>
      <w:r>
        <w:rPr>
          <w:rFonts w:hint="eastAsia" w:ascii="Times New Roman" w:hAnsi="Times New Roman"/>
        </w:rPr>
        <w:t>（二）项目过程情况</w:t>
      </w:r>
      <w:bookmarkEnd w:id="19"/>
    </w:p>
    <w:p>
      <w:pPr>
        <w:pStyle w:val="26"/>
        <w:ind w:firstLine="640"/>
      </w:pPr>
      <w:r>
        <w:rPr>
          <w:rFonts w:hint="eastAsia"/>
        </w:rPr>
        <w:t>过程指标主要包括资金管理、</w:t>
      </w:r>
      <w:r>
        <w:rPr>
          <w:rFonts w:hint="eastAsia"/>
          <w:bCs/>
        </w:rPr>
        <w:t>组织实施2项二级指标，</w:t>
      </w:r>
      <w:r>
        <w:rPr>
          <w:bCs/>
        </w:rPr>
        <w:t>6</w:t>
      </w:r>
      <w:r>
        <w:rPr>
          <w:rFonts w:hint="eastAsia"/>
          <w:bCs/>
        </w:rPr>
        <w:t>项三级指标，基础总分2</w:t>
      </w:r>
      <w:r>
        <w:rPr>
          <w:bCs/>
        </w:rPr>
        <w:t>3</w:t>
      </w:r>
      <w:r>
        <w:rPr>
          <w:rFonts w:hint="eastAsia"/>
          <w:bCs/>
        </w:rPr>
        <w:t>分，合计得分</w:t>
      </w:r>
      <w:r>
        <w:rPr>
          <w:bCs/>
        </w:rPr>
        <w:t>22</w:t>
      </w:r>
      <w:r>
        <w:rPr>
          <w:rFonts w:hint="eastAsia"/>
          <w:bCs/>
        </w:rPr>
        <w:t>分。</w:t>
      </w:r>
    </w:p>
    <w:p>
      <w:pPr>
        <w:pStyle w:val="26"/>
        <w:ind w:firstLine="640"/>
      </w:pPr>
      <w:r>
        <w:rPr>
          <w:rFonts w:hint="eastAsia"/>
        </w:rPr>
        <w:t>1.资金管理</w:t>
      </w:r>
    </w:p>
    <w:p>
      <w:pPr>
        <w:pStyle w:val="26"/>
        <w:ind w:firstLine="640"/>
        <w:rPr>
          <w:bCs/>
        </w:rPr>
      </w:pPr>
      <w:r>
        <w:rPr>
          <w:rFonts w:hint="eastAsia"/>
        </w:rPr>
        <w:t>（1）资金到位率（总分2分，得分</w:t>
      </w:r>
      <w:r>
        <w:t>2</w:t>
      </w:r>
      <w:r>
        <w:rPr>
          <w:rFonts w:hint="eastAsia"/>
        </w:rPr>
        <w:t>分）。</w:t>
      </w:r>
      <w:r>
        <w:rPr>
          <w:rFonts w:hint="eastAsia"/>
          <w:bCs/>
        </w:rPr>
        <w:t>政务服务全过程帮办领办服务项目</w:t>
      </w:r>
      <w:r>
        <w:rPr>
          <w:bCs/>
        </w:rPr>
        <w:t>2021年</w:t>
      </w:r>
      <w:r>
        <w:rPr>
          <w:rFonts w:hint="eastAsia"/>
          <w:bCs/>
        </w:rPr>
        <w:t>区级预算资金安排</w:t>
      </w:r>
      <w:r>
        <w:rPr>
          <w:bCs/>
        </w:rPr>
        <w:t>47.7</w:t>
      </w:r>
      <w:r>
        <w:rPr>
          <w:rFonts w:hint="eastAsia"/>
        </w:rPr>
        <w:t>万元，</w:t>
      </w:r>
      <w:r>
        <w:rPr>
          <w:rFonts w:hint="eastAsia"/>
          <w:bCs/>
        </w:rPr>
        <w:t>截至2</w:t>
      </w:r>
      <w:r>
        <w:rPr>
          <w:bCs/>
        </w:rPr>
        <w:t>021</w:t>
      </w:r>
      <w:r>
        <w:rPr>
          <w:rFonts w:hint="eastAsia"/>
          <w:bCs/>
        </w:rPr>
        <w:t>年</w:t>
      </w:r>
      <w:r>
        <w:rPr>
          <w:bCs/>
        </w:rPr>
        <w:t>12</w:t>
      </w:r>
      <w:r>
        <w:rPr>
          <w:rFonts w:hint="eastAsia"/>
          <w:bCs/>
        </w:rPr>
        <w:t>月3</w:t>
      </w:r>
      <w:r>
        <w:rPr>
          <w:bCs/>
        </w:rPr>
        <w:t>1</w:t>
      </w:r>
      <w:r>
        <w:rPr>
          <w:rFonts w:hint="eastAsia"/>
          <w:bCs/>
        </w:rPr>
        <w:t>日，已到位区级</w:t>
      </w:r>
      <w:r>
        <w:rPr>
          <w:bCs/>
        </w:rPr>
        <w:t>预算资金47.7</w:t>
      </w:r>
      <w:r>
        <w:rPr>
          <w:rFonts w:hint="eastAsia"/>
        </w:rPr>
        <w:t>万元，</w:t>
      </w:r>
      <w:r>
        <w:rPr>
          <w:rFonts w:hint="eastAsia"/>
          <w:bCs/>
        </w:rPr>
        <w:t>资金到位率为</w:t>
      </w:r>
      <w:r>
        <w:rPr>
          <w:bCs/>
        </w:rPr>
        <w:t>100</w:t>
      </w:r>
      <w:r>
        <w:rPr>
          <w:rFonts w:hint="eastAsia"/>
          <w:bCs/>
        </w:rPr>
        <w:t>%。</w:t>
      </w:r>
    </w:p>
    <w:p>
      <w:pPr>
        <w:pStyle w:val="26"/>
        <w:ind w:firstLine="640"/>
        <w:rPr>
          <w:bCs/>
        </w:rPr>
      </w:pPr>
      <w:r>
        <w:rPr>
          <w:rFonts w:hint="eastAsia"/>
        </w:rPr>
        <w:t>（2）资金到位及时率（总分</w:t>
      </w:r>
      <w:r>
        <w:t>2</w:t>
      </w:r>
      <w:r>
        <w:rPr>
          <w:rFonts w:hint="eastAsia"/>
        </w:rPr>
        <w:t>分，得分</w:t>
      </w:r>
      <w:r>
        <w:t>2</w:t>
      </w:r>
      <w:r>
        <w:rPr>
          <w:rFonts w:hint="eastAsia"/>
        </w:rPr>
        <w:t>分）。根据单位额度到账通知书、财务明细台账显示，截至2</w:t>
      </w:r>
      <w:r>
        <w:t>021</w:t>
      </w:r>
      <w:r>
        <w:rPr>
          <w:rFonts w:hint="eastAsia"/>
        </w:rPr>
        <w:t>年</w:t>
      </w:r>
      <w:r>
        <w:t>12</w:t>
      </w:r>
      <w:r>
        <w:rPr>
          <w:rFonts w:hint="eastAsia"/>
        </w:rPr>
        <w:t>月3</w:t>
      </w:r>
      <w:r>
        <w:t>1</w:t>
      </w:r>
      <w:r>
        <w:rPr>
          <w:rFonts w:hint="eastAsia"/>
        </w:rPr>
        <w:t>日，天津市和平区人民政府政务服务办公室已收到天津市和平区财政局用款计划批复共计</w:t>
      </w:r>
      <w:r>
        <w:rPr>
          <w:bCs/>
        </w:rPr>
        <w:t>47.7</w:t>
      </w:r>
      <w:r>
        <w:rPr>
          <w:rFonts w:hint="eastAsia"/>
        </w:rPr>
        <w:t>万元，实际及时到位资金</w:t>
      </w:r>
      <w:r>
        <w:rPr>
          <w:bCs/>
        </w:rPr>
        <w:t>47.7</w:t>
      </w:r>
      <w:r>
        <w:rPr>
          <w:rFonts w:hint="eastAsia"/>
        </w:rPr>
        <w:t>万元，资金到位及时</w:t>
      </w:r>
      <w:r>
        <w:rPr>
          <w:rFonts w:hint="eastAsia"/>
          <w:bCs/>
        </w:rPr>
        <w:t>，资金到位及时率为1</w:t>
      </w:r>
      <w:r>
        <w:rPr>
          <w:bCs/>
        </w:rPr>
        <w:t>00</w:t>
      </w:r>
      <w:r>
        <w:rPr>
          <w:rFonts w:hint="eastAsia"/>
          <w:bCs/>
        </w:rPr>
        <w:t>%。</w:t>
      </w:r>
    </w:p>
    <w:p>
      <w:pPr>
        <w:pStyle w:val="26"/>
        <w:ind w:firstLine="640"/>
      </w:pPr>
      <w:r>
        <w:rPr>
          <w:rFonts w:hint="eastAsia"/>
        </w:rPr>
        <w:t>（3）预算执行率（总分</w:t>
      </w:r>
      <w:r>
        <w:t>3</w:t>
      </w:r>
      <w:r>
        <w:rPr>
          <w:rFonts w:hint="eastAsia"/>
        </w:rPr>
        <w:t>分，得分</w:t>
      </w:r>
      <w:r>
        <w:t>3</w:t>
      </w:r>
      <w:r>
        <w:rPr>
          <w:rFonts w:hint="eastAsia"/>
        </w:rPr>
        <w:t>分）。政务服务全过程帮办领办服务项目实际到位区级资金</w:t>
      </w:r>
      <w:r>
        <w:t>47.7</w:t>
      </w:r>
      <w:r>
        <w:rPr>
          <w:rFonts w:hint="eastAsia"/>
        </w:rPr>
        <w:t>万元，根据单位额度到账通知书、财务明细台账显示</w:t>
      </w:r>
      <w:r>
        <w:rPr>
          <w:rFonts w:hint="eastAsia"/>
          <w:bCs/>
        </w:rPr>
        <w:t>，2</w:t>
      </w:r>
      <w:r>
        <w:rPr>
          <w:bCs/>
        </w:rPr>
        <w:t>021</w:t>
      </w:r>
      <w:r>
        <w:rPr>
          <w:rFonts w:hint="eastAsia"/>
          <w:bCs/>
        </w:rPr>
        <w:t>年实际支出区级预算资金</w:t>
      </w:r>
      <w:r>
        <w:t>47.7</w:t>
      </w:r>
      <w:r>
        <w:rPr>
          <w:rFonts w:hint="eastAsia"/>
          <w:bCs/>
        </w:rPr>
        <w:t>万元，</w:t>
      </w:r>
      <w:r>
        <w:rPr>
          <w:rFonts w:hint="eastAsia"/>
        </w:rPr>
        <w:t>预算执行率为</w:t>
      </w:r>
      <w:r>
        <w:t>100%</w:t>
      </w:r>
      <w:r>
        <w:rPr>
          <w:rFonts w:hint="eastAsia"/>
        </w:rPr>
        <w:t>。</w:t>
      </w:r>
    </w:p>
    <w:p>
      <w:pPr>
        <w:pStyle w:val="26"/>
        <w:ind w:firstLine="640"/>
        <w:rPr>
          <w:bCs/>
        </w:rPr>
      </w:pPr>
      <w:r>
        <w:rPr>
          <w:rFonts w:hint="eastAsia"/>
          <w:bCs/>
        </w:rPr>
        <w:t>（</w:t>
      </w:r>
      <w:r>
        <w:rPr>
          <w:bCs/>
        </w:rPr>
        <w:t>4</w:t>
      </w:r>
      <w:r>
        <w:rPr>
          <w:rFonts w:hint="eastAsia"/>
          <w:bCs/>
        </w:rPr>
        <w:t>）资金使用合规性（总分</w:t>
      </w:r>
      <w:r>
        <w:rPr>
          <w:bCs/>
        </w:rPr>
        <w:t>9</w:t>
      </w:r>
      <w:r>
        <w:rPr>
          <w:rFonts w:hint="eastAsia"/>
          <w:bCs/>
        </w:rPr>
        <w:t>分，得分</w:t>
      </w:r>
      <w:r>
        <w:rPr>
          <w:bCs/>
        </w:rPr>
        <w:t>9</w:t>
      </w:r>
      <w:r>
        <w:rPr>
          <w:rFonts w:hint="eastAsia"/>
          <w:bCs/>
        </w:rPr>
        <w:t>分）。天津市和平区人民政府政务服务办公室提供的凭证及请款单据完整，财务记账符合国家财经法规和财务管理制度规定；项目资金拨付有完整的审批程序和手续，各明细项目支出有完整的请款申请及资金审批单据；支出符合预算批复和合同规定用途；项目资金不存在截留、挤占、挪用、虚列支出等情况；财政资金支出良好，无结转资金；各项明细有严格的招标采购和比价采购程序，未有审计、巡视、财政检查等报告中提出有涉及本项目的违纪行为，资金使用合规。</w:t>
      </w:r>
    </w:p>
    <w:p>
      <w:pPr>
        <w:pStyle w:val="26"/>
        <w:ind w:firstLine="640"/>
        <w:rPr>
          <w:bCs/>
        </w:rPr>
      </w:pPr>
      <w:r>
        <w:rPr>
          <w:rFonts w:hint="eastAsia"/>
          <w:bCs/>
        </w:rPr>
        <w:t>2.组织实施</w:t>
      </w:r>
    </w:p>
    <w:p>
      <w:pPr>
        <w:pStyle w:val="26"/>
        <w:ind w:firstLine="640"/>
      </w:pPr>
      <w:r>
        <w:rPr>
          <w:rFonts w:hint="eastAsia"/>
          <w:bCs/>
        </w:rPr>
        <w:t>（1）管理制度健全性（总分2分，得分2分）。天津市和平区人民政府政务服务办公室作为项目主管单位及实施单位</w:t>
      </w:r>
      <w:r>
        <w:rPr>
          <w:rFonts w:hint="eastAsia"/>
        </w:rPr>
        <w:t>，具有相应的财务和业务管理制度，主要依据《单位采购管理制度》《单位合同管理制度》《单位财务管理制度》，并结合《和平区承诺制标准化智能化便利化审批制度改革实施方案》</w:t>
      </w:r>
      <w:r>
        <w:rPr>
          <w:rFonts w:hint="eastAsia"/>
          <w:color w:val="000000"/>
          <w:szCs w:val="32"/>
        </w:rPr>
        <w:t>（津和党办发〔</w:t>
      </w:r>
      <w:r>
        <w:rPr>
          <w:color w:val="000000"/>
          <w:szCs w:val="32"/>
        </w:rPr>
        <w:t>2018〕17号</w:t>
      </w:r>
      <w:r>
        <w:rPr>
          <w:rFonts w:hint="eastAsia"/>
          <w:color w:val="000000"/>
          <w:szCs w:val="32"/>
        </w:rPr>
        <w:t>）《和平区行政审批局中介机构考核管理办法》《和平区行政审批局中介机构管理办法》</w:t>
      </w:r>
      <w:r>
        <w:rPr>
          <w:rFonts w:hint="eastAsia"/>
        </w:rPr>
        <w:t>对项目进行管理，财务和业务管理制度合法、合规，制度中也明确项目申报、项目实施、项目验收等环节的管理要求，项目管理制度健全。</w:t>
      </w:r>
    </w:p>
    <w:p>
      <w:pPr>
        <w:pStyle w:val="26"/>
        <w:ind w:firstLine="640"/>
        <w:rPr>
          <w:bCs/>
        </w:rPr>
      </w:pPr>
      <w:r>
        <w:rPr>
          <w:rFonts w:hint="eastAsia"/>
          <w:bCs/>
        </w:rPr>
        <w:t>（2）制度执行有效性（总分5分，得分4分）。根据</w:t>
      </w:r>
      <w:r>
        <w:rPr>
          <w:rFonts w:hint="eastAsia"/>
        </w:rPr>
        <w:t>政务服务全过程帮办领办服务项目</w:t>
      </w:r>
      <w:r>
        <w:rPr>
          <w:rFonts w:hint="eastAsia"/>
          <w:bCs/>
        </w:rPr>
        <w:t>政府采购及项目实施环节相关资料，项目执行遵守相关法律法规和业务管理制度规定，项目采购计划、采购需求、采购预算、采购合同、项目实施过程中各项请款、付款文件等资料齐全并及时归档；根据项目技术要求，第三方服务公司应配备不低于1</w:t>
      </w:r>
      <w:r>
        <w:rPr>
          <w:bCs/>
        </w:rPr>
        <w:t>2</w:t>
      </w:r>
      <w:r>
        <w:rPr>
          <w:rFonts w:hint="eastAsia"/>
          <w:bCs/>
        </w:rPr>
        <w:t>名全过程帮办领办服务人员，依据第三方服务公司人员及岗位配置信息，项目实施的人员条件落实到位，但项目未按合同规定按季度支付相应款项，也未签署补充协议，不符合《单位合同管理制度》中“第三十条 合同部分内容没有约定或约定不明确的，应当签订补充合同，作为原合同的组成部分”。</w:t>
      </w:r>
    </w:p>
    <w:p>
      <w:pPr>
        <w:pStyle w:val="30"/>
        <w:ind w:firstLine="640"/>
        <w:rPr>
          <w:rFonts w:ascii="Times New Roman" w:hAnsi="Times New Roman"/>
        </w:rPr>
      </w:pPr>
      <w:bookmarkStart w:id="20" w:name="_Toc120546896"/>
      <w:r>
        <w:rPr>
          <w:rFonts w:hint="eastAsia" w:ascii="Times New Roman" w:hAnsi="Times New Roman"/>
        </w:rPr>
        <w:t>（三）项目产出情况</w:t>
      </w:r>
      <w:bookmarkEnd w:id="20"/>
    </w:p>
    <w:p>
      <w:pPr>
        <w:pStyle w:val="26"/>
        <w:ind w:firstLine="640"/>
      </w:pPr>
      <w:r>
        <w:rPr>
          <w:rFonts w:hint="eastAsia"/>
        </w:rPr>
        <w:t>产出指标主要包括产出数量、产出质量、产出时效和产出成本</w:t>
      </w:r>
      <w:r>
        <w:t>4</w:t>
      </w:r>
      <w:r>
        <w:rPr>
          <w:rFonts w:hint="eastAsia"/>
        </w:rPr>
        <w:t>项二级指标，</w:t>
      </w:r>
      <w:r>
        <w:t>7</w:t>
      </w:r>
      <w:r>
        <w:rPr>
          <w:rFonts w:hint="eastAsia"/>
        </w:rPr>
        <w:t>项三级指标，基础总分</w:t>
      </w:r>
      <w:r>
        <w:t>38</w:t>
      </w:r>
      <w:r>
        <w:rPr>
          <w:rFonts w:hint="eastAsia"/>
        </w:rPr>
        <w:t>分，合计得分</w:t>
      </w:r>
      <w:r>
        <w:t>38</w:t>
      </w:r>
      <w:r>
        <w:rPr>
          <w:rFonts w:hint="eastAsia"/>
        </w:rPr>
        <w:t>分。</w:t>
      </w:r>
    </w:p>
    <w:p>
      <w:pPr>
        <w:pStyle w:val="26"/>
        <w:ind w:firstLine="640"/>
      </w:pPr>
      <w:r>
        <w:t>1</w:t>
      </w:r>
      <w:r>
        <w:rPr>
          <w:rFonts w:hint="eastAsia"/>
        </w:rPr>
        <w:t>.产出数量</w:t>
      </w:r>
    </w:p>
    <w:p>
      <w:pPr>
        <w:pStyle w:val="26"/>
        <w:ind w:firstLine="640"/>
      </w:pPr>
      <w:r>
        <w:rPr>
          <w:rFonts w:hint="eastAsia"/>
        </w:rPr>
        <w:t>（1）政务帮办领办服务人员配备完成率（总分</w:t>
      </w:r>
      <w:r>
        <w:t>6</w:t>
      </w:r>
      <w:r>
        <w:rPr>
          <w:rFonts w:hint="eastAsia"/>
        </w:rPr>
        <w:t>分，得分</w:t>
      </w:r>
      <w:r>
        <w:t>6</w:t>
      </w:r>
      <w:r>
        <w:rPr>
          <w:rFonts w:hint="eastAsia"/>
        </w:rPr>
        <w:t>分）。根据政务服务全过程帮办领办服务项目服务合同要求</w:t>
      </w:r>
      <w:r>
        <w:t>，</w:t>
      </w:r>
      <w:r>
        <w:rPr>
          <w:rFonts w:hint="eastAsia"/>
        </w:rPr>
        <w:t>政务帮办领办服务人员配备应不低于1</w:t>
      </w:r>
      <w:r>
        <w:t>2</w:t>
      </w:r>
      <w:r>
        <w:rPr>
          <w:rFonts w:hint="eastAsia"/>
        </w:rPr>
        <w:t>名；根据</w:t>
      </w:r>
      <w:r>
        <w:rPr>
          <w:rFonts w:hint="eastAsia"/>
          <w:bCs/>
        </w:rPr>
        <w:t>第三方服务公司人员及岗位配置信息，</w:t>
      </w:r>
      <w:r>
        <w:rPr>
          <w:rFonts w:hint="eastAsia"/>
        </w:rPr>
        <w:t>政务帮办领办服务实际配备</w:t>
      </w:r>
      <w:r>
        <w:t>12</w:t>
      </w:r>
      <w:r>
        <w:rPr>
          <w:rFonts w:hint="eastAsia"/>
        </w:rPr>
        <w:t>名服务人员，符合合同规定的要求，政务帮办领办服务人员配备完成率为</w:t>
      </w:r>
      <w:r>
        <w:t>100%</w:t>
      </w:r>
      <w:r>
        <w:rPr>
          <w:rFonts w:hint="eastAsia"/>
        </w:rPr>
        <w:t>。</w:t>
      </w:r>
    </w:p>
    <w:p>
      <w:pPr>
        <w:pStyle w:val="26"/>
        <w:ind w:firstLine="640"/>
      </w:pPr>
      <w:r>
        <w:rPr>
          <w:rFonts w:hint="eastAsia"/>
        </w:rPr>
        <w:t>（</w:t>
      </w:r>
      <w:r>
        <w:t>2</w:t>
      </w:r>
      <w:r>
        <w:rPr>
          <w:rFonts w:hint="eastAsia"/>
        </w:rPr>
        <w:t>）政务帮办领办服务企业完成率（总分</w:t>
      </w:r>
      <w:r>
        <w:t>6</w:t>
      </w:r>
      <w:r>
        <w:rPr>
          <w:rFonts w:hint="eastAsia"/>
        </w:rPr>
        <w:t>分，得分</w:t>
      </w:r>
      <w:r>
        <w:t>6</w:t>
      </w:r>
      <w:r>
        <w:rPr>
          <w:rFonts w:hint="eastAsia"/>
        </w:rPr>
        <w:t>分）。根据政务服务全过程帮办领办服务项目工作计划，服务合同</w:t>
      </w:r>
      <w:r>
        <w:t>，</w:t>
      </w:r>
      <w:r>
        <w:rPr>
          <w:rFonts w:hint="eastAsia"/>
        </w:rPr>
        <w:t>统计数据</w:t>
      </w:r>
      <w:r>
        <w:rPr>
          <w:rFonts w:hint="eastAsia"/>
          <w:bCs/>
        </w:rPr>
        <w:t>信息</w:t>
      </w:r>
      <w:r>
        <w:rPr>
          <w:rFonts w:hint="eastAsia"/>
        </w:rPr>
        <w:t>等</w:t>
      </w:r>
      <w:r>
        <w:rPr>
          <w:rFonts w:hint="eastAsia"/>
          <w:bCs/>
        </w:rPr>
        <w:t>，项目</w:t>
      </w:r>
      <w:r>
        <w:rPr>
          <w:rFonts w:hint="eastAsia"/>
        </w:rPr>
        <w:t>计划完成为6</w:t>
      </w:r>
      <w:r>
        <w:t>000</w:t>
      </w:r>
      <w:r>
        <w:rPr>
          <w:rFonts w:hint="eastAsia"/>
        </w:rPr>
        <w:t>家企业政务帮办领办服务，实际完成为</w:t>
      </w:r>
      <w:r>
        <w:t>7298家</w:t>
      </w:r>
      <w:r>
        <w:rPr>
          <w:rFonts w:hint="eastAsia"/>
        </w:rPr>
        <w:t>企业政务帮办领办服务，政务帮办领办服务企业完成率为</w:t>
      </w:r>
      <w:r>
        <w:t>121.63%</w:t>
      </w:r>
      <w:r>
        <w:rPr>
          <w:rFonts w:hint="eastAsia"/>
        </w:rPr>
        <w:t>。</w:t>
      </w:r>
    </w:p>
    <w:p>
      <w:pPr>
        <w:pStyle w:val="26"/>
        <w:ind w:firstLine="640"/>
      </w:pPr>
      <w:r>
        <w:rPr>
          <w:rFonts w:hint="eastAsia"/>
        </w:rPr>
        <w:t>2.产出质量</w:t>
      </w:r>
    </w:p>
    <w:p>
      <w:pPr>
        <w:pStyle w:val="26"/>
        <w:ind w:firstLine="640"/>
      </w:pPr>
      <w:r>
        <w:rPr>
          <w:rFonts w:hint="eastAsia"/>
        </w:rPr>
        <w:t>（1）政务帮办领办服务人员考核达标率（总分</w:t>
      </w:r>
      <w:r>
        <w:t>5</w:t>
      </w:r>
      <w:r>
        <w:rPr>
          <w:rFonts w:hint="eastAsia"/>
        </w:rPr>
        <w:t>分，得分</w:t>
      </w:r>
      <w:r>
        <w:t>5</w:t>
      </w:r>
      <w:r>
        <w:rPr>
          <w:rFonts w:hint="eastAsia"/>
        </w:rPr>
        <w:t>分）。根据政务服务全过程帮办领办服务项目服务合同要求和人员考核结果等</w:t>
      </w:r>
      <w:r>
        <w:t>，</w:t>
      </w:r>
      <w:r>
        <w:rPr>
          <w:rFonts w:hint="eastAsia"/>
        </w:rPr>
        <w:t>每月应考核政务帮办领办服务人员为</w:t>
      </w:r>
      <w:r>
        <w:t>12</w:t>
      </w:r>
      <w:r>
        <w:rPr>
          <w:rFonts w:hint="eastAsia"/>
        </w:rPr>
        <w:t>名，实际考核合格政务帮办领办服务人员为</w:t>
      </w:r>
      <w:r>
        <w:t>12</w:t>
      </w:r>
      <w:r>
        <w:rPr>
          <w:rFonts w:hint="eastAsia"/>
        </w:rPr>
        <w:t>名，政务帮办领办服务人员考核达标率为</w:t>
      </w:r>
      <w:r>
        <w:t>100%</w:t>
      </w:r>
      <w:r>
        <w:rPr>
          <w:rFonts w:hint="eastAsia"/>
        </w:rPr>
        <w:t>。</w:t>
      </w:r>
    </w:p>
    <w:p>
      <w:pPr>
        <w:pStyle w:val="26"/>
        <w:ind w:firstLine="640"/>
      </w:pPr>
      <w:r>
        <w:rPr>
          <w:rFonts w:hint="eastAsia"/>
        </w:rPr>
        <w:t>（2）政务帮办领办服务验收合格率（总分</w:t>
      </w:r>
      <w:r>
        <w:t>5</w:t>
      </w:r>
      <w:r>
        <w:rPr>
          <w:rFonts w:hint="eastAsia"/>
        </w:rPr>
        <w:t>分，得分</w:t>
      </w:r>
      <w:r>
        <w:t>5</w:t>
      </w:r>
      <w:r>
        <w:rPr>
          <w:rFonts w:hint="eastAsia"/>
        </w:rPr>
        <w:t>分）。根据政务服务全过程帮办领办服务项目服务合同要求和企业反馈表、履约验收表等</w:t>
      </w:r>
      <w:r>
        <w:t>，2021</w:t>
      </w:r>
      <w:r>
        <w:rPr>
          <w:rFonts w:hint="eastAsia"/>
        </w:rPr>
        <w:t>年合同签订政务帮办领办服务中介机构数为3个，实际政务帮办领办服务验收合格的中介机构数为3个，中介机构提供的政务帮办领办服务符合合同规定的服务标准，且未有因政务帮办领办服务人员问题而产生退件情况的发生，全部验收合格，政务帮办领办服务质量达标率为1</w:t>
      </w:r>
      <w:r>
        <w:t>00</w:t>
      </w:r>
      <w:r>
        <w:rPr>
          <w:rFonts w:hint="eastAsia"/>
        </w:rPr>
        <w:t>%。</w:t>
      </w:r>
    </w:p>
    <w:p>
      <w:pPr>
        <w:pStyle w:val="26"/>
        <w:ind w:firstLine="640"/>
      </w:pPr>
      <w:r>
        <w:rPr>
          <w:rFonts w:hint="eastAsia"/>
        </w:rPr>
        <w:t>3.产出时效</w:t>
      </w:r>
    </w:p>
    <w:p>
      <w:pPr>
        <w:pStyle w:val="26"/>
        <w:ind w:firstLine="640"/>
      </w:pPr>
      <w:r>
        <w:rPr>
          <w:rFonts w:hint="eastAsia"/>
        </w:rPr>
        <w:t>（1）政务帮办领办服务人员配备及时率（总分</w:t>
      </w:r>
      <w:r>
        <w:t>5</w:t>
      </w:r>
      <w:r>
        <w:rPr>
          <w:rFonts w:hint="eastAsia"/>
        </w:rPr>
        <w:t>分，得分</w:t>
      </w:r>
      <w:r>
        <w:t>5</w:t>
      </w:r>
      <w:r>
        <w:rPr>
          <w:rFonts w:hint="eastAsia"/>
        </w:rPr>
        <w:t>分）。根据政务服务全过程帮办领办服务项目服务合同要求和</w:t>
      </w:r>
      <w:r>
        <w:rPr>
          <w:rFonts w:hint="eastAsia"/>
          <w:bCs/>
        </w:rPr>
        <w:t>人员及岗位配置信息</w:t>
      </w:r>
      <w:r>
        <w:rPr>
          <w:rFonts w:hint="eastAsia"/>
        </w:rPr>
        <w:t>等</w:t>
      </w:r>
      <w:r>
        <w:t>，</w:t>
      </w:r>
      <w:r>
        <w:rPr>
          <w:rFonts w:hint="eastAsia"/>
        </w:rPr>
        <w:t>根据合同服务时间要求1月至1</w:t>
      </w:r>
      <w:r>
        <w:t>2</w:t>
      </w:r>
      <w:r>
        <w:rPr>
          <w:rFonts w:hint="eastAsia"/>
        </w:rPr>
        <w:t>月应配备政务帮办领办服务人员</w:t>
      </w:r>
      <w:r>
        <w:t>12</w:t>
      </w:r>
      <w:r>
        <w:rPr>
          <w:rFonts w:hint="eastAsia"/>
        </w:rPr>
        <w:t>名；第三方服务公司按照单位规定及时配备政务帮办领办服务人员</w:t>
      </w:r>
      <w:r>
        <w:t>12</w:t>
      </w:r>
      <w:r>
        <w:rPr>
          <w:rFonts w:hint="eastAsia"/>
        </w:rPr>
        <w:t>名，未超过单位规定配备时间，政务帮办领办服务人员配备及时率为</w:t>
      </w:r>
      <w:r>
        <w:t>100%</w:t>
      </w:r>
      <w:r>
        <w:rPr>
          <w:rFonts w:hint="eastAsia"/>
        </w:rPr>
        <w:t>。</w:t>
      </w:r>
    </w:p>
    <w:p>
      <w:pPr>
        <w:pStyle w:val="26"/>
        <w:ind w:firstLine="640"/>
      </w:pPr>
      <w:r>
        <w:rPr>
          <w:rFonts w:hint="eastAsia"/>
        </w:rPr>
        <w:t>（</w:t>
      </w:r>
      <w:r>
        <w:t>2</w:t>
      </w:r>
      <w:r>
        <w:rPr>
          <w:rFonts w:hint="eastAsia"/>
        </w:rPr>
        <w:t>）政务帮办领办服务完成及时率（总分</w:t>
      </w:r>
      <w:r>
        <w:t>5</w:t>
      </w:r>
      <w:r>
        <w:rPr>
          <w:rFonts w:hint="eastAsia"/>
        </w:rPr>
        <w:t>分，得分</w:t>
      </w:r>
      <w:r>
        <w:t>5</w:t>
      </w:r>
      <w:r>
        <w:rPr>
          <w:rFonts w:hint="eastAsia"/>
        </w:rPr>
        <w:t>分）。根据政务服务全过程帮办领办服务项目服务合同要求和企业反馈表等</w:t>
      </w:r>
      <w:r>
        <w:t>，</w:t>
      </w:r>
      <w:r>
        <w:rPr>
          <w:rFonts w:hint="eastAsia"/>
        </w:rPr>
        <w:t>政务帮办领办服务完成时间应不超过1天；全年完成政务帮办领办服务次数为1</w:t>
      </w:r>
      <w:r>
        <w:t>0845</w:t>
      </w:r>
      <w:r>
        <w:rPr>
          <w:rFonts w:hint="eastAsia"/>
        </w:rPr>
        <w:t>次，实际及时完成政务帮办领办服务次数为1</w:t>
      </w:r>
      <w:r>
        <w:t>0845</w:t>
      </w:r>
      <w:r>
        <w:rPr>
          <w:rFonts w:hint="eastAsia"/>
        </w:rPr>
        <w:t>次数，未超过规定的完成时间，政务帮办领办服务完成及时率为1</w:t>
      </w:r>
      <w:r>
        <w:t>00</w:t>
      </w:r>
      <w:r>
        <w:rPr>
          <w:rFonts w:hint="eastAsia"/>
        </w:rPr>
        <w:t>%。</w:t>
      </w:r>
    </w:p>
    <w:p>
      <w:pPr>
        <w:pStyle w:val="26"/>
        <w:ind w:firstLine="640"/>
      </w:pPr>
      <w:r>
        <w:rPr>
          <w:rFonts w:hint="eastAsia"/>
        </w:rPr>
        <w:t>4.产出成本</w:t>
      </w:r>
    </w:p>
    <w:p>
      <w:pPr>
        <w:pStyle w:val="26"/>
        <w:ind w:firstLine="640"/>
      </w:pPr>
      <w:r>
        <w:rPr>
          <w:rFonts w:hint="eastAsia"/>
        </w:rPr>
        <w:t>政务帮办领办服务成本节约率（总分</w:t>
      </w:r>
      <w:r>
        <w:t>6</w:t>
      </w:r>
      <w:r>
        <w:rPr>
          <w:rFonts w:hint="eastAsia"/>
        </w:rPr>
        <w:t>分，得分</w:t>
      </w:r>
      <w:r>
        <w:t>6</w:t>
      </w:r>
      <w:r>
        <w:rPr>
          <w:rFonts w:hint="eastAsia"/>
        </w:rPr>
        <w:t>分）。根据项目政府采购招标文件、项目服务合同，政务服务全过程帮办领办服务项目招标预算金额</w:t>
      </w:r>
      <w:r>
        <w:t>99</w:t>
      </w:r>
      <w:r>
        <w:rPr>
          <w:rFonts w:hint="eastAsia"/>
        </w:rPr>
        <w:t>万元，合同签订金额为</w:t>
      </w:r>
      <w:r>
        <w:t>97.95</w:t>
      </w:r>
      <w:r>
        <w:rPr>
          <w:rFonts w:hint="eastAsia"/>
        </w:rPr>
        <w:t>万元，政务帮办领办服务成本节约率为0</w:t>
      </w:r>
      <w:r>
        <w:t>.01</w:t>
      </w:r>
      <w:r>
        <w:rPr>
          <w:rFonts w:hint="eastAsia"/>
        </w:rPr>
        <w:t>%。</w:t>
      </w:r>
    </w:p>
    <w:p>
      <w:pPr>
        <w:pStyle w:val="30"/>
        <w:ind w:firstLine="640"/>
        <w:rPr>
          <w:rFonts w:ascii="Times New Roman" w:hAnsi="Times New Roman"/>
        </w:rPr>
      </w:pPr>
      <w:bookmarkStart w:id="21" w:name="_Toc120546897"/>
      <w:r>
        <w:rPr>
          <w:rFonts w:hint="eastAsia" w:ascii="Times New Roman" w:hAnsi="Times New Roman"/>
        </w:rPr>
        <w:t>（四）项目效益情况</w:t>
      </w:r>
      <w:bookmarkEnd w:id="21"/>
    </w:p>
    <w:p>
      <w:pPr>
        <w:pStyle w:val="26"/>
        <w:ind w:firstLine="640"/>
      </w:pPr>
      <w:r>
        <w:rPr>
          <w:rFonts w:hint="eastAsia"/>
        </w:rPr>
        <w:t>效益指标主要包括社会效益、可持续影响、服务对象满意度3项二级指标，</w:t>
      </w:r>
      <w:r>
        <w:t>4</w:t>
      </w:r>
      <w:r>
        <w:rPr>
          <w:rFonts w:hint="eastAsia"/>
        </w:rPr>
        <w:t>项三级指标，基础总分</w:t>
      </w:r>
      <w:r>
        <w:t>22</w:t>
      </w:r>
      <w:r>
        <w:rPr>
          <w:rFonts w:hint="eastAsia"/>
        </w:rPr>
        <w:t>分，合计得分</w:t>
      </w:r>
      <w:r>
        <w:t>22</w:t>
      </w:r>
      <w:r>
        <w:rPr>
          <w:rFonts w:hint="eastAsia"/>
        </w:rPr>
        <w:t>分。</w:t>
      </w:r>
    </w:p>
    <w:p>
      <w:pPr>
        <w:pStyle w:val="26"/>
        <w:ind w:firstLine="640"/>
      </w:pPr>
      <w:r>
        <w:rPr>
          <w:rFonts w:hint="eastAsia"/>
        </w:rPr>
        <w:t>1.社会效益</w:t>
      </w:r>
    </w:p>
    <w:p>
      <w:pPr>
        <w:pStyle w:val="26"/>
        <w:ind w:firstLine="640"/>
      </w:pPr>
      <w:r>
        <w:rPr>
          <w:rFonts w:hint="eastAsia"/>
        </w:rPr>
        <w:t>企业办件数量增长率（总分</w:t>
      </w:r>
      <w:r>
        <w:t>7</w:t>
      </w:r>
      <w:r>
        <w:rPr>
          <w:rFonts w:hint="eastAsia"/>
        </w:rPr>
        <w:t>分，得分</w:t>
      </w:r>
      <w:r>
        <w:t>7</w:t>
      </w:r>
      <w:r>
        <w:rPr>
          <w:rFonts w:hint="eastAsia"/>
        </w:rPr>
        <w:t>分）。</w:t>
      </w:r>
    </w:p>
    <w:p>
      <w:pPr>
        <w:pStyle w:val="26"/>
        <w:ind w:firstLine="640"/>
      </w:pPr>
      <w:r>
        <w:rPr>
          <w:rFonts w:hint="eastAsia"/>
          <w:color w:val="333333"/>
          <w:szCs w:val="32"/>
          <w:shd w:val="clear" w:color="auto" w:fill="FFFFFF"/>
        </w:rPr>
        <w:t>进一步深化“放管服”改革，助力企业群众办事“一次办好”，</w:t>
      </w:r>
      <w:r>
        <w:rPr>
          <w:rFonts w:hint="eastAsia"/>
        </w:rPr>
        <w:t>通过对到服务大厅办理政务服务事项的人员进行全过程帮办领办服务</w:t>
      </w:r>
      <w:r>
        <w:rPr>
          <w:rFonts w:hint="eastAsia"/>
          <w:color w:val="333333"/>
          <w:szCs w:val="32"/>
          <w:shd w:val="clear" w:color="auto" w:fill="FFFFFF"/>
        </w:rPr>
        <w:t>，不断营造良好的营商环境，截至2</w:t>
      </w:r>
      <w:r>
        <w:rPr>
          <w:color w:val="333333"/>
          <w:szCs w:val="32"/>
          <w:shd w:val="clear" w:color="auto" w:fill="FFFFFF"/>
        </w:rPr>
        <w:t>021</w:t>
      </w:r>
      <w:r>
        <w:rPr>
          <w:rFonts w:hint="eastAsia"/>
          <w:color w:val="333333"/>
          <w:szCs w:val="32"/>
          <w:shd w:val="clear" w:color="auto" w:fill="FFFFFF"/>
        </w:rPr>
        <w:t>年底，通过政务帮办领办服务完成的企业办件数为1</w:t>
      </w:r>
      <w:r>
        <w:rPr>
          <w:color w:val="333333"/>
          <w:szCs w:val="32"/>
          <w:shd w:val="clear" w:color="auto" w:fill="FFFFFF"/>
        </w:rPr>
        <w:t>0845</w:t>
      </w:r>
      <w:r>
        <w:rPr>
          <w:rFonts w:hint="eastAsia"/>
          <w:color w:val="333333"/>
          <w:szCs w:val="32"/>
          <w:shd w:val="clear" w:color="auto" w:fill="FFFFFF"/>
        </w:rPr>
        <w:t>件，较2</w:t>
      </w:r>
      <w:r>
        <w:rPr>
          <w:color w:val="333333"/>
          <w:szCs w:val="32"/>
          <w:shd w:val="clear" w:color="auto" w:fill="FFFFFF"/>
        </w:rPr>
        <w:t>020</w:t>
      </w:r>
      <w:r>
        <w:rPr>
          <w:rFonts w:hint="eastAsia"/>
          <w:color w:val="333333"/>
          <w:szCs w:val="32"/>
          <w:shd w:val="clear" w:color="auto" w:fill="FFFFFF"/>
        </w:rPr>
        <w:t>年度企业办件数8</w:t>
      </w:r>
      <w:r>
        <w:rPr>
          <w:color w:val="333333"/>
          <w:szCs w:val="32"/>
          <w:shd w:val="clear" w:color="auto" w:fill="FFFFFF"/>
        </w:rPr>
        <w:t>426</w:t>
      </w:r>
      <w:r>
        <w:rPr>
          <w:rFonts w:hint="eastAsia"/>
          <w:color w:val="333333"/>
          <w:szCs w:val="32"/>
          <w:shd w:val="clear" w:color="auto" w:fill="FFFFFF"/>
        </w:rPr>
        <w:t>件相比，企业办件数增长2</w:t>
      </w:r>
      <w:r>
        <w:rPr>
          <w:color w:val="333333"/>
          <w:szCs w:val="32"/>
          <w:shd w:val="clear" w:color="auto" w:fill="FFFFFF"/>
        </w:rPr>
        <w:t>419</w:t>
      </w:r>
      <w:r>
        <w:rPr>
          <w:rFonts w:hint="eastAsia"/>
          <w:color w:val="333333"/>
          <w:szCs w:val="32"/>
          <w:shd w:val="clear" w:color="auto" w:fill="FFFFFF"/>
        </w:rPr>
        <w:t>件，企业办件增长率为2</w:t>
      </w:r>
      <w:r>
        <w:rPr>
          <w:color w:val="333333"/>
          <w:szCs w:val="32"/>
          <w:shd w:val="clear" w:color="auto" w:fill="FFFFFF"/>
        </w:rPr>
        <w:t>8.70%</w:t>
      </w:r>
      <w:r>
        <w:rPr>
          <w:rFonts w:hint="eastAsia"/>
          <w:color w:val="333333"/>
          <w:szCs w:val="32"/>
          <w:shd w:val="clear" w:color="auto" w:fill="FFFFFF"/>
        </w:rPr>
        <w:t>，</w:t>
      </w:r>
      <w:r>
        <w:rPr>
          <w:rFonts w:hint="eastAsia"/>
        </w:rPr>
        <w:t>提高了政务事项审批效率，减低了企业申报成本，提升了政务服务质量，促进了经济社会持续健康发展。</w:t>
      </w:r>
    </w:p>
    <w:p>
      <w:pPr>
        <w:pStyle w:val="26"/>
        <w:ind w:firstLine="640"/>
      </w:pPr>
      <w:r>
        <w:t>2</w:t>
      </w:r>
      <w:r>
        <w:rPr>
          <w:rFonts w:hint="eastAsia"/>
        </w:rPr>
        <w:t>.可持续影响</w:t>
      </w:r>
    </w:p>
    <w:p>
      <w:pPr>
        <w:pStyle w:val="26"/>
        <w:ind w:firstLine="640"/>
      </w:pPr>
      <w:r>
        <w:rPr>
          <w:rFonts w:hint="eastAsia"/>
        </w:rPr>
        <w:t>（1）建立健全政务帮办领办服务机构管理机制（总分</w:t>
      </w:r>
      <w:r>
        <w:t>5</w:t>
      </w:r>
      <w:r>
        <w:rPr>
          <w:rFonts w:hint="eastAsia"/>
        </w:rPr>
        <w:t>分，得分</w:t>
      </w:r>
      <w:r>
        <w:t>5</w:t>
      </w:r>
      <w:r>
        <w:rPr>
          <w:rFonts w:hint="eastAsia"/>
        </w:rPr>
        <w:t>分）。天津市和平区人民政府政务服务办公室已建立《和平区行政审批局中介机构管理办法》，制度中明确了考勤制度、服务规范、中介服务执业纪律、违规处理办法等。天津市和平区人民政府政务服务办公室按照《和平区行政审批局中介机构管理办法》对中介机构进行了管理，进一步规范了中介机构服务行为，从而提高了中介机构服务质量和效率，优化了投资环境，促进了和平区区域经济发展，</w:t>
      </w:r>
      <w:r>
        <w:t>有效保障</w:t>
      </w:r>
      <w:r>
        <w:rPr>
          <w:rFonts w:hint="eastAsia"/>
        </w:rPr>
        <w:t>政务帮办领办服务</w:t>
      </w:r>
      <w:r>
        <w:t>工作持续开展。</w:t>
      </w:r>
    </w:p>
    <w:p>
      <w:pPr>
        <w:pStyle w:val="26"/>
        <w:ind w:firstLine="640"/>
      </w:pPr>
      <w:r>
        <w:rPr>
          <w:rFonts w:hint="eastAsia"/>
        </w:rPr>
        <w:t>（2）建立健全政务帮办领办服务机构考核管理机制（总分</w:t>
      </w:r>
      <w:r>
        <w:t>5</w:t>
      </w:r>
      <w:r>
        <w:rPr>
          <w:rFonts w:hint="eastAsia"/>
        </w:rPr>
        <w:t>分，得分</w:t>
      </w:r>
      <w:r>
        <w:t>5</w:t>
      </w:r>
      <w:r>
        <w:rPr>
          <w:rFonts w:hint="eastAsia"/>
        </w:rPr>
        <w:t>分）。天津市和平区人民政府政务服务办公室已建立《和平区行政审批局中介机构考核管理办法》，制度中明确了考核实施工作内容，通过考核考勤、办件、服务规范、工作纪律、满意评价与考核结果应用等，对服务的中介机构的工作行为及业绩进行了考核，并运用了考核的结果对中介机构将来的工作行为和业绩产生了正面引导，从而规范了中介服务行为，提高了服务质量和效率，</w:t>
      </w:r>
      <w:r>
        <w:t>有效保障</w:t>
      </w:r>
      <w:r>
        <w:rPr>
          <w:rFonts w:hint="eastAsia"/>
        </w:rPr>
        <w:t>政务帮办领办服务</w:t>
      </w:r>
      <w:r>
        <w:t>工作持续开展。</w:t>
      </w:r>
    </w:p>
    <w:p>
      <w:pPr>
        <w:pStyle w:val="26"/>
        <w:ind w:firstLine="640"/>
      </w:pPr>
      <w:r>
        <w:t>3</w:t>
      </w:r>
      <w:r>
        <w:rPr>
          <w:rFonts w:hint="eastAsia"/>
        </w:rPr>
        <w:t>.服务对象满意度</w:t>
      </w:r>
    </w:p>
    <w:p>
      <w:pPr>
        <w:pStyle w:val="26"/>
        <w:ind w:firstLine="640"/>
      </w:pPr>
      <w:r>
        <w:rPr>
          <w:rFonts w:hint="eastAsia"/>
        </w:rPr>
        <w:t>享受服务企业人员满意度（总分</w:t>
      </w:r>
      <w:r>
        <w:t>5</w:t>
      </w:r>
      <w:r>
        <w:rPr>
          <w:rFonts w:hint="eastAsia"/>
        </w:rPr>
        <w:t>分，得分</w:t>
      </w:r>
      <w:r>
        <w:t>5</w:t>
      </w:r>
      <w:r>
        <w:rPr>
          <w:rFonts w:hint="eastAsia"/>
        </w:rPr>
        <w:t>分）。</w:t>
      </w:r>
    </w:p>
    <w:p>
      <w:pPr>
        <w:pStyle w:val="26"/>
        <w:ind w:firstLine="640"/>
      </w:pPr>
      <w:r>
        <w:rPr>
          <w:rFonts w:hint="eastAsia"/>
        </w:rPr>
        <w:t>依据</w:t>
      </w:r>
      <w:r>
        <w:t>2021年</w:t>
      </w:r>
      <w:r>
        <w:rPr>
          <w:rFonts w:hint="eastAsia"/>
        </w:rPr>
        <w:t>政务服务全过程帮办领办服务</w:t>
      </w:r>
      <w:r>
        <w:t>项目主要实施内容，项目实际受益对象是</w:t>
      </w:r>
      <w:r>
        <w:rPr>
          <w:rFonts w:hint="eastAsia"/>
        </w:rPr>
        <w:t>到服务大厅办理政务服务事项，并享受政务帮办领办服务的企业人员</w:t>
      </w:r>
      <w:r>
        <w:t>，评价组对100名</w:t>
      </w:r>
      <w:r>
        <w:rPr>
          <w:rFonts w:hint="eastAsia"/>
        </w:rPr>
        <w:t>享受政务帮办领办服务的企业人员</w:t>
      </w:r>
      <w:r>
        <w:t>进行随机满意度调查，共发放100份问卷，实际收回有效问卷共89份，针对</w:t>
      </w:r>
      <w:r>
        <w:rPr>
          <w:rFonts w:hint="eastAsia"/>
        </w:rPr>
        <w:t>政务服务全过程帮办领办服务过程中服务人员服务态度是否满意、办件速度是否满意、办件质量是否满意、办公岗位环境是否满意以及业务能力是否满意</w:t>
      </w:r>
      <w:r>
        <w:t>等问题做出调查</w:t>
      </w:r>
      <w:r>
        <w:rPr>
          <w:rFonts w:hint="eastAsia"/>
        </w:rPr>
        <w:t>。根据调查结果显示，对服务人员服务态度的满意人数为</w:t>
      </w:r>
      <w:r>
        <w:t>89</w:t>
      </w:r>
      <w:r>
        <w:rPr>
          <w:rFonts w:hint="eastAsia"/>
        </w:rPr>
        <w:t>人，对办件速度的满意人数为</w:t>
      </w:r>
      <w:r>
        <w:t>89</w:t>
      </w:r>
      <w:r>
        <w:rPr>
          <w:rFonts w:hint="eastAsia"/>
        </w:rPr>
        <w:t>人，对办件质量的满意人数为</w:t>
      </w:r>
      <w:r>
        <w:t>89</w:t>
      </w:r>
      <w:r>
        <w:rPr>
          <w:rFonts w:hint="eastAsia"/>
        </w:rPr>
        <w:t>人，对办公岗位环境的满意人数为</w:t>
      </w:r>
      <w:r>
        <w:t>89</w:t>
      </w:r>
      <w:r>
        <w:rPr>
          <w:rFonts w:hint="eastAsia"/>
        </w:rPr>
        <w:t>人，对业务能力的满意人数为</w:t>
      </w:r>
      <w:r>
        <w:t>89</w:t>
      </w:r>
      <w:r>
        <w:rPr>
          <w:rFonts w:hint="eastAsia"/>
        </w:rPr>
        <w:t>人，享受政务帮办领办服务的企业人员综合满意度为</w:t>
      </w:r>
      <w:r>
        <w:t>100</w:t>
      </w:r>
      <w:r>
        <w:rPr>
          <w:rFonts w:hint="eastAsia"/>
        </w:rPr>
        <w:t>%。</w:t>
      </w:r>
    </w:p>
    <w:p>
      <w:pPr>
        <w:pStyle w:val="28"/>
        <w:ind w:firstLine="0"/>
      </w:pPr>
      <w:bookmarkStart w:id="22" w:name="_Toc120546898"/>
      <w:r>
        <w:rPr>
          <w:rFonts w:hint="eastAsia"/>
        </w:rPr>
        <w:t>五、存在的主要问题</w:t>
      </w:r>
      <w:bookmarkEnd w:id="22"/>
    </w:p>
    <w:p>
      <w:pPr>
        <w:pStyle w:val="30"/>
        <w:ind w:firstLine="640"/>
        <w:rPr>
          <w:rFonts w:ascii="Times New Roman" w:hAnsi="Times New Roman"/>
        </w:rPr>
      </w:pPr>
      <w:bookmarkStart w:id="23" w:name="_Toc120546899"/>
      <w:bookmarkStart w:id="24" w:name="_Hlk91875531"/>
      <w:r>
        <w:rPr>
          <w:rFonts w:hint="eastAsia" w:ascii="Times New Roman" w:hAnsi="Times New Roman"/>
        </w:rPr>
        <w:t>（一）项目绩效目标设置规划性、细化程度不足</w:t>
      </w:r>
      <w:bookmarkEnd w:id="23"/>
    </w:p>
    <w:bookmarkEnd w:id="24"/>
    <w:p>
      <w:pPr>
        <w:pStyle w:val="26"/>
        <w:ind w:firstLine="640"/>
        <w:rPr>
          <w:bCs/>
        </w:rPr>
      </w:pPr>
      <w:r>
        <w:rPr>
          <w:bCs/>
        </w:rPr>
        <w:t>天津市和平区人民政府政务服务办公室</w:t>
      </w:r>
      <w:r>
        <w:rPr>
          <w:rFonts w:hint="eastAsia"/>
          <w:bCs/>
        </w:rPr>
        <w:t>绩效目标表中的</w:t>
      </w:r>
      <w:r>
        <w:rPr>
          <w:bCs/>
        </w:rPr>
        <w:t>产出、效益和满意度指标的三级指标描述冗长，未通过清晰、量化、可衡量的指标值进行体现，指标值缺少逻辑运算符号，</w:t>
      </w:r>
      <w:r>
        <w:rPr>
          <w:rFonts w:hint="eastAsia"/>
          <w:bCs/>
        </w:rPr>
        <w:t>例</w:t>
      </w:r>
      <w:r>
        <w:rPr>
          <w:bCs/>
        </w:rPr>
        <w:t>如</w:t>
      </w:r>
      <w:r>
        <w:rPr>
          <w:rFonts w:hint="eastAsia"/>
          <w:bCs/>
        </w:rPr>
        <w:t>时效指标“企业开办</w:t>
      </w:r>
      <w:r>
        <w:rPr>
          <w:bCs/>
        </w:rPr>
        <w:t>1个工作日完成（其中企业设立登记0.5个工作日）</w:t>
      </w:r>
      <w:r>
        <w:rPr>
          <w:rFonts w:hint="eastAsia"/>
          <w:bCs/>
        </w:rPr>
        <w:t>，指标值为提高中介帮办领办服务水平，落实企业开办</w:t>
      </w:r>
      <w:r>
        <w:rPr>
          <w:bCs/>
        </w:rPr>
        <w:t>1个工作日完成（其中企业设立登记0.5个工作日）</w:t>
      </w:r>
      <w:r>
        <w:rPr>
          <w:rFonts w:hint="eastAsia"/>
          <w:bCs/>
        </w:rPr>
        <w:t>”</w:t>
      </w:r>
      <w:r>
        <w:rPr>
          <w:bCs/>
        </w:rPr>
        <w:t>；</w:t>
      </w:r>
      <w:r>
        <w:rPr>
          <w:rFonts w:hint="eastAsia"/>
          <w:bCs/>
        </w:rPr>
        <w:t>绩效指标中存在未细化的情况，例如成本指标 “通过招标确定三家中介帮办公司共计</w:t>
      </w:r>
      <w:r>
        <w:rPr>
          <w:bCs/>
        </w:rPr>
        <w:t>12人进驻大厅，为企业提供全程帮</w:t>
      </w:r>
      <w:r>
        <w:rPr>
          <w:rFonts w:hint="eastAsia"/>
          <w:bCs/>
        </w:rPr>
        <w:t>办领办</w:t>
      </w:r>
      <w:r>
        <w:rPr>
          <w:bCs/>
        </w:rPr>
        <w:t>服务，每家中介公司预算33万元</w:t>
      </w:r>
      <w:r>
        <w:rPr>
          <w:rFonts w:hint="eastAsia"/>
          <w:bCs/>
        </w:rPr>
        <w:t>，指标值为通过招标，每家中介公司每年服务费不超过</w:t>
      </w:r>
      <w:r>
        <w:rPr>
          <w:bCs/>
        </w:rPr>
        <w:t>33万元</w:t>
      </w:r>
      <w:r>
        <w:rPr>
          <w:rFonts w:hint="eastAsia"/>
          <w:bCs/>
        </w:rPr>
        <w:t>”；</w:t>
      </w:r>
      <w:r>
        <w:rPr>
          <w:bCs/>
        </w:rPr>
        <w:t>可持续影响指标“全力打造办事方便、法治良好、成本竞争力强、生态宜居的营商环境，吸引企业到和平落户，指标值为持续提升营商环境，和平区注册企业持续增长”，该指标未通过相关制度、办法、措施的建立健全完善情况，保障项目活动的</w:t>
      </w:r>
      <w:r>
        <w:rPr>
          <w:rFonts w:hint="eastAsia"/>
          <w:bCs/>
        </w:rPr>
        <w:t>持续开展或项目活动取得的效果持续影响。</w:t>
      </w:r>
    </w:p>
    <w:p>
      <w:pPr>
        <w:pStyle w:val="30"/>
        <w:ind w:firstLine="640"/>
        <w:rPr>
          <w:rFonts w:ascii="Times New Roman" w:hAnsi="Times New Roman"/>
        </w:rPr>
      </w:pPr>
      <w:bookmarkStart w:id="25" w:name="_Toc120546900"/>
      <w:r>
        <w:rPr>
          <w:rFonts w:hint="eastAsia" w:ascii="Times New Roman" w:hAnsi="Times New Roman"/>
        </w:rPr>
        <w:t>（二）预算编制与资金管理不足</w:t>
      </w:r>
      <w:bookmarkEnd w:id="25"/>
    </w:p>
    <w:p>
      <w:pPr>
        <w:pStyle w:val="49"/>
        <w:spacing w:line="600" w:lineRule="exact"/>
        <w:ind w:firstLine="640"/>
        <w:rPr>
          <w:rFonts w:eastAsia="仿宋_GB2312" w:cstheme="minorBidi"/>
          <w:bCs/>
          <w:sz w:val="32"/>
          <w:szCs w:val="21"/>
        </w:rPr>
      </w:pPr>
      <w:r>
        <w:rPr>
          <w:rFonts w:hint="eastAsia" w:eastAsia="仿宋_GB2312" w:cstheme="minorBidi"/>
          <w:bCs/>
          <w:sz w:val="32"/>
          <w:szCs w:val="21"/>
        </w:rPr>
        <w:t>政务服务全过程帮办领办服务项目为经常性项目，</w:t>
      </w:r>
      <w:r>
        <w:rPr>
          <w:rFonts w:eastAsia="仿宋_GB2312" w:cstheme="minorBidi"/>
          <w:bCs/>
          <w:sz w:val="32"/>
          <w:szCs w:val="21"/>
        </w:rPr>
        <w:t>2019年实际支出95.5万元，2020年实际支出99万元，服务范围仅限于二楼企业设立帮办领办服务；2021年项目测算内容为聘用三家中介帮办公司配备帮办领办服务人员15名，为一楼综合审批区、二楼企业设区立及三楼公共服务区提供全程帮办领办服务费用，预算拟增加至120万元，测算内容符合客观实际需求，但测算数据缺少测算支出明细，无法考量测算数据与历史数据的可比性</w:t>
      </w:r>
      <w:r>
        <w:rPr>
          <w:rFonts w:hint="eastAsia" w:eastAsia="仿宋_GB2312" w:cstheme="minorBidi"/>
          <w:bCs/>
          <w:sz w:val="32"/>
          <w:szCs w:val="21"/>
        </w:rPr>
        <w:t>；</w:t>
      </w:r>
      <w:r>
        <w:rPr>
          <w:rFonts w:eastAsia="仿宋_GB2312" w:cstheme="minorBidi"/>
          <w:bCs/>
          <w:sz w:val="32"/>
          <w:szCs w:val="21"/>
        </w:rPr>
        <w:t>测算过程中只针对工作内容与预算金额笼统测算，未按照人力、商品和服务、资本性等各类支出进行测算成本。</w:t>
      </w:r>
    </w:p>
    <w:p>
      <w:pPr>
        <w:pStyle w:val="30"/>
        <w:ind w:firstLine="640"/>
        <w:rPr>
          <w:rFonts w:ascii="Times New Roman" w:hAnsi="Times New Roman" w:eastAsia="仿宋_GB2312"/>
          <w:bCs w:val="0"/>
          <w:szCs w:val="21"/>
        </w:rPr>
      </w:pPr>
      <w:bookmarkStart w:id="26" w:name="_Toc120546901"/>
      <w:r>
        <w:rPr>
          <w:rFonts w:hint="eastAsia" w:ascii="Times New Roman" w:hAnsi="Times New Roman"/>
        </w:rPr>
        <w:t>（三）合同制度执行有待完善</w:t>
      </w:r>
      <w:bookmarkEnd w:id="26"/>
    </w:p>
    <w:p>
      <w:pPr>
        <w:pStyle w:val="26"/>
        <w:ind w:firstLine="640"/>
        <w:rPr>
          <w:bCs/>
        </w:rPr>
      </w:pPr>
      <w:r>
        <w:rPr>
          <w:rFonts w:hint="eastAsia"/>
          <w:bCs/>
        </w:rPr>
        <w:t>政务服务全过程帮办领办服务项目未按合同规定时间按季度支付相应款项，也未签署补充协议，不符合《单位合同管理制度》中“第三十条 合同部分内容没有约定或约定不明确的，应当签订补充合同，作为原合同的组成部分”。</w:t>
      </w:r>
    </w:p>
    <w:p>
      <w:pPr>
        <w:pStyle w:val="28"/>
      </w:pPr>
      <w:bookmarkStart w:id="27" w:name="_Toc120546902"/>
      <w:r>
        <w:rPr>
          <w:rFonts w:hint="eastAsia"/>
        </w:rPr>
        <w:t>六、相关建议</w:t>
      </w:r>
      <w:bookmarkEnd w:id="27"/>
    </w:p>
    <w:p>
      <w:pPr>
        <w:pStyle w:val="30"/>
        <w:ind w:firstLine="640"/>
        <w:rPr>
          <w:rFonts w:ascii="Times New Roman" w:hAnsi="Times New Roman"/>
        </w:rPr>
      </w:pPr>
      <w:bookmarkStart w:id="28" w:name="_Hlk91875644"/>
      <w:bookmarkStart w:id="29" w:name="_Toc120546903"/>
      <w:r>
        <w:rPr>
          <w:rFonts w:hint="eastAsia" w:ascii="Times New Roman" w:hAnsi="Times New Roman"/>
        </w:rPr>
        <w:t>（一）</w:t>
      </w:r>
      <w:bookmarkEnd w:id="28"/>
      <w:r>
        <w:rPr>
          <w:rFonts w:hint="eastAsia" w:ascii="Times New Roman" w:hAnsi="Times New Roman"/>
        </w:rPr>
        <w:t>加强绩效理念，提升绩效管理水平</w:t>
      </w:r>
      <w:bookmarkEnd w:id="29"/>
    </w:p>
    <w:p>
      <w:pPr>
        <w:pStyle w:val="26"/>
        <w:ind w:firstLine="640"/>
      </w:pPr>
      <w:r>
        <w:rPr>
          <w:rFonts w:hint="eastAsia"/>
        </w:rPr>
        <w:t>建议天津市和平区人民政府政务服务办公室</w:t>
      </w:r>
      <w:r>
        <w:rPr>
          <w:rFonts w:hint="eastAsia" w:cs="仿宋"/>
          <w:w w:val="95"/>
          <w:szCs w:val="32"/>
        </w:rPr>
        <w:t>定期开展预算绩效管理培训，深化理解预算绩效管理工作必要性，贯彻落实财政绩效管理工作要求，规范绩效目标指标填报。绩效目标</w:t>
      </w:r>
      <w:r>
        <w:rPr>
          <w:rFonts w:hint="eastAsia" w:cs="仿宋"/>
          <w:szCs w:val="32"/>
        </w:rPr>
        <w:t>是对单位利用预算资金在本项目预期达到的产出和效果的具体描述，目标内容应</w:t>
      </w:r>
      <w:r>
        <w:rPr>
          <w:rFonts w:hint="eastAsia" w:cs="仿宋"/>
          <w:color w:val="000000"/>
          <w:kern w:val="0"/>
          <w:szCs w:val="32"/>
        </w:rPr>
        <w:t>能清晰反映项目预期开展的具体工作和预期产生的效益结果，目标内容简明扼要。</w:t>
      </w:r>
      <w:r>
        <w:rPr>
          <w:rFonts w:hint="eastAsia" w:cs="仿宋"/>
          <w:w w:val="95"/>
          <w:szCs w:val="32"/>
        </w:rPr>
        <w:t>绩效产出指标需要对数量、质量、时效、成本4个方面进行量化指标设定；对于质量指标应</w:t>
      </w:r>
      <w:r>
        <w:rPr>
          <w:rFonts w:hint="eastAsia" w:cs="仿宋"/>
          <w:color w:val="000000"/>
          <w:kern w:val="0"/>
          <w:szCs w:val="32"/>
        </w:rPr>
        <w:t>填写预期提供的公共产品和服务达到的标准、水平和效果，并明确指标主体；对于时效指标应填写</w:t>
      </w:r>
      <w:r>
        <w:rPr>
          <w:rFonts w:hint="eastAsia" w:cs="仿宋"/>
          <w:szCs w:val="32"/>
        </w:rPr>
        <w:t>计划提供产品或服务的及时程度和效率情况，且指标值设定应与三级指标内容相符可衡量；</w:t>
      </w:r>
      <w:r>
        <w:rPr>
          <w:rFonts w:hint="eastAsia" w:cs="仿宋"/>
          <w:color w:val="000000"/>
          <w:kern w:val="0"/>
          <w:szCs w:val="32"/>
        </w:rPr>
        <w:t>对于成本指标的设置应细化内容，</w:t>
      </w:r>
      <w:r>
        <w:rPr>
          <w:rFonts w:hint="eastAsia"/>
          <w:szCs w:val="32"/>
        </w:rPr>
        <w:t>体现每项工作支出所需资金体量。</w:t>
      </w:r>
      <w:r>
        <w:rPr>
          <w:rFonts w:hint="eastAsia" w:cs="仿宋"/>
          <w:szCs w:val="32"/>
        </w:rPr>
        <w:t>社会效益指标应填写本项目预期实现涉及社会发展方面的具体效益，尽量以量化指标形式体现；可持续影响指标应填写为保障本项目工作长效开展所需建立健全相关制度措施的内容，以定性指标形式体现。</w:t>
      </w:r>
    </w:p>
    <w:p>
      <w:pPr>
        <w:pStyle w:val="30"/>
        <w:ind w:firstLine="640"/>
        <w:rPr>
          <w:rFonts w:ascii="Times New Roman" w:hAnsi="Times New Roman"/>
        </w:rPr>
      </w:pPr>
      <w:bookmarkStart w:id="30" w:name="_Toc120546904"/>
      <w:r>
        <w:rPr>
          <w:rFonts w:hint="eastAsia" w:ascii="Times New Roman" w:hAnsi="Times New Roman"/>
        </w:rPr>
        <w:t>（二）加强项目预算编制与资金管理</w:t>
      </w:r>
      <w:bookmarkEnd w:id="30"/>
    </w:p>
    <w:p>
      <w:pPr>
        <w:spacing w:line="240" w:lineRule="auto"/>
        <w:ind w:firstLine="640"/>
        <w:jc w:val="both"/>
        <w:rPr>
          <w:rFonts w:ascii="Times New Roman" w:hAnsi="Times New Roman" w:eastAsia="仿宋_GB2312"/>
          <w:sz w:val="32"/>
        </w:rPr>
      </w:pPr>
      <w:r>
        <w:rPr>
          <w:rFonts w:hint="eastAsia" w:ascii="Times New Roman" w:hAnsi="Times New Roman" w:eastAsia="仿宋_GB2312"/>
          <w:sz w:val="32"/>
        </w:rPr>
        <w:t>一是建议天津市和平区人民政府政务服务办公室在编制年初预算时，应多方位考虑影响预算准确性因素，一方面参考历史数据作为项目预算编报依据，另一方面，制定项目支出标准，明确市场支出行情，进行事前询价，细化项目资金构成，从人力、商品服务和资本性等多方面测算支出成本，保障预算编制依据的充分性。</w:t>
      </w:r>
    </w:p>
    <w:p>
      <w:pPr>
        <w:pStyle w:val="30"/>
        <w:ind w:firstLine="640"/>
        <w:rPr>
          <w:rFonts w:ascii="Times New Roman" w:hAnsi="Times New Roman"/>
        </w:rPr>
      </w:pPr>
      <w:bookmarkStart w:id="31" w:name="_Toc120546905"/>
      <w:r>
        <w:rPr>
          <w:rFonts w:hint="eastAsia" w:ascii="Times New Roman" w:hAnsi="Times New Roman"/>
        </w:rPr>
        <w:t>（三）加强合同管理与沟通能力</w:t>
      </w:r>
      <w:bookmarkEnd w:id="31"/>
    </w:p>
    <w:p>
      <w:pPr>
        <w:pStyle w:val="26"/>
        <w:ind w:firstLine="640"/>
      </w:pPr>
      <w:r>
        <w:rPr>
          <w:rFonts w:hint="eastAsia"/>
        </w:rPr>
        <w:t xml:space="preserve">建议天津市和平区人民政府政务服务办公室对于未严格履行合同中约定的结算条款，与实际情况有偏差的，加强与财政部门及时沟通协调，积极与第三方服务机构友好协商，签订补充协议条款，补充说明根据财政资金下达情况完成合同结算，规避风险。 </w:t>
      </w:r>
    </w:p>
    <w:p>
      <w:pPr>
        <w:pStyle w:val="28"/>
      </w:pPr>
      <w:bookmarkStart w:id="32" w:name="_Toc120546906"/>
      <w:r>
        <w:rPr>
          <w:rFonts w:hint="eastAsia"/>
        </w:rPr>
        <w:t>七、附件</w:t>
      </w:r>
      <w:bookmarkEnd w:id="32"/>
    </w:p>
    <w:p>
      <w:pPr>
        <w:pStyle w:val="30"/>
        <w:ind w:firstLine="640"/>
        <w:rPr>
          <w:rFonts w:ascii="Times New Roman" w:hAnsi="Times New Roman" w:eastAsia="仿宋_GB2312"/>
          <w:bCs w:val="0"/>
          <w:szCs w:val="21"/>
        </w:rPr>
      </w:pPr>
      <w:bookmarkStart w:id="33" w:name="_Toc120546907"/>
      <w:r>
        <w:rPr>
          <w:rFonts w:hint="eastAsia" w:ascii="Times New Roman" w:hAnsi="Times New Roman" w:eastAsia="仿宋_GB2312"/>
          <w:bCs w:val="0"/>
          <w:szCs w:val="21"/>
        </w:rPr>
        <w:t>附件：天津市和平区人民政府政务服务办公室政务服务全过程帮办领办服务项目绩效评价指标体系及评分表</w:t>
      </w:r>
      <w:bookmarkEnd w:id="33"/>
    </w:p>
    <w:sectPr>
      <w:footerReference r:id="rId9" w:type="default"/>
      <w:pgSz w:w="11906" w:h="16838"/>
      <w:pgMar w:top="2268" w:right="1797" w:bottom="1701"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1804115"/>
    </w:sdtPr>
    <w:sdtContent>
      <w:p>
        <w:pPr>
          <w:pStyle w:val="12"/>
          <w:ind w:firstLine="360"/>
          <w:jc w:val="center"/>
        </w:pPr>
        <w:r>
          <w:fldChar w:fldCharType="begin"/>
        </w:r>
        <w:r>
          <w:instrText xml:space="preserve">PAGE   \* MERGEFORMAT</w:instrText>
        </w:r>
        <w:r>
          <w:fldChar w:fldCharType="separate"/>
        </w:r>
        <w:r>
          <w:rPr>
            <w:lang w:val="zh-CN"/>
          </w:rPr>
          <w:t>34</w:t>
        </w:r>
        <w:r>
          <w:fldChar w:fldCharType="end"/>
        </w:r>
      </w:p>
    </w:sdtContent>
  </w:sdt>
  <w:p>
    <w:pPr>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853DE5"/>
    <w:multiLevelType w:val="singleLevel"/>
    <w:tmpl w:val="C1853D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jNGNlYzc1MDg1OTFjZjNlZWZhZWE5YWJlYmM4OGUifQ=="/>
  </w:docVars>
  <w:rsids>
    <w:rsidRoot w:val="00661057"/>
    <w:rsid w:val="00002868"/>
    <w:rsid w:val="000045BA"/>
    <w:rsid w:val="000057B2"/>
    <w:rsid w:val="00010865"/>
    <w:rsid w:val="000142CB"/>
    <w:rsid w:val="00014AFF"/>
    <w:rsid w:val="00015C05"/>
    <w:rsid w:val="00017921"/>
    <w:rsid w:val="00020B30"/>
    <w:rsid w:val="00021949"/>
    <w:rsid w:val="0002241E"/>
    <w:rsid w:val="00022DB6"/>
    <w:rsid w:val="00023ED0"/>
    <w:rsid w:val="00024AFD"/>
    <w:rsid w:val="00024EBE"/>
    <w:rsid w:val="00030B45"/>
    <w:rsid w:val="00030F63"/>
    <w:rsid w:val="0003117E"/>
    <w:rsid w:val="000315D7"/>
    <w:rsid w:val="000320CF"/>
    <w:rsid w:val="0003265A"/>
    <w:rsid w:val="00035BCE"/>
    <w:rsid w:val="000363F1"/>
    <w:rsid w:val="000367E2"/>
    <w:rsid w:val="00040E3F"/>
    <w:rsid w:val="00041134"/>
    <w:rsid w:val="00041A50"/>
    <w:rsid w:val="00041B30"/>
    <w:rsid w:val="00041BB4"/>
    <w:rsid w:val="00044B91"/>
    <w:rsid w:val="00044F67"/>
    <w:rsid w:val="00053124"/>
    <w:rsid w:val="00053EC5"/>
    <w:rsid w:val="00060419"/>
    <w:rsid w:val="000610F4"/>
    <w:rsid w:val="00061FCE"/>
    <w:rsid w:val="00062C48"/>
    <w:rsid w:val="0006309F"/>
    <w:rsid w:val="000648F1"/>
    <w:rsid w:val="000667DC"/>
    <w:rsid w:val="00067C6F"/>
    <w:rsid w:val="000718A0"/>
    <w:rsid w:val="000726A8"/>
    <w:rsid w:val="0007297F"/>
    <w:rsid w:val="00072A9A"/>
    <w:rsid w:val="000732D8"/>
    <w:rsid w:val="00073BE5"/>
    <w:rsid w:val="0007429F"/>
    <w:rsid w:val="000746D9"/>
    <w:rsid w:val="00074BDC"/>
    <w:rsid w:val="000751CF"/>
    <w:rsid w:val="000752EB"/>
    <w:rsid w:val="000760E4"/>
    <w:rsid w:val="0007748A"/>
    <w:rsid w:val="00077DC8"/>
    <w:rsid w:val="00080C50"/>
    <w:rsid w:val="0008121C"/>
    <w:rsid w:val="0008179D"/>
    <w:rsid w:val="00082FC6"/>
    <w:rsid w:val="00084D5E"/>
    <w:rsid w:val="000878CF"/>
    <w:rsid w:val="00090B22"/>
    <w:rsid w:val="00091460"/>
    <w:rsid w:val="000933A4"/>
    <w:rsid w:val="00095076"/>
    <w:rsid w:val="00095F49"/>
    <w:rsid w:val="000966C1"/>
    <w:rsid w:val="000A0112"/>
    <w:rsid w:val="000A0391"/>
    <w:rsid w:val="000A298B"/>
    <w:rsid w:val="000A4AED"/>
    <w:rsid w:val="000A5D45"/>
    <w:rsid w:val="000B03CE"/>
    <w:rsid w:val="000B0551"/>
    <w:rsid w:val="000B12D4"/>
    <w:rsid w:val="000B1D0F"/>
    <w:rsid w:val="000B431A"/>
    <w:rsid w:val="000B44F3"/>
    <w:rsid w:val="000B57FD"/>
    <w:rsid w:val="000B765C"/>
    <w:rsid w:val="000B7978"/>
    <w:rsid w:val="000C0944"/>
    <w:rsid w:val="000C161F"/>
    <w:rsid w:val="000C4437"/>
    <w:rsid w:val="000C47E5"/>
    <w:rsid w:val="000C4CFF"/>
    <w:rsid w:val="000C5D86"/>
    <w:rsid w:val="000C641C"/>
    <w:rsid w:val="000C677C"/>
    <w:rsid w:val="000C68A5"/>
    <w:rsid w:val="000D0397"/>
    <w:rsid w:val="000D0CBC"/>
    <w:rsid w:val="000D17EC"/>
    <w:rsid w:val="000D1B8A"/>
    <w:rsid w:val="000D3065"/>
    <w:rsid w:val="000D4798"/>
    <w:rsid w:val="000D49D8"/>
    <w:rsid w:val="000D4E31"/>
    <w:rsid w:val="000D59C4"/>
    <w:rsid w:val="000E090B"/>
    <w:rsid w:val="000E09D3"/>
    <w:rsid w:val="000E1645"/>
    <w:rsid w:val="000E242B"/>
    <w:rsid w:val="000E4182"/>
    <w:rsid w:val="000E461B"/>
    <w:rsid w:val="000E470E"/>
    <w:rsid w:val="000E4C7E"/>
    <w:rsid w:val="000E5AAC"/>
    <w:rsid w:val="000E60B5"/>
    <w:rsid w:val="000E650B"/>
    <w:rsid w:val="000E661D"/>
    <w:rsid w:val="000F0C25"/>
    <w:rsid w:val="000F10DD"/>
    <w:rsid w:val="000F5749"/>
    <w:rsid w:val="000F57C3"/>
    <w:rsid w:val="000F5CDF"/>
    <w:rsid w:val="00100141"/>
    <w:rsid w:val="00100895"/>
    <w:rsid w:val="001040BF"/>
    <w:rsid w:val="0010563C"/>
    <w:rsid w:val="00105FFC"/>
    <w:rsid w:val="001062E4"/>
    <w:rsid w:val="001067A3"/>
    <w:rsid w:val="001067E4"/>
    <w:rsid w:val="0011196A"/>
    <w:rsid w:val="00111F1F"/>
    <w:rsid w:val="001144A3"/>
    <w:rsid w:val="00114543"/>
    <w:rsid w:val="00114F4A"/>
    <w:rsid w:val="00115952"/>
    <w:rsid w:val="00116C9D"/>
    <w:rsid w:val="0011781F"/>
    <w:rsid w:val="00120EC5"/>
    <w:rsid w:val="001229F0"/>
    <w:rsid w:val="001275CF"/>
    <w:rsid w:val="00130312"/>
    <w:rsid w:val="00130E69"/>
    <w:rsid w:val="001320A4"/>
    <w:rsid w:val="00133A6C"/>
    <w:rsid w:val="00134CAA"/>
    <w:rsid w:val="001352E8"/>
    <w:rsid w:val="00136017"/>
    <w:rsid w:val="001376E7"/>
    <w:rsid w:val="0014138F"/>
    <w:rsid w:val="0014190A"/>
    <w:rsid w:val="0014294F"/>
    <w:rsid w:val="00142FBC"/>
    <w:rsid w:val="00150419"/>
    <w:rsid w:val="001527B6"/>
    <w:rsid w:val="0015362D"/>
    <w:rsid w:val="00156000"/>
    <w:rsid w:val="0016244A"/>
    <w:rsid w:val="00162746"/>
    <w:rsid w:val="00162EDC"/>
    <w:rsid w:val="001632AD"/>
    <w:rsid w:val="00163F11"/>
    <w:rsid w:val="001646D6"/>
    <w:rsid w:val="001704F7"/>
    <w:rsid w:val="0017117B"/>
    <w:rsid w:val="00174401"/>
    <w:rsid w:val="001749BE"/>
    <w:rsid w:val="001757AD"/>
    <w:rsid w:val="0017581B"/>
    <w:rsid w:val="00180CBE"/>
    <w:rsid w:val="001825F7"/>
    <w:rsid w:val="001828F4"/>
    <w:rsid w:val="001833FA"/>
    <w:rsid w:val="00183F48"/>
    <w:rsid w:val="00185478"/>
    <w:rsid w:val="00186E8D"/>
    <w:rsid w:val="00186FC2"/>
    <w:rsid w:val="001871E9"/>
    <w:rsid w:val="001879E5"/>
    <w:rsid w:val="001906A8"/>
    <w:rsid w:val="0019129E"/>
    <w:rsid w:val="00191749"/>
    <w:rsid w:val="00195E1D"/>
    <w:rsid w:val="00195E4A"/>
    <w:rsid w:val="00196A74"/>
    <w:rsid w:val="001972E9"/>
    <w:rsid w:val="001A2892"/>
    <w:rsid w:val="001A2DD7"/>
    <w:rsid w:val="001A2E2B"/>
    <w:rsid w:val="001A3299"/>
    <w:rsid w:val="001A5D0F"/>
    <w:rsid w:val="001A74AA"/>
    <w:rsid w:val="001B2159"/>
    <w:rsid w:val="001B28F5"/>
    <w:rsid w:val="001B2AB0"/>
    <w:rsid w:val="001B4A5F"/>
    <w:rsid w:val="001B6647"/>
    <w:rsid w:val="001B66C9"/>
    <w:rsid w:val="001B69CF"/>
    <w:rsid w:val="001B70A1"/>
    <w:rsid w:val="001B76D3"/>
    <w:rsid w:val="001C080F"/>
    <w:rsid w:val="001C1A5E"/>
    <w:rsid w:val="001C2E79"/>
    <w:rsid w:val="001C455A"/>
    <w:rsid w:val="001C68F0"/>
    <w:rsid w:val="001D00A0"/>
    <w:rsid w:val="001D0C4F"/>
    <w:rsid w:val="001D191A"/>
    <w:rsid w:val="001D249F"/>
    <w:rsid w:val="001D4BF7"/>
    <w:rsid w:val="001D4D25"/>
    <w:rsid w:val="001D598D"/>
    <w:rsid w:val="001E010C"/>
    <w:rsid w:val="001E0728"/>
    <w:rsid w:val="001E36FD"/>
    <w:rsid w:val="001E46CC"/>
    <w:rsid w:val="001E4A38"/>
    <w:rsid w:val="001E6734"/>
    <w:rsid w:val="001F1253"/>
    <w:rsid w:val="001F15FE"/>
    <w:rsid w:val="001F4966"/>
    <w:rsid w:val="001F4C0D"/>
    <w:rsid w:val="001F5CEE"/>
    <w:rsid w:val="00201790"/>
    <w:rsid w:val="00201A19"/>
    <w:rsid w:val="00201EAB"/>
    <w:rsid w:val="00202699"/>
    <w:rsid w:val="00203048"/>
    <w:rsid w:val="00204276"/>
    <w:rsid w:val="002057EC"/>
    <w:rsid w:val="002066C6"/>
    <w:rsid w:val="00206ED6"/>
    <w:rsid w:val="002077C3"/>
    <w:rsid w:val="00210763"/>
    <w:rsid w:val="0021205E"/>
    <w:rsid w:val="0021273F"/>
    <w:rsid w:val="00212CD8"/>
    <w:rsid w:val="002132C1"/>
    <w:rsid w:val="00213586"/>
    <w:rsid w:val="002139CD"/>
    <w:rsid w:val="002142A1"/>
    <w:rsid w:val="00215D96"/>
    <w:rsid w:val="00216DC5"/>
    <w:rsid w:val="0021761E"/>
    <w:rsid w:val="00217F50"/>
    <w:rsid w:val="00220486"/>
    <w:rsid w:val="002220D5"/>
    <w:rsid w:val="002220DB"/>
    <w:rsid w:val="00222361"/>
    <w:rsid w:val="00223431"/>
    <w:rsid w:val="00223C0F"/>
    <w:rsid w:val="0022579E"/>
    <w:rsid w:val="00226AE8"/>
    <w:rsid w:val="002312C7"/>
    <w:rsid w:val="002317CE"/>
    <w:rsid w:val="0023184B"/>
    <w:rsid w:val="00231B10"/>
    <w:rsid w:val="0023304C"/>
    <w:rsid w:val="00234CD8"/>
    <w:rsid w:val="0023513F"/>
    <w:rsid w:val="0023551E"/>
    <w:rsid w:val="002362E6"/>
    <w:rsid w:val="00236823"/>
    <w:rsid w:val="0023683D"/>
    <w:rsid w:val="00237B6E"/>
    <w:rsid w:val="00240E88"/>
    <w:rsid w:val="0024222D"/>
    <w:rsid w:val="002431DA"/>
    <w:rsid w:val="00243623"/>
    <w:rsid w:val="00243D6C"/>
    <w:rsid w:val="002449B2"/>
    <w:rsid w:val="002471DA"/>
    <w:rsid w:val="00247A90"/>
    <w:rsid w:val="0025141F"/>
    <w:rsid w:val="0025214F"/>
    <w:rsid w:val="00252F45"/>
    <w:rsid w:val="002539B0"/>
    <w:rsid w:val="00254126"/>
    <w:rsid w:val="00255445"/>
    <w:rsid w:val="00255788"/>
    <w:rsid w:val="002562FB"/>
    <w:rsid w:val="00256F67"/>
    <w:rsid w:val="002603B5"/>
    <w:rsid w:val="002606BD"/>
    <w:rsid w:val="00260AFB"/>
    <w:rsid w:val="00261928"/>
    <w:rsid w:val="00262595"/>
    <w:rsid w:val="002644CC"/>
    <w:rsid w:val="002647B9"/>
    <w:rsid w:val="00264F7B"/>
    <w:rsid w:val="00265D4E"/>
    <w:rsid w:val="00266962"/>
    <w:rsid w:val="00266A5A"/>
    <w:rsid w:val="002670EF"/>
    <w:rsid w:val="002678A4"/>
    <w:rsid w:val="00267985"/>
    <w:rsid w:val="00267E3E"/>
    <w:rsid w:val="0027222E"/>
    <w:rsid w:val="00274E4B"/>
    <w:rsid w:val="002753AA"/>
    <w:rsid w:val="00275A3E"/>
    <w:rsid w:val="002815AF"/>
    <w:rsid w:val="002817C0"/>
    <w:rsid w:val="00282482"/>
    <w:rsid w:val="002837E3"/>
    <w:rsid w:val="00285361"/>
    <w:rsid w:val="00285E85"/>
    <w:rsid w:val="0029044C"/>
    <w:rsid w:val="00291795"/>
    <w:rsid w:val="00291B78"/>
    <w:rsid w:val="00293934"/>
    <w:rsid w:val="00296C9B"/>
    <w:rsid w:val="002975F0"/>
    <w:rsid w:val="00297E04"/>
    <w:rsid w:val="002A079E"/>
    <w:rsid w:val="002A0C67"/>
    <w:rsid w:val="002A3D27"/>
    <w:rsid w:val="002A4251"/>
    <w:rsid w:val="002A425C"/>
    <w:rsid w:val="002A54C9"/>
    <w:rsid w:val="002B0F25"/>
    <w:rsid w:val="002B42E8"/>
    <w:rsid w:val="002B45BF"/>
    <w:rsid w:val="002B5324"/>
    <w:rsid w:val="002B6E5F"/>
    <w:rsid w:val="002C1BFD"/>
    <w:rsid w:val="002C23B2"/>
    <w:rsid w:val="002C2ECC"/>
    <w:rsid w:val="002C3D0A"/>
    <w:rsid w:val="002D2A2D"/>
    <w:rsid w:val="002D3803"/>
    <w:rsid w:val="002D411F"/>
    <w:rsid w:val="002D4D68"/>
    <w:rsid w:val="002D5DFF"/>
    <w:rsid w:val="002D6ED4"/>
    <w:rsid w:val="002D741B"/>
    <w:rsid w:val="002D79B4"/>
    <w:rsid w:val="002E0D16"/>
    <w:rsid w:val="002E37F3"/>
    <w:rsid w:val="002E3C4E"/>
    <w:rsid w:val="002E6E46"/>
    <w:rsid w:val="002E7826"/>
    <w:rsid w:val="002F077A"/>
    <w:rsid w:val="002F0C80"/>
    <w:rsid w:val="002F0D31"/>
    <w:rsid w:val="002F12F4"/>
    <w:rsid w:val="002F2542"/>
    <w:rsid w:val="002F2BF4"/>
    <w:rsid w:val="002F2D22"/>
    <w:rsid w:val="002F31E3"/>
    <w:rsid w:val="002F6CA4"/>
    <w:rsid w:val="002F7EF8"/>
    <w:rsid w:val="002F7F21"/>
    <w:rsid w:val="00300909"/>
    <w:rsid w:val="00300C9E"/>
    <w:rsid w:val="00301D2E"/>
    <w:rsid w:val="00302716"/>
    <w:rsid w:val="003029A1"/>
    <w:rsid w:val="003032A9"/>
    <w:rsid w:val="00303942"/>
    <w:rsid w:val="00303D5F"/>
    <w:rsid w:val="00304E75"/>
    <w:rsid w:val="003071E3"/>
    <w:rsid w:val="00307E6B"/>
    <w:rsid w:val="00310457"/>
    <w:rsid w:val="00310651"/>
    <w:rsid w:val="0031090D"/>
    <w:rsid w:val="00311AC4"/>
    <w:rsid w:val="003136C6"/>
    <w:rsid w:val="003200D2"/>
    <w:rsid w:val="003201D7"/>
    <w:rsid w:val="0032202C"/>
    <w:rsid w:val="00325B50"/>
    <w:rsid w:val="003263DF"/>
    <w:rsid w:val="00326705"/>
    <w:rsid w:val="00332532"/>
    <w:rsid w:val="00333326"/>
    <w:rsid w:val="00333670"/>
    <w:rsid w:val="003357AA"/>
    <w:rsid w:val="00335C30"/>
    <w:rsid w:val="0033624F"/>
    <w:rsid w:val="003365BF"/>
    <w:rsid w:val="00341961"/>
    <w:rsid w:val="00341FF6"/>
    <w:rsid w:val="00344B11"/>
    <w:rsid w:val="00345B9D"/>
    <w:rsid w:val="00346176"/>
    <w:rsid w:val="00346B0F"/>
    <w:rsid w:val="00346D61"/>
    <w:rsid w:val="0034725B"/>
    <w:rsid w:val="003502BF"/>
    <w:rsid w:val="00352F25"/>
    <w:rsid w:val="003562EF"/>
    <w:rsid w:val="00356CE2"/>
    <w:rsid w:val="003577FB"/>
    <w:rsid w:val="003605CF"/>
    <w:rsid w:val="003606F4"/>
    <w:rsid w:val="00362E61"/>
    <w:rsid w:val="003652D2"/>
    <w:rsid w:val="003667C6"/>
    <w:rsid w:val="00367095"/>
    <w:rsid w:val="00370CE4"/>
    <w:rsid w:val="0037372D"/>
    <w:rsid w:val="00375C38"/>
    <w:rsid w:val="00376D59"/>
    <w:rsid w:val="0038049A"/>
    <w:rsid w:val="0038053D"/>
    <w:rsid w:val="00380E46"/>
    <w:rsid w:val="003811F0"/>
    <w:rsid w:val="00381F5C"/>
    <w:rsid w:val="00382104"/>
    <w:rsid w:val="00383300"/>
    <w:rsid w:val="003850FF"/>
    <w:rsid w:val="0038541B"/>
    <w:rsid w:val="003854CE"/>
    <w:rsid w:val="00386038"/>
    <w:rsid w:val="00386369"/>
    <w:rsid w:val="0038701F"/>
    <w:rsid w:val="00387369"/>
    <w:rsid w:val="003920E7"/>
    <w:rsid w:val="00395D8F"/>
    <w:rsid w:val="00396340"/>
    <w:rsid w:val="00396581"/>
    <w:rsid w:val="0039718C"/>
    <w:rsid w:val="00397D72"/>
    <w:rsid w:val="00397D8C"/>
    <w:rsid w:val="003A0B25"/>
    <w:rsid w:val="003A2940"/>
    <w:rsid w:val="003A2954"/>
    <w:rsid w:val="003A2E30"/>
    <w:rsid w:val="003A2F91"/>
    <w:rsid w:val="003A30C9"/>
    <w:rsid w:val="003A3686"/>
    <w:rsid w:val="003A464E"/>
    <w:rsid w:val="003A48E3"/>
    <w:rsid w:val="003A70B6"/>
    <w:rsid w:val="003B2DD4"/>
    <w:rsid w:val="003B4F6C"/>
    <w:rsid w:val="003B55D5"/>
    <w:rsid w:val="003B710A"/>
    <w:rsid w:val="003C094E"/>
    <w:rsid w:val="003C17D5"/>
    <w:rsid w:val="003C237D"/>
    <w:rsid w:val="003C2BC0"/>
    <w:rsid w:val="003C3423"/>
    <w:rsid w:val="003C3582"/>
    <w:rsid w:val="003C53D9"/>
    <w:rsid w:val="003C5B0E"/>
    <w:rsid w:val="003C735B"/>
    <w:rsid w:val="003D0489"/>
    <w:rsid w:val="003D0F28"/>
    <w:rsid w:val="003D2666"/>
    <w:rsid w:val="003D42E6"/>
    <w:rsid w:val="003D54FC"/>
    <w:rsid w:val="003D5E93"/>
    <w:rsid w:val="003D704B"/>
    <w:rsid w:val="003D7802"/>
    <w:rsid w:val="003E0E01"/>
    <w:rsid w:val="003E183F"/>
    <w:rsid w:val="003E343F"/>
    <w:rsid w:val="003E5D8A"/>
    <w:rsid w:val="003E60F9"/>
    <w:rsid w:val="003E7C97"/>
    <w:rsid w:val="003E7DCD"/>
    <w:rsid w:val="003F03E2"/>
    <w:rsid w:val="003F0E3E"/>
    <w:rsid w:val="003F12E1"/>
    <w:rsid w:val="003F1F24"/>
    <w:rsid w:val="003F2C37"/>
    <w:rsid w:val="003F2F3C"/>
    <w:rsid w:val="003F3A11"/>
    <w:rsid w:val="003F4C3B"/>
    <w:rsid w:val="003F5A90"/>
    <w:rsid w:val="003F5BA5"/>
    <w:rsid w:val="003F61ED"/>
    <w:rsid w:val="00404850"/>
    <w:rsid w:val="0040522D"/>
    <w:rsid w:val="00407278"/>
    <w:rsid w:val="00407F2A"/>
    <w:rsid w:val="004127B8"/>
    <w:rsid w:val="004132DE"/>
    <w:rsid w:val="0041445C"/>
    <w:rsid w:val="00415C25"/>
    <w:rsid w:val="004168C0"/>
    <w:rsid w:val="004174C2"/>
    <w:rsid w:val="00417D1A"/>
    <w:rsid w:val="004208BB"/>
    <w:rsid w:val="0042758F"/>
    <w:rsid w:val="00430BE1"/>
    <w:rsid w:val="0043108E"/>
    <w:rsid w:val="00431251"/>
    <w:rsid w:val="0043312F"/>
    <w:rsid w:val="00434CAB"/>
    <w:rsid w:val="00434EE8"/>
    <w:rsid w:val="004369F7"/>
    <w:rsid w:val="00437589"/>
    <w:rsid w:val="00437A6D"/>
    <w:rsid w:val="00440BE3"/>
    <w:rsid w:val="00440EAF"/>
    <w:rsid w:val="00441AD1"/>
    <w:rsid w:val="00442876"/>
    <w:rsid w:val="004429F6"/>
    <w:rsid w:val="00442C96"/>
    <w:rsid w:val="0044352C"/>
    <w:rsid w:val="0044422D"/>
    <w:rsid w:val="00445115"/>
    <w:rsid w:val="004463ED"/>
    <w:rsid w:val="00447B2C"/>
    <w:rsid w:val="00454365"/>
    <w:rsid w:val="004545BE"/>
    <w:rsid w:val="00455F34"/>
    <w:rsid w:val="00456A33"/>
    <w:rsid w:val="00461FCC"/>
    <w:rsid w:val="004620D9"/>
    <w:rsid w:val="00462188"/>
    <w:rsid w:val="00465139"/>
    <w:rsid w:val="00465FD6"/>
    <w:rsid w:val="0046602E"/>
    <w:rsid w:val="004666C6"/>
    <w:rsid w:val="0046745A"/>
    <w:rsid w:val="00471C0B"/>
    <w:rsid w:val="00471F19"/>
    <w:rsid w:val="00471F5C"/>
    <w:rsid w:val="0047252A"/>
    <w:rsid w:val="00472D22"/>
    <w:rsid w:val="00473883"/>
    <w:rsid w:val="00473B50"/>
    <w:rsid w:val="004746B7"/>
    <w:rsid w:val="00474B3C"/>
    <w:rsid w:val="00475EF5"/>
    <w:rsid w:val="00476C69"/>
    <w:rsid w:val="0047712B"/>
    <w:rsid w:val="00477E60"/>
    <w:rsid w:val="004802A1"/>
    <w:rsid w:val="00480B60"/>
    <w:rsid w:val="00481085"/>
    <w:rsid w:val="00481492"/>
    <w:rsid w:val="00481F3A"/>
    <w:rsid w:val="00482DE6"/>
    <w:rsid w:val="004845FC"/>
    <w:rsid w:val="00484994"/>
    <w:rsid w:val="004851D5"/>
    <w:rsid w:val="004876BF"/>
    <w:rsid w:val="0048792B"/>
    <w:rsid w:val="00490629"/>
    <w:rsid w:val="00491ADB"/>
    <w:rsid w:val="004A117D"/>
    <w:rsid w:val="004A2F9E"/>
    <w:rsid w:val="004A3CA4"/>
    <w:rsid w:val="004A42B6"/>
    <w:rsid w:val="004A5067"/>
    <w:rsid w:val="004A5987"/>
    <w:rsid w:val="004A6BE4"/>
    <w:rsid w:val="004B30B2"/>
    <w:rsid w:val="004B32D8"/>
    <w:rsid w:val="004B4CF6"/>
    <w:rsid w:val="004C00BE"/>
    <w:rsid w:val="004C0450"/>
    <w:rsid w:val="004C1741"/>
    <w:rsid w:val="004C3E10"/>
    <w:rsid w:val="004C4A72"/>
    <w:rsid w:val="004C4AEB"/>
    <w:rsid w:val="004C5077"/>
    <w:rsid w:val="004C5E4A"/>
    <w:rsid w:val="004C6B17"/>
    <w:rsid w:val="004D03C8"/>
    <w:rsid w:val="004D10A8"/>
    <w:rsid w:val="004D1865"/>
    <w:rsid w:val="004D18D3"/>
    <w:rsid w:val="004D338E"/>
    <w:rsid w:val="004D3557"/>
    <w:rsid w:val="004D3BC4"/>
    <w:rsid w:val="004E0D4E"/>
    <w:rsid w:val="004E0ED0"/>
    <w:rsid w:val="004E2E13"/>
    <w:rsid w:val="004E51AA"/>
    <w:rsid w:val="004F01C6"/>
    <w:rsid w:val="004F1A87"/>
    <w:rsid w:val="004F1B21"/>
    <w:rsid w:val="004F386B"/>
    <w:rsid w:val="004F39E0"/>
    <w:rsid w:val="004F3B5F"/>
    <w:rsid w:val="004F4A4D"/>
    <w:rsid w:val="004F7B1D"/>
    <w:rsid w:val="00500272"/>
    <w:rsid w:val="00500DB3"/>
    <w:rsid w:val="0050309A"/>
    <w:rsid w:val="005053C6"/>
    <w:rsid w:val="00505E99"/>
    <w:rsid w:val="00506277"/>
    <w:rsid w:val="00507119"/>
    <w:rsid w:val="00507D0E"/>
    <w:rsid w:val="00511223"/>
    <w:rsid w:val="00511A08"/>
    <w:rsid w:val="00511C51"/>
    <w:rsid w:val="00513245"/>
    <w:rsid w:val="00513579"/>
    <w:rsid w:val="00513D35"/>
    <w:rsid w:val="00513E56"/>
    <w:rsid w:val="00517695"/>
    <w:rsid w:val="005224AB"/>
    <w:rsid w:val="005227CB"/>
    <w:rsid w:val="0052280F"/>
    <w:rsid w:val="005230DE"/>
    <w:rsid w:val="00523540"/>
    <w:rsid w:val="00523F66"/>
    <w:rsid w:val="0052404E"/>
    <w:rsid w:val="00524BB2"/>
    <w:rsid w:val="005251C4"/>
    <w:rsid w:val="00526C06"/>
    <w:rsid w:val="00526EC1"/>
    <w:rsid w:val="00527FB9"/>
    <w:rsid w:val="005301DF"/>
    <w:rsid w:val="0053072D"/>
    <w:rsid w:val="0053130C"/>
    <w:rsid w:val="00532532"/>
    <w:rsid w:val="005328C8"/>
    <w:rsid w:val="005341AF"/>
    <w:rsid w:val="00534644"/>
    <w:rsid w:val="005375FD"/>
    <w:rsid w:val="00541337"/>
    <w:rsid w:val="00541A6D"/>
    <w:rsid w:val="0055005D"/>
    <w:rsid w:val="00551465"/>
    <w:rsid w:val="0055278E"/>
    <w:rsid w:val="00555CEE"/>
    <w:rsid w:val="0055700A"/>
    <w:rsid w:val="0056002B"/>
    <w:rsid w:val="005603F1"/>
    <w:rsid w:val="00560B1B"/>
    <w:rsid w:val="00563B27"/>
    <w:rsid w:val="00563B61"/>
    <w:rsid w:val="005664FE"/>
    <w:rsid w:val="0056671F"/>
    <w:rsid w:val="00567F71"/>
    <w:rsid w:val="00572F59"/>
    <w:rsid w:val="00573853"/>
    <w:rsid w:val="00573B4A"/>
    <w:rsid w:val="00574591"/>
    <w:rsid w:val="0057639E"/>
    <w:rsid w:val="00577671"/>
    <w:rsid w:val="005800AD"/>
    <w:rsid w:val="005800EF"/>
    <w:rsid w:val="005831D8"/>
    <w:rsid w:val="0058487D"/>
    <w:rsid w:val="00585E49"/>
    <w:rsid w:val="005908FE"/>
    <w:rsid w:val="0059093D"/>
    <w:rsid w:val="00590B7F"/>
    <w:rsid w:val="00594BE7"/>
    <w:rsid w:val="005968D6"/>
    <w:rsid w:val="005978EB"/>
    <w:rsid w:val="005A00B3"/>
    <w:rsid w:val="005A02D6"/>
    <w:rsid w:val="005A1AF6"/>
    <w:rsid w:val="005A264F"/>
    <w:rsid w:val="005A6098"/>
    <w:rsid w:val="005A6DD7"/>
    <w:rsid w:val="005A7556"/>
    <w:rsid w:val="005B0477"/>
    <w:rsid w:val="005B47AA"/>
    <w:rsid w:val="005B51A5"/>
    <w:rsid w:val="005B659E"/>
    <w:rsid w:val="005B7194"/>
    <w:rsid w:val="005C15F0"/>
    <w:rsid w:val="005C4163"/>
    <w:rsid w:val="005C49D6"/>
    <w:rsid w:val="005C4F23"/>
    <w:rsid w:val="005C5146"/>
    <w:rsid w:val="005C51D3"/>
    <w:rsid w:val="005C5F21"/>
    <w:rsid w:val="005C66DA"/>
    <w:rsid w:val="005C7038"/>
    <w:rsid w:val="005C7668"/>
    <w:rsid w:val="005C7954"/>
    <w:rsid w:val="005C7EA3"/>
    <w:rsid w:val="005D17A6"/>
    <w:rsid w:val="005D2B39"/>
    <w:rsid w:val="005D51F2"/>
    <w:rsid w:val="005D69B0"/>
    <w:rsid w:val="005E0A86"/>
    <w:rsid w:val="005E1E1E"/>
    <w:rsid w:val="005E37F6"/>
    <w:rsid w:val="005E3B63"/>
    <w:rsid w:val="005F0C32"/>
    <w:rsid w:val="005F527A"/>
    <w:rsid w:val="005F629F"/>
    <w:rsid w:val="005F72E1"/>
    <w:rsid w:val="005F7D2B"/>
    <w:rsid w:val="006016E0"/>
    <w:rsid w:val="00601702"/>
    <w:rsid w:val="0060374B"/>
    <w:rsid w:val="00605303"/>
    <w:rsid w:val="00605E41"/>
    <w:rsid w:val="00606708"/>
    <w:rsid w:val="00606A29"/>
    <w:rsid w:val="00606B98"/>
    <w:rsid w:val="0061031D"/>
    <w:rsid w:val="00610B21"/>
    <w:rsid w:val="00610F15"/>
    <w:rsid w:val="00611B3F"/>
    <w:rsid w:val="00612A31"/>
    <w:rsid w:val="00612F15"/>
    <w:rsid w:val="006135BE"/>
    <w:rsid w:val="006137E8"/>
    <w:rsid w:val="006141A4"/>
    <w:rsid w:val="00615112"/>
    <w:rsid w:val="006164EA"/>
    <w:rsid w:val="00617415"/>
    <w:rsid w:val="00617AB8"/>
    <w:rsid w:val="00620048"/>
    <w:rsid w:val="00620552"/>
    <w:rsid w:val="006207A7"/>
    <w:rsid w:val="006208EF"/>
    <w:rsid w:val="00621C44"/>
    <w:rsid w:val="00624145"/>
    <w:rsid w:val="006248BB"/>
    <w:rsid w:val="0062609C"/>
    <w:rsid w:val="006273FB"/>
    <w:rsid w:val="006303B5"/>
    <w:rsid w:val="00630AA1"/>
    <w:rsid w:val="00630D1F"/>
    <w:rsid w:val="006319C6"/>
    <w:rsid w:val="00631E4E"/>
    <w:rsid w:val="00631F97"/>
    <w:rsid w:val="0063329C"/>
    <w:rsid w:val="00634B4F"/>
    <w:rsid w:val="00634CE8"/>
    <w:rsid w:val="00635391"/>
    <w:rsid w:val="006354FD"/>
    <w:rsid w:val="00636425"/>
    <w:rsid w:val="00636A82"/>
    <w:rsid w:val="0064012A"/>
    <w:rsid w:val="00640A35"/>
    <w:rsid w:val="00641160"/>
    <w:rsid w:val="00642B6B"/>
    <w:rsid w:val="00644202"/>
    <w:rsid w:val="0064631B"/>
    <w:rsid w:val="006509C0"/>
    <w:rsid w:val="00652718"/>
    <w:rsid w:val="006529B0"/>
    <w:rsid w:val="006555B4"/>
    <w:rsid w:val="0065632F"/>
    <w:rsid w:val="00660B8D"/>
    <w:rsid w:val="00661057"/>
    <w:rsid w:val="0066142B"/>
    <w:rsid w:val="00662452"/>
    <w:rsid w:val="00663885"/>
    <w:rsid w:val="0066490F"/>
    <w:rsid w:val="0066557D"/>
    <w:rsid w:val="00665A76"/>
    <w:rsid w:val="00665D30"/>
    <w:rsid w:val="0066774A"/>
    <w:rsid w:val="006740CE"/>
    <w:rsid w:val="006745E5"/>
    <w:rsid w:val="00677282"/>
    <w:rsid w:val="0068007F"/>
    <w:rsid w:val="00680FC8"/>
    <w:rsid w:val="00681EC6"/>
    <w:rsid w:val="006847D1"/>
    <w:rsid w:val="006847EC"/>
    <w:rsid w:val="00690962"/>
    <w:rsid w:val="00694366"/>
    <w:rsid w:val="00696A44"/>
    <w:rsid w:val="006A1A15"/>
    <w:rsid w:val="006A1EEE"/>
    <w:rsid w:val="006A2799"/>
    <w:rsid w:val="006A2EEF"/>
    <w:rsid w:val="006A311B"/>
    <w:rsid w:val="006A3BC8"/>
    <w:rsid w:val="006A4825"/>
    <w:rsid w:val="006A49A7"/>
    <w:rsid w:val="006A5ABE"/>
    <w:rsid w:val="006A66FF"/>
    <w:rsid w:val="006A6724"/>
    <w:rsid w:val="006B023A"/>
    <w:rsid w:val="006B1984"/>
    <w:rsid w:val="006B317A"/>
    <w:rsid w:val="006B33B3"/>
    <w:rsid w:val="006B67B5"/>
    <w:rsid w:val="006B69E5"/>
    <w:rsid w:val="006B6D9D"/>
    <w:rsid w:val="006B6F79"/>
    <w:rsid w:val="006C2452"/>
    <w:rsid w:val="006C2D0F"/>
    <w:rsid w:val="006C3511"/>
    <w:rsid w:val="006C4A3F"/>
    <w:rsid w:val="006C56D0"/>
    <w:rsid w:val="006D0238"/>
    <w:rsid w:val="006D0F2F"/>
    <w:rsid w:val="006D378E"/>
    <w:rsid w:val="006D5FF8"/>
    <w:rsid w:val="006D642B"/>
    <w:rsid w:val="006D6E03"/>
    <w:rsid w:val="006E263D"/>
    <w:rsid w:val="006E4996"/>
    <w:rsid w:val="006E4E2B"/>
    <w:rsid w:val="006E5BAE"/>
    <w:rsid w:val="006E776C"/>
    <w:rsid w:val="006E7AE8"/>
    <w:rsid w:val="006F08A7"/>
    <w:rsid w:val="006F19D3"/>
    <w:rsid w:val="006F71A1"/>
    <w:rsid w:val="006F7B87"/>
    <w:rsid w:val="00700662"/>
    <w:rsid w:val="007006A9"/>
    <w:rsid w:val="00702B8E"/>
    <w:rsid w:val="0070358A"/>
    <w:rsid w:val="00703ECA"/>
    <w:rsid w:val="00704A1C"/>
    <w:rsid w:val="007063E9"/>
    <w:rsid w:val="00706812"/>
    <w:rsid w:val="00711A20"/>
    <w:rsid w:val="00712416"/>
    <w:rsid w:val="007128C3"/>
    <w:rsid w:val="0071296D"/>
    <w:rsid w:val="00712F83"/>
    <w:rsid w:val="00713AFA"/>
    <w:rsid w:val="00713C73"/>
    <w:rsid w:val="00715349"/>
    <w:rsid w:val="00717A55"/>
    <w:rsid w:val="0072230F"/>
    <w:rsid w:val="0072231A"/>
    <w:rsid w:val="0072315E"/>
    <w:rsid w:val="00723C16"/>
    <w:rsid w:val="0072660B"/>
    <w:rsid w:val="00726B01"/>
    <w:rsid w:val="007279A3"/>
    <w:rsid w:val="0073310A"/>
    <w:rsid w:val="00741C69"/>
    <w:rsid w:val="00741D75"/>
    <w:rsid w:val="00743FB6"/>
    <w:rsid w:val="00744239"/>
    <w:rsid w:val="0074535C"/>
    <w:rsid w:val="00747CF7"/>
    <w:rsid w:val="00751460"/>
    <w:rsid w:val="007528D9"/>
    <w:rsid w:val="0075486A"/>
    <w:rsid w:val="007562E0"/>
    <w:rsid w:val="00757431"/>
    <w:rsid w:val="007604BA"/>
    <w:rsid w:val="007614A7"/>
    <w:rsid w:val="00762189"/>
    <w:rsid w:val="007629A1"/>
    <w:rsid w:val="00763043"/>
    <w:rsid w:val="00763909"/>
    <w:rsid w:val="0076595B"/>
    <w:rsid w:val="0077187A"/>
    <w:rsid w:val="007719C6"/>
    <w:rsid w:val="007725F9"/>
    <w:rsid w:val="00772CD1"/>
    <w:rsid w:val="007743CC"/>
    <w:rsid w:val="00774669"/>
    <w:rsid w:val="00774788"/>
    <w:rsid w:val="0077630E"/>
    <w:rsid w:val="00776FA1"/>
    <w:rsid w:val="007808C5"/>
    <w:rsid w:val="00780EC8"/>
    <w:rsid w:val="00781ADF"/>
    <w:rsid w:val="007823FB"/>
    <w:rsid w:val="00783F5D"/>
    <w:rsid w:val="00785A77"/>
    <w:rsid w:val="00785C42"/>
    <w:rsid w:val="0078662E"/>
    <w:rsid w:val="00786D65"/>
    <w:rsid w:val="00787B17"/>
    <w:rsid w:val="00787E57"/>
    <w:rsid w:val="007903CE"/>
    <w:rsid w:val="00793670"/>
    <w:rsid w:val="0079388C"/>
    <w:rsid w:val="00795418"/>
    <w:rsid w:val="00797370"/>
    <w:rsid w:val="00797B48"/>
    <w:rsid w:val="007A0119"/>
    <w:rsid w:val="007A3C20"/>
    <w:rsid w:val="007A4B19"/>
    <w:rsid w:val="007A5472"/>
    <w:rsid w:val="007A6688"/>
    <w:rsid w:val="007A7894"/>
    <w:rsid w:val="007A7951"/>
    <w:rsid w:val="007A7BE7"/>
    <w:rsid w:val="007B0A8C"/>
    <w:rsid w:val="007B127D"/>
    <w:rsid w:val="007B27BF"/>
    <w:rsid w:val="007B4CE1"/>
    <w:rsid w:val="007B7661"/>
    <w:rsid w:val="007C2F0B"/>
    <w:rsid w:val="007C355C"/>
    <w:rsid w:val="007C4C1D"/>
    <w:rsid w:val="007C5B61"/>
    <w:rsid w:val="007C7FA2"/>
    <w:rsid w:val="007D330F"/>
    <w:rsid w:val="007D4DEE"/>
    <w:rsid w:val="007D5681"/>
    <w:rsid w:val="007D5C33"/>
    <w:rsid w:val="007D6CD9"/>
    <w:rsid w:val="007E1792"/>
    <w:rsid w:val="007E21E9"/>
    <w:rsid w:val="007E3536"/>
    <w:rsid w:val="007E3EE3"/>
    <w:rsid w:val="007E4A2B"/>
    <w:rsid w:val="007E4CAF"/>
    <w:rsid w:val="007E56AE"/>
    <w:rsid w:val="007E7395"/>
    <w:rsid w:val="007F00DB"/>
    <w:rsid w:val="007F2BA1"/>
    <w:rsid w:val="007F3FC6"/>
    <w:rsid w:val="007F5AC1"/>
    <w:rsid w:val="007F68E4"/>
    <w:rsid w:val="007F7404"/>
    <w:rsid w:val="007F75E2"/>
    <w:rsid w:val="007F7F99"/>
    <w:rsid w:val="00802099"/>
    <w:rsid w:val="0080408C"/>
    <w:rsid w:val="008049A2"/>
    <w:rsid w:val="008059C4"/>
    <w:rsid w:val="00806A37"/>
    <w:rsid w:val="00807057"/>
    <w:rsid w:val="00810051"/>
    <w:rsid w:val="008104FF"/>
    <w:rsid w:val="008109B2"/>
    <w:rsid w:val="0081301A"/>
    <w:rsid w:val="0081535C"/>
    <w:rsid w:val="00815477"/>
    <w:rsid w:val="008164E5"/>
    <w:rsid w:val="00816AF3"/>
    <w:rsid w:val="008202A4"/>
    <w:rsid w:val="008208E6"/>
    <w:rsid w:val="00821F53"/>
    <w:rsid w:val="0082624D"/>
    <w:rsid w:val="008322E9"/>
    <w:rsid w:val="008329B3"/>
    <w:rsid w:val="00832EC3"/>
    <w:rsid w:val="00833E31"/>
    <w:rsid w:val="00834CFA"/>
    <w:rsid w:val="0084039A"/>
    <w:rsid w:val="00840466"/>
    <w:rsid w:val="0084183C"/>
    <w:rsid w:val="00845CE0"/>
    <w:rsid w:val="00846F4A"/>
    <w:rsid w:val="0084745F"/>
    <w:rsid w:val="00847533"/>
    <w:rsid w:val="008507A1"/>
    <w:rsid w:val="008509FA"/>
    <w:rsid w:val="00853688"/>
    <w:rsid w:val="00855D04"/>
    <w:rsid w:val="00856C38"/>
    <w:rsid w:val="00856D1F"/>
    <w:rsid w:val="00857F3B"/>
    <w:rsid w:val="00860004"/>
    <w:rsid w:val="0086023A"/>
    <w:rsid w:val="00862FEA"/>
    <w:rsid w:val="008635DD"/>
    <w:rsid w:val="00865075"/>
    <w:rsid w:val="008667E5"/>
    <w:rsid w:val="00866CFC"/>
    <w:rsid w:val="0086761F"/>
    <w:rsid w:val="008712EC"/>
    <w:rsid w:val="00871A31"/>
    <w:rsid w:val="0087235F"/>
    <w:rsid w:val="00872FD6"/>
    <w:rsid w:val="008741A5"/>
    <w:rsid w:val="00874B49"/>
    <w:rsid w:val="00875999"/>
    <w:rsid w:val="00880BFB"/>
    <w:rsid w:val="00882F08"/>
    <w:rsid w:val="00887B77"/>
    <w:rsid w:val="0089002C"/>
    <w:rsid w:val="00890929"/>
    <w:rsid w:val="008924A7"/>
    <w:rsid w:val="00892C6B"/>
    <w:rsid w:val="00892EEC"/>
    <w:rsid w:val="0089397E"/>
    <w:rsid w:val="00893E0F"/>
    <w:rsid w:val="00895AEA"/>
    <w:rsid w:val="008A17DB"/>
    <w:rsid w:val="008A43D6"/>
    <w:rsid w:val="008A495D"/>
    <w:rsid w:val="008A5137"/>
    <w:rsid w:val="008A68D4"/>
    <w:rsid w:val="008A759E"/>
    <w:rsid w:val="008B0066"/>
    <w:rsid w:val="008B10E5"/>
    <w:rsid w:val="008B1865"/>
    <w:rsid w:val="008B59A6"/>
    <w:rsid w:val="008C18F6"/>
    <w:rsid w:val="008C68DB"/>
    <w:rsid w:val="008C6B11"/>
    <w:rsid w:val="008D0E41"/>
    <w:rsid w:val="008D1070"/>
    <w:rsid w:val="008D2D00"/>
    <w:rsid w:val="008D7880"/>
    <w:rsid w:val="008D7AEF"/>
    <w:rsid w:val="008D7D29"/>
    <w:rsid w:val="008E37CF"/>
    <w:rsid w:val="008E3FE3"/>
    <w:rsid w:val="008E5C45"/>
    <w:rsid w:val="008E5E84"/>
    <w:rsid w:val="008E6471"/>
    <w:rsid w:val="008E6701"/>
    <w:rsid w:val="008E6784"/>
    <w:rsid w:val="008F0212"/>
    <w:rsid w:val="008F062C"/>
    <w:rsid w:val="008F151B"/>
    <w:rsid w:val="008F2E3A"/>
    <w:rsid w:val="008F417A"/>
    <w:rsid w:val="008F4E95"/>
    <w:rsid w:val="008F5569"/>
    <w:rsid w:val="008F559E"/>
    <w:rsid w:val="008F5951"/>
    <w:rsid w:val="008F5986"/>
    <w:rsid w:val="008F7880"/>
    <w:rsid w:val="009019EE"/>
    <w:rsid w:val="009023FF"/>
    <w:rsid w:val="009026E4"/>
    <w:rsid w:val="009031CE"/>
    <w:rsid w:val="009036A9"/>
    <w:rsid w:val="00903A0E"/>
    <w:rsid w:val="009040D7"/>
    <w:rsid w:val="00904A8D"/>
    <w:rsid w:val="00904F54"/>
    <w:rsid w:val="009061CA"/>
    <w:rsid w:val="009061EE"/>
    <w:rsid w:val="0090685C"/>
    <w:rsid w:val="009103B4"/>
    <w:rsid w:val="00910630"/>
    <w:rsid w:val="00911693"/>
    <w:rsid w:val="00912ED4"/>
    <w:rsid w:val="00913830"/>
    <w:rsid w:val="00913E98"/>
    <w:rsid w:val="00914536"/>
    <w:rsid w:val="009159B4"/>
    <w:rsid w:val="00915BC9"/>
    <w:rsid w:val="00916A22"/>
    <w:rsid w:val="00917BBA"/>
    <w:rsid w:val="00921D99"/>
    <w:rsid w:val="00923D0C"/>
    <w:rsid w:val="00925027"/>
    <w:rsid w:val="00925806"/>
    <w:rsid w:val="0092772B"/>
    <w:rsid w:val="009300EA"/>
    <w:rsid w:val="00930B8E"/>
    <w:rsid w:val="00931728"/>
    <w:rsid w:val="00933A2C"/>
    <w:rsid w:val="00934505"/>
    <w:rsid w:val="00934AD2"/>
    <w:rsid w:val="00935816"/>
    <w:rsid w:val="009363BB"/>
    <w:rsid w:val="00940FD8"/>
    <w:rsid w:val="0094126F"/>
    <w:rsid w:val="00941274"/>
    <w:rsid w:val="00941CE3"/>
    <w:rsid w:val="0094295C"/>
    <w:rsid w:val="00942A0C"/>
    <w:rsid w:val="00942F99"/>
    <w:rsid w:val="00951D6C"/>
    <w:rsid w:val="00952C13"/>
    <w:rsid w:val="0095347B"/>
    <w:rsid w:val="009555FF"/>
    <w:rsid w:val="00955B84"/>
    <w:rsid w:val="009618BA"/>
    <w:rsid w:val="00962623"/>
    <w:rsid w:val="00963E97"/>
    <w:rsid w:val="00970530"/>
    <w:rsid w:val="00972068"/>
    <w:rsid w:val="0097218E"/>
    <w:rsid w:val="009741E1"/>
    <w:rsid w:val="0097609A"/>
    <w:rsid w:val="00976240"/>
    <w:rsid w:val="00977C36"/>
    <w:rsid w:val="0098012D"/>
    <w:rsid w:val="00982C1F"/>
    <w:rsid w:val="00984302"/>
    <w:rsid w:val="00984560"/>
    <w:rsid w:val="009866A6"/>
    <w:rsid w:val="00987D76"/>
    <w:rsid w:val="00990ACF"/>
    <w:rsid w:val="00990F30"/>
    <w:rsid w:val="00992019"/>
    <w:rsid w:val="009945D9"/>
    <w:rsid w:val="009960D0"/>
    <w:rsid w:val="009A1512"/>
    <w:rsid w:val="009A2914"/>
    <w:rsid w:val="009A2E8F"/>
    <w:rsid w:val="009A5C2B"/>
    <w:rsid w:val="009A675B"/>
    <w:rsid w:val="009B2540"/>
    <w:rsid w:val="009B262C"/>
    <w:rsid w:val="009B5673"/>
    <w:rsid w:val="009B5F0D"/>
    <w:rsid w:val="009C017D"/>
    <w:rsid w:val="009C14D3"/>
    <w:rsid w:val="009C1629"/>
    <w:rsid w:val="009C2645"/>
    <w:rsid w:val="009C2C2E"/>
    <w:rsid w:val="009C38C7"/>
    <w:rsid w:val="009C4A28"/>
    <w:rsid w:val="009C4DCE"/>
    <w:rsid w:val="009C7E3D"/>
    <w:rsid w:val="009D0615"/>
    <w:rsid w:val="009D2003"/>
    <w:rsid w:val="009D35FD"/>
    <w:rsid w:val="009D402B"/>
    <w:rsid w:val="009D45FE"/>
    <w:rsid w:val="009D5039"/>
    <w:rsid w:val="009D5690"/>
    <w:rsid w:val="009E04D3"/>
    <w:rsid w:val="009E0873"/>
    <w:rsid w:val="009E109E"/>
    <w:rsid w:val="009E2007"/>
    <w:rsid w:val="009E204A"/>
    <w:rsid w:val="009E2DFF"/>
    <w:rsid w:val="009E341F"/>
    <w:rsid w:val="009E4267"/>
    <w:rsid w:val="009E65DE"/>
    <w:rsid w:val="009E768A"/>
    <w:rsid w:val="009E79DC"/>
    <w:rsid w:val="009F1834"/>
    <w:rsid w:val="009F6318"/>
    <w:rsid w:val="009F6971"/>
    <w:rsid w:val="00A01191"/>
    <w:rsid w:val="00A0199A"/>
    <w:rsid w:val="00A02CE8"/>
    <w:rsid w:val="00A031FC"/>
    <w:rsid w:val="00A0321F"/>
    <w:rsid w:val="00A0383C"/>
    <w:rsid w:val="00A03B8C"/>
    <w:rsid w:val="00A061D0"/>
    <w:rsid w:val="00A06C54"/>
    <w:rsid w:val="00A078F1"/>
    <w:rsid w:val="00A10305"/>
    <w:rsid w:val="00A10D56"/>
    <w:rsid w:val="00A118CE"/>
    <w:rsid w:val="00A122A9"/>
    <w:rsid w:val="00A14B4F"/>
    <w:rsid w:val="00A170E2"/>
    <w:rsid w:val="00A17D87"/>
    <w:rsid w:val="00A207D3"/>
    <w:rsid w:val="00A222EB"/>
    <w:rsid w:val="00A2458F"/>
    <w:rsid w:val="00A24884"/>
    <w:rsid w:val="00A2595C"/>
    <w:rsid w:val="00A25B3A"/>
    <w:rsid w:val="00A25CC2"/>
    <w:rsid w:val="00A273E3"/>
    <w:rsid w:val="00A31C1E"/>
    <w:rsid w:val="00A321A1"/>
    <w:rsid w:val="00A32624"/>
    <w:rsid w:val="00A32BA5"/>
    <w:rsid w:val="00A335BE"/>
    <w:rsid w:val="00A33D20"/>
    <w:rsid w:val="00A34C57"/>
    <w:rsid w:val="00A3670D"/>
    <w:rsid w:val="00A36D17"/>
    <w:rsid w:val="00A40285"/>
    <w:rsid w:val="00A40AAE"/>
    <w:rsid w:val="00A414FB"/>
    <w:rsid w:val="00A42833"/>
    <w:rsid w:val="00A45F42"/>
    <w:rsid w:val="00A46147"/>
    <w:rsid w:val="00A4688B"/>
    <w:rsid w:val="00A50FAF"/>
    <w:rsid w:val="00A54330"/>
    <w:rsid w:val="00A5437D"/>
    <w:rsid w:val="00A54EC8"/>
    <w:rsid w:val="00A5510B"/>
    <w:rsid w:val="00A60DDD"/>
    <w:rsid w:val="00A623DA"/>
    <w:rsid w:val="00A62C7D"/>
    <w:rsid w:val="00A63629"/>
    <w:rsid w:val="00A63E84"/>
    <w:rsid w:val="00A6638E"/>
    <w:rsid w:val="00A67D9C"/>
    <w:rsid w:val="00A709F4"/>
    <w:rsid w:val="00A74304"/>
    <w:rsid w:val="00A743CF"/>
    <w:rsid w:val="00A74C37"/>
    <w:rsid w:val="00A75527"/>
    <w:rsid w:val="00A75E04"/>
    <w:rsid w:val="00A770C8"/>
    <w:rsid w:val="00A7755E"/>
    <w:rsid w:val="00A8117E"/>
    <w:rsid w:val="00A85608"/>
    <w:rsid w:val="00A85ADF"/>
    <w:rsid w:val="00A86391"/>
    <w:rsid w:val="00A90D9B"/>
    <w:rsid w:val="00A910FD"/>
    <w:rsid w:val="00A913B6"/>
    <w:rsid w:val="00A91945"/>
    <w:rsid w:val="00A91CEA"/>
    <w:rsid w:val="00A946F1"/>
    <w:rsid w:val="00A951E1"/>
    <w:rsid w:val="00A956C0"/>
    <w:rsid w:val="00A96AAB"/>
    <w:rsid w:val="00AA03FE"/>
    <w:rsid w:val="00AA1C94"/>
    <w:rsid w:val="00AA2501"/>
    <w:rsid w:val="00AA33D5"/>
    <w:rsid w:val="00AA508D"/>
    <w:rsid w:val="00AA6184"/>
    <w:rsid w:val="00AA7076"/>
    <w:rsid w:val="00AB08AB"/>
    <w:rsid w:val="00AB2391"/>
    <w:rsid w:val="00AB25A7"/>
    <w:rsid w:val="00AB3A26"/>
    <w:rsid w:val="00AB5211"/>
    <w:rsid w:val="00AB65E0"/>
    <w:rsid w:val="00AC02F2"/>
    <w:rsid w:val="00AC0D86"/>
    <w:rsid w:val="00AC2883"/>
    <w:rsid w:val="00AC3016"/>
    <w:rsid w:val="00AC36A1"/>
    <w:rsid w:val="00AC41C7"/>
    <w:rsid w:val="00AC5D76"/>
    <w:rsid w:val="00AC7700"/>
    <w:rsid w:val="00AD11DA"/>
    <w:rsid w:val="00AD1808"/>
    <w:rsid w:val="00AD1CDC"/>
    <w:rsid w:val="00AE011D"/>
    <w:rsid w:val="00AE03EE"/>
    <w:rsid w:val="00AE0785"/>
    <w:rsid w:val="00AE0983"/>
    <w:rsid w:val="00AE0A33"/>
    <w:rsid w:val="00AE14DA"/>
    <w:rsid w:val="00AE2659"/>
    <w:rsid w:val="00AE2A91"/>
    <w:rsid w:val="00AE327A"/>
    <w:rsid w:val="00AE44A0"/>
    <w:rsid w:val="00AE4B56"/>
    <w:rsid w:val="00AE4C24"/>
    <w:rsid w:val="00AE5034"/>
    <w:rsid w:val="00AE6928"/>
    <w:rsid w:val="00AF00D2"/>
    <w:rsid w:val="00AF0757"/>
    <w:rsid w:val="00AF1C47"/>
    <w:rsid w:val="00AF26AC"/>
    <w:rsid w:val="00AF2E37"/>
    <w:rsid w:val="00AF55D3"/>
    <w:rsid w:val="00AF57C9"/>
    <w:rsid w:val="00AF6DD6"/>
    <w:rsid w:val="00AF7920"/>
    <w:rsid w:val="00B0003E"/>
    <w:rsid w:val="00B002BF"/>
    <w:rsid w:val="00B0154F"/>
    <w:rsid w:val="00B03444"/>
    <w:rsid w:val="00B05452"/>
    <w:rsid w:val="00B057E3"/>
    <w:rsid w:val="00B05898"/>
    <w:rsid w:val="00B07099"/>
    <w:rsid w:val="00B074C8"/>
    <w:rsid w:val="00B1013E"/>
    <w:rsid w:val="00B1136A"/>
    <w:rsid w:val="00B157BE"/>
    <w:rsid w:val="00B15D0A"/>
    <w:rsid w:val="00B166BD"/>
    <w:rsid w:val="00B1728A"/>
    <w:rsid w:val="00B176FD"/>
    <w:rsid w:val="00B202BC"/>
    <w:rsid w:val="00B2136F"/>
    <w:rsid w:val="00B22276"/>
    <w:rsid w:val="00B22646"/>
    <w:rsid w:val="00B23702"/>
    <w:rsid w:val="00B238F1"/>
    <w:rsid w:val="00B23EF4"/>
    <w:rsid w:val="00B23F0C"/>
    <w:rsid w:val="00B25744"/>
    <w:rsid w:val="00B25B7C"/>
    <w:rsid w:val="00B26714"/>
    <w:rsid w:val="00B31AB8"/>
    <w:rsid w:val="00B31B5D"/>
    <w:rsid w:val="00B32513"/>
    <w:rsid w:val="00B326C5"/>
    <w:rsid w:val="00B353C3"/>
    <w:rsid w:val="00B356F1"/>
    <w:rsid w:val="00B35B0C"/>
    <w:rsid w:val="00B35E24"/>
    <w:rsid w:val="00B4232A"/>
    <w:rsid w:val="00B43992"/>
    <w:rsid w:val="00B4638E"/>
    <w:rsid w:val="00B50102"/>
    <w:rsid w:val="00B5261D"/>
    <w:rsid w:val="00B53B6D"/>
    <w:rsid w:val="00B5580E"/>
    <w:rsid w:val="00B56373"/>
    <w:rsid w:val="00B5638F"/>
    <w:rsid w:val="00B5783F"/>
    <w:rsid w:val="00B6027A"/>
    <w:rsid w:val="00B6049D"/>
    <w:rsid w:val="00B60A6B"/>
    <w:rsid w:val="00B620F5"/>
    <w:rsid w:val="00B62C18"/>
    <w:rsid w:val="00B634C4"/>
    <w:rsid w:val="00B63A4E"/>
    <w:rsid w:val="00B644C9"/>
    <w:rsid w:val="00B64B69"/>
    <w:rsid w:val="00B65D54"/>
    <w:rsid w:val="00B66C8D"/>
    <w:rsid w:val="00B66CC2"/>
    <w:rsid w:val="00B712BC"/>
    <w:rsid w:val="00B7152C"/>
    <w:rsid w:val="00B77505"/>
    <w:rsid w:val="00B80BE3"/>
    <w:rsid w:val="00B8264A"/>
    <w:rsid w:val="00B8303B"/>
    <w:rsid w:val="00B841DD"/>
    <w:rsid w:val="00B8712D"/>
    <w:rsid w:val="00B8741E"/>
    <w:rsid w:val="00B87AAC"/>
    <w:rsid w:val="00B87CBA"/>
    <w:rsid w:val="00B906BE"/>
    <w:rsid w:val="00B92E8C"/>
    <w:rsid w:val="00B9369A"/>
    <w:rsid w:val="00B94140"/>
    <w:rsid w:val="00B976F1"/>
    <w:rsid w:val="00B97903"/>
    <w:rsid w:val="00BA09C5"/>
    <w:rsid w:val="00BA0F43"/>
    <w:rsid w:val="00BA3434"/>
    <w:rsid w:val="00BA3B67"/>
    <w:rsid w:val="00BA3E3D"/>
    <w:rsid w:val="00BA4844"/>
    <w:rsid w:val="00BA555F"/>
    <w:rsid w:val="00BA7267"/>
    <w:rsid w:val="00BB00DB"/>
    <w:rsid w:val="00BB0376"/>
    <w:rsid w:val="00BB045D"/>
    <w:rsid w:val="00BB0482"/>
    <w:rsid w:val="00BB110B"/>
    <w:rsid w:val="00BB25CA"/>
    <w:rsid w:val="00BB3210"/>
    <w:rsid w:val="00BB3620"/>
    <w:rsid w:val="00BB4B58"/>
    <w:rsid w:val="00BB59FC"/>
    <w:rsid w:val="00BB6C59"/>
    <w:rsid w:val="00BC09F2"/>
    <w:rsid w:val="00BC128F"/>
    <w:rsid w:val="00BC3333"/>
    <w:rsid w:val="00BC4A28"/>
    <w:rsid w:val="00BC4C96"/>
    <w:rsid w:val="00BC7850"/>
    <w:rsid w:val="00BC7DBB"/>
    <w:rsid w:val="00BD077F"/>
    <w:rsid w:val="00BD4E6A"/>
    <w:rsid w:val="00BD5E40"/>
    <w:rsid w:val="00BD6064"/>
    <w:rsid w:val="00BE05CF"/>
    <w:rsid w:val="00BE0603"/>
    <w:rsid w:val="00BE13D9"/>
    <w:rsid w:val="00BE3437"/>
    <w:rsid w:val="00BE44DC"/>
    <w:rsid w:val="00BE5B7E"/>
    <w:rsid w:val="00BE5C78"/>
    <w:rsid w:val="00BE644B"/>
    <w:rsid w:val="00BE652F"/>
    <w:rsid w:val="00BE65F5"/>
    <w:rsid w:val="00BE6DFD"/>
    <w:rsid w:val="00BF08E7"/>
    <w:rsid w:val="00BF0B2D"/>
    <w:rsid w:val="00BF140A"/>
    <w:rsid w:val="00BF16B7"/>
    <w:rsid w:val="00BF1844"/>
    <w:rsid w:val="00BF2893"/>
    <w:rsid w:val="00BF306B"/>
    <w:rsid w:val="00BF3B8A"/>
    <w:rsid w:val="00BF42E6"/>
    <w:rsid w:val="00BF6478"/>
    <w:rsid w:val="00BF6E58"/>
    <w:rsid w:val="00BF7791"/>
    <w:rsid w:val="00C00B9A"/>
    <w:rsid w:val="00C01518"/>
    <w:rsid w:val="00C03742"/>
    <w:rsid w:val="00C059D4"/>
    <w:rsid w:val="00C061DB"/>
    <w:rsid w:val="00C07B2B"/>
    <w:rsid w:val="00C1073E"/>
    <w:rsid w:val="00C10AC5"/>
    <w:rsid w:val="00C116C8"/>
    <w:rsid w:val="00C1280B"/>
    <w:rsid w:val="00C13C60"/>
    <w:rsid w:val="00C149A3"/>
    <w:rsid w:val="00C14BAE"/>
    <w:rsid w:val="00C15849"/>
    <w:rsid w:val="00C203FE"/>
    <w:rsid w:val="00C2225A"/>
    <w:rsid w:val="00C243E1"/>
    <w:rsid w:val="00C27308"/>
    <w:rsid w:val="00C307B0"/>
    <w:rsid w:val="00C33714"/>
    <w:rsid w:val="00C35174"/>
    <w:rsid w:val="00C36200"/>
    <w:rsid w:val="00C362DB"/>
    <w:rsid w:val="00C362F8"/>
    <w:rsid w:val="00C36856"/>
    <w:rsid w:val="00C41318"/>
    <w:rsid w:val="00C45283"/>
    <w:rsid w:val="00C46E32"/>
    <w:rsid w:val="00C47923"/>
    <w:rsid w:val="00C47CEC"/>
    <w:rsid w:val="00C507FE"/>
    <w:rsid w:val="00C50C43"/>
    <w:rsid w:val="00C5133E"/>
    <w:rsid w:val="00C51794"/>
    <w:rsid w:val="00C51B32"/>
    <w:rsid w:val="00C523E0"/>
    <w:rsid w:val="00C53E45"/>
    <w:rsid w:val="00C541EE"/>
    <w:rsid w:val="00C54DC3"/>
    <w:rsid w:val="00C56EE5"/>
    <w:rsid w:val="00C5792C"/>
    <w:rsid w:val="00C60CE3"/>
    <w:rsid w:val="00C61616"/>
    <w:rsid w:val="00C61624"/>
    <w:rsid w:val="00C61F95"/>
    <w:rsid w:val="00C62A68"/>
    <w:rsid w:val="00C62B60"/>
    <w:rsid w:val="00C6309D"/>
    <w:rsid w:val="00C651E1"/>
    <w:rsid w:val="00C65AB2"/>
    <w:rsid w:val="00C66FD3"/>
    <w:rsid w:val="00C677AC"/>
    <w:rsid w:val="00C715BA"/>
    <w:rsid w:val="00C71B3B"/>
    <w:rsid w:val="00C71F4B"/>
    <w:rsid w:val="00C721D3"/>
    <w:rsid w:val="00C73D27"/>
    <w:rsid w:val="00C80592"/>
    <w:rsid w:val="00C8091D"/>
    <w:rsid w:val="00C816A8"/>
    <w:rsid w:val="00C817BE"/>
    <w:rsid w:val="00C8239E"/>
    <w:rsid w:val="00C82CE3"/>
    <w:rsid w:val="00C84297"/>
    <w:rsid w:val="00C8559A"/>
    <w:rsid w:val="00C862AD"/>
    <w:rsid w:val="00C86CC8"/>
    <w:rsid w:val="00C87832"/>
    <w:rsid w:val="00C91F96"/>
    <w:rsid w:val="00C96661"/>
    <w:rsid w:val="00C96A15"/>
    <w:rsid w:val="00C97888"/>
    <w:rsid w:val="00CA012D"/>
    <w:rsid w:val="00CA03DB"/>
    <w:rsid w:val="00CA05CD"/>
    <w:rsid w:val="00CA0A75"/>
    <w:rsid w:val="00CA0ADF"/>
    <w:rsid w:val="00CA20EC"/>
    <w:rsid w:val="00CB137E"/>
    <w:rsid w:val="00CB1B5A"/>
    <w:rsid w:val="00CB60BD"/>
    <w:rsid w:val="00CB6D99"/>
    <w:rsid w:val="00CC12EF"/>
    <w:rsid w:val="00CC16E7"/>
    <w:rsid w:val="00CC5CAC"/>
    <w:rsid w:val="00CC614F"/>
    <w:rsid w:val="00CC704D"/>
    <w:rsid w:val="00CC77C0"/>
    <w:rsid w:val="00CC7F95"/>
    <w:rsid w:val="00CD188A"/>
    <w:rsid w:val="00CD2BE9"/>
    <w:rsid w:val="00CD3F5C"/>
    <w:rsid w:val="00CD4140"/>
    <w:rsid w:val="00CD4399"/>
    <w:rsid w:val="00CD4757"/>
    <w:rsid w:val="00CD4930"/>
    <w:rsid w:val="00CD613F"/>
    <w:rsid w:val="00CD6F4C"/>
    <w:rsid w:val="00CD7C34"/>
    <w:rsid w:val="00CE03A0"/>
    <w:rsid w:val="00CE0F8B"/>
    <w:rsid w:val="00CE12F7"/>
    <w:rsid w:val="00CE1B8A"/>
    <w:rsid w:val="00CE289E"/>
    <w:rsid w:val="00CE39D0"/>
    <w:rsid w:val="00CE3AF2"/>
    <w:rsid w:val="00CE4766"/>
    <w:rsid w:val="00CE6F29"/>
    <w:rsid w:val="00CE771B"/>
    <w:rsid w:val="00CE77D0"/>
    <w:rsid w:val="00CF22DB"/>
    <w:rsid w:val="00CF3F04"/>
    <w:rsid w:val="00CF4A3B"/>
    <w:rsid w:val="00CF5175"/>
    <w:rsid w:val="00CF5316"/>
    <w:rsid w:val="00CF62AB"/>
    <w:rsid w:val="00CF67A5"/>
    <w:rsid w:val="00CF6933"/>
    <w:rsid w:val="00D00127"/>
    <w:rsid w:val="00D027A0"/>
    <w:rsid w:val="00D02A23"/>
    <w:rsid w:val="00D02FC5"/>
    <w:rsid w:val="00D03D78"/>
    <w:rsid w:val="00D04A87"/>
    <w:rsid w:val="00D054B1"/>
    <w:rsid w:val="00D071CF"/>
    <w:rsid w:val="00D07A9E"/>
    <w:rsid w:val="00D1019C"/>
    <w:rsid w:val="00D11EC3"/>
    <w:rsid w:val="00D11FD1"/>
    <w:rsid w:val="00D12E9B"/>
    <w:rsid w:val="00D13CE2"/>
    <w:rsid w:val="00D145FF"/>
    <w:rsid w:val="00D17764"/>
    <w:rsid w:val="00D20FBF"/>
    <w:rsid w:val="00D217CE"/>
    <w:rsid w:val="00D21DCB"/>
    <w:rsid w:val="00D228F8"/>
    <w:rsid w:val="00D22B24"/>
    <w:rsid w:val="00D23322"/>
    <w:rsid w:val="00D24202"/>
    <w:rsid w:val="00D27E88"/>
    <w:rsid w:val="00D30E3B"/>
    <w:rsid w:val="00D3282F"/>
    <w:rsid w:val="00D33D1E"/>
    <w:rsid w:val="00D3485D"/>
    <w:rsid w:val="00D37E82"/>
    <w:rsid w:val="00D41980"/>
    <w:rsid w:val="00D42233"/>
    <w:rsid w:val="00D42400"/>
    <w:rsid w:val="00D43049"/>
    <w:rsid w:val="00D431FC"/>
    <w:rsid w:val="00D44B71"/>
    <w:rsid w:val="00D44E63"/>
    <w:rsid w:val="00D457CC"/>
    <w:rsid w:val="00D45FB9"/>
    <w:rsid w:val="00D47769"/>
    <w:rsid w:val="00D47813"/>
    <w:rsid w:val="00D47E28"/>
    <w:rsid w:val="00D50777"/>
    <w:rsid w:val="00D50BAF"/>
    <w:rsid w:val="00D51263"/>
    <w:rsid w:val="00D52D8D"/>
    <w:rsid w:val="00D5319D"/>
    <w:rsid w:val="00D53DD1"/>
    <w:rsid w:val="00D53E82"/>
    <w:rsid w:val="00D55579"/>
    <w:rsid w:val="00D56A4B"/>
    <w:rsid w:val="00D56DD6"/>
    <w:rsid w:val="00D57A11"/>
    <w:rsid w:val="00D618A4"/>
    <w:rsid w:val="00D61993"/>
    <w:rsid w:val="00D63100"/>
    <w:rsid w:val="00D633E0"/>
    <w:rsid w:val="00D63990"/>
    <w:rsid w:val="00D64523"/>
    <w:rsid w:val="00D6461F"/>
    <w:rsid w:val="00D64B5F"/>
    <w:rsid w:val="00D703B0"/>
    <w:rsid w:val="00D708DB"/>
    <w:rsid w:val="00D70A10"/>
    <w:rsid w:val="00D7101A"/>
    <w:rsid w:val="00D715A4"/>
    <w:rsid w:val="00D7387B"/>
    <w:rsid w:val="00D740E8"/>
    <w:rsid w:val="00D755C1"/>
    <w:rsid w:val="00D76124"/>
    <w:rsid w:val="00D7729E"/>
    <w:rsid w:val="00D77B0C"/>
    <w:rsid w:val="00D80400"/>
    <w:rsid w:val="00D82A51"/>
    <w:rsid w:val="00D84F79"/>
    <w:rsid w:val="00D84FFC"/>
    <w:rsid w:val="00D8540E"/>
    <w:rsid w:val="00D85655"/>
    <w:rsid w:val="00D85EDA"/>
    <w:rsid w:val="00D90BD7"/>
    <w:rsid w:val="00D926D1"/>
    <w:rsid w:val="00D92CFA"/>
    <w:rsid w:val="00D941ED"/>
    <w:rsid w:val="00D96687"/>
    <w:rsid w:val="00DA0BF0"/>
    <w:rsid w:val="00DA0F1B"/>
    <w:rsid w:val="00DA2246"/>
    <w:rsid w:val="00DA332D"/>
    <w:rsid w:val="00DA35F0"/>
    <w:rsid w:val="00DA3E15"/>
    <w:rsid w:val="00DA4746"/>
    <w:rsid w:val="00DA4906"/>
    <w:rsid w:val="00DA78A0"/>
    <w:rsid w:val="00DB0680"/>
    <w:rsid w:val="00DB0A45"/>
    <w:rsid w:val="00DB67EA"/>
    <w:rsid w:val="00DC0184"/>
    <w:rsid w:val="00DC0CEC"/>
    <w:rsid w:val="00DC1D6E"/>
    <w:rsid w:val="00DC2003"/>
    <w:rsid w:val="00DC3386"/>
    <w:rsid w:val="00DC48BE"/>
    <w:rsid w:val="00DC48CF"/>
    <w:rsid w:val="00DC7E1C"/>
    <w:rsid w:val="00DD134B"/>
    <w:rsid w:val="00DD15F6"/>
    <w:rsid w:val="00DD1B03"/>
    <w:rsid w:val="00DD1F64"/>
    <w:rsid w:val="00DD2000"/>
    <w:rsid w:val="00DD2B4D"/>
    <w:rsid w:val="00DD5F2C"/>
    <w:rsid w:val="00DD6839"/>
    <w:rsid w:val="00DD6AC8"/>
    <w:rsid w:val="00DD71AC"/>
    <w:rsid w:val="00DD7317"/>
    <w:rsid w:val="00DE0B03"/>
    <w:rsid w:val="00DE4B1B"/>
    <w:rsid w:val="00DE5CC7"/>
    <w:rsid w:val="00DF2687"/>
    <w:rsid w:val="00DF3F69"/>
    <w:rsid w:val="00DF6D0A"/>
    <w:rsid w:val="00DF723E"/>
    <w:rsid w:val="00DF7B6F"/>
    <w:rsid w:val="00E014DF"/>
    <w:rsid w:val="00E055CA"/>
    <w:rsid w:val="00E05FE5"/>
    <w:rsid w:val="00E06041"/>
    <w:rsid w:val="00E106A7"/>
    <w:rsid w:val="00E11346"/>
    <w:rsid w:val="00E11521"/>
    <w:rsid w:val="00E14124"/>
    <w:rsid w:val="00E14F83"/>
    <w:rsid w:val="00E15D47"/>
    <w:rsid w:val="00E15EB8"/>
    <w:rsid w:val="00E15EC6"/>
    <w:rsid w:val="00E1674D"/>
    <w:rsid w:val="00E178BD"/>
    <w:rsid w:val="00E2011E"/>
    <w:rsid w:val="00E20EF9"/>
    <w:rsid w:val="00E21ECE"/>
    <w:rsid w:val="00E23174"/>
    <w:rsid w:val="00E253B9"/>
    <w:rsid w:val="00E25743"/>
    <w:rsid w:val="00E25BA9"/>
    <w:rsid w:val="00E25C26"/>
    <w:rsid w:val="00E264B0"/>
    <w:rsid w:val="00E3039B"/>
    <w:rsid w:val="00E3103C"/>
    <w:rsid w:val="00E311AB"/>
    <w:rsid w:val="00E31D35"/>
    <w:rsid w:val="00E325ED"/>
    <w:rsid w:val="00E33557"/>
    <w:rsid w:val="00E33951"/>
    <w:rsid w:val="00E33B46"/>
    <w:rsid w:val="00E378F0"/>
    <w:rsid w:val="00E42458"/>
    <w:rsid w:val="00E42AFB"/>
    <w:rsid w:val="00E43AC2"/>
    <w:rsid w:val="00E43E09"/>
    <w:rsid w:val="00E4488B"/>
    <w:rsid w:val="00E44DBE"/>
    <w:rsid w:val="00E46B2B"/>
    <w:rsid w:val="00E47E4F"/>
    <w:rsid w:val="00E50827"/>
    <w:rsid w:val="00E52619"/>
    <w:rsid w:val="00E55D21"/>
    <w:rsid w:val="00E561F8"/>
    <w:rsid w:val="00E56741"/>
    <w:rsid w:val="00E57D37"/>
    <w:rsid w:val="00E60FE6"/>
    <w:rsid w:val="00E61C40"/>
    <w:rsid w:val="00E62A5F"/>
    <w:rsid w:val="00E644F4"/>
    <w:rsid w:val="00E64655"/>
    <w:rsid w:val="00E66034"/>
    <w:rsid w:val="00E66469"/>
    <w:rsid w:val="00E66858"/>
    <w:rsid w:val="00E6689B"/>
    <w:rsid w:val="00E719AC"/>
    <w:rsid w:val="00E71A96"/>
    <w:rsid w:val="00E72503"/>
    <w:rsid w:val="00E72E4D"/>
    <w:rsid w:val="00E744B0"/>
    <w:rsid w:val="00E74C75"/>
    <w:rsid w:val="00E752B7"/>
    <w:rsid w:val="00E75DDA"/>
    <w:rsid w:val="00E76319"/>
    <w:rsid w:val="00E771DD"/>
    <w:rsid w:val="00E80F46"/>
    <w:rsid w:val="00E81050"/>
    <w:rsid w:val="00E81BF6"/>
    <w:rsid w:val="00E82924"/>
    <w:rsid w:val="00E83D33"/>
    <w:rsid w:val="00E87512"/>
    <w:rsid w:val="00E87E19"/>
    <w:rsid w:val="00E91734"/>
    <w:rsid w:val="00E917BA"/>
    <w:rsid w:val="00E94587"/>
    <w:rsid w:val="00E95A60"/>
    <w:rsid w:val="00E962B9"/>
    <w:rsid w:val="00E96959"/>
    <w:rsid w:val="00E97563"/>
    <w:rsid w:val="00EA1616"/>
    <w:rsid w:val="00EA221C"/>
    <w:rsid w:val="00EA32EF"/>
    <w:rsid w:val="00EA6A11"/>
    <w:rsid w:val="00EB012E"/>
    <w:rsid w:val="00EB192C"/>
    <w:rsid w:val="00EB1C5D"/>
    <w:rsid w:val="00EB35C3"/>
    <w:rsid w:val="00EB4465"/>
    <w:rsid w:val="00EB50C7"/>
    <w:rsid w:val="00EB6625"/>
    <w:rsid w:val="00EC1D11"/>
    <w:rsid w:val="00EC1EAA"/>
    <w:rsid w:val="00EC2367"/>
    <w:rsid w:val="00EC3B29"/>
    <w:rsid w:val="00EC4086"/>
    <w:rsid w:val="00EC49F2"/>
    <w:rsid w:val="00EC73A6"/>
    <w:rsid w:val="00ED08AC"/>
    <w:rsid w:val="00ED153D"/>
    <w:rsid w:val="00ED1D91"/>
    <w:rsid w:val="00ED3846"/>
    <w:rsid w:val="00ED45FF"/>
    <w:rsid w:val="00ED4BAA"/>
    <w:rsid w:val="00ED6EF6"/>
    <w:rsid w:val="00ED7AA6"/>
    <w:rsid w:val="00ED7CDD"/>
    <w:rsid w:val="00EE26AB"/>
    <w:rsid w:val="00EE3F60"/>
    <w:rsid w:val="00EE4BCC"/>
    <w:rsid w:val="00EE5FF0"/>
    <w:rsid w:val="00EE694D"/>
    <w:rsid w:val="00EE70C7"/>
    <w:rsid w:val="00EF1F7D"/>
    <w:rsid w:val="00EF2E54"/>
    <w:rsid w:val="00EF345D"/>
    <w:rsid w:val="00EF447D"/>
    <w:rsid w:val="00EF5DA5"/>
    <w:rsid w:val="00EF68CD"/>
    <w:rsid w:val="00EF72FF"/>
    <w:rsid w:val="00EF7CBA"/>
    <w:rsid w:val="00F007AE"/>
    <w:rsid w:val="00F00CA5"/>
    <w:rsid w:val="00F00EBA"/>
    <w:rsid w:val="00F01F08"/>
    <w:rsid w:val="00F041C5"/>
    <w:rsid w:val="00F0469E"/>
    <w:rsid w:val="00F04803"/>
    <w:rsid w:val="00F055D4"/>
    <w:rsid w:val="00F05DB0"/>
    <w:rsid w:val="00F0603F"/>
    <w:rsid w:val="00F064CE"/>
    <w:rsid w:val="00F07D83"/>
    <w:rsid w:val="00F1211A"/>
    <w:rsid w:val="00F13596"/>
    <w:rsid w:val="00F13BC7"/>
    <w:rsid w:val="00F1702F"/>
    <w:rsid w:val="00F21B65"/>
    <w:rsid w:val="00F22538"/>
    <w:rsid w:val="00F228AF"/>
    <w:rsid w:val="00F2379C"/>
    <w:rsid w:val="00F23B9E"/>
    <w:rsid w:val="00F24D75"/>
    <w:rsid w:val="00F25493"/>
    <w:rsid w:val="00F2621D"/>
    <w:rsid w:val="00F30E07"/>
    <w:rsid w:val="00F363A7"/>
    <w:rsid w:val="00F373BF"/>
    <w:rsid w:val="00F414AC"/>
    <w:rsid w:val="00F42DDE"/>
    <w:rsid w:val="00F436D8"/>
    <w:rsid w:val="00F457C9"/>
    <w:rsid w:val="00F45C2D"/>
    <w:rsid w:val="00F46B93"/>
    <w:rsid w:val="00F51C96"/>
    <w:rsid w:val="00F5341C"/>
    <w:rsid w:val="00F541C1"/>
    <w:rsid w:val="00F54EC4"/>
    <w:rsid w:val="00F55003"/>
    <w:rsid w:val="00F562EB"/>
    <w:rsid w:val="00F6036F"/>
    <w:rsid w:val="00F60A56"/>
    <w:rsid w:val="00F624C0"/>
    <w:rsid w:val="00F62C04"/>
    <w:rsid w:val="00F7255D"/>
    <w:rsid w:val="00F72CCD"/>
    <w:rsid w:val="00F72ED1"/>
    <w:rsid w:val="00F73404"/>
    <w:rsid w:val="00F73AC3"/>
    <w:rsid w:val="00F73C16"/>
    <w:rsid w:val="00F73FEC"/>
    <w:rsid w:val="00F7452C"/>
    <w:rsid w:val="00F74E29"/>
    <w:rsid w:val="00F75497"/>
    <w:rsid w:val="00F75B3D"/>
    <w:rsid w:val="00F76D58"/>
    <w:rsid w:val="00F775E5"/>
    <w:rsid w:val="00F77C82"/>
    <w:rsid w:val="00F80950"/>
    <w:rsid w:val="00F81628"/>
    <w:rsid w:val="00F828A9"/>
    <w:rsid w:val="00F8291C"/>
    <w:rsid w:val="00F82E70"/>
    <w:rsid w:val="00F82FB7"/>
    <w:rsid w:val="00F83A2B"/>
    <w:rsid w:val="00F840B1"/>
    <w:rsid w:val="00F85C8A"/>
    <w:rsid w:val="00F92AEF"/>
    <w:rsid w:val="00F94AD1"/>
    <w:rsid w:val="00F953E1"/>
    <w:rsid w:val="00F9577E"/>
    <w:rsid w:val="00F973E5"/>
    <w:rsid w:val="00FA020A"/>
    <w:rsid w:val="00FA1D4E"/>
    <w:rsid w:val="00FA3A53"/>
    <w:rsid w:val="00FA3BD7"/>
    <w:rsid w:val="00FA40BF"/>
    <w:rsid w:val="00FA4E90"/>
    <w:rsid w:val="00FA56BE"/>
    <w:rsid w:val="00FA5929"/>
    <w:rsid w:val="00FA7A43"/>
    <w:rsid w:val="00FB026A"/>
    <w:rsid w:val="00FB135A"/>
    <w:rsid w:val="00FB1C01"/>
    <w:rsid w:val="00FB207C"/>
    <w:rsid w:val="00FB2C9E"/>
    <w:rsid w:val="00FB5DF0"/>
    <w:rsid w:val="00FB66CB"/>
    <w:rsid w:val="00FB6801"/>
    <w:rsid w:val="00FB6C03"/>
    <w:rsid w:val="00FC3A6B"/>
    <w:rsid w:val="00FC3DC6"/>
    <w:rsid w:val="00FC49B9"/>
    <w:rsid w:val="00FC572E"/>
    <w:rsid w:val="00FC77B3"/>
    <w:rsid w:val="00FD1289"/>
    <w:rsid w:val="00FD159F"/>
    <w:rsid w:val="00FD3B3A"/>
    <w:rsid w:val="00FD45E0"/>
    <w:rsid w:val="00FD4D14"/>
    <w:rsid w:val="00FD5F9B"/>
    <w:rsid w:val="00FD6AF7"/>
    <w:rsid w:val="00FE2707"/>
    <w:rsid w:val="00FE27D0"/>
    <w:rsid w:val="00FE283F"/>
    <w:rsid w:val="00FE3AD5"/>
    <w:rsid w:val="00FE3CA0"/>
    <w:rsid w:val="00FE5F9F"/>
    <w:rsid w:val="00FE627B"/>
    <w:rsid w:val="00FF338A"/>
    <w:rsid w:val="00FF5079"/>
    <w:rsid w:val="00FF628D"/>
    <w:rsid w:val="00FF70A0"/>
    <w:rsid w:val="094E2329"/>
    <w:rsid w:val="4A2A6380"/>
    <w:rsid w:val="5929338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semiHidden="0" w:name="Title"/>
    <w:lsdException w:unhideWhenUsed="0" w:uiPriority="99" w:name="Closing"/>
    <w:lsdException w:unhideWhenUsed="0" w:uiPriority="99" w:name="Signature"/>
    <w:lsdException w:uiPriority="1" w:name="Default Paragraph Font"/>
    <w:lsdException w:qFormat="1" w:unhideWhenUsed="0" w:uiPriority="99"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uiPriority="99" w:semiHidden="0" w:name="Hyperlink"/>
    <w:lsdException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qFormat="1"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0"/>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1"/>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2"/>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4"/>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qFormat/>
    <w:uiPriority w:val="9"/>
    <w:pPr>
      <w:keepNext/>
      <w:keepLines/>
      <w:spacing w:before="280" w:after="290" w:line="480" w:lineRule="auto"/>
      <w:ind w:firstLine="0" w:firstLineChars="0"/>
      <w:outlineLvl w:val="4"/>
    </w:pPr>
    <w:rPr>
      <w:b/>
      <w:bCs/>
      <w:szCs w:val="28"/>
    </w:rPr>
  </w:style>
  <w:style w:type="character" w:default="1" w:styleId="15">
    <w:name w:val="Default Paragraph Font"/>
    <w:unhideWhenUsed/>
    <w:uiPriority w:val="1"/>
  </w:style>
  <w:style w:type="table" w:default="1" w:styleId="18">
    <w:name w:val="Normal Table"/>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46"/>
    <w:semiHidden/>
    <w:qFormat/>
    <w:uiPriority w:val="99"/>
    <w:rPr>
      <w:b/>
      <w:bCs/>
    </w:rPr>
  </w:style>
  <w:style w:type="paragraph" w:styleId="8">
    <w:name w:val="annotation text"/>
    <w:basedOn w:val="1"/>
    <w:link w:val="45"/>
    <w:semiHidden/>
    <w:qFormat/>
    <w:uiPriority w:val="99"/>
  </w:style>
  <w:style w:type="paragraph" w:styleId="9">
    <w:name w:val="Body Text"/>
    <w:basedOn w:val="1"/>
    <w:link w:val="47"/>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10">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11">
    <w:name w:val="Balloon Text"/>
    <w:basedOn w:val="1"/>
    <w:link w:val="42"/>
    <w:semiHidden/>
    <w:qFormat/>
    <w:uiPriority w:val="99"/>
    <w:pPr>
      <w:spacing w:line="240" w:lineRule="auto"/>
    </w:pPr>
    <w:rPr>
      <w:sz w:val="18"/>
      <w:szCs w:val="18"/>
    </w:rPr>
  </w:style>
  <w:style w:type="paragraph" w:styleId="12">
    <w:name w:val="footer"/>
    <w:basedOn w:val="1"/>
    <w:link w:val="41"/>
    <w:qFormat/>
    <w:uiPriority w:val="99"/>
    <w:pPr>
      <w:tabs>
        <w:tab w:val="center" w:pos="4153"/>
        <w:tab w:val="right" w:pos="8306"/>
      </w:tabs>
      <w:snapToGrid w:val="0"/>
      <w:spacing w:line="240" w:lineRule="auto"/>
    </w:pPr>
    <w:rPr>
      <w:sz w:val="18"/>
      <w:szCs w:val="18"/>
    </w:rPr>
  </w:style>
  <w:style w:type="paragraph" w:styleId="13">
    <w:name w:val="toc 2"/>
    <w:basedOn w:val="1"/>
    <w:next w:val="1"/>
    <w:unhideWhenUsed/>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paragraph" w:styleId="14">
    <w:name w:val="Normal (Web)"/>
    <w:basedOn w:val="1"/>
    <w:unhideWhenUsed/>
    <w:qFormat/>
    <w:uiPriority w:val="99"/>
    <w:pPr>
      <w:widowControl/>
      <w:spacing w:before="100" w:beforeAutospacing="1" w:after="100" w:afterAutospacing="1" w:line="240" w:lineRule="auto"/>
      <w:ind w:firstLine="0" w:firstLineChars="0"/>
    </w:pPr>
    <w:rPr>
      <w:rFonts w:ascii="宋体" w:hAnsi="宋体" w:eastAsia="宋体" w:cs="宋体"/>
      <w:kern w:val="0"/>
      <w:sz w:val="24"/>
      <w:szCs w:val="24"/>
    </w:rPr>
  </w:style>
  <w:style w:type="character" w:styleId="16">
    <w:name w:val="Hyperlink"/>
    <w:basedOn w:val="15"/>
    <w:unhideWhenUsed/>
    <w:uiPriority w:val="99"/>
    <w:rPr>
      <w:color w:val="0563C1" w:themeColor="hyperlink"/>
      <w:u w:val="single"/>
      <w14:textFill>
        <w14:solidFill>
          <w14:schemeClr w14:val="hlink"/>
        </w14:solidFill>
      </w14:textFill>
    </w:rPr>
  </w:style>
  <w:style w:type="character" w:styleId="17">
    <w:name w:val="annotation reference"/>
    <w:basedOn w:val="15"/>
    <w:semiHidden/>
    <w:qFormat/>
    <w:uiPriority w:val="99"/>
    <w:rPr>
      <w:sz w:val="21"/>
      <w:szCs w:val="21"/>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5"/>
    <w:link w:val="2"/>
    <w:semiHidden/>
    <w:qFormat/>
    <w:uiPriority w:val="9"/>
    <w:rPr>
      <w:b/>
      <w:bCs/>
      <w:kern w:val="44"/>
      <w:sz w:val="44"/>
      <w:szCs w:val="44"/>
    </w:rPr>
  </w:style>
  <w:style w:type="character" w:customStyle="1" w:styleId="21">
    <w:name w:val="标题 2 字符"/>
    <w:basedOn w:val="15"/>
    <w:link w:val="3"/>
    <w:semiHidden/>
    <w:qFormat/>
    <w:uiPriority w:val="9"/>
    <w:rPr>
      <w:rFonts w:asciiTheme="majorHAnsi" w:hAnsiTheme="majorHAnsi" w:cstheme="majorBidi"/>
      <w:b/>
      <w:bCs/>
      <w:sz w:val="32"/>
      <w:szCs w:val="32"/>
    </w:rPr>
  </w:style>
  <w:style w:type="character" w:customStyle="1" w:styleId="22">
    <w:name w:val="标题 3 字符"/>
    <w:basedOn w:val="15"/>
    <w:link w:val="4"/>
    <w:semiHidden/>
    <w:qFormat/>
    <w:uiPriority w:val="9"/>
    <w:rPr>
      <w:b/>
      <w:bCs/>
      <w:sz w:val="30"/>
      <w:szCs w:val="32"/>
    </w:rPr>
  </w:style>
  <w:style w:type="character" w:customStyle="1" w:styleId="23">
    <w:name w:val="标题 5 字符"/>
    <w:basedOn w:val="15"/>
    <w:link w:val="6"/>
    <w:semiHidden/>
    <w:qFormat/>
    <w:uiPriority w:val="9"/>
    <w:rPr>
      <w:b/>
      <w:bCs/>
      <w:szCs w:val="28"/>
    </w:rPr>
  </w:style>
  <w:style w:type="character" w:customStyle="1" w:styleId="24">
    <w:name w:val="标题 4 字符"/>
    <w:basedOn w:val="15"/>
    <w:link w:val="5"/>
    <w:semiHidden/>
    <w:qFormat/>
    <w:uiPriority w:val="9"/>
    <w:rPr>
      <w:rFonts w:asciiTheme="majorHAnsi" w:hAnsiTheme="majorHAnsi" w:eastAsiaTheme="majorEastAsia" w:cstheme="majorBidi"/>
      <w:b/>
      <w:bCs/>
      <w:sz w:val="28"/>
      <w:szCs w:val="28"/>
    </w:rPr>
  </w:style>
  <w:style w:type="paragraph" w:customStyle="1" w:styleId="25">
    <w:name w:val="市局绩效-标题"/>
    <w:basedOn w:val="2"/>
    <w:link w:val="27"/>
    <w:qFormat/>
    <w:uiPriority w:val="0"/>
    <w:pPr>
      <w:spacing w:line="600" w:lineRule="exact"/>
    </w:pPr>
    <w:rPr>
      <w:rFonts w:ascii="方正小标宋简体" w:hAnsi="方正小标宋简体" w:eastAsia="方正小标宋简体"/>
      <w:b w:val="0"/>
    </w:rPr>
  </w:style>
  <w:style w:type="paragraph" w:customStyle="1" w:styleId="26">
    <w:name w:val="市局绩效-正文"/>
    <w:basedOn w:val="1"/>
    <w:link w:val="29"/>
    <w:qFormat/>
    <w:uiPriority w:val="0"/>
    <w:pPr>
      <w:spacing w:line="600" w:lineRule="exact"/>
      <w:jc w:val="both"/>
    </w:pPr>
    <w:rPr>
      <w:rFonts w:ascii="Times New Roman" w:hAnsi="Times New Roman" w:eastAsia="仿宋_GB2312"/>
      <w:sz w:val="32"/>
    </w:rPr>
  </w:style>
  <w:style w:type="character" w:customStyle="1" w:styleId="27">
    <w:name w:val="市局绩效-标题 字符"/>
    <w:basedOn w:val="20"/>
    <w:link w:val="25"/>
    <w:qFormat/>
    <w:uiPriority w:val="0"/>
    <w:rPr>
      <w:rFonts w:ascii="方正小标宋简体" w:hAnsi="方正小标宋简体" w:eastAsia="方正小标宋简体"/>
      <w:b w:val="0"/>
      <w:kern w:val="44"/>
      <w:sz w:val="44"/>
      <w:szCs w:val="44"/>
    </w:rPr>
  </w:style>
  <w:style w:type="paragraph" w:customStyle="1" w:styleId="28">
    <w:name w:val="市局绩效-一级标题"/>
    <w:basedOn w:val="3"/>
    <w:link w:val="31"/>
    <w:qFormat/>
    <w:uiPriority w:val="0"/>
    <w:pPr>
      <w:spacing w:before="0" w:after="0" w:line="600" w:lineRule="exact"/>
      <w:ind w:firstLine="641"/>
      <w:jc w:val="both"/>
    </w:pPr>
    <w:rPr>
      <w:rFonts w:ascii="Times New Roman" w:hAnsi="Times New Roman" w:eastAsia="黑体"/>
      <w:b w:val="0"/>
    </w:rPr>
  </w:style>
  <w:style w:type="character" w:customStyle="1" w:styleId="29">
    <w:name w:val="市局绩效-正文 字符"/>
    <w:basedOn w:val="15"/>
    <w:link w:val="26"/>
    <w:qFormat/>
    <w:uiPriority w:val="0"/>
    <w:rPr>
      <w:rFonts w:ascii="Times New Roman" w:hAnsi="Times New Roman" w:eastAsia="仿宋_GB2312"/>
      <w:sz w:val="32"/>
    </w:rPr>
  </w:style>
  <w:style w:type="paragraph" w:customStyle="1" w:styleId="30">
    <w:name w:val="市局绩效-二级标题"/>
    <w:basedOn w:val="4"/>
    <w:link w:val="32"/>
    <w:qFormat/>
    <w:uiPriority w:val="0"/>
    <w:pPr>
      <w:spacing w:before="0" w:after="0" w:line="600" w:lineRule="exact"/>
      <w:ind w:firstLine="200" w:firstLineChars="200"/>
      <w:jc w:val="both"/>
    </w:pPr>
    <w:rPr>
      <w:rFonts w:eastAsia="楷体_GB2312"/>
      <w:b w:val="0"/>
      <w:sz w:val="32"/>
    </w:rPr>
  </w:style>
  <w:style w:type="character" w:customStyle="1" w:styleId="31">
    <w:name w:val="市局绩效-一级标题 字符"/>
    <w:basedOn w:val="21"/>
    <w:link w:val="28"/>
    <w:qFormat/>
    <w:uiPriority w:val="0"/>
    <w:rPr>
      <w:rFonts w:ascii="Times New Roman" w:hAnsi="Times New Roman" w:eastAsia="黑体" w:cstheme="majorBidi"/>
      <w:b w:val="0"/>
      <w:sz w:val="32"/>
      <w:szCs w:val="32"/>
    </w:rPr>
  </w:style>
  <w:style w:type="character" w:customStyle="1" w:styleId="32">
    <w:name w:val="市局绩效-二级标题 字符"/>
    <w:basedOn w:val="22"/>
    <w:link w:val="30"/>
    <w:qFormat/>
    <w:uiPriority w:val="0"/>
    <w:rPr>
      <w:rFonts w:eastAsia="楷体_GB2312"/>
      <w:b w:val="0"/>
      <w:sz w:val="32"/>
      <w:szCs w:val="32"/>
    </w:rPr>
  </w:style>
  <w:style w:type="paragraph" w:customStyle="1" w:styleId="33">
    <w:name w:val="市局绩效-表格标题"/>
    <w:basedOn w:val="1"/>
    <w:link w:val="35"/>
    <w:qFormat/>
    <w:uiPriority w:val="0"/>
    <w:pPr>
      <w:widowControl/>
      <w:spacing w:line="240" w:lineRule="auto"/>
      <w:ind w:firstLine="0" w:firstLineChars="0"/>
      <w:jc w:val="center"/>
    </w:pPr>
    <w:rPr>
      <w:rFonts w:ascii="Times New Roman" w:hAnsi="Times New Roman" w:eastAsia="宋体" w:cs="Times New Roman"/>
      <w:bCs/>
      <w:sz w:val="24"/>
      <w:szCs w:val="24"/>
    </w:rPr>
  </w:style>
  <w:style w:type="paragraph" w:customStyle="1" w:styleId="34">
    <w:name w:val="市局绩效-表格单位"/>
    <w:basedOn w:val="1"/>
    <w:link w:val="37"/>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5">
    <w:name w:val="市局绩效-表格标题 字符"/>
    <w:basedOn w:val="15"/>
    <w:link w:val="33"/>
    <w:qFormat/>
    <w:uiPriority w:val="0"/>
    <w:rPr>
      <w:rFonts w:ascii="Times New Roman" w:hAnsi="Times New Roman" w:eastAsia="宋体" w:cs="Times New Roman"/>
      <w:bCs/>
      <w:sz w:val="24"/>
      <w:szCs w:val="24"/>
    </w:rPr>
  </w:style>
  <w:style w:type="paragraph" w:customStyle="1" w:styleId="36">
    <w:name w:val="市局绩效-表格表头"/>
    <w:basedOn w:val="26"/>
    <w:link w:val="39"/>
    <w:qFormat/>
    <w:uiPriority w:val="0"/>
    <w:pPr>
      <w:spacing w:line="240" w:lineRule="auto"/>
      <w:ind w:firstLine="0" w:firstLineChars="0"/>
      <w:jc w:val="center"/>
    </w:pPr>
    <w:rPr>
      <w:rFonts w:eastAsia="宋体"/>
      <w:b/>
      <w:sz w:val="21"/>
    </w:rPr>
  </w:style>
  <w:style w:type="character" w:customStyle="1" w:styleId="37">
    <w:name w:val="市局绩效-表格单位 字符"/>
    <w:basedOn w:val="15"/>
    <w:link w:val="34"/>
    <w:qFormat/>
    <w:uiPriority w:val="0"/>
    <w:rPr>
      <w:rFonts w:ascii="Times New Roman" w:hAnsi="Times New Roman" w:eastAsia="宋体"/>
      <w:bCs/>
      <w:szCs w:val="18"/>
    </w:rPr>
  </w:style>
  <w:style w:type="paragraph" w:customStyle="1" w:styleId="38">
    <w:name w:val="市局绩效-表格内容"/>
    <w:basedOn w:val="26"/>
    <w:link w:val="40"/>
    <w:qFormat/>
    <w:uiPriority w:val="0"/>
    <w:pPr>
      <w:spacing w:line="240" w:lineRule="auto"/>
      <w:ind w:firstLine="0" w:firstLineChars="0"/>
    </w:pPr>
    <w:rPr>
      <w:rFonts w:eastAsia="宋体"/>
      <w:sz w:val="21"/>
    </w:rPr>
  </w:style>
  <w:style w:type="character" w:customStyle="1" w:styleId="39">
    <w:name w:val="市局绩效-表格表头 字符"/>
    <w:basedOn w:val="29"/>
    <w:link w:val="36"/>
    <w:qFormat/>
    <w:uiPriority w:val="0"/>
    <w:rPr>
      <w:rFonts w:ascii="Times New Roman" w:hAnsi="Times New Roman" w:eastAsia="宋体"/>
      <w:b/>
      <w:sz w:val="32"/>
    </w:rPr>
  </w:style>
  <w:style w:type="character" w:customStyle="1" w:styleId="40">
    <w:name w:val="市局绩效-表格内容 字符"/>
    <w:basedOn w:val="29"/>
    <w:link w:val="38"/>
    <w:qFormat/>
    <w:uiPriority w:val="0"/>
    <w:rPr>
      <w:rFonts w:ascii="Times New Roman" w:hAnsi="Times New Roman" w:eastAsia="宋体"/>
      <w:sz w:val="32"/>
    </w:rPr>
  </w:style>
  <w:style w:type="character" w:customStyle="1" w:styleId="41">
    <w:name w:val="页脚 字符"/>
    <w:basedOn w:val="15"/>
    <w:link w:val="12"/>
    <w:qFormat/>
    <w:uiPriority w:val="99"/>
    <w:rPr>
      <w:sz w:val="18"/>
      <w:szCs w:val="18"/>
    </w:rPr>
  </w:style>
  <w:style w:type="character" w:customStyle="1" w:styleId="42">
    <w:name w:val="批注框文本 字符"/>
    <w:basedOn w:val="15"/>
    <w:link w:val="11"/>
    <w:semiHidden/>
    <w:qFormat/>
    <w:uiPriority w:val="99"/>
    <w:rPr>
      <w:sz w:val="18"/>
      <w:szCs w:val="18"/>
    </w:rPr>
  </w:style>
  <w:style w:type="paragraph" w:customStyle="1" w:styleId="43">
    <w:name w:val="市局绩效-注"/>
    <w:basedOn w:val="26"/>
    <w:link w:val="44"/>
    <w:qFormat/>
    <w:uiPriority w:val="0"/>
    <w:pPr>
      <w:ind w:firstLine="0" w:firstLineChars="0"/>
    </w:pPr>
    <w:rPr>
      <w:rFonts w:eastAsia="宋体"/>
      <w:bCs/>
      <w:sz w:val="21"/>
    </w:rPr>
  </w:style>
  <w:style w:type="character" w:customStyle="1" w:styleId="44">
    <w:name w:val="市局绩效-注 字符"/>
    <w:basedOn w:val="29"/>
    <w:link w:val="43"/>
    <w:qFormat/>
    <w:uiPriority w:val="0"/>
    <w:rPr>
      <w:rFonts w:ascii="Times New Roman" w:hAnsi="Times New Roman" w:eastAsia="宋体"/>
      <w:bCs/>
      <w:sz w:val="32"/>
    </w:rPr>
  </w:style>
  <w:style w:type="character" w:customStyle="1" w:styleId="45">
    <w:name w:val="批注文字 字符"/>
    <w:basedOn w:val="15"/>
    <w:link w:val="8"/>
    <w:semiHidden/>
    <w:qFormat/>
    <w:uiPriority w:val="99"/>
  </w:style>
  <w:style w:type="character" w:customStyle="1" w:styleId="46">
    <w:name w:val="批注主题 字符"/>
    <w:basedOn w:val="45"/>
    <w:link w:val="7"/>
    <w:semiHidden/>
    <w:qFormat/>
    <w:uiPriority w:val="99"/>
    <w:rPr>
      <w:b/>
      <w:bCs/>
    </w:rPr>
  </w:style>
  <w:style w:type="character" w:customStyle="1" w:styleId="47">
    <w:name w:val="正文文本 字符"/>
    <w:basedOn w:val="15"/>
    <w:link w:val="9"/>
    <w:qFormat/>
    <w:uiPriority w:val="99"/>
    <w:rPr>
      <w:rFonts w:ascii="Times New Roman" w:hAnsi="Times New Roman" w:eastAsia="宋体" w:cs="Times New Roman"/>
      <w:kern w:val="0"/>
      <w:sz w:val="32"/>
      <w:szCs w:val="32"/>
    </w:rPr>
  </w:style>
  <w:style w:type="table" w:customStyle="1" w:styleId="48">
    <w:name w:val="TableGrid"/>
    <w:qFormat/>
    <w:uiPriority w:val="0"/>
    <w:rPr>
      <w:kern w:val="2"/>
      <w:sz w:val="21"/>
      <w:szCs w:val="22"/>
    </w:rPr>
    <w:tblPr>
      <w:tblLayout w:type="fixed"/>
      <w:tblCellMar>
        <w:top w:w="0" w:type="dxa"/>
        <w:left w:w="0" w:type="dxa"/>
        <w:bottom w:w="0" w:type="dxa"/>
        <w:right w:w="0" w:type="dxa"/>
      </w:tblCellMar>
    </w:tblPr>
  </w:style>
  <w:style w:type="paragraph" w:customStyle="1" w:styleId="49">
    <w:name w:val="绩效正文"/>
    <w:basedOn w:val="1"/>
    <w:link w:val="50"/>
    <w:qFormat/>
    <w:uiPriority w:val="0"/>
    <w:pPr>
      <w:spacing w:line="480" w:lineRule="exact"/>
      <w:textAlignment w:val="baseline"/>
    </w:pPr>
    <w:rPr>
      <w:rFonts w:ascii="Times New Roman" w:hAnsi="Times New Roman" w:eastAsia="仿宋" w:cs="Times New Roman"/>
      <w:sz w:val="28"/>
      <w:szCs w:val="24"/>
    </w:rPr>
  </w:style>
  <w:style w:type="character" w:customStyle="1" w:styleId="50">
    <w:name w:val="绩效正文 字符"/>
    <w:basedOn w:val="15"/>
    <w:link w:val="49"/>
    <w:qFormat/>
    <w:uiPriority w:val="0"/>
    <w:rPr>
      <w:rFonts w:ascii="Times New Roman" w:hAnsi="Times New Roman" w:eastAsia="仿宋" w:cs="Times New Roman"/>
      <w:kern w:val="2"/>
      <w:sz w:val="28"/>
      <w:szCs w:val="24"/>
    </w:rPr>
  </w:style>
  <w:style w:type="paragraph" w:customStyle="1" w:styleId="5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AE6E5E-A855-4284-B671-6DFC8D25E738}">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35</Pages>
  <Words>2542</Words>
  <Characters>14495</Characters>
  <Lines>120</Lines>
  <Paragraphs>34</Paragraphs>
  <TotalTime>0</TotalTime>
  <ScaleCrop>false</ScaleCrop>
  <LinksUpToDate>false</LinksUpToDate>
  <CharactersWithSpaces>17003</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2022-08-15T09:27:00Z</dcterms:created>
  <dc:creator>忠晔 张</dc:creator>
  <cp:lastModifiedBy>User</cp:lastModifiedBy>
  <cp:lastPrinted>2022-10-18T06:10:00Z</cp:lastPrinted>
  <dcterms:modified xsi:type="dcterms:W3CDTF">2023-06-26T00:41:48Z</dcterms:modified>
  <cp:revision>853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5FBB7045FB734518992F213AED159B8F</vt:lpwstr>
  </property>
</Properties>
</file>