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eastAsia="方正小标宋简体"/>
          <w:sz w:val="52"/>
          <w:szCs w:val="52"/>
        </w:rPr>
      </w:pPr>
      <w:r>
        <w:rPr>
          <w:rFonts w:eastAsia="方正小标宋简体"/>
          <w:sz w:val="52"/>
          <w:szCs w:val="52"/>
        </w:rPr>
        <w:t>项目支出</w:t>
      </w:r>
      <w:r>
        <w:rPr>
          <w:rFonts w:hint="eastAsia" w:eastAsia="方正小标宋简体"/>
          <w:sz w:val="52"/>
          <w:szCs w:val="52"/>
        </w:rPr>
        <w:t>绩效评价</w:t>
      </w:r>
      <w:r>
        <w:rPr>
          <w:rFonts w:eastAsia="方正小标宋简体"/>
          <w:sz w:val="52"/>
          <w:szCs w:val="52"/>
        </w:rPr>
        <w:t>报告</w:t>
      </w:r>
    </w:p>
    <w:p>
      <w:pPr>
        <w:ind w:firstLine="0" w:firstLineChars="0"/>
        <w:jc w:val="center"/>
        <w:rPr>
          <w:rFonts w:eastAsia="方正小标宋简体"/>
          <w:sz w:val="48"/>
          <w:szCs w:val="44"/>
        </w:rPr>
      </w:pPr>
      <w:r>
        <w:rPr>
          <w:rFonts w:eastAsia="方正小标宋简体"/>
          <w:sz w:val="40"/>
          <w:szCs w:val="36"/>
        </w:rPr>
        <w:t>（</w:t>
      </w:r>
      <w:r>
        <w:rPr>
          <w:rFonts w:ascii="Times New Roman" w:hAnsi="Times New Roman" w:eastAsia="方正小标宋简体" w:cs="Times New Roman"/>
          <w:sz w:val="40"/>
          <w:szCs w:val="40"/>
        </w:rPr>
        <w:t>2021</w:t>
      </w:r>
      <w:r>
        <w:rPr>
          <w:rFonts w:eastAsia="方正小标宋简体"/>
          <w:sz w:val="40"/>
          <w:szCs w:val="36"/>
        </w:rPr>
        <w:t>年度）</w:t>
      </w:r>
    </w:p>
    <w:p>
      <w:pPr>
        <w:ind w:firstLine="640"/>
        <w:rPr>
          <w:rFonts w:eastAsia="黑体"/>
          <w:sz w:val="32"/>
          <w:szCs w:val="32"/>
        </w:rPr>
      </w:pPr>
    </w:p>
    <w:p>
      <w:pPr>
        <w:ind w:firstLine="640"/>
        <w:rPr>
          <w:rFonts w:eastAsia="黑体"/>
          <w:sz w:val="32"/>
          <w:szCs w:val="32"/>
        </w:rPr>
      </w:pPr>
    </w:p>
    <w:p>
      <w:pPr>
        <w:ind w:firstLine="640"/>
        <w:rPr>
          <w:rFonts w:eastAsia="黑体"/>
          <w:sz w:val="32"/>
          <w:szCs w:val="32"/>
        </w:rPr>
      </w:pPr>
    </w:p>
    <w:p>
      <w:pPr>
        <w:ind w:firstLine="640"/>
        <w:rPr>
          <w:rFonts w:eastAsia="黑体"/>
          <w:sz w:val="32"/>
          <w:szCs w:val="32"/>
        </w:rPr>
      </w:pPr>
    </w:p>
    <w:p>
      <w:pPr>
        <w:ind w:firstLine="640"/>
        <w:rPr>
          <w:rFonts w:eastAsia="黑体"/>
          <w:sz w:val="32"/>
          <w:szCs w:val="32"/>
        </w:rPr>
      </w:pPr>
    </w:p>
    <w:p>
      <w:pPr>
        <w:ind w:firstLine="640"/>
        <w:rPr>
          <w:rFonts w:eastAsia="黑体"/>
          <w:sz w:val="32"/>
          <w:szCs w:val="32"/>
        </w:rPr>
      </w:pPr>
    </w:p>
    <w:p>
      <w:pPr>
        <w:ind w:firstLine="640"/>
        <w:rPr>
          <w:rFonts w:eastAsia="黑体"/>
          <w:sz w:val="32"/>
          <w:szCs w:val="32"/>
        </w:rPr>
      </w:pPr>
    </w:p>
    <w:p>
      <w:pPr>
        <w:ind w:firstLine="480" w:firstLineChars="150"/>
        <w:rPr>
          <w:rFonts w:eastAsia="仿宋_GB2312"/>
          <w:sz w:val="32"/>
          <w:szCs w:val="32"/>
          <w:u w:val="single"/>
        </w:rPr>
      </w:pPr>
      <w:r>
        <w:rPr>
          <w:rFonts w:eastAsia="仿宋_GB2312"/>
          <w:sz w:val="32"/>
          <w:szCs w:val="32"/>
        </w:rPr>
        <w:t>项目名称：</w:t>
      </w:r>
      <w:r>
        <w:rPr>
          <w:rFonts w:hint="eastAsia" w:eastAsia="仿宋_GB2312"/>
          <w:sz w:val="32"/>
          <w:szCs w:val="32"/>
          <w:u w:val="single"/>
        </w:rPr>
        <w:t>金财工程及软件升级</w:t>
      </w:r>
    </w:p>
    <w:p>
      <w:pPr>
        <w:ind w:firstLine="480" w:firstLineChars="150"/>
        <w:rPr>
          <w:rFonts w:eastAsia="仿宋_GB2312"/>
          <w:sz w:val="32"/>
          <w:szCs w:val="32"/>
          <w:u w:val="single"/>
        </w:rPr>
      </w:pPr>
      <w:r>
        <w:rPr>
          <w:rFonts w:eastAsia="仿宋_GB2312"/>
          <w:sz w:val="32"/>
          <w:szCs w:val="32"/>
        </w:rPr>
        <w:t>项目单位：</w:t>
      </w:r>
      <w:r>
        <w:rPr>
          <w:rFonts w:eastAsia="仿宋_GB2312"/>
          <w:sz w:val="32"/>
          <w:szCs w:val="32"/>
          <w:u w:val="single"/>
        </w:rPr>
        <w:t>天津市和平区</w:t>
      </w:r>
      <w:r>
        <w:rPr>
          <w:rFonts w:hint="eastAsia" w:eastAsia="仿宋_GB2312"/>
          <w:sz w:val="32"/>
          <w:szCs w:val="32"/>
          <w:u w:val="single"/>
        </w:rPr>
        <w:t>财政局</w:t>
      </w:r>
    </w:p>
    <w:p>
      <w:pPr>
        <w:ind w:firstLine="480" w:firstLineChars="150"/>
        <w:rPr>
          <w:rFonts w:eastAsia="仿宋_GB2312"/>
          <w:sz w:val="32"/>
          <w:szCs w:val="32"/>
        </w:rPr>
      </w:pPr>
      <w:r>
        <w:rPr>
          <w:rFonts w:eastAsia="仿宋_GB2312"/>
          <w:sz w:val="32"/>
          <w:szCs w:val="32"/>
        </w:rPr>
        <w:t>主管部门：</w:t>
      </w:r>
      <w:r>
        <w:rPr>
          <w:rFonts w:eastAsia="仿宋_GB2312"/>
          <w:sz w:val="32"/>
          <w:szCs w:val="32"/>
          <w:u w:val="single"/>
        </w:rPr>
        <w:t>天津市和平区</w:t>
      </w:r>
      <w:r>
        <w:rPr>
          <w:rFonts w:hint="eastAsia" w:eastAsia="仿宋_GB2312"/>
          <w:sz w:val="32"/>
          <w:szCs w:val="32"/>
          <w:u w:val="single"/>
        </w:rPr>
        <w:t>财政局</w:t>
      </w:r>
    </w:p>
    <w:p>
      <w:pPr>
        <w:ind w:firstLine="480" w:firstLineChars="150"/>
        <w:rPr>
          <w:rFonts w:eastAsia="仿宋_GB2312"/>
          <w:sz w:val="32"/>
          <w:szCs w:val="32"/>
        </w:rPr>
      </w:pPr>
      <w:r>
        <w:rPr>
          <w:rFonts w:eastAsia="仿宋_GB2312"/>
          <w:sz w:val="32"/>
          <w:szCs w:val="32"/>
        </w:rPr>
        <w:t>评</w:t>
      </w:r>
      <w:r>
        <w:rPr>
          <w:rFonts w:hint="eastAsia" w:eastAsia="仿宋_GB2312"/>
          <w:sz w:val="32"/>
          <w:szCs w:val="32"/>
        </w:rPr>
        <w:t>价</w:t>
      </w:r>
      <w:r>
        <w:rPr>
          <w:rFonts w:eastAsia="仿宋_GB2312"/>
          <w:sz w:val="32"/>
          <w:szCs w:val="32"/>
        </w:rPr>
        <w:t>机构</w:t>
      </w:r>
      <w:r>
        <w:rPr>
          <w:rFonts w:hint="eastAsia" w:eastAsia="仿宋_GB2312"/>
          <w:sz w:val="32"/>
          <w:szCs w:val="32"/>
        </w:rPr>
        <w:t>：</w:t>
      </w:r>
      <w:r>
        <w:rPr>
          <w:rFonts w:eastAsia="仿宋_GB2312"/>
          <w:sz w:val="32"/>
          <w:szCs w:val="32"/>
          <w:u w:val="single"/>
        </w:rPr>
        <w:t>天津</w:t>
      </w:r>
      <w:r>
        <w:rPr>
          <w:rFonts w:hint="eastAsia" w:eastAsia="仿宋_GB2312"/>
          <w:sz w:val="32"/>
          <w:szCs w:val="32"/>
          <w:u w:val="single"/>
        </w:rPr>
        <w:t>市和平区财政局</w:t>
      </w:r>
    </w:p>
    <w:p>
      <w:pPr>
        <w:ind w:firstLine="480" w:firstLineChars="150"/>
        <w:rPr>
          <w:rFonts w:eastAsia="仿宋_GB2312"/>
          <w:sz w:val="32"/>
          <w:szCs w:val="32"/>
          <w:u w:val="single"/>
        </w:rPr>
      </w:pPr>
      <w:r>
        <w:rPr>
          <w:rFonts w:eastAsia="仿宋_GB2312"/>
          <w:sz w:val="32"/>
          <w:szCs w:val="32"/>
        </w:rPr>
        <w:t>评</w:t>
      </w:r>
      <w:r>
        <w:rPr>
          <w:rFonts w:hint="eastAsia" w:eastAsia="仿宋_GB2312"/>
          <w:sz w:val="32"/>
          <w:szCs w:val="32"/>
        </w:rPr>
        <w:t>价</w:t>
      </w:r>
      <w:r>
        <w:rPr>
          <w:rFonts w:eastAsia="仿宋_GB2312"/>
          <w:sz w:val="32"/>
          <w:szCs w:val="32"/>
        </w:rPr>
        <w:t>日期：</w:t>
      </w:r>
      <w:r>
        <w:rPr>
          <w:rFonts w:ascii="Times New Roman" w:hAnsi="Times New Roman" w:eastAsia="仿宋_GB2312" w:cs="Times New Roman"/>
          <w:sz w:val="32"/>
          <w:szCs w:val="32"/>
          <w:u w:val="single"/>
        </w:rPr>
        <w:t>2022</w:t>
      </w:r>
      <w:r>
        <w:rPr>
          <w:rFonts w:hint="eastAsia" w:eastAsia="仿宋_GB2312"/>
          <w:sz w:val="32"/>
          <w:szCs w:val="32"/>
          <w:u w:val="single"/>
        </w:rPr>
        <w:t>年</w:t>
      </w:r>
      <w:r>
        <w:rPr>
          <w:rFonts w:ascii="Times New Roman" w:hAnsi="Times New Roman" w:eastAsia="仿宋_GB2312" w:cs="Times New Roman"/>
          <w:sz w:val="32"/>
          <w:szCs w:val="32"/>
          <w:u w:val="single"/>
        </w:rPr>
        <w:t>10</w:t>
      </w:r>
      <w:r>
        <w:rPr>
          <w:rFonts w:hint="eastAsia" w:eastAsia="仿宋_GB2312"/>
          <w:sz w:val="32"/>
          <w:szCs w:val="32"/>
          <w:u w:val="single"/>
        </w:rPr>
        <w:t>月</w:t>
      </w:r>
    </w:p>
    <w:p>
      <w:pPr>
        <w:spacing w:line="560" w:lineRule="exact"/>
        <w:ind w:firstLine="480" w:firstLineChars="150"/>
        <w:rPr>
          <w:rFonts w:eastAsia="仿宋_GB2312"/>
          <w:sz w:val="32"/>
          <w:szCs w:val="32"/>
          <w:u w:val="single"/>
        </w:rPr>
      </w:pPr>
    </w:p>
    <w:p>
      <w:pPr>
        <w:spacing w:line="560" w:lineRule="exact"/>
        <w:ind w:firstLine="640"/>
        <w:jc w:val="center"/>
        <w:rPr>
          <w:rFonts w:ascii="黑体" w:hAnsi="黑体" w:eastAsia="黑体" w:cs="黑体"/>
          <w:sz w:val="32"/>
          <w:szCs w:val="32"/>
        </w:rPr>
      </w:pPr>
    </w:p>
    <w:p>
      <w:pPr>
        <w:widowControl/>
        <w:spacing w:line="560" w:lineRule="exact"/>
        <w:ind w:firstLine="0" w:firstLineChars="0"/>
        <w:rPr>
          <w:rFonts w:ascii="黑体" w:hAnsi="黑体" w:eastAsia="黑体" w:cs="黑体"/>
          <w:sz w:val="32"/>
          <w:szCs w:val="32"/>
        </w:rPr>
      </w:pPr>
      <w:r>
        <w:rPr>
          <w:rFonts w:ascii="黑体" w:hAnsi="黑体" w:eastAsia="黑体" w:cs="黑体"/>
          <w:sz w:val="32"/>
          <w:szCs w:val="32"/>
        </w:rPr>
        <w:br w:type="page"/>
      </w:r>
    </w:p>
    <w:sdt>
      <w:sdtPr>
        <w:rPr>
          <w:rFonts w:asciiTheme="minorHAnsi" w:hAnsiTheme="minorHAnsi" w:eastAsiaTheme="minorEastAsia" w:cstheme="minorBidi"/>
          <w:color w:val="auto"/>
          <w:kern w:val="2"/>
          <w:sz w:val="21"/>
          <w:szCs w:val="21"/>
          <w:lang w:val="zh-CN"/>
        </w:rPr>
        <w:id w:val="1322844121"/>
      </w:sdtPr>
      <w:sdtEndPr>
        <w:rPr>
          <w:rFonts w:asciiTheme="minorHAnsi" w:hAnsiTheme="minorHAnsi" w:eastAsiaTheme="minorEastAsia" w:cstheme="minorBidi"/>
          <w:b/>
          <w:bCs/>
          <w:color w:val="auto"/>
          <w:kern w:val="2"/>
          <w:sz w:val="21"/>
          <w:szCs w:val="21"/>
          <w:lang w:val="zh-CN"/>
        </w:rPr>
      </w:sdtEndPr>
      <w:sdtContent>
        <w:p>
          <w:pPr>
            <w:pStyle w:val="50"/>
            <w:spacing w:line="560" w:lineRule="exact"/>
            <w:ind w:firstLine="420"/>
            <w:jc w:val="center"/>
            <w:rPr>
              <w:rFonts w:ascii="黑体" w:hAnsi="黑体" w:eastAsia="黑体"/>
              <w:color w:val="auto"/>
            </w:rPr>
          </w:pPr>
          <w:r>
            <w:rPr>
              <w:rFonts w:ascii="黑体" w:hAnsi="黑体" w:eastAsia="黑体"/>
              <w:color w:val="auto"/>
              <w:lang w:val="zh-CN"/>
            </w:rPr>
            <w:t>目 录</w:t>
          </w:r>
        </w:p>
        <w:p>
          <w:pPr>
            <w:pStyle w:val="13"/>
            <w:rPr>
              <w:rFonts w:asciiTheme="minorHAnsi" w:eastAsiaTheme="minorEastAsia" w:cstheme="minorBidi"/>
              <w:b w:val="0"/>
              <w:kern w:val="2"/>
              <w:sz w:val="21"/>
              <w:szCs w:val="22"/>
            </w:rPr>
          </w:pPr>
          <w:r>
            <w:fldChar w:fldCharType="begin"/>
          </w:r>
          <w:r>
            <w:instrText xml:space="preserve"> TOC \o "1-3" \h \z \u </w:instrText>
          </w:r>
          <w:r>
            <w:fldChar w:fldCharType="separate"/>
          </w:r>
          <w:r>
            <w:fldChar w:fldCharType="begin"/>
          </w:r>
          <w:r>
            <w:instrText xml:space="preserve"> HYPERLINK \l "_Toc123999524" </w:instrText>
          </w:r>
          <w:r>
            <w:fldChar w:fldCharType="separate"/>
          </w:r>
          <w:r>
            <w:rPr>
              <w:rStyle w:val="15"/>
              <w:rFonts w:hint="eastAsia"/>
            </w:rPr>
            <w:t>一、项目基本情况</w:t>
          </w:r>
          <w:r>
            <w:tab/>
          </w:r>
          <w:r>
            <w:fldChar w:fldCharType="begin"/>
          </w:r>
          <w:r>
            <w:instrText xml:space="preserve"> PAGEREF _Toc123999524 \h </w:instrText>
          </w:r>
          <w:r>
            <w:fldChar w:fldCharType="separate"/>
          </w:r>
          <w:r>
            <w:t>1</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"_Toc123999525" </w:instrText>
          </w:r>
          <w:r>
            <w:fldChar w:fldCharType="separate"/>
          </w:r>
          <w:r>
            <w:rPr>
              <w:rStyle w:val="15"/>
              <w:rFonts w:hint="eastAsia"/>
            </w:rPr>
            <w:t>（一）项目概况</w:t>
          </w:r>
          <w:r>
            <w:tab/>
          </w:r>
          <w:r>
            <w:fldChar w:fldCharType="begin"/>
          </w:r>
          <w:r>
            <w:instrText xml:space="preserve"> PAGEREF _Toc123999525 \h </w:instrText>
          </w:r>
          <w:r>
            <w:fldChar w:fldCharType="separate"/>
          </w:r>
          <w:r>
            <w:t>1</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"_Toc123999526" </w:instrText>
          </w:r>
          <w:r>
            <w:fldChar w:fldCharType="separate"/>
          </w:r>
          <w:r>
            <w:rPr>
              <w:rStyle w:val="15"/>
              <w:rFonts w:hint="eastAsia"/>
            </w:rPr>
            <w:t>（二）项目绩效目标</w:t>
          </w:r>
          <w:r>
            <w:tab/>
          </w:r>
          <w:r>
            <w:fldChar w:fldCharType="begin"/>
          </w:r>
          <w:r>
            <w:instrText xml:space="preserve"> PAGEREF _Toc123999526 \h </w:instrText>
          </w:r>
          <w:r>
            <w:fldChar w:fldCharType="separate"/>
          </w:r>
          <w:r>
            <w:t>3</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"_Toc123999527" </w:instrText>
          </w:r>
          <w:r>
            <w:fldChar w:fldCharType="separate"/>
          </w:r>
          <w:r>
            <w:rPr>
              <w:rStyle w:val="15"/>
              <w:rFonts w:hint="eastAsia"/>
            </w:rPr>
            <w:t>二、绩效评价工作开展情况</w:t>
          </w:r>
          <w:r>
            <w:tab/>
          </w:r>
          <w:r>
            <w:fldChar w:fldCharType="begin"/>
          </w:r>
          <w:r>
            <w:instrText xml:space="preserve"> PAGEREF _Toc123999527 \h </w:instrText>
          </w:r>
          <w:r>
            <w:fldChar w:fldCharType="separate"/>
          </w:r>
          <w:r>
            <w:t>4</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"_Toc123999528" </w:instrText>
          </w:r>
          <w:r>
            <w:fldChar w:fldCharType="separate"/>
          </w:r>
          <w:r>
            <w:rPr>
              <w:rStyle w:val="15"/>
              <w:rFonts w:hint="eastAsia"/>
            </w:rPr>
            <w:t>（一）绩效评价的目的、对象和范围</w:t>
          </w:r>
          <w:r>
            <w:tab/>
          </w:r>
          <w:r>
            <w:fldChar w:fldCharType="begin"/>
          </w:r>
          <w:r>
            <w:instrText xml:space="preserve"> PAGEREF _Toc123999528 \h </w:instrText>
          </w:r>
          <w:r>
            <w:fldChar w:fldCharType="separate"/>
          </w:r>
          <w:r>
            <w:t>4</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"_Toc123999529" </w:instrText>
          </w:r>
          <w:r>
            <w:fldChar w:fldCharType="separate"/>
          </w:r>
          <w:r>
            <w:rPr>
              <w:rStyle w:val="15"/>
              <w:rFonts w:hint="eastAsia"/>
            </w:rPr>
            <w:t>（二）</w:t>
          </w:r>
          <w:r>
            <w:rPr>
              <w:rStyle w:val="15"/>
              <w:rFonts w:hint="eastAsia" w:ascii="楷体_GB2312" w:hAnsi="Times New Roman" w:cs="楷体_GB2312"/>
            </w:rPr>
            <w:t>绩效评价原则、评价指标体系、评价方法</w:t>
          </w:r>
          <w:r>
            <w:tab/>
          </w:r>
          <w:r>
            <w:fldChar w:fldCharType="begin"/>
          </w:r>
          <w:r>
            <w:instrText xml:space="preserve"> PAGEREF _Toc123999529 \h </w:instrText>
          </w:r>
          <w:r>
            <w:fldChar w:fldCharType="separate"/>
          </w:r>
          <w:r>
            <w:t>5</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"_Toc123999530" </w:instrText>
          </w:r>
          <w:r>
            <w:fldChar w:fldCharType="separate"/>
          </w:r>
          <w:r>
            <w:rPr>
              <w:rStyle w:val="15"/>
              <w:rFonts w:hint="eastAsia"/>
            </w:rPr>
            <w:t>（三）绩效评价工作过程</w:t>
          </w:r>
          <w:r>
            <w:tab/>
          </w:r>
          <w:r>
            <w:fldChar w:fldCharType="begin"/>
          </w:r>
          <w:r>
            <w:instrText xml:space="preserve"> PAGEREF _Toc123999530 \h </w:instrText>
          </w:r>
          <w:r>
            <w:fldChar w:fldCharType="separate"/>
          </w:r>
          <w:r>
            <w:t>10</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"_Toc123999531" </w:instrText>
          </w:r>
          <w:r>
            <w:fldChar w:fldCharType="separate"/>
          </w:r>
          <w:r>
            <w:rPr>
              <w:rStyle w:val="15"/>
              <w:rFonts w:hint="eastAsia"/>
            </w:rPr>
            <w:t>三、综合评价情况及评价结论</w:t>
          </w:r>
          <w:r>
            <w:tab/>
          </w:r>
          <w:r>
            <w:fldChar w:fldCharType="begin"/>
          </w:r>
          <w:r>
            <w:instrText xml:space="preserve"> PAGEREF _Toc123999531 \h </w:instrText>
          </w:r>
          <w:r>
            <w:fldChar w:fldCharType="separate"/>
          </w:r>
          <w:r>
            <w:t>12</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"_Toc123999532" </w:instrText>
          </w:r>
          <w:r>
            <w:fldChar w:fldCharType="separate"/>
          </w:r>
          <w:r>
            <w:rPr>
              <w:rStyle w:val="15"/>
              <w:rFonts w:hint="eastAsia"/>
            </w:rPr>
            <w:t>四、绩效评价指标分析</w:t>
          </w:r>
          <w:r>
            <w:tab/>
          </w:r>
          <w:r>
            <w:fldChar w:fldCharType="begin"/>
          </w:r>
          <w:r>
            <w:instrText xml:space="preserve"> PAGEREF _Toc123999532 \h </w:instrText>
          </w:r>
          <w:r>
            <w:fldChar w:fldCharType="separate"/>
          </w:r>
          <w:r>
            <w:t>13</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"_Toc123999533" </w:instrText>
          </w:r>
          <w:r>
            <w:fldChar w:fldCharType="separate"/>
          </w:r>
          <w:r>
            <w:rPr>
              <w:rStyle w:val="15"/>
              <w:rFonts w:hint="eastAsia"/>
            </w:rPr>
            <w:t>（一）项目决策情况</w:t>
          </w:r>
          <w:r>
            <w:tab/>
          </w:r>
          <w:r>
            <w:fldChar w:fldCharType="begin"/>
          </w:r>
          <w:r>
            <w:instrText xml:space="preserve"> PAGEREF _Toc123999533 \h </w:instrText>
          </w:r>
          <w:r>
            <w:fldChar w:fldCharType="separate"/>
          </w:r>
          <w:r>
            <w:t>13</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"_Toc123999534" </w:instrText>
          </w:r>
          <w:r>
            <w:fldChar w:fldCharType="separate"/>
          </w:r>
          <w:r>
            <w:rPr>
              <w:rStyle w:val="15"/>
              <w:rFonts w:hint="eastAsia"/>
            </w:rPr>
            <w:t>（四）项目效益情况</w:t>
          </w:r>
          <w:r>
            <w:tab/>
          </w:r>
          <w:r>
            <w:fldChar w:fldCharType="begin"/>
          </w:r>
          <w:r>
            <w:instrText xml:space="preserve"> PAGEREF _Toc123999534 \h </w:instrText>
          </w:r>
          <w:r>
            <w:fldChar w:fldCharType="separate"/>
          </w:r>
          <w:r>
            <w:t>20</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"_Toc123999535" </w:instrText>
          </w:r>
          <w:r>
            <w:fldChar w:fldCharType="separate"/>
          </w:r>
          <w:r>
            <w:rPr>
              <w:rStyle w:val="15"/>
              <w:rFonts w:hint="eastAsia"/>
            </w:rPr>
            <w:t>五、存在的主要问题</w:t>
          </w:r>
          <w:r>
            <w:tab/>
          </w:r>
          <w:r>
            <w:fldChar w:fldCharType="begin"/>
          </w:r>
          <w:r>
            <w:instrText xml:space="preserve"> PAGEREF _Toc123999535 \h </w:instrText>
          </w:r>
          <w:r>
            <w:fldChar w:fldCharType="separate"/>
          </w:r>
          <w:r>
            <w:t>21</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"_Toc123999536" </w:instrText>
          </w:r>
          <w:r>
            <w:fldChar w:fldCharType="separate"/>
          </w:r>
          <w:r>
            <w:rPr>
              <w:rStyle w:val="15"/>
              <w:rFonts w:hint="eastAsia"/>
            </w:rPr>
            <w:t>（一）项目绩效目标设置全面性、细化程度不足</w:t>
          </w:r>
          <w:r>
            <w:tab/>
          </w:r>
          <w:r>
            <w:fldChar w:fldCharType="begin"/>
          </w:r>
          <w:r>
            <w:instrText xml:space="preserve"> PAGEREF _Toc123999536 \h </w:instrText>
          </w:r>
          <w:r>
            <w:fldChar w:fldCharType="separate"/>
          </w:r>
          <w:r>
            <w:t>21</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"_Toc123999537" </w:instrText>
          </w:r>
          <w:r>
            <w:fldChar w:fldCharType="separate"/>
          </w:r>
          <w:r>
            <w:rPr>
              <w:rStyle w:val="15"/>
              <w:rFonts w:hint="eastAsia" w:ascii="Times New Roman" w:hAnsi="Times New Roman"/>
            </w:rPr>
            <w:t>（二）</w:t>
          </w:r>
          <w:r>
            <w:rPr>
              <w:rStyle w:val="15"/>
              <w:rFonts w:hint="eastAsia"/>
            </w:rPr>
            <w:t>区属预算单位软件问题解决率有待提高</w:t>
          </w:r>
          <w:r>
            <w:tab/>
          </w:r>
          <w:r>
            <w:fldChar w:fldCharType="begin"/>
          </w:r>
          <w:r>
            <w:instrText xml:space="preserve"> PAGEREF _Toc123999537 \h </w:instrText>
          </w:r>
          <w:r>
            <w:fldChar w:fldCharType="separate"/>
          </w:r>
          <w:r>
            <w:t>22</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"_Toc123999538" </w:instrText>
          </w:r>
          <w:r>
            <w:fldChar w:fldCharType="separate"/>
          </w:r>
          <w:r>
            <w:rPr>
              <w:rStyle w:val="15"/>
              <w:rFonts w:hint="eastAsia"/>
            </w:rPr>
            <w:t>（三）项目测算过程不够细化</w:t>
          </w:r>
          <w:r>
            <w:tab/>
          </w:r>
          <w:r>
            <w:fldChar w:fldCharType="begin"/>
          </w:r>
          <w:r>
            <w:instrText xml:space="preserve"> PAGEREF _Toc123999538 \h </w:instrText>
          </w:r>
          <w:r>
            <w:fldChar w:fldCharType="separate"/>
          </w:r>
          <w:r>
            <w:t>22</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"_Toc123999539" </w:instrText>
          </w:r>
          <w:r>
            <w:fldChar w:fldCharType="separate"/>
          </w:r>
          <w:r>
            <w:rPr>
              <w:rStyle w:val="15"/>
              <w:rFonts w:hint="eastAsia"/>
            </w:rPr>
            <w:t>六、相关建议</w:t>
          </w:r>
          <w:r>
            <w:tab/>
          </w:r>
          <w:r>
            <w:fldChar w:fldCharType="begin"/>
          </w:r>
          <w:r>
            <w:instrText xml:space="preserve"> PAGEREF _Toc123999539 \h </w:instrText>
          </w:r>
          <w:r>
            <w:fldChar w:fldCharType="separate"/>
          </w:r>
          <w:r>
            <w:t>22</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"_Toc123999540" </w:instrText>
          </w:r>
          <w:r>
            <w:fldChar w:fldCharType="separate"/>
          </w:r>
          <w:r>
            <w:rPr>
              <w:rStyle w:val="15"/>
              <w:rFonts w:hint="eastAsia"/>
            </w:rPr>
            <w:t>（一）加强绩效理念，提升绩效管理水平</w:t>
          </w:r>
          <w:r>
            <w:tab/>
          </w:r>
          <w:r>
            <w:fldChar w:fldCharType="begin"/>
          </w:r>
          <w:r>
            <w:instrText xml:space="preserve"> PAGEREF _Toc123999540 \h </w:instrText>
          </w:r>
          <w:r>
            <w:fldChar w:fldCharType="separate"/>
          </w:r>
          <w:r>
            <w:t>22</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"_Toc123999541" </w:instrText>
          </w:r>
          <w:r>
            <w:fldChar w:fldCharType="separate"/>
          </w:r>
          <w:r>
            <w:rPr>
              <w:rStyle w:val="15"/>
              <w:rFonts w:hint="eastAsia"/>
            </w:rPr>
            <w:t>（二）加强沟通，提高软件问题解决率</w:t>
          </w:r>
          <w:r>
            <w:tab/>
          </w:r>
          <w:r>
            <w:fldChar w:fldCharType="begin"/>
          </w:r>
          <w:r>
            <w:instrText xml:space="preserve"> PAGEREF _Toc123999541 \h </w:instrText>
          </w:r>
          <w:r>
            <w:fldChar w:fldCharType="separate"/>
          </w:r>
          <w:r>
            <w:t>23</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"_Toc123999542" </w:instrText>
          </w:r>
          <w:r>
            <w:fldChar w:fldCharType="separate"/>
          </w:r>
          <w:r>
            <w:rPr>
              <w:rStyle w:val="15"/>
              <w:rFonts w:hint="eastAsia"/>
            </w:rPr>
            <w:t>（三）加强项目预算编制与资金管理</w:t>
          </w:r>
          <w:r>
            <w:tab/>
          </w:r>
          <w:r>
            <w:fldChar w:fldCharType="begin"/>
          </w:r>
          <w:r>
            <w:instrText xml:space="preserve"> PAGEREF _Toc123999542 \h </w:instrText>
          </w:r>
          <w:r>
            <w:fldChar w:fldCharType="separate"/>
          </w:r>
          <w:r>
            <w:t>23</w:t>
          </w:r>
          <w:r>
            <w:fldChar w:fldCharType="end"/>
          </w:r>
          <w:r>
            <w:fldChar w:fldCharType="end"/>
          </w:r>
        </w:p>
        <w:p>
          <w:pPr>
            <w:pStyle w:val="13"/>
            <w:rPr>
              <w:rFonts w:asciiTheme="minorHAnsi" w:eastAsiaTheme="minorEastAsia" w:cstheme="minorBidi"/>
              <w:b w:val="0"/>
              <w:kern w:val="2"/>
              <w:sz w:val="21"/>
              <w:szCs w:val="22"/>
            </w:rPr>
          </w:pPr>
          <w:r>
            <w:fldChar w:fldCharType="begin"/>
          </w:r>
          <w:r>
            <w:instrText xml:space="preserve"> HYPERLINK \l "_Toc123999543" </w:instrText>
          </w:r>
          <w:r>
            <w:fldChar w:fldCharType="separate"/>
          </w:r>
          <w:r>
            <w:rPr>
              <w:rStyle w:val="15"/>
              <w:rFonts w:hint="eastAsia"/>
            </w:rPr>
            <w:t>七、附件</w:t>
          </w:r>
          <w:r>
            <w:tab/>
          </w:r>
          <w:r>
            <w:fldChar w:fldCharType="begin"/>
          </w:r>
          <w:r>
            <w:instrText xml:space="preserve"> PAGEREF _Toc123999543 \h </w:instrText>
          </w:r>
          <w:r>
            <w:fldChar w:fldCharType="separate"/>
          </w:r>
          <w:r>
            <w:t>24</w:t>
          </w:r>
          <w:r>
            <w:fldChar w:fldCharType="end"/>
          </w:r>
          <w:r>
            <w:fldChar w:fldCharType="end"/>
          </w:r>
        </w:p>
        <w:p>
          <w:pPr>
            <w:pStyle w:val="10"/>
            <w:rPr>
              <w:rFonts w:asciiTheme="minorHAnsi" w:eastAsiaTheme="minorEastAsia" w:cstheme="minorBidi"/>
              <w:spacing w:val="0"/>
              <w:sz w:val="21"/>
              <w:szCs w:val="22"/>
            </w:rPr>
          </w:pPr>
          <w:r>
            <w:fldChar w:fldCharType="begin"/>
          </w:r>
          <w:r>
            <w:instrText xml:space="preserve"> HYPERLINK \l "_Toc123999544" </w:instrText>
          </w:r>
          <w:r>
            <w:fldChar w:fldCharType="separate"/>
          </w:r>
          <w:r>
            <w:rPr>
              <w:rStyle w:val="15"/>
              <w:rFonts w:hint="eastAsia" w:ascii="Times New Roman" w:hAnsi="Times New Roman"/>
            </w:rPr>
            <w:t>附件：天津市和平区财政局金财工程及软件升级项目绩效评价指标体系及评分表</w:t>
          </w:r>
          <w:r>
            <w:tab/>
          </w:r>
          <w:r>
            <w:fldChar w:fldCharType="begin"/>
          </w:r>
          <w:r>
            <w:instrText xml:space="preserve"> PAGEREF _Toc123999544 \h </w:instrText>
          </w:r>
          <w:r>
            <w:fldChar w:fldCharType="separate"/>
          </w:r>
          <w:r>
            <w:t>24</w:t>
          </w:r>
          <w:r>
            <w:fldChar w:fldCharType="end"/>
          </w:r>
          <w:r>
            <w:fldChar w:fldCharType="end"/>
          </w:r>
        </w:p>
        <w:p>
          <w:pPr>
            <w:spacing w:line="560" w:lineRule="exact"/>
            <w:ind w:firstLine="420"/>
          </w:pPr>
          <w:r>
            <w:rPr>
              <w:b/>
              <w:bCs/>
              <w:lang w:val="zh-CN"/>
            </w:rPr>
            <w:fldChar w:fldCharType="end"/>
          </w:r>
        </w:p>
      </w:sdtContent>
    </w:sdt>
    <w:p>
      <w:pPr>
        <w:widowControl/>
        <w:spacing w:line="560" w:lineRule="exact"/>
        <w:ind w:firstLine="0" w:firstLineChars="0"/>
        <w:rPr>
          <w:rFonts w:ascii="方正小标宋简体" w:hAnsi="方正小标宋简体" w:eastAsia="方正小标宋简体"/>
          <w:bCs/>
          <w:kern w:val="44"/>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268" w:right="1797" w:bottom="1701" w:left="1797" w:header="851" w:footer="992" w:gutter="0"/>
          <w:pgNumType w:fmt="numberInDash"/>
          <w:cols w:space="425" w:num="1"/>
          <w:docGrid w:type="lines" w:linePitch="312" w:charSpace="0"/>
        </w:sectPr>
      </w:pPr>
      <w:bookmarkStart w:id="32" w:name="_GoBack"/>
      <w:bookmarkEnd w:id="32"/>
    </w:p>
    <w:p>
      <w:pPr>
        <w:pStyle w:val="25"/>
        <w:spacing w:line="580" w:lineRule="exact"/>
        <w:ind w:firstLine="640"/>
      </w:pPr>
      <w:r>
        <w:t>为提高财政资金使用效益，合理配置公共财政资源，根据市委、市政府关于全面推进预算绩效管理的实施方案和《天津市市级财政项目支出绩效评价管理办法》（津财绩效〔2020〕12号）等文件要求，</w:t>
      </w:r>
      <w:r>
        <w:rPr>
          <w:rFonts w:hint="eastAsia"/>
        </w:rPr>
        <w:t>天津市和平区财政局</w:t>
      </w:r>
      <w:r>
        <w:t>于2022年10</w:t>
      </w:r>
      <w:r>
        <w:rPr>
          <w:rFonts w:hint="eastAsia"/>
        </w:rPr>
        <w:t>月</w:t>
      </w:r>
      <w:r>
        <w:t>，对</w:t>
      </w:r>
      <w:r>
        <w:rPr>
          <w:rFonts w:hint="eastAsia"/>
        </w:rPr>
        <w:t>2</w:t>
      </w:r>
      <w:r>
        <w:t>021</w:t>
      </w:r>
      <w:r>
        <w:rPr>
          <w:rFonts w:hint="eastAsia"/>
        </w:rPr>
        <w:t>年度天津市和平区财政局</w:t>
      </w:r>
      <w:r>
        <w:t>的“</w:t>
      </w:r>
      <w:r>
        <w:rPr>
          <w:rFonts w:hint="eastAsia"/>
        </w:rPr>
        <w:t>金财工程及软件升级</w:t>
      </w:r>
      <w:r>
        <w:t>”</w:t>
      </w:r>
      <w:r>
        <w:rPr>
          <w:rFonts w:hint="eastAsia"/>
        </w:rPr>
        <w:t>项目</w:t>
      </w:r>
      <w:r>
        <w:t>开展了绩效评价。该项目评价结果为</w:t>
      </w:r>
      <w:r>
        <w:rPr>
          <w:rFonts w:hint="eastAsia"/>
        </w:rPr>
        <w:t>92</w:t>
      </w:r>
      <w:r>
        <w:rPr>
          <w:rFonts w:hint="eastAsia"/>
          <w:lang w:val="en-US" w:eastAsia="zh-CN"/>
        </w:rPr>
        <w:t>.5</w:t>
      </w:r>
      <w:r>
        <w:t>分，评价等级为“</w:t>
      </w:r>
      <w:r>
        <w:rPr>
          <w:rFonts w:hint="eastAsia"/>
        </w:rPr>
        <w:t>优</w:t>
      </w:r>
      <w:r>
        <w:t>”，有关情况如下。</w:t>
      </w:r>
    </w:p>
    <w:p>
      <w:pPr>
        <w:pStyle w:val="27"/>
        <w:spacing w:line="580" w:lineRule="exact"/>
      </w:pPr>
      <w:bookmarkStart w:id="0" w:name="_Toc123999524"/>
      <w:bookmarkStart w:id="1" w:name="_Hlk91875033"/>
      <w:r>
        <w:rPr>
          <w:rFonts w:hint="eastAsia"/>
        </w:rPr>
        <w:t>一、项目基本情况</w:t>
      </w:r>
      <w:bookmarkEnd w:id="0"/>
    </w:p>
    <w:p>
      <w:pPr>
        <w:pStyle w:val="29"/>
        <w:spacing w:line="580" w:lineRule="exact"/>
        <w:ind w:firstLine="640"/>
      </w:pPr>
      <w:bookmarkStart w:id="2" w:name="_Toc123999525"/>
      <w:r>
        <w:rPr>
          <w:rFonts w:hint="eastAsia"/>
        </w:rPr>
        <w:t>（一）项目概况</w:t>
      </w:r>
      <w:bookmarkEnd w:id="2"/>
    </w:p>
    <w:p>
      <w:pPr>
        <w:pStyle w:val="25"/>
        <w:spacing w:line="580" w:lineRule="exact"/>
        <w:ind w:firstLine="640"/>
      </w:pPr>
      <w:r>
        <w:rPr>
          <w:rFonts w:hint="eastAsia"/>
        </w:rPr>
        <w:t>1.项目背景</w:t>
      </w:r>
    </w:p>
    <w:p>
      <w:pPr>
        <w:pStyle w:val="25"/>
        <w:spacing w:line="580" w:lineRule="exact"/>
        <w:ind w:firstLine="640"/>
      </w:pPr>
      <w:r>
        <w:rPr>
          <w:rFonts w:hint="eastAsia"/>
        </w:rPr>
        <w:t>深入实施金财工程应用支撑平台（以下简称“平台”），是做好新形势下财政信息化工作的一项重大任务。按照财政部的要求及市局的统一部署，和平区从2011年上半年开始，按照“以平台促应用、以应用推平台”的思路，全面开展平台建设实施工作。截至目前，和平区财政局基于平台已构建起财政资金监控和数据统计分析体系，有力促进了财政管理的科学化精细化。</w:t>
      </w:r>
    </w:p>
    <w:p>
      <w:pPr>
        <w:pStyle w:val="25"/>
        <w:spacing w:line="580" w:lineRule="exact"/>
        <w:ind w:firstLine="640"/>
      </w:pPr>
      <w:r>
        <w:rPr>
          <w:rFonts w:hint="eastAsia"/>
        </w:rPr>
        <w:t>2.主要内容</w:t>
      </w:r>
    </w:p>
    <w:p>
      <w:pPr>
        <w:autoSpaceDE w:val="0"/>
        <w:autoSpaceDN w:val="0"/>
        <w:adjustRightInd w:val="0"/>
        <w:spacing w:line="580" w:lineRule="exact"/>
        <w:ind w:firstLine="640"/>
        <w:rPr>
          <w:rFonts w:ascii="Times New Roman" w:hAnsi="Times New Roman" w:eastAsia="仿宋_GB2312"/>
          <w:sz w:val="32"/>
        </w:rPr>
      </w:pPr>
      <w:r>
        <w:rPr>
          <w:rFonts w:hint="eastAsia" w:ascii="Times New Roman" w:hAnsi="Times New Roman" w:eastAsia="仿宋_GB2312"/>
          <w:sz w:val="32"/>
        </w:rPr>
        <w:t>金财工程及软件升级项目内容主要是：根据</w:t>
      </w:r>
      <w:r>
        <w:rPr>
          <w:rFonts w:ascii="Times New Roman" w:hAnsi="Times New Roman" w:eastAsia="仿宋_GB2312"/>
          <w:sz w:val="32"/>
        </w:rPr>
        <w:t>“金财工程”建设的有关要求</w:t>
      </w:r>
      <w:r>
        <w:rPr>
          <w:rFonts w:hint="eastAsia" w:ascii="Times New Roman" w:hAnsi="Times New Roman" w:eastAsia="仿宋_GB2312"/>
          <w:sz w:val="32"/>
        </w:rPr>
        <w:t>，</w:t>
      </w:r>
      <w:r>
        <w:rPr>
          <w:rFonts w:ascii="Times New Roman" w:hAnsi="Times New Roman" w:eastAsia="仿宋_GB2312"/>
          <w:sz w:val="32"/>
        </w:rPr>
        <w:t>设立金财工程建设维护专项资金，主要用于支持财政信息化项目建设、运维和管理，为财政改革发展提供信息支撑和技术保障，促进财政科学化、规范化和信息化管理水平</w:t>
      </w:r>
      <w:r>
        <w:rPr>
          <w:rFonts w:hint="eastAsia" w:ascii="Times New Roman" w:hAnsi="Times New Roman" w:eastAsia="仿宋_GB2312"/>
          <w:sz w:val="32"/>
        </w:rPr>
        <w:t>提升</w:t>
      </w:r>
      <w:r>
        <w:rPr>
          <w:rFonts w:hint="eastAsia" w:ascii="Times New Roman" w:hAnsi="Times New Roman" w:eastAsia="仿宋_GB2312"/>
          <w:sz w:val="32"/>
          <w:lang w:eastAsia="zh-CN"/>
        </w:rPr>
        <w:t>。目前覆盖财务管理软件、工资统发管理系统、政府财务报告集中编报、数据分析开发、账户管理系统运维、直达资金接口改造销售及实施、预算外管理系统、系统运维服务、指标管理系统、直达资金监控系统、行政事业单位资产管理信息系统、部门决算系统、公务员工资管理云平台、机关事业单位工资管理系统等</w:t>
      </w:r>
      <w:r>
        <w:rPr>
          <w:rFonts w:hint="eastAsia" w:ascii="Times New Roman" w:hAnsi="Times New Roman" w:eastAsia="仿宋_GB2312"/>
          <w:sz w:val="32"/>
          <w:lang w:val="en-US" w:eastAsia="zh-CN"/>
        </w:rPr>
        <w:t>14个信息化软件。</w:t>
      </w:r>
    </w:p>
    <w:p>
      <w:pPr>
        <w:pStyle w:val="25"/>
        <w:spacing w:line="580" w:lineRule="exact"/>
        <w:ind w:firstLine="640"/>
      </w:pPr>
      <w:r>
        <w:rPr>
          <w:rFonts w:hint="eastAsia"/>
        </w:rPr>
        <w:t>3.项目组织管理</w:t>
      </w:r>
    </w:p>
    <w:p>
      <w:pPr>
        <w:pStyle w:val="25"/>
        <w:spacing w:line="580" w:lineRule="exact"/>
        <w:ind w:firstLine="640"/>
      </w:pPr>
      <w:r>
        <w:rPr>
          <w:rFonts w:hint="eastAsia"/>
        </w:rPr>
        <w:t>天津市和平区财政局，负责与第三方服务机构签订服务合同，对服务质量组织验收，负责制定项目业务制度，统筹监督管理项目的具体开展情况，完成项目资金的使用，保障项目顺利实施。</w:t>
      </w:r>
    </w:p>
    <w:p>
      <w:pPr>
        <w:pStyle w:val="25"/>
        <w:spacing w:line="580" w:lineRule="exact"/>
        <w:ind w:firstLine="640"/>
      </w:pPr>
      <w:r>
        <w:rPr>
          <w:rFonts w:hint="eastAsia"/>
        </w:rPr>
        <w:t>4.资金投入和使用情况</w:t>
      </w:r>
    </w:p>
    <w:p>
      <w:pPr>
        <w:pStyle w:val="25"/>
        <w:spacing w:line="580" w:lineRule="exact"/>
        <w:ind w:firstLine="640"/>
      </w:pPr>
      <w:r>
        <w:rPr>
          <w:rFonts w:hint="eastAsia"/>
        </w:rPr>
        <w:t>项目预算安排区级资金80.8万元，全部为区财政资金。截至2</w:t>
      </w:r>
      <w:r>
        <w:t>021</w:t>
      </w:r>
      <w:r>
        <w:rPr>
          <w:rFonts w:hint="eastAsia"/>
        </w:rPr>
        <w:t>年1</w:t>
      </w:r>
      <w:r>
        <w:t>2</w:t>
      </w:r>
      <w:r>
        <w:rPr>
          <w:rFonts w:hint="eastAsia"/>
        </w:rPr>
        <w:t>月3</w:t>
      </w:r>
      <w:r>
        <w:t>1</w:t>
      </w:r>
      <w:r>
        <w:rPr>
          <w:rFonts w:hint="eastAsia"/>
        </w:rPr>
        <w:t>日，区级资金已到位80.8万元，资金到位率1</w:t>
      </w:r>
      <w:r>
        <w:t>00</w:t>
      </w:r>
      <w:r>
        <w:rPr>
          <w:rFonts w:hint="eastAsia"/>
        </w:rPr>
        <w:t>%。</w:t>
      </w:r>
    </w:p>
    <w:p>
      <w:pPr>
        <w:pStyle w:val="25"/>
        <w:spacing w:line="580" w:lineRule="exact"/>
        <w:ind w:firstLine="640"/>
      </w:pPr>
      <w:r>
        <w:rPr>
          <w:rFonts w:hint="eastAsia"/>
        </w:rPr>
        <w:t>项目执行过程中，实际支出区级资金80.8万元，预算执行率</w:t>
      </w:r>
      <w:r>
        <w:t>100</w:t>
      </w:r>
      <w:r>
        <w:rPr>
          <w:rFonts w:hint="eastAsia"/>
        </w:rPr>
        <w:t>%。</w:t>
      </w:r>
    </w:p>
    <w:p>
      <w:pPr>
        <w:pStyle w:val="25"/>
        <w:spacing w:line="580" w:lineRule="exact"/>
        <w:ind w:firstLine="640"/>
      </w:pPr>
      <w:r>
        <w:rPr>
          <w:rFonts w:hint="eastAsia"/>
        </w:rPr>
        <w:t>资金具体情况见表1：</w:t>
      </w:r>
    </w:p>
    <w:p>
      <w:pPr>
        <w:pStyle w:val="32"/>
        <w:spacing w:line="580" w:lineRule="exact"/>
        <w:rPr>
          <w:rFonts w:eastAsia="黑体" w:cs="宋体"/>
          <w:bCs w:val="0"/>
          <w:sz w:val="28"/>
          <w:szCs w:val="28"/>
        </w:rPr>
      </w:pPr>
    </w:p>
    <w:p>
      <w:pPr>
        <w:pStyle w:val="32"/>
        <w:spacing w:line="580" w:lineRule="exact"/>
        <w:rPr>
          <w:rFonts w:eastAsia="黑体" w:cs="宋体"/>
          <w:bCs w:val="0"/>
          <w:sz w:val="28"/>
          <w:szCs w:val="28"/>
        </w:rPr>
      </w:pPr>
    </w:p>
    <w:p>
      <w:pPr>
        <w:pStyle w:val="32"/>
        <w:spacing w:line="580" w:lineRule="exact"/>
        <w:rPr>
          <w:rFonts w:eastAsia="黑体" w:cs="宋体"/>
          <w:bCs w:val="0"/>
          <w:sz w:val="28"/>
          <w:szCs w:val="28"/>
        </w:rPr>
      </w:pPr>
      <w:r>
        <w:rPr>
          <w:rFonts w:eastAsia="黑体" w:cs="宋体"/>
          <w:bCs w:val="0"/>
          <w:sz w:val="28"/>
          <w:szCs w:val="28"/>
        </w:rPr>
        <w:t>表1  资金预算执行率情况表</w:t>
      </w:r>
    </w:p>
    <w:p>
      <w:pPr>
        <w:pStyle w:val="33"/>
        <w:spacing w:line="580" w:lineRule="exact"/>
      </w:pPr>
      <w:r>
        <w:rPr>
          <w:rFonts w:hint="eastAsia"/>
        </w:rPr>
        <w:t>单位：万元</w:t>
      </w:r>
    </w:p>
    <w:tbl>
      <w:tblPr>
        <w:tblStyle w:val="18"/>
        <w:tblW w:w="852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49"/>
        <w:gridCol w:w="1456"/>
        <w:gridCol w:w="1460"/>
        <w:gridCol w:w="1311"/>
        <w:gridCol w:w="1456"/>
        <w:gridCol w:w="139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blHeader/>
          <w:jc w:val="center"/>
        </w:trPr>
        <w:tc>
          <w:tcPr>
            <w:tcW w:w="1449" w:type="dxa"/>
            <w:vAlign w:val="center"/>
          </w:tcPr>
          <w:p>
            <w:pPr>
              <w:pStyle w:val="35"/>
              <w:spacing w:line="580" w:lineRule="exact"/>
            </w:pPr>
            <w:r>
              <w:rPr>
                <w:rFonts w:hint="eastAsia"/>
              </w:rPr>
              <w:t>资金计划</w:t>
            </w:r>
          </w:p>
          <w:p>
            <w:pPr>
              <w:pStyle w:val="35"/>
              <w:spacing w:line="580" w:lineRule="exact"/>
            </w:pPr>
            <w:r>
              <w:rPr>
                <w:rFonts w:hint="eastAsia"/>
              </w:rPr>
              <w:t>下达时间</w:t>
            </w:r>
          </w:p>
        </w:tc>
        <w:tc>
          <w:tcPr>
            <w:tcW w:w="1456" w:type="dxa"/>
            <w:vAlign w:val="center"/>
          </w:tcPr>
          <w:p>
            <w:pPr>
              <w:pStyle w:val="35"/>
              <w:spacing w:line="580" w:lineRule="exact"/>
            </w:pPr>
            <w:r>
              <w:rPr>
                <w:rFonts w:hint="eastAsia"/>
              </w:rPr>
              <w:t>资金计划</w:t>
            </w:r>
          </w:p>
          <w:p>
            <w:pPr>
              <w:pStyle w:val="35"/>
              <w:spacing w:line="580" w:lineRule="exact"/>
            </w:pPr>
            <w:r>
              <w:rPr>
                <w:rFonts w:hint="eastAsia"/>
              </w:rPr>
              <w:t>下达金额</w:t>
            </w:r>
          </w:p>
        </w:tc>
        <w:tc>
          <w:tcPr>
            <w:tcW w:w="1460" w:type="dxa"/>
            <w:vAlign w:val="center"/>
          </w:tcPr>
          <w:p>
            <w:pPr>
              <w:pStyle w:val="35"/>
              <w:spacing w:line="580" w:lineRule="exact"/>
            </w:pPr>
            <w:r>
              <w:rPr>
                <w:rFonts w:hint="eastAsia"/>
              </w:rPr>
              <w:t>实际到位</w:t>
            </w:r>
          </w:p>
          <w:p>
            <w:pPr>
              <w:pStyle w:val="35"/>
              <w:spacing w:line="580" w:lineRule="exact"/>
            </w:pPr>
            <w:r>
              <w:rPr>
                <w:rFonts w:hint="eastAsia"/>
              </w:rPr>
              <w:t>资金</w:t>
            </w:r>
          </w:p>
        </w:tc>
        <w:tc>
          <w:tcPr>
            <w:tcW w:w="1311" w:type="dxa"/>
            <w:vAlign w:val="center"/>
          </w:tcPr>
          <w:p>
            <w:pPr>
              <w:pStyle w:val="35"/>
              <w:spacing w:line="580" w:lineRule="exact"/>
            </w:pPr>
            <w:r>
              <w:rPr>
                <w:rFonts w:hint="eastAsia"/>
              </w:rPr>
              <w:t>资金到位率</w:t>
            </w:r>
          </w:p>
        </w:tc>
        <w:tc>
          <w:tcPr>
            <w:tcW w:w="1456" w:type="dxa"/>
            <w:vAlign w:val="center"/>
          </w:tcPr>
          <w:p>
            <w:pPr>
              <w:pStyle w:val="35"/>
              <w:spacing w:line="580" w:lineRule="exact"/>
            </w:pPr>
            <w:r>
              <w:rPr>
                <w:rFonts w:hint="eastAsia"/>
              </w:rPr>
              <w:t>实际支付</w:t>
            </w:r>
          </w:p>
          <w:p>
            <w:pPr>
              <w:pStyle w:val="35"/>
              <w:spacing w:line="580" w:lineRule="exact"/>
            </w:pPr>
            <w:r>
              <w:rPr>
                <w:rFonts w:hint="eastAsia"/>
              </w:rPr>
              <w:t>资金</w:t>
            </w:r>
          </w:p>
        </w:tc>
        <w:tc>
          <w:tcPr>
            <w:tcW w:w="1396" w:type="dxa"/>
            <w:vAlign w:val="center"/>
          </w:tcPr>
          <w:p>
            <w:pPr>
              <w:pStyle w:val="35"/>
              <w:spacing w:line="580" w:lineRule="exact"/>
            </w:pPr>
            <w:r>
              <w:rPr>
                <w:rFonts w:hint="eastAsia"/>
              </w:rPr>
              <w:t>预算执行率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449" w:type="dxa"/>
            <w:vAlign w:val="center"/>
          </w:tcPr>
          <w:p>
            <w:pPr>
              <w:pStyle w:val="37"/>
              <w:spacing w:line="580" w:lineRule="exact"/>
              <w:jc w:val="center"/>
            </w:pPr>
            <w:r>
              <w:rPr>
                <w:rFonts w:hint="eastAsia"/>
              </w:rPr>
              <w:t>2021年</w:t>
            </w:r>
          </w:p>
        </w:tc>
        <w:tc>
          <w:tcPr>
            <w:tcW w:w="1456" w:type="dxa"/>
            <w:vAlign w:val="center"/>
          </w:tcPr>
          <w:p>
            <w:pPr>
              <w:pStyle w:val="37"/>
              <w:spacing w:line="580" w:lineRule="exact"/>
              <w:jc w:val="center"/>
            </w:pPr>
            <w:r>
              <w:rPr>
                <w:rFonts w:hint="eastAsia"/>
              </w:rPr>
              <w:t>80.8</w:t>
            </w:r>
          </w:p>
        </w:tc>
        <w:tc>
          <w:tcPr>
            <w:tcW w:w="1460" w:type="dxa"/>
            <w:vAlign w:val="center"/>
          </w:tcPr>
          <w:p>
            <w:pPr>
              <w:pStyle w:val="37"/>
              <w:spacing w:line="580" w:lineRule="exact"/>
              <w:jc w:val="center"/>
            </w:pPr>
            <w:r>
              <w:rPr>
                <w:rFonts w:hint="eastAsia"/>
              </w:rPr>
              <w:t>80.8</w:t>
            </w:r>
          </w:p>
        </w:tc>
        <w:tc>
          <w:tcPr>
            <w:tcW w:w="1311" w:type="dxa"/>
            <w:vAlign w:val="center"/>
          </w:tcPr>
          <w:p>
            <w:pPr>
              <w:pStyle w:val="37"/>
              <w:spacing w:line="580" w:lineRule="exact"/>
              <w:jc w:val="center"/>
            </w:pPr>
            <w:r>
              <w:rPr>
                <w:rFonts w:hint="eastAsia"/>
              </w:rPr>
              <w:t>100%</w:t>
            </w:r>
          </w:p>
        </w:tc>
        <w:tc>
          <w:tcPr>
            <w:tcW w:w="1456" w:type="dxa"/>
            <w:vAlign w:val="center"/>
          </w:tcPr>
          <w:p>
            <w:pPr>
              <w:pStyle w:val="37"/>
              <w:spacing w:line="580" w:lineRule="exact"/>
              <w:jc w:val="center"/>
            </w:pPr>
            <w:r>
              <w:rPr>
                <w:rFonts w:hint="eastAsia"/>
              </w:rPr>
              <w:t>80.8</w:t>
            </w:r>
          </w:p>
        </w:tc>
        <w:tc>
          <w:tcPr>
            <w:tcW w:w="1396" w:type="dxa"/>
            <w:vAlign w:val="center"/>
          </w:tcPr>
          <w:p>
            <w:pPr>
              <w:pStyle w:val="37"/>
              <w:spacing w:line="580" w:lineRule="exact"/>
              <w:jc w:val="center"/>
            </w:pPr>
            <w:r>
              <w:t>100%</w:t>
            </w:r>
          </w:p>
        </w:tc>
      </w:tr>
    </w:tbl>
    <w:p>
      <w:pPr>
        <w:pStyle w:val="29"/>
        <w:spacing w:line="580" w:lineRule="exact"/>
        <w:ind w:firstLine="640"/>
      </w:pPr>
      <w:bookmarkStart w:id="3" w:name="_Toc123999526"/>
      <w:r>
        <w:rPr>
          <w:rFonts w:hint="eastAsia"/>
        </w:rPr>
        <w:t>（二）项目绩效目标</w:t>
      </w:r>
      <w:bookmarkEnd w:id="3"/>
    </w:p>
    <w:p>
      <w:pPr>
        <w:pStyle w:val="25"/>
        <w:spacing w:line="580" w:lineRule="exact"/>
        <w:ind w:firstLine="640"/>
      </w:pPr>
      <w:r>
        <w:rPr>
          <w:rFonts w:hint="eastAsia"/>
        </w:rPr>
        <w:t>金财工程及软件升级项目绩效目标是</w:t>
      </w:r>
      <w:r>
        <w:rPr>
          <w:rFonts w:hint="eastAsia"/>
          <w:szCs w:val="32"/>
        </w:rPr>
        <w:t>保障网络线路运行畅通，保障各类财政信息化软件运行，保障机房开展等保测评及保障区财政局信息系统、数据机房以及日常办公设备的正常运行维护。</w:t>
      </w:r>
      <w:r>
        <w:rPr>
          <w:rFonts w:hint="eastAsia"/>
        </w:rPr>
        <w:t>预期产出指标7条，具体为：租用网络线路数量，其指标值为大于等于3条。维护财政信息化软件数量，其指标值为大于等于10个。信息化设施设备维修维护修复率，其指标值为大于等于95%。区属预算单位软件问题解决率，其指标值为大于等于95%。信息化软件维护及时率，其指标值为100%。数据更新及时率，其指标值为100%。网络线路运行财政信息化软件运行机房运行维护成本，其指标值为小于等于300万元。预期效益指标1条，具体为保证财政业务软件稳定，提升各预算单位及本局使用效率，其指标值为显著提升。预期满意度指标1条，具体为信息化软件使用人员满意度，其指标值为大于等于95%。</w:t>
      </w:r>
    </w:p>
    <w:bookmarkEnd w:id="1"/>
    <w:p>
      <w:pPr>
        <w:pStyle w:val="27"/>
        <w:spacing w:line="580" w:lineRule="exact"/>
      </w:pPr>
      <w:bookmarkStart w:id="4" w:name="_Toc123999527"/>
      <w:r>
        <w:rPr>
          <w:rFonts w:hint="eastAsia"/>
        </w:rPr>
        <w:t>二、绩效评价工作开展情况</w:t>
      </w:r>
      <w:bookmarkEnd w:id="4"/>
    </w:p>
    <w:p>
      <w:pPr>
        <w:pStyle w:val="29"/>
        <w:spacing w:line="580" w:lineRule="exact"/>
        <w:ind w:firstLine="640"/>
      </w:pPr>
      <w:bookmarkStart w:id="5" w:name="_Toc123999528"/>
      <w:r>
        <w:rPr>
          <w:rFonts w:hint="eastAsia"/>
        </w:rPr>
        <w:t>（一）绩效评价的目的、对象和范围</w:t>
      </w:r>
      <w:bookmarkEnd w:id="5"/>
    </w:p>
    <w:p>
      <w:pPr>
        <w:pStyle w:val="25"/>
        <w:spacing w:line="580" w:lineRule="exact"/>
        <w:ind w:firstLine="640"/>
      </w:pPr>
      <w:r>
        <w:rPr>
          <w:rFonts w:hint="eastAsia"/>
        </w:rPr>
        <w:t>1.绩效评价目的</w:t>
      </w:r>
    </w:p>
    <w:p>
      <w:pPr>
        <w:pStyle w:val="25"/>
        <w:spacing w:line="580" w:lineRule="exact"/>
        <w:ind w:firstLine="640"/>
      </w:pPr>
      <w:r>
        <w:rPr>
          <w:rFonts w:hint="eastAsia"/>
        </w:rPr>
        <w:t>本次评价以《财政部关于印发〈项目支出绩效评价管理办法〉的通知》（</w:t>
      </w:r>
      <w:r>
        <w:rPr>
          <w:rFonts w:hint="eastAsia" w:cs="仿宋_GB2312"/>
        </w:rPr>
        <w:t>财预〔</w:t>
      </w:r>
      <w:r>
        <w:t>2020</w:t>
      </w:r>
      <w:r>
        <w:rPr>
          <w:rFonts w:hint="eastAsia" w:cs="仿宋_GB2312"/>
        </w:rPr>
        <w:t>〕</w:t>
      </w:r>
      <w:r>
        <w:rPr>
          <w:rFonts w:hint="eastAsia"/>
        </w:rPr>
        <w:t>1</w:t>
      </w:r>
      <w:r>
        <w:t>0</w:t>
      </w:r>
      <w:r>
        <w:rPr>
          <w:rFonts w:hint="eastAsia" w:cs="仿宋_GB2312"/>
        </w:rPr>
        <w:t>号</w:t>
      </w:r>
      <w:r>
        <w:rPr>
          <w:rFonts w:hint="eastAsia"/>
        </w:rPr>
        <w:t>）《中共天津市委</w:t>
      </w:r>
      <w:r>
        <w:t>天津市人民政府印发〈关于全面推进预算绩效管理的实施方案〉的通知》（津党发〔2019〕25号）</w:t>
      </w:r>
      <w:r>
        <w:rPr>
          <w:rFonts w:hint="eastAsia"/>
        </w:rPr>
        <w:t>《天津市市级财政项目支出绩效评价管理办法》（</w:t>
      </w:r>
      <w:r>
        <w:t>津财绩效〔2020〕12号</w:t>
      </w:r>
      <w:r>
        <w:rPr>
          <w:rFonts w:hint="eastAsia"/>
        </w:rPr>
        <w:t>）《和平区区级部门预算绩效管理办法》等文件为依据，对金财工程及软件升级项目财政专项资金使用绩效情况进行评价。开展此次评价工作的目的在于：</w:t>
      </w:r>
    </w:p>
    <w:p>
      <w:pPr>
        <w:pStyle w:val="25"/>
        <w:numPr>
          <w:ilvl w:val="0"/>
          <w:numId w:val="1"/>
        </w:numPr>
        <w:spacing w:line="580" w:lineRule="exact"/>
        <w:ind w:firstLine="640"/>
      </w:pPr>
      <w:r>
        <w:rPr>
          <w:rFonts w:hint="eastAsia"/>
        </w:rPr>
        <w:t>通过对金财工程及软件升级项目的实施情况进行核实评价，了解掌握项目的实施情况。</w:t>
      </w:r>
    </w:p>
    <w:p>
      <w:pPr>
        <w:pStyle w:val="25"/>
        <w:numPr>
          <w:ilvl w:val="0"/>
          <w:numId w:val="1"/>
        </w:numPr>
        <w:spacing w:line="580" w:lineRule="exact"/>
        <w:ind w:firstLine="640"/>
      </w:pPr>
      <w:r>
        <w:rPr>
          <w:rFonts w:hint="eastAsia"/>
        </w:rPr>
        <w:t>根据金财工程及软件升级项目实施的具体情况，评价其项目资金安排的科学性、合理性、规范性，完善项目管理办法，提高项目管理水平和资金的使用效率。</w:t>
      </w:r>
    </w:p>
    <w:p>
      <w:pPr>
        <w:numPr>
          <w:ilvl w:val="0"/>
          <w:numId w:val="1"/>
        </w:numPr>
        <w:spacing w:line="580" w:lineRule="exact"/>
        <w:ind w:firstLine="640"/>
        <w:jc w:val="both"/>
        <w:rPr>
          <w:rFonts w:ascii="Times New Roman" w:hAnsi="Times New Roman" w:eastAsia="仿宋_GB2312"/>
          <w:sz w:val="32"/>
        </w:rPr>
      </w:pPr>
      <w:r>
        <w:rPr>
          <w:rFonts w:hint="eastAsia" w:ascii="Times New Roman" w:hAnsi="Times New Roman" w:eastAsia="仿宋_GB2312"/>
          <w:sz w:val="32"/>
        </w:rPr>
        <w:t>本次从决策、过程、产出、效益四个方面对天津市和平区财政局金财工程及软件升级项目进行客观、公正的评价；总结项目管理与执行经验，发现项目管理和预算管理中存在的问题，提出改进意见和建议，为相关部门决策、管理提供参考依据，推动建立以绩效评价结果为导向的财政资金分配与管理制度。</w:t>
      </w:r>
    </w:p>
    <w:p>
      <w:pPr>
        <w:pStyle w:val="25"/>
        <w:spacing w:line="580" w:lineRule="exact"/>
        <w:ind w:firstLine="640"/>
      </w:pPr>
      <w:r>
        <w:rPr>
          <w:rFonts w:hint="eastAsia"/>
        </w:rPr>
        <w:t>（4）进一步丰富和完善金财工程及软件升级项目绩效评价方法体系，推动建立以绩效评价结果为导向的财政资金分配与管理制度，提升财政资金科学化、精细化管理水平，为金财工程及软件升级项目专项资金的安排提供重要依据。</w:t>
      </w:r>
    </w:p>
    <w:p>
      <w:pPr>
        <w:pStyle w:val="25"/>
        <w:spacing w:line="580" w:lineRule="exact"/>
        <w:ind w:firstLine="640"/>
      </w:pPr>
      <w:r>
        <w:rPr>
          <w:rFonts w:hint="eastAsia"/>
        </w:rPr>
        <w:t>2.绩效评价对象和范围</w:t>
      </w:r>
    </w:p>
    <w:p>
      <w:pPr>
        <w:pStyle w:val="25"/>
        <w:spacing w:line="580" w:lineRule="exact"/>
        <w:ind w:firstLine="640"/>
      </w:pPr>
      <w:r>
        <w:rPr>
          <w:rFonts w:hint="eastAsia"/>
        </w:rPr>
        <w:t>本次绩效评价针对天津市和平区财政局金财工程及软件升级项目展开，主要评价内容及范围如下：</w:t>
      </w:r>
    </w:p>
    <w:p>
      <w:pPr>
        <w:pStyle w:val="25"/>
        <w:spacing w:line="580" w:lineRule="exact"/>
        <w:ind w:firstLine="640"/>
      </w:pPr>
      <w:r>
        <w:rPr>
          <w:rFonts w:hint="eastAsia"/>
        </w:rPr>
        <w:t>（</w:t>
      </w:r>
      <w:r>
        <w:t>1</w:t>
      </w:r>
      <w:r>
        <w:rPr>
          <w:rFonts w:hint="eastAsia"/>
        </w:rPr>
        <w:t>）立项依据和立项程序情况；</w:t>
      </w:r>
    </w:p>
    <w:p>
      <w:pPr>
        <w:pStyle w:val="25"/>
        <w:spacing w:line="580" w:lineRule="exact"/>
        <w:ind w:firstLine="640"/>
      </w:pPr>
      <w:r>
        <w:rPr>
          <w:rFonts w:hint="eastAsia"/>
        </w:rPr>
        <w:t>（</w:t>
      </w:r>
      <w:r>
        <w:t>2</w:t>
      </w:r>
      <w:r>
        <w:rPr>
          <w:rFonts w:hint="eastAsia"/>
        </w:rPr>
        <w:t>）绩效目标和指标设定情况；</w:t>
      </w:r>
    </w:p>
    <w:p>
      <w:pPr>
        <w:pStyle w:val="25"/>
        <w:spacing w:line="580" w:lineRule="exact"/>
        <w:ind w:firstLine="640"/>
      </w:pPr>
      <w:r>
        <w:rPr>
          <w:rFonts w:hint="eastAsia"/>
        </w:rPr>
        <w:t>（</w:t>
      </w:r>
      <w:r>
        <w:t>3</w:t>
      </w:r>
      <w:r>
        <w:rPr>
          <w:rFonts w:hint="eastAsia"/>
        </w:rPr>
        <w:t>）预算编制和资金分配情况；</w:t>
      </w:r>
    </w:p>
    <w:p>
      <w:pPr>
        <w:pStyle w:val="25"/>
        <w:spacing w:line="580" w:lineRule="exact"/>
        <w:ind w:firstLine="640"/>
      </w:pPr>
      <w:r>
        <w:rPr>
          <w:rFonts w:hint="eastAsia"/>
        </w:rPr>
        <w:t>（</w:t>
      </w:r>
      <w:r>
        <w:t>4</w:t>
      </w:r>
      <w:r>
        <w:rPr>
          <w:rFonts w:hint="eastAsia"/>
        </w:rPr>
        <w:t>）资金管理和使用情况；</w:t>
      </w:r>
    </w:p>
    <w:p>
      <w:pPr>
        <w:pStyle w:val="25"/>
        <w:spacing w:line="580" w:lineRule="exact"/>
        <w:ind w:firstLine="640"/>
      </w:pPr>
      <w:r>
        <w:rPr>
          <w:rFonts w:hint="eastAsia"/>
        </w:rPr>
        <w:t>（</w:t>
      </w:r>
      <w:r>
        <w:t>5</w:t>
      </w:r>
      <w:r>
        <w:rPr>
          <w:rFonts w:hint="eastAsia"/>
        </w:rPr>
        <w:t>）相关制度办法的健全性及执行情况；</w:t>
      </w:r>
    </w:p>
    <w:p>
      <w:pPr>
        <w:pStyle w:val="25"/>
        <w:spacing w:line="580" w:lineRule="exact"/>
        <w:ind w:firstLine="640"/>
      </w:pPr>
      <w:r>
        <w:rPr>
          <w:rFonts w:hint="eastAsia"/>
        </w:rPr>
        <w:t>（</w:t>
      </w:r>
      <w:r>
        <w:t>6</w:t>
      </w:r>
      <w:r>
        <w:rPr>
          <w:rFonts w:hint="eastAsia"/>
        </w:rPr>
        <w:t>）实现的产出情况；</w:t>
      </w:r>
    </w:p>
    <w:p>
      <w:pPr>
        <w:pStyle w:val="25"/>
        <w:spacing w:line="580" w:lineRule="exact"/>
        <w:ind w:firstLine="640"/>
      </w:pPr>
      <w:r>
        <w:rPr>
          <w:rFonts w:hint="eastAsia"/>
        </w:rPr>
        <w:t>（</w:t>
      </w:r>
      <w:r>
        <w:t>7</w:t>
      </w:r>
      <w:r>
        <w:rPr>
          <w:rFonts w:hint="eastAsia"/>
        </w:rPr>
        <w:t>）取得的效益情况；</w:t>
      </w:r>
    </w:p>
    <w:p>
      <w:pPr>
        <w:pStyle w:val="25"/>
        <w:spacing w:line="580" w:lineRule="exact"/>
        <w:ind w:firstLine="640"/>
      </w:pPr>
      <w:r>
        <w:rPr>
          <w:rFonts w:hint="eastAsia"/>
        </w:rPr>
        <w:t>（</w:t>
      </w:r>
      <w:r>
        <w:t>8</w:t>
      </w:r>
      <w:r>
        <w:rPr>
          <w:rFonts w:hint="eastAsia"/>
        </w:rPr>
        <w:t>）其他相关内容。</w:t>
      </w:r>
    </w:p>
    <w:p>
      <w:pPr>
        <w:pStyle w:val="29"/>
        <w:spacing w:line="580" w:lineRule="exact"/>
        <w:ind w:firstLine="640"/>
      </w:pPr>
      <w:bookmarkStart w:id="6" w:name="_Toc123999529"/>
      <w:r>
        <w:rPr>
          <w:rFonts w:hint="eastAsia"/>
        </w:rPr>
        <w:t>（二）</w:t>
      </w:r>
      <w:r>
        <w:rPr>
          <w:rFonts w:hint="eastAsia" w:ascii="楷体_GB2312" w:hAnsi="Times New Roman" w:cs="楷体_GB2312"/>
          <w:bCs w:val="0"/>
        </w:rPr>
        <w:t>绩效评价原则、评价指标体系、评价方法</w:t>
      </w:r>
      <w:bookmarkEnd w:id="6"/>
    </w:p>
    <w:p>
      <w:pPr>
        <w:pStyle w:val="25"/>
        <w:spacing w:line="580" w:lineRule="exact"/>
        <w:ind w:firstLine="640"/>
      </w:pPr>
      <w:r>
        <w:rPr>
          <w:rFonts w:hint="eastAsia"/>
        </w:rPr>
        <w:t>1.绩效评价原则</w:t>
      </w:r>
    </w:p>
    <w:p>
      <w:pPr>
        <w:pStyle w:val="25"/>
        <w:spacing w:line="580" w:lineRule="exact"/>
        <w:ind w:firstLine="640"/>
      </w:pPr>
      <w:r>
        <w:rPr>
          <w:rFonts w:hint="eastAsia"/>
        </w:rPr>
        <w:t>（</w:t>
      </w:r>
      <w:r>
        <w:t>1</w:t>
      </w:r>
      <w:r>
        <w:rPr>
          <w:rFonts w:hint="eastAsia"/>
        </w:rPr>
        <w:t>）坚持科学规范的原则。此次绩效评价运用科学合理的评价指标体系和方法，按照规范的程序，对支出绩效进行客观、公正的反映。</w:t>
      </w:r>
    </w:p>
    <w:p>
      <w:pPr>
        <w:pStyle w:val="25"/>
        <w:spacing w:line="580" w:lineRule="exact"/>
        <w:ind w:firstLine="640"/>
      </w:pPr>
      <w:r>
        <w:rPr>
          <w:rFonts w:hint="eastAsia"/>
        </w:rPr>
        <w:t>（</w:t>
      </w:r>
      <w:r>
        <w:t>2）坚持统筹兼顾的原则。单位自评、部门评价和财政评价各方职责明确，各有侧重，互相衔接。此次评价我方作为第三方受委托机构在</w:t>
      </w:r>
      <w:r>
        <w:rPr>
          <w:rFonts w:hint="eastAsia"/>
        </w:rPr>
        <w:t>单位自评</w:t>
      </w:r>
      <w:r>
        <w:t>的基础上开展。</w:t>
      </w:r>
    </w:p>
    <w:p>
      <w:pPr>
        <w:pStyle w:val="25"/>
        <w:spacing w:line="580" w:lineRule="exact"/>
        <w:ind w:firstLine="640"/>
      </w:pPr>
      <w:r>
        <w:rPr>
          <w:rFonts w:hint="eastAsia"/>
        </w:rPr>
        <w:t>（</w:t>
      </w:r>
      <w:r>
        <w:t>3</w:t>
      </w:r>
      <w:r>
        <w:rPr>
          <w:rFonts w:hint="eastAsia"/>
        </w:rPr>
        <w:t>）坚持激励约束的原则。本次绩效评价结果可以作为预算安排、政策调整、改进管理的参考。</w:t>
      </w:r>
    </w:p>
    <w:p>
      <w:pPr>
        <w:pStyle w:val="25"/>
        <w:spacing w:line="580" w:lineRule="exact"/>
        <w:ind w:firstLine="640"/>
      </w:pPr>
      <w:r>
        <w:rPr>
          <w:rFonts w:hint="eastAsia"/>
        </w:rPr>
        <w:t>（</w:t>
      </w:r>
      <w:r>
        <w:t>4</w:t>
      </w:r>
      <w:r>
        <w:rPr>
          <w:rFonts w:hint="eastAsia"/>
        </w:rPr>
        <w:t>）坚持客观公正的原则。本次绩效评价将自觉接受有关机构和社会监督，全面、客观、公正、准确反映项目实际情况。</w:t>
      </w:r>
    </w:p>
    <w:p>
      <w:pPr>
        <w:pStyle w:val="25"/>
        <w:spacing w:line="580" w:lineRule="exact"/>
        <w:ind w:firstLine="640"/>
      </w:pPr>
      <w:r>
        <w:rPr>
          <w:rFonts w:hint="eastAsia"/>
        </w:rPr>
        <w:t>（</w:t>
      </w:r>
      <w:r>
        <w:t>5</w:t>
      </w:r>
      <w:r>
        <w:rPr>
          <w:rFonts w:hint="eastAsia"/>
        </w:rPr>
        <w:t>）坚持综合绩效评价，定量分析与定性分析相结合的原则。</w:t>
      </w:r>
    </w:p>
    <w:p>
      <w:pPr>
        <w:pStyle w:val="25"/>
        <w:spacing w:line="580" w:lineRule="exact"/>
        <w:ind w:firstLine="640"/>
      </w:pPr>
      <w:r>
        <w:rPr>
          <w:rFonts w:hint="eastAsia"/>
        </w:rPr>
        <w:t>（</w:t>
      </w:r>
      <w:r>
        <w:t>6</w:t>
      </w:r>
      <w:r>
        <w:rPr>
          <w:rFonts w:hint="eastAsia"/>
        </w:rPr>
        <w:t>）坚持绩效相关性原则。此次绩效评价将针对具体支出及其产出绩效进行，评价结果将清晰反映支出和产出绩效之间的紧密对应关系。</w:t>
      </w:r>
    </w:p>
    <w:p>
      <w:pPr>
        <w:pStyle w:val="25"/>
        <w:spacing w:line="580" w:lineRule="exact"/>
        <w:ind w:firstLine="640"/>
      </w:pPr>
      <w:r>
        <w:rPr>
          <w:rFonts w:hint="eastAsia"/>
        </w:rPr>
        <w:t>2.评价指标体系</w:t>
      </w:r>
    </w:p>
    <w:p>
      <w:pPr>
        <w:pStyle w:val="25"/>
        <w:spacing w:line="580" w:lineRule="exact"/>
        <w:ind w:firstLine="640"/>
      </w:pPr>
      <w:r>
        <w:rPr>
          <w:rFonts w:hint="eastAsia"/>
        </w:rPr>
        <w:t>针对项目情况，从决策、过程、产出及效益四大方面拟定绩效评价指标，其中：</w:t>
      </w:r>
    </w:p>
    <w:p>
      <w:pPr>
        <w:pStyle w:val="25"/>
        <w:spacing w:line="580" w:lineRule="exact"/>
        <w:ind w:firstLine="640"/>
        <w:rPr>
          <w:rFonts w:cs="仿宋_GB2312"/>
        </w:rPr>
      </w:pPr>
      <w:r>
        <w:rPr>
          <w:rFonts w:hint="eastAsia"/>
        </w:rPr>
        <w:t>（1）</w:t>
      </w:r>
      <w:r>
        <w:rPr>
          <w:rFonts w:hint="eastAsia" w:cs="仿宋_GB2312"/>
        </w:rPr>
        <w:t>项目决策指标</w:t>
      </w:r>
    </w:p>
    <w:p>
      <w:pPr>
        <w:pStyle w:val="25"/>
        <w:spacing w:line="580" w:lineRule="exact"/>
        <w:ind w:firstLine="640"/>
      </w:pPr>
      <w:r>
        <w:rPr>
          <w:rFonts w:hint="eastAsia"/>
        </w:rPr>
        <w:t>①项目立项</w:t>
      </w:r>
    </w:p>
    <w:p>
      <w:pPr>
        <w:pStyle w:val="25"/>
        <w:spacing w:line="580" w:lineRule="exact"/>
        <w:ind w:firstLine="640"/>
      </w:pPr>
      <w:r>
        <w:t>a.</w:t>
      </w:r>
      <w:r>
        <w:rPr>
          <w:rFonts w:hint="eastAsia"/>
        </w:rPr>
        <w:t>立项依据充分性。项目立项是否符合法律法规、相关政策、发展规划以及部门职责，用于反映和考核项目立项依据情况。</w:t>
      </w:r>
    </w:p>
    <w:p>
      <w:pPr>
        <w:pStyle w:val="25"/>
        <w:spacing w:line="580" w:lineRule="exact"/>
        <w:ind w:firstLine="640"/>
      </w:pPr>
      <w:r>
        <w:t>b.</w:t>
      </w:r>
      <w:r>
        <w:rPr>
          <w:rFonts w:hint="eastAsia"/>
        </w:rPr>
        <w:t>立项程序规范性。项目申请、设立过程是否符合相关要求，用以反映和考核项目立项的规范情况。</w:t>
      </w:r>
    </w:p>
    <w:p>
      <w:pPr>
        <w:pStyle w:val="25"/>
        <w:spacing w:line="580" w:lineRule="exact"/>
        <w:ind w:firstLine="640"/>
      </w:pPr>
      <w:r>
        <w:rPr>
          <w:rFonts w:hint="eastAsia"/>
        </w:rPr>
        <w:t>②绩效目标</w:t>
      </w:r>
    </w:p>
    <w:p>
      <w:pPr>
        <w:pStyle w:val="25"/>
        <w:spacing w:line="580" w:lineRule="exact"/>
        <w:ind w:firstLine="640"/>
      </w:pPr>
      <w:r>
        <w:rPr>
          <w:rFonts w:hint="eastAsia"/>
        </w:rPr>
        <w:t>a</w:t>
      </w:r>
      <w:r>
        <w:t>.</w:t>
      </w:r>
      <w:r>
        <w:rPr>
          <w:rFonts w:hint="eastAsia"/>
        </w:rPr>
        <w:t>绩效目标明确性。依据绩效目标设定的绩效指标是否清晰、细化、可衡量等，用以反映和考核项目绩效目标的明细化情况。</w:t>
      </w:r>
    </w:p>
    <w:p>
      <w:pPr>
        <w:pStyle w:val="25"/>
        <w:spacing w:line="580" w:lineRule="exact"/>
        <w:ind w:firstLine="640"/>
      </w:pPr>
      <w:r>
        <w:t>b.</w:t>
      </w:r>
      <w:r>
        <w:rPr>
          <w:rFonts w:hint="eastAsia"/>
        </w:rPr>
        <w:t>绩效目标合理性。项目所设定的绩效目标是否依据充分，是否符合客观实际，用以反映和考核项目绩效目标与项目实施的相符情况。</w:t>
      </w:r>
    </w:p>
    <w:p>
      <w:pPr>
        <w:pStyle w:val="25"/>
        <w:spacing w:line="580" w:lineRule="exact"/>
        <w:ind w:firstLine="640"/>
      </w:pPr>
      <w:r>
        <w:rPr>
          <w:rFonts w:hint="eastAsia"/>
        </w:rPr>
        <w:t>③预算编制</w:t>
      </w:r>
    </w:p>
    <w:p>
      <w:pPr>
        <w:pStyle w:val="25"/>
        <w:spacing w:line="580" w:lineRule="exact"/>
        <w:ind w:firstLine="640"/>
      </w:pPr>
      <w:r>
        <w:rPr>
          <w:rFonts w:hint="eastAsia"/>
        </w:rPr>
        <w:t>a</w:t>
      </w:r>
      <w:r>
        <w:t>.</w:t>
      </w:r>
      <w:r>
        <w:rPr>
          <w:rFonts w:hint="eastAsia"/>
        </w:rPr>
        <w:t>测算内容合规性。项目预算测算内容是否符合相关政策文件规定范围。</w:t>
      </w:r>
    </w:p>
    <w:p>
      <w:pPr>
        <w:pStyle w:val="25"/>
        <w:spacing w:line="580" w:lineRule="exact"/>
        <w:ind w:firstLine="640"/>
      </w:pPr>
      <w:r>
        <w:rPr>
          <w:rFonts w:hint="eastAsia"/>
        </w:rPr>
        <w:t>b</w:t>
      </w:r>
      <w:r>
        <w:t>.</w:t>
      </w:r>
      <w:r>
        <w:rPr>
          <w:rFonts w:hint="eastAsia"/>
        </w:rPr>
        <w:t>测算标准合理性。项目预算测算项目支出标准是否符合相关政策制度或行业、领域规定。</w:t>
      </w:r>
    </w:p>
    <w:p>
      <w:pPr>
        <w:pStyle w:val="25"/>
        <w:spacing w:line="580" w:lineRule="exact"/>
        <w:ind w:firstLine="640"/>
      </w:pPr>
      <w:r>
        <w:rPr>
          <w:rFonts w:hint="eastAsia"/>
        </w:rPr>
        <w:t>c</w:t>
      </w:r>
      <w:r>
        <w:t>.</w:t>
      </w:r>
      <w:r>
        <w:rPr>
          <w:rFonts w:hint="eastAsia"/>
        </w:rPr>
        <w:t>测算数据客观性。项目预算测算数据是否客观、真实、准确。</w:t>
      </w:r>
    </w:p>
    <w:p>
      <w:pPr>
        <w:pStyle w:val="25"/>
        <w:spacing w:line="580" w:lineRule="exact"/>
        <w:ind w:firstLine="640"/>
      </w:pPr>
      <w:r>
        <w:rPr>
          <w:rFonts w:hint="eastAsia"/>
        </w:rPr>
        <w:t>d</w:t>
      </w:r>
      <w:r>
        <w:t>.</w:t>
      </w:r>
      <w:r>
        <w:rPr>
          <w:rFonts w:hint="eastAsia"/>
        </w:rPr>
        <w:t>测算过程细化度。测算过程是否细化清晰。</w:t>
      </w:r>
    </w:p>
    <w:p>
      <w:pPr>
        <w:pStyle w:val="25"/>
        <w:spacing w:line="580" w:lineRule="exact"/>
        <w:ind w:firstLine="640"/>
      </w:pPr>
      <w:r>
        <w:rPr>
          <w:rFonts w:hint="eastAsia"/>
        </w:rPr>
        <w:t>（2）项目过程指标</w:t>
      </w:r>
    </w:p>
    <w:p>
      <w:pPr>
        <w:pStyle w:val="25"/>
        <w:spacing w:line="580" w:lineRule="exact"/>
        <w:ind w:firstLine="640"/>
      </w:pPr>
      <w:r>
        <w:rPr>
          <w:rFonts w:hint="eastAsia"/>
        </w:rPr>
        <w:t>①资金管理</w:t>
      </w:r>
    </w:p>
    <w:p>
      <w:pPr>
        <w:pStyle w:val="25"/>
        <w:spacing w:line="580" w:lineRule="exact"/>
        <w:ind w:firstLine="640"/>
      </w:pPr>
      <w:r>
        <w:rPr>
          <w:rFonts w:hint="eastAsia"/>
        </w:rPr>
        <w:t>a</w:t>
      </w:r>
      <w:r>
        <w:t>.</w:t>
      </w:r>
      <w:r>
        <w:rPr>
          <w:rFonts w:hint="eastAsia"/>
        </w:rPr>
        <w:t>资金到位率。实际到位资金与预算资金的比率，用以反映和考核资金落实情况对项目实施的总体保障程度。</w:t>
      </w:r>
    </w:p>
    <w:p>
      <w:pPr>
        <w:pStyle w:val="25"/>
        <w:spacing w:line="580" w:lineRule="exact"/>
        <w:ind w:firstLine="640"/>
      </w:pPr>
      <w:r>
        <w:rPr>
          <w:rFonts w:hint="eastAsia"/>
        </w:rPr>
        <w:t>b</w:t>
      </w:r>
      <w:r>
        <w:t>.</w:t>
      </w:r>
      <w:r>
        <w:rPr>
          <w:rFonts w:hint="eastAsia"/>
        </w:rPr>
        <w:t>资金到位及时率。及时到位资金与实际到位资金的比率，用以反映和考核项目资金落实的及时性程度。</w:t>
      </w:r>
    </w:p>
    <w:p>
      <w:pPr>
        <w:pStyle w:val="25"/>
        <w:spacing w:line="580" w:lineRule="exact"/>
        <w:ind w:firstLine="640"/>
      </w:pPr>
      <w:r>
        <w:rPr>
          <w:rFonts w:hint="eastAsia"/>
        </w:rPr>
        <w:t>c</w:t>
      </w:r>
      <w:r>
        <w:t>.</w:t>
      </w:r>
      <w:r>
        <w:rPr>
          <w:rFonts w:hint="eastAsia"/>
        </w:rPr>
        <w:t>预算执行率。项目预算资金是否按照计划执行，用以反映或考核项目预算执行情况。</w:t>
      </w:r>
    </w:p>
    <w:p>
      <w:pPr>
        <w:pStyle w:val="25"/>
        <w:spacing w:line="580" w:lineRule="exact"/>
        <w:ind w:firstLine="640"/>
      </w:pPr>
      <w:r>
        <w:rPr>
          <w:rFonts w:hint="eastAsia"/>
        </w:rPr>
        <w:t>d</w:t>
      </w:r>
      <w:r>
        <w:t>.</w:t>
      </w:r>
      <w:r>
        <w:rPr>
          <w:rFonts w:hint="eastAsia"/>
        </w:rPr>
        <w:t>资金使用合规性。项目资金使用是否符合相关的财务管理制度规定，用以反映和考核项目资金的规范运行情况。</w:t>
      </w:r>
    </w:p>
    <w:p>
      <w:pPr>
        <w:pStyle w:val="25"/>
        <w:spacing w:line="580" w:lineRule="exact"/>
        <w:ind w:firstLine="640"/>
      </w:pPr>
      <w:r>
        <w:rPr>
          <w:rFonts w:hint="eastAsia"/>
        </w:rPr>
        <w:t>②组织实施</w:t>
      </w:r>
    </w:p>
    <w:p>
      <w:pPr>
        <w:pStyle w:val="25"/>
        <w:spacing w:line="580" w:lineRule="exact"/>
        <w:ind w:firstLine="640"/>
      </w:pPr>
      <w:r>
        <w:rPr>
          <w:rFonts w:hint="eastAsia"/>
        </w:rPr>
        <w:t>a</w:t>
      </w:r>
      <w:r>
        <w:t>.</w:t>
      </w:r>
      <w:r>
        <w:rPr>
          <w:rFonts w:hint="eastAsia"/>
        </w:rPr>
        <w:t>管理制度健全性。项目实施单位的财务和业务管理制度是否健全，用以反映和考核财务和业务管理制度对项目顺利实施的保障情况。</w:t>
      </w:r>
    </w:p>
    <w:p>
      <w:pPr>
        <w:pStyle w:val="25"/>
        <w:spacing w:line="580" w:lineRule="exact"/>
        <w:ind w:firstLine="640"/>
      </w:pPr>
      <w:r>
        <w:rPr>
          <w:rFonts w:hint="eastAsia"/>
        </w:rPr>
        <w:t>b</w:t>
      </w:r>
      <w:r>
        <w:t>.</w:t>
      </w:r>
      <w:r>
        <w:rPr>
          <w:rFonts w:hint="eastAsia"/>
        </w:rPr>
        <w:t>制度执行有效性。主要从项目申报、项目实施、项目验收等</w:t>
      </w:r>
      <w:r>
        <w:t>3个环节展开，结合相关管理规定进行评价</w:t>
      </w:r>
      <w:r>
        <w:rPr>
          <w:rFonts w:hint="eastAsia"/>
        </w:rPr>
        <w:t>。</w:t>
      </w:r>
    </w:p>
    <w:p>
      <w:pPr>
        <w:pStyle w:val="25"/>
        <w:spacing w:line="580" w:lineRule="exact"/>
        <w:ind w:firstLine="640"/>
      </w:pPr>
      <w:r>
        <w:rPr>
          <w:rFonts w:hint="eastAsia"/>
        </w:rPr>
        <w:t>（3）项目产出指标</w:t>
      </w:r>
    </w:p>
    <w:p>
      <w:pPr>
        <w:pStyle w:val="25"/>
        <w:spacing w:line="580" w:lineRule="exact"/>
        <w:ind w:firstLine="640"/>
      </w:pPr>
      <w:r>
        <w:rPr>
          <w:rFonts w:hint="eastAsia"/>
        </w:rPr>
        <w:t>①产出数量</w:t>
      </w:r>
    </w:p>
    <w:p>
      <w:pPr>
        <w:pStyle w:val="25"/>
        <w:spacing w:line="580" w:lineRule="exact"/>
        <w:ind w:firstLine="640"/>
      </w:pPr>
      <w:r>
        <w:rPr>
          <w:rFonts w:hint="eastAsia"/>
        </w:rPr>
        <w:t>a</w:t>
      </w:r>
      <w:r>
        <w:t>.</w:t>
      </w:r>
      <w:r>
        <w:rPr>
          <w:rFonts w:hint="eastAsia"/>
        </w:rPr>
        <w:t xml:space="preserve"> </w:t>
      </w:r>
      <w:r>
        <w:rPr>
          <w:rFonts w:hint="eastAsia"/>
          <w:color w:val="000000"/>
        </w:rPr>
        <w:t>租用网络线路数量</w:t>
      </w:r>
      <w:r>
        <w:rPr>
          <w:rFonts w:hint="eastAsia"/>
        </w:rPr>
        <w:t>。项目实施期间租用网络线路数量，反映实际租用的网络线路情况。</w:t>
      </w:r>
    </w:p>
    <w:p>
      <w:pPr>
        <w:pStyle w:val="25"/>
        <w:spacing w:line="580" w:lineRule="exact"/>
        <w:ind w:firstLine="640"/>
        <w:rPr>
          <w:color w:val="000000"/>
        </w:rPr>
      </w:pPr>
      <w:r>
        <w:t>b.</w:t>
      </w:r>
      <w:r>
        <w:rPr>
          <w:rFonts w:hint="eastAsia"/>
        </w:rPr>
        <w:t>维护财政信息化软件数量。项目实施期间维护财政信息化软件的数量</w:t>
      </w:r>
      <w:r>
        <w:rPr>
          <w:rFonts w:hint="eastAsia"/>
          <w:color w:val="000000"/>
        </w:rPr>
        <w:t>。反映维护财政信息化软件的完成情况。</w:t>
      </w:r>
    </w:p>
    <w:p>
      <w:pPr>
        <w:pStyle w:val="25"/>
        <w:spacing w:line="580" w:lineRule="exact"/>
        <w:ind w:firstLine="960" w:firstLineChars="300"/>
      </w:pPr>
      <w:r>
        <w:rPr>
          <w:rFonts w:hint="eastAsia"/>
        </w:rPr>
        <w:t>②产出质量</w:t>
      </w:r>
    </w:p>
    <w:p>
      <w:pPr>
        <w:pStyle w:val="25"/>
        <w:spacing w:line="580" w:lineRule="exact"/>
        <w:ind w:firstLine="640"/>
        <w:rPr>
          <w:color w:val="000000"/>
        </w:rPr>
      </w:pPr>
      <w:r>
        <w:rPr>
          <w:rFonts w:hint="eastAsia"/>
          <w:color w:val="000000"/>
        </w:rPr>
        <w:t>a.信息化设施设备维修维护修复率。项目实施期间信息化设备维护修复的比率。反映设备维护的修复情况。</w:t>
      </w:r>
    </w:p>
    <w:p>
      <w:pPr>
        <w:pStyle w:val="25"/>
        <w:spacing w:line="580" w:lineRule="exact"/>
        <w:ind w:firstLine="640"/>
        <w:rPr>
          <w:color w:val="000000"/>
        </w:rPr>
      </w:pPr>
      <w:r>
        <w:rPr>
          <w:rFonts w:hint="eastAsia"/>
          <w:color w:val="000000"/>
        </w:rPr>
        <w:t>b.区属预算单位软件问题解决率。项目实施期间软件问题的解决率。反映软件问题得到解决的比率。</w:t>
      </w:r>
    </w:p>
    <w:p>
      <w:pPr>
        <w:pStyle w:val="25"/>
        <w:spacing w:line="580" w:lineRule="exact"/>
        <w:ind w:firstLine="640"/>
      </w:pPr>
      <w:r>
        <w:rPr>
          <w:rFonts w:hint="eastAsia"/>
        </w:rPr>
        <w:t>③产出时效</w:t>
      </w:r>
    </w:p>
    <w:p>
      <w:pPr>
        <w:pStyle w:val="25"/>
        <w:spacing w:line="580" w:lineRule="exact"/>
        <w:ind w:firstLine="640"/>
        <w:rPr>
          <w:color w:val="000000"/>
        </w:rPr>
      </w:pPr>
      <w:r>
        <w:rPr>
          <w:rFonts w:hint="eastAsia"/>
          <w:color w:val="000000"/>
        </w:rPr>
        <w:t>a.信息化软件维护及时率。项目实施期间对于信息化软件的维护及时率。反映本项目数据维护的及时情况。</w:t>
      </w:r>
    </w:p>
    <w:p>
      <w:pPr>
        <w:pStyle w:val="25"/>
        <w:spacing w:line="580" w:lineRule="exact"/>
        <w:ind w:firstLine="640"/>
        <w:rPr>
          <w:color w:val="000000"/>
        </w:rPr>
      </w:pPr>
      <w:r>
        <w:rPr>
          <w:rFonts w:hint="eastAsia"/>
          <w:color w:val="000000"/>
        </w:rPr>
        <w:t>b.数据更新及时率。项目实施期间相关数据更新的及时率。反映相关数据更新的及时情况。</w:t>
      </w:r>
    </w:p>
    <w:p>
      <w:pPr>
        <w:pStyle w:val="25"/>
        <w:spacing w:line="580" w:lineRule="exact"/>
        <w:ind w:firstLine="640"/>
      </w:pPr>
      <w:r>
        <w:rPr>
          <w:rFonts w:hint="eastAsia"/>
        </w:rPr>
        <w:t>④产出成本</w:t>
      </w:r>
    </w:p>
    <w:p>
      <w:pPr>
        <w:pStyle w:val="25"/>
        <w:spacing w:line="580" w:lineRule="exact"/>
        <w:ind w:firstLine="640"/>
      </w:pPr>
      <w:r>
        <w:rPr>
          <w:rFonts w:hint="eastAsia"/>
          <w:color w:val="000000"/>
        </w:rPr>
        <w:t>a.</w:t>
      </w:r>
      <w:r>
        <w:rPr>
          <w:rFonts w:hint="eastAsia"/>
        </w:rPr>
        <w:t>网络线路运行财政信息化软件运行机房运行维护成本。项目实施期间信息化软件系统运行维护成本。反映本项目的成本控制情况。</w:t>
      </w:r>
    </w:p>
    <w:p>
      <w:pPr>
        <w:pStyle w:val="25"/>
        <w:spacing w:line="580" w:lineRule="exact"/>
        <w:ind w:firstLine="640"/>
      </w:pPr>
      <w:r>
        <w:rPr>
          <w:rFonts w:hint="eastAsia"/>
        </w:rPr>
        <w:t>（</w:t>
      </w:r>
      <w:r>
        <w:t>4</w:t>
      </w:r>
      <w:r>
        <w:rPr>
          <w:rFonts w:hint="eastAsia"/>
        </w:rPr>
        <w:t>）项目效益指标</w:t>
      </w:r>
    </w:p>
    <w:p>
      <w:pPr>
        <w:pStyle w:val="25"/>
        <w:spacing w:line="580" w:lineRule="exact"/>
        <w:ind w:firstLine="640"/>
      </w:pPr>
      <w:r>
        <w:rPr>
          <w:rFonts w:hint="eastAsia"/>
        </w:rPr>
        <w:t>①社会效益</w:t>
      </w:r>
    </w:p>
    <w:p>
      <w:pPr>
        <w:pStyle w:val="25"/>
        <w:spacing w:line="580" w:lineRule="exact"/>
        <w:ind w:firstLine="640"/>
        <w:rPr>
          <w:color w:val="000000"/>
        </w:rPr>
      </w:pPr>
      <w:r>
        <w:rPr>
          <w:rFonts w:hint="eastAsia"/>
          <w:color w:val="000000"/>
        </w:rPr>
        <w:t>a.保证财政业务软件稳定。提升各预算单位及本局使用效率。项目实施期间保证财政业务软件稳定，提升本预算单位及各预算单位的使用效率。反映财政业务软件运行的保障情况。</w:t>
      </w:r>
    </w:p>
    <w:p>
      <w:pPr>
        <w:pStyle w:val="25"/>
        <w:spacing w:line="580" w:lineRule="exact"/>
        <w:ind w:firstLine="672" w:firstLineChars="210"/>
      </w:pPr>
      <w:r>
        <w:rPr>
          <w:rFonts w:hint="eastAsia"/>
        </w:rPr>
        <w:t>②服务对象满意度</w:t>
      </w:r>
    </w:p>
    <w:p>
      <w:pPr>
        <w:pStyle w:val="25"/>
        <w:spacing w:line="580" w:lineRule="exact"/>
        <w:ind w:firstLine="640"/>
      </w:pPr>
      <w:r>
        <w:rPr>
          <w:rFonts w:hint="eastAsia"/>
          <w:color w:val="000000"/>
        </w:rPr>
        <w:t>a.信息化软件使用人员满意度。通过调查问卷中满意人数与调查总人数的比率，反映被调查对象对本项目的满意程度。</w:t>
      </w:r>
    </w:p>
    <w:p>
      <w:pPr>
        <w:pStyle w:val="25"/>
        <w:spacing w:line="580" w:lineRule="exact"/>
        <w:ind w:firstLine="640"/>
      </w:pPr>
      <w:r>
        <w:t>3</w:t>
      </w:r>
      <w:r>
        <w:rPr>
          <w:rFonts w:hint="eastAsia"/>
        </w:rPr>
        <w:t>.绩效评价方法</w:t>
      </w:r>
    </w:p>
    <w:p>
      <w:pPr>
        <w:pStyle w:val="25"/>
        <w:spacing w:line="580" w:lineRule="exact"/>
        <w:ind w:firstLine="640"/>
      </w:pPr>
      <w:bookmarkStart w:id="7" w:name="_Hlk91875362"/>
      <w:r>
        <w:rPr>
          <w:rFonts w:hint="eastAsia"/>
        </w:rPr>
        <w:t>结合项目具体情况，本次绩效评价主要运用指标分析法结合比较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w:t>
      </w:r>
      <w:bookmarkEnd w:id="7"/>
      <w:r>
        <w:rPr>
          <w:rFonts w:hint="eastAsia"/>
        </w:rPr>
        <w:t>，并对天津市和平区财政局进行了现场评价，绩效评价指标体系详见附件。</w:t>
      </w:r>
    </w:p>
    <w:p>
      <w:pPr>
        <w:pStyle w:val="29"/>
        <w:spacing w:line="580" w:lineRule="exact"/>
        <w:ind w:firstLine="640"/>
      </w:pPr>
      <w:bookmarkStart w:id="8" w:name="_Toc123999530"/>
      <w:r>
        <w:rPr>
          <w:rFonts w:hint="eastAsia"/>
        </w:rPr>
        <w:t>（三）绩效评价工作过程</w:t>
      </w:r>
      <w:bookmarkEnd w:id="8"/>
    </w:p>
    <w:p>
      <w:pPr>
        <w:pStyle w:val="25"/>
        <w:spacing w:line="580" w:lineRule="exact"/>
        <w:ind w:firstLine="640"/>
      </w:pPr>
      <w:bookmarkStart w:id="9" w:name="_Toc57967893"/>
      <w:r>
        <w:t>1.</w:t>
      </w:r>
      <w:r>
        <w:rPr>
          <w:rFonts w:hint="eastAsia"/>
        </w:rPr>
        <w:t>前期准备阶段</w:t>
      </w:r>
      <w:bookmarkEnd w:id="9"/>
    </w:p>
    <w:p>
      <w:pPr>
        <w:pStyle w:val="25"/>
        <w:spacing w:line="580" w:lineRule="exact"/>
        <w:ind w:firstLine="640"/>
      </w:pPr>
      <w:r>
        <w:rPr>
          <w:rFonts w:hint="eastAsia"/>
        </w:rPr>
        <w:t>（</w:t>
      </w:r>
      <w:r>
        <w:t>1</w:t>
      </w:r>
      <w:r>
        <w:rPr>
          <w:rFonts w:hint="eastAsia"/>
        </w:rPr>
        <w:t>）接受委托，成立绩效评价项目组</w:t>
      </w:r>
    </w:p>
    <w:p>
      <w:pPr>
        <w:pStyle w:val="25"/>
        <w:spacing w:line="580" w:lineRule="exact"/>
        <w:ind w:firstLine="640"/>
      </w:pPr>
      <w:r>
        <w:rPr>
          <w:rFonts w:hint="eastAsia"/>
        </w:rPr>
        <w:t>根据中央和天津市关于全面实施预算绩效管理的部署要求，选取天津市和平区财政局金财工程及软件升级项目进行绩效评价工作。</w:t>
      </w:r>
    </w:p>
    <w:p>
      <w:pPr>
        <w:pStyle w:val="25"/>
        <w:spacing w:line="580" w:lineRule="exact"/>
        <w:ind w:firstLine="640"/>
      </w:pPr>
      <w:r>
        <w:t>2022</w:t>
      </w:r>
      <w:r>
        <w:rPr>
          <w:rFonts w:hint="eastAsia"/>
        </w:rPr>
        <w:t>年</w:t>
      </w:r>
      <w:r>
        <w:t>10</w:t>
      </w:r>
      <w:r>
        <w:rPr>
          <w:rFonts w:hint="eastAsia"/>
        </w:rPr>
        <w:t>月</w:t>
      </w:r>
      <w:r>
        <w:t>19</w:t>
      </w:r>
      <w:r>
        <w:rPr>
          <w:rFonts w:hint="eastAsia"/>
        </w:rPr>
        <w:t>日，绩效评价项目组（以下简称“评价组”）</w:t>
      </w:r>
      <w:r>
        <w:rPr>
          <w:rFonts w:hint="eastAsia"/>
          <w:lang w:eastAsia="zh-CN"/>
        </w:rPr>
        <w:t>在</w:t>
      </w:r>
      <w:r>
        <w:rPr>
          <w:rFonts w:hint="eastAsia"/>
        </w:rPr>
        <w:t>天津市和平区财政局参加了项目见面会，听取了该单位对金财工程及软件升级项目的项目背景、申请立项、资金落实、业务管理、财务管理、项目产出、项目效益等方面的情况介绍，并对项目后续评价工作的基本原则及所需的各类资料文件提出了要求。</w:t>
      </w:r>
    </w:p>
    <w:p>
      <w:pPr>
        <w:pStyle w:val="25"/>
        <w:spacing w:line="580" w:lineRule="exact"/>
        <w:ind w:firstLine="640"/>
      </w:pPr>
      <w:r>
        <w:rPr>
          <w:rFonts w:hint="eastAsia"/>
        </w:rPr>
        <w:t>（</w:t>
      </w:r>
      <w:r>
        <w:t>2</w:t>
      </w:r>
      <w:r>
        <w:rPr>
          <w:rFonts w:hint="eastAsia"/>
        </w:rPr>
        <w:t>）制定绩效评价方案</w:t>
      </w:r>
    </w:p>
    <w:p>
      <w:pPr>
        <w:pStyle w:val="25"/>
        <w:spacing w:line="580" w:lineRule="exact"/>
        <w:ind w:firstLine="640"/>
      </w:pPr>
      <w:r>
        <w:rPr>
          <w:rFonts w:hint="eastAsia"/>
        </w:rPr>
        <w:t>根据</w:t>
      </w:r>
      <w:r>
        <w:rPr>
          <w:rFonts w:hint="eastAsia" w:ascii="仿宋_GB2312"/>
          <w:color w:val="000000"/>
          <w:szCs w:val="32"/>
        </w:rPr>
        <w:t>《中共天津市委天津市人民政府印发&lt;关于全面推进预算绩效管理的实施方案&gt;的通知》（津党发〔2019〕25号）</w:t>
      </w:r>
      <w:r>
        <w:rPr>
          <w:rFonts w:hint="eastAsia"/>
        </w:rPr>
        <w:t>要求，评价项目组制定了《天津市和平区财政局金财工程及软件升级项目</w:t>
      </w:r>
      <w:r>
        <w:t>绩效评价实施工作方案</w:t>
      </w:r>
      <w:r>
        <w:rPr>
          <w:rFonts w:hint="eastAsia"/>
        </w:rPr>
        <w:t>》，根据评价方案组织开展项目评价工作。</w:t>
      </w:r>
    </w:p>
    <w:p>
      <w:pPr>
        <w:pStyle w:val="25"/>
        <w:spacing w:line="580" w:lineRule="exact"/>
        <w:ind w:firstLine="640"/>
      </w:pPr>
      <w:r>
        <w:rPr>
          <w:rFonts w:hint="eastAsia"/>
        </w:rPr>
        <w:t>（</w:t>
      </w:r>
      <w:r>
        <w:t>3</w:t>
      </w:r>
      <w:r>
        <w:rPr>
          <w:rFonts w:hint="eastAsia"/>
        </w:rPr>
        <w:t>）指标体系设计</w:t>
      </w:r>
    </w:p>
    <w:p>
      <w:pPr>
        <w:pStyle w:val="25"/>
        <w:spacing w:line="580" w:lineRule="exact"/>
        <w:ind w:firstLine="640"/>
      </w:pPr>
      <w:r>
        <w:rPr>
          <w:rFonts w:hint="eastAsia"/>
        </w:rPr>
        <w:t>根据金财工程及软件升级项目绩效目标及实际工作需要，从决策、过程、产出、效益四个维度出发，设立项目立项、绩效目标、预算编制、资金管理、组织实施、产出数量、产出质量、产出时效、产出成本、社会效益、服务对象满意度</w:t>
      </w:r>
      <w:r>
        <w:t>1</w:t>
      </w:r>
      <w:r>
        <w:rPr>
          <w:rFonts w:hint="eastAsia"/>
        </w:rPr>
        <w:t>1项二级指标和23项三级指标，采取指标分值百分制，将</w:t>
      </w:r>
      <w:r>
        <w:t>2</w:t>
      </w:r>
      <w:r>
        <w:rPr>
          <w:rFonts w:hint="eastAsia"/>
        </w:rPr>
        <w:t>3项指标量化为</w:t>
      </w:r>
      <w:r>
        <w:t>100</w:t>
      </w:r>
      <w:r>
        <w:rPr>
          <w:rFonts w:hint="eastAsia"/>
        </w:rPr>
        <w:t>分，分值权重在征求被评单位意见的基础上确定，详见附表。</w:t>
      </w:r>
    </w:p>
    <w:p>
      <w:pPr>
        <w:pStyle w:val="25"/>
        <w:spacing w:line="580" w:lineRule="exact"/>
        <w:ind w:firstLine="640"/>
      </w:pPr>
      <w:bookmarkStart w:id="10" w:name="_Toc57967894"/>
      <w:r>
        <w:t>2.</w:t>
      </w:r>
      <w:r>
        <w:rPr>
          <w:rFonts w:hint="eastAsia"/>
        </w:rPr>
        <w:t>评价实施阶段</w:t>
      </w:r>
      <w:bookmarkEnd w:id="10"/>
    </w:p>
    <w:p>
      <w:pPr>
        <w:pStyle w:val="25"/>
        <w:spacing w:line="580" w:lineRule="exact"/>
        <w:ind w:firstLine="640"/>
      </w:pPr>
      <w:r>
        <w:rPr>
          <w:rFonts w:hint="eastAsia"/>
        </w:rPr>
        <w:t>（</w:t>
      </w:r>
      <w:r>
        <w:t>1</w:t>
      </w:r>
      <w:r>
        <w:rPr>
          <w:rFonts w:hint="eastAsia"/>
        </w:rPr>
        <w:t>）正式进驻。</w:t>
      </w:r>
    </w:p>
    <w:p>
      <w:pPr>
        <w:pStyle w:val="25"/>
        <w:spacing w:line="580" w:lineRule="exact"/>
        <w:ind w:firstLine="640"/>
      </w:pPr>
      <w:r>
        <w:rPr>
          <w:rFonts w:hint="eastAsia"/>
        </w:rPr>
        <w:t>评价组于</w:t>
      </w:r>
      <w:r>
        <w:t>2022</w:t>
      </w:r>
      <w:r>
        <w:rPr>
          <w:rFonts w:hint="eastAsia"/>
        </w:rPr>
        <w:t>年</w:t>
      </w:r>
      <w:r>
        <w:t>10</w:t>
      </w:r>
      <w:r>
        <w:rPr>
          <w:rFonts w:hint="eastAsia"/>
        </w:rPr>
        <w:t>月</w:t>
      </w:r>
      <w:r>
        <w:t>19</w:t>
      </w:r>
      <w:r>
        <w:rPr>
          <w:rFonts w:hint="eastAsia"/>
        </w:rPr>
        <w:t>日正式进驻天津市和平区财政局实施评价工作。</w:t>
      </w:r>
    </w:p>
    <w:p>
      <w:pPr>
        <w:pStyle w:val="25"/>
        <w:spacing w:line="580" w:lineRule="exact"/>
        <w:ind w:firstLine="640"/>
      </w:pPr>
      <w:r>
        <w:rPr>
          <w:rFonts w:hint="eastAsia"/>
        </w:rPr>
        <w:t>（</w:t>
      </w:r>
      <w:r>
        <w:t>2</w:t>
      </w:r>
      <w:r>
        <w:rPr>
          <w:rFonts w:hint="eastAsia"/>
        </w:rPr>
        <w:t>）全面审查。</w:t>
      </w:r>
    </w:p>
    <w:p>
      <w:pPr>
        <w:pStyle w:val="25"/>
        <w:spacing w:line="580" w:lineRule="exact"/>
        <w:ind w:firstLine="640"/>
      </w:pPr>
      <w:r>
        <w:rPr>
          <w:rFonts w:hint="eastAsia"/>
        </w:rPr>
        <w:t>评价过程中，评价组对金财工程及软件升级项目的文件依据、预算编制、制度执行、资金拨付、资金使用情况、产生效益等方面进行了全面梳理。评价组根据项目支出明细账、资金支出审批单等文件，对专项经费的到位情况、预算编制、资金拨付、资金使用等相关业务文件进行了核查。</w:t>
      </w:r>
    </w:p>
    <w:p>
      <w:pPr>
        <w:pStyle w:val="25"/>
        <w:spacing w:line="580" w:lineRule="exact"/>
        <w:ind w:firstLine="640"/>
      </w:pPr>
      <w:r>
        <w:rPr>
          <w:rFonts w:hint="eastAsia"/>
        </w:rPr>
        <w:t>（</w:t>
      </w:r>
      <w:r>
        <w:t>3</w:t>
      </w:r>
      <w:r>
        <w:rPr>
          <w:rFonts w:hint="eastAsia"/>
        </w:rPr>
        <w:t>）实地核查。</w:t>
      </w:r>
    </w:p>
    <w:p>
      <w:pPr>
        <w:pStyle w:val="25"/>
        <w:spacing w:line="580" w:lineRule="exact"/>
        <w:ind w:firstLine="640"/>
      </w:pPr>
      <w:r>
        <w:rPr>
          <w:rFonts w:hint="eastAsia"/>
        </w:rPr>
        <w:t>对天津市和平区财政局开展现场评价，针对项目完成情况进行一一核查，根据上述核查内容形成评价清单。</w:t>
      </w:r>
    </w:p>
    <w:p>
      <w:pPr>
        <w:pStyle w:val="25"/>
        <w:spacing w:line="580" w:lineRule="exact"/>
        <w:ind w:firstLine="640"/>
      </w:pPr>
      <w:r>
        <w:rPr>
          <w:rFonts w:hint="eastAsia"/>
        </w:rPr>
        <w:t>（4）满意度调查</w:t>
      </w:r>
    </w:p>
    <w:p>
      <w:pPr>
        <w:pStyle w:val="25"/>
        <w:spacing w:line="580" w:lineRule="exact"/>
        <w:ind w:firstLine="640"/>
      </w:pPr>
      <w:r>
        <w:rPr>
          <w:rFonts w:hint="eastAsia"/>
        </w:rPr>
        <w:t>向项目服务对象发放满意度问卷调查，统计满意度情况，对社会调查中提到的其他意见建议进行整理，总结社会调查反映出的突出问题及其原因。</w:t>
      </w:r>
    </w:p>
    <w:p>
      <w:pPr>
        <w:pStyle w:val="25"/>
        <w:spacing w:line="580" w:lineRule="exact"/>
        <w:ind w:firstLine="640"/>
      </w:pPr>
      <w:r>
        <w:rPr>
          <w:rFonts w:hint="eastAsia"/>
        </w:rPr>
        <w:t>（</w:t>
      </w:r>
      <w:r>
        <w:t>5</w:t>
      </w:r>
      <w:r>
        <w:rPr>
          <w:rFonts w:hint="eastAsia"/>
        </w:rPr>
        <w:t>）评价打分。</w:t>
      </w:r>
    </w:p>
    <w:p>
      <w:pPr>
        <w:pStyle w:val="25"/>
        <w:spacing w:line="580" w:lineRule="exact"/>
        <w:ind w:firstLine="640"/>
      </w:pPr>
      <w:r>
        <w:rPr>
          <w:rFonts w:hint="eastAsia"/>
        </w:rPr>
        <w:t>按照绩效评价指标体系编制了工作底稿，并对各绩效评价指标进行了评分。</w:t>
      </w:r>
    </w:p>
    <w:p>
      <w:pPr>
        <w:pStyle w:val="25"/>
        <w:spacing w:line="580" w:lineRule="exact"/>
        <w:ind w:firstLine="640"/>
      </w:pPr>
      <w:r>
        <w:rPr>
          <w:rFonts w:hint="eastAsia"/>
        </w:rPr>
        <w:t>（</w:t>
      </w:r>
      <w:r>
        <w:t>6</w:t>
      </w:r>
      <w:r>
        <w:rPr>
          <w:rFonts w:hint="eastAsia"/>
        </w:rPr>
        <w:t>）编制报告。</w:t>
      </w:r>
    </w:p>
    <w:p>
      <w:pPr>
        <w:pStyle w:val="25"/>
        <w:spacing w:line="580" w:lineRule="exact"/>
        <w:ind w:firstLine="640"/>
      </w:pPr>
      <w:r>
        <w:rPr>
          <w:rFonts w:hint="eastAsia"/>
        </w:rPr>
        <w:t>评价组根据现场评价打分，编制绩效评价报告，全面梳理本项目在决策依据、过程管理、产出情况、取得效益等方面存在的问题及工作建议。</w:t>
      </w:r>
    </w:p>
    <w:p>
      <w:pPr>
        <w:pStyle w:val="27"/>
        <w:spacing w:line="580" w:lineRule="exact"/>
      </w:pPr>
      <w:bookmarkStart w:id="11" w:name="_Toc123999531"/>
      <w:r>
        <w:rPr>
          <w:rFonts w:hint="eastAsia"/>
        </w:rPr>
        <w:t>三、综合评价情况及评价结论</w:t>
      </w:r>
      <w:bookmarkEnd w:id="11"/>
    </w:p>
    <w:p>
      <w:pPr>
        <w:pStyle w:val="25"/>
        <w:spacing w:line="580" w:lineRule="exact"/>
        <w:ind w:firstLine="640"/>
      </w:pPr>
      <w:bookmarkStart w:id="12" w:name="_Hlk91875381"/>
      <w:r>
        <w:rPr>
          <w:rFonts w:hint="eastAsia"/>
        </w:rPr>
        <w:t>经过综合评价，金财工程及软件升级项目得分</w:t>
      </w:r>
      <w:r>
        <w:t>9</w:t>
      </w:r>
      <w:r>
        <w:rPr>
          <w:rFonts w:hint="eastAsia"/>
        </w:rPr>
        <w:t>2.5分，评价等级为“优”。其中，项目决策</w:t>
      </w:r>
      <w:r>
        <w:t>1</w:t>
      </w:r>
      <w:r>
        <w:rPr>
          <w:rFonts w:hint="eastAsia"/>
        </w:rPr>
        <w:t>1.5分，项目过程23分，项目产出</w:t>
      </w:r>
      <w:r>
        <w:t>3</w:t>
      </w:r>
      <w:r>
        <w:rPr>
          <w:rFonts w:hint="eastAsia"/>
        </w:rPr>
        <w:t>6分，项目效益</w:t>
      </w:r>
      <w:r>
        <w:t>22</w:t>
      </w:r>
      <w:r>
        <w:rPr>
          <w:rFonts w:hint="eastAsia"/>
        </w:rPr>
        <w:t>分</w:t>
      </w:r>
      <w:bookmarkEnd w:id="12"/>
      <w:r>
        <w:rPr>
          <w:rFonts w:hint="eastAsia"/>
        </w:rPr>
        <w:t>。</w:t>
      </w:r>
    </w:p>
    <w:p>
      <w:pPr>
        <w:pStyle w:val="25"/>
        <w:spacing w:line="580" w:lineRule="exact"/>
        <w:ind w:firstLine="640"/>
      </w:pPr>
      <w:bookmarkStart w:id="13" w:name="_Hlk91875395"/>
      <w:r>
        <w:rPr>
          <w:rFonts w:hint="eastAsia"/>
        </w:rPr>
        <w:t>具体情况见表2：</w:t>
      </w:r>
    </w:p>
    <w:p>
      <w:pPr>
        <w:pStyle w:val="32"/>
        <w:spacing w:line="580" w:lineRule="exact"/>
        <w:rPr>
          <w:rFonts w:eastAsia="黑体" w:cs="宋体"/>
          <w:bCs w:val="0"/>
          <w:sz w:val="28"/>
          <w:szCs w:val="28"/>
        </w:rPr>
      </w:pPr>
      <w:r>
        <w:rPr>
          <w:rFonts w:eastAsia="黑体" w:cs="宋体"/>
          <w:bCs w:val="0"/>
          <w:sz w:val="28"/>
          <w:szCs w:val="28"/>
        </w:rPr>
        <w:t xml:space="preserve">表2  </w:t>
      </w:r>
      <w:r>
        <w:rPr>
          <w:rFonts w:hint="eastAsia" w:eastAsia="黑体" w:cs="宋体"/>
          <w:bCs w:val="0"/>
          <w:sz w:val="28"/>
          <w:szCs w:val="28"/>
        </w:rPr>
        <w:t>金财工程及软件升级项目绩效得分情况表</w:t>
      </w:r>
    </w:p>
    <w:p>
      <w:pPr>
        <w:pStyle w:val="33"/>
        <w:spacing w:line="580" w:lineRule="exact"/>
      </w:pPr>
      <w:r>
        <w:rPr>
          <w:rFonts w:hint="eastAsia"/>
        </w:rPr>
        <w:t>单位：分值</w:t>
      </w:r>
    </w:p>
    <w:tbl>
      <w:tblPr>
        <w:tblStyle w:val="18"/>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4"/>
        <w:gridCol w:w="1414"/>
        <w:gridCol w:w="1412"/>
        <w:gridCol w:w="1443"/>
        <w:gridCol w:w="1412"/>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4" w:type="dxa"/>
            <w:vAlign w:val="center"/>
          </w:tcPr>
          <w:p>
            <w:pPr>
              <w:pStyle w:val="35"/>
              <w:spacing w:line="580" w:lineRule="exact"/>
            </w:pPr>
            <w:r>
              <w:rPr>
                <w:rFonts w:hint="eastAsia"/>
              </w:rPr>
              <w:t>指标</w:t>
            </w:r>
          </w:p>
        </w:tc>
        <w:tc>
          <w:tcPr>
            <w:tcW w:w="1414" w:type="dxa"/>
            <w:vAlign w:val="center"/>
          </w:tcPr>
          <w:p>
            <w:pPr>
              <w:pStyle w:val="35"/>
              <w:spacing w:line="580" w:lineRule="exact"/>
            </w:pPr>
            <w:r>
              <w:rPr>
                <w:rFonts w:hint="eastAsia"/>
              </w:rPr>
              <w:t>项目决策</w:t>
            </w:r>
          </w:p>
        </w:tc>
        <w:tc>
          <w:tcPr>
            <w:tcW w:w="1412" w:type="dxa"/>
            <w:vAlign w:val="center"/>
          </w:tcPr>
          <w:p>
            <w:pPr>
              <w:pStyle w:val="35"/>
              <w:spacing w:line="580" w:lineRule="exact"/>
            </w:pPr>
            <w:r>
              <w:rPr>
                <w:rFonts w:hint="eastAsia"/>
              </w:rPr>
              <w:t>项目过程</w:t>
            </w:r>
          </w:p>
        </w:tc>
        <w:tc>
          <w:tcPr>
            <w:tcW w:w="1443" w:type="dxa"/>
            <w:vAlign w:val="center"/>
          </w:tcPr>
          <w:p>
            <w:pPr>
              <w:pStyle w:val="35"/>
              <w:spacing w:line="580" w:lineRule="exact"/>
            </w:pPr>
            <w:r>
              <w:rPr>
                <w:rFonts w:hint="eastAsia"/>
              </w:rPr>
              <w:t>项目产出</w:t>
            </w:r>
          </w:p>
        </w:tc>
        <w:tc>
          <w:tcPr>
            <w:tcW w:w="1412" w:type="dxa"/>
            <w:vAlign w:val="center"/>
          </w:tcPr>
          <w:p>
            <w:pPr>
              <w:pStyle w:val="35"/>
              <w:spacing w:line="580" w:lineRule="exact"/>
            </w:pPr>
            <w:r>
              <w:rPr>
                <w:rFonts w:hint="eastAsia"/>
              </w:rPr>
              <w:t>项目效益</w:t>
            </w:r>
          </w:p>
        </w:tc>
        <w:tc>
          <w:tcPr>
            <w:tcW w:w="1433" w:type="dxa"/>
            <w:vAlign w:val="center"/>
          </w:tcPr>
          <w:p>
            <w:pPr>
              <w:pStyle w:val="35"/>
              <w:spacing w:line="580" w:lineRule="exact"/>
            </w:pPr>
            <w:r>
              <w:rPr>
                <w:rFonts w:hint="eastAsia"/>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4" w:type="dxa"/>
            <w:vAlign w:val="center"/>
          </w:tcPr>
          <w:p>
            <w:pPr>
              <w:pStyle w:val="37"/>
              <w:spacing w:line="580" w:lineRule="exact"/>
              <w:jc w:val="center"/>
            </w:pPr>
            <w:r>
              <w:rPr>
                <w:rFonts w:hint="eastAsia"/>
              </w:rPr>
              <w:t>分值</w:t>
            </w:r>
          </w:p>
        </w:tc>
        <w:tc>
          <w:tcPr>
            <w:tcW w:w="1414" w:type="dxa"/>
            <w:vAlign w:val="center"/>
          </w:tcPr>
          <w:p>
            <w:pPr>
              <w:pStyle w:val="37"/>
              <w:spacing w:line="580" w:lineRule="exact"/>
              <w:jc w:val="center"/>
            </w:pPr>
            <w:r>
              <w:t>17</w:t>
            </w:r>
          </w:p>
        </w:tc>
        <w:tc>
          <w:tcPr>
            <w:tcW w:w="1412" w:type="dxa"/>
            <w:vAlign w:val="center"/>
          </w:tcPr>
          <w:p>
            <w:pPr>
              <w:pStyle w:val="37"/>
              <w:spacing w:line="580" w:lineRule="exact"/>
              <w:jc w:val="center"/>
            </w:pPr>
            <w:r>
              <w:t>23</w:t>
            </w:r>
          </w:p>
        </w:tc>
        <w:tc>
          <w:tcPr>
            <w:tcW w:w="1443" w:type="dxa"/>
            <w:vAlign w:val="center"/>
          </w:tcPr>
          <w:p>
            <w:pPr>
              <w:pStyle w:val="37"/>
              <w:spacing w:line="580" w:lineRule="exact"/>
              <w:jc w:val="center"/>
            </w:pPr>
            <w:r>
              <w:t>38</w:t>
            </w:r>
          </w:p>
        </w:tc>
        <w:tc>
          <w:tcPr>
            <w:tcW w:w="1412" w:type="dxa"/>
            <w:vAlign w:val="center"/>
          </w:tcPr>
          <w:p>
            <w:pPr>
              <w:pStyle w:val="37"/>
              <w:spacing w:line="580" w:lineRule="exact"/>
              <w:jc w:val="center"/>
            </w:pPr>
            <w:r>
              <w:t>22</w:t>
            </w:r>
          </w:p>
        </w:tc>
        <w:tc>
          <w:tcPr>
            <w:tcW w:w="1433" w:type="dxa"/>
            <w:vAlign w:val="center"/>
          </w:tcPr>
          <w:p>
            <w:pPr>
              <w:pStyle w:val="37"/>
              <w:spacing w:line="580" w:lineRule="exact"/>
              <w:jc w:val="center"/>
            </w:pPr>
            <w: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4" w:type="dxa"/>
            <w:vAlign w:val="center"/>
          </w:tcPr>
          <w:p>
            <w:pPr>
              <w:pStyle w:val="37"/>
              <w:spacing w:line="580" w:lineRule="exact"/>
              <w:jc w:val="center"/>
            </w:pPr>
            <w:r>
              <w:rPr>
                <w:rFonts w:hint="eastAsia"/>
              </w:rPr>
              <w:t>得分</w:t>
            </w:r>
          </w:p>
        </w:tc>
        <w:tc>
          <w:tcPr>
            <w:tcW w:w="1414" w:type="dxa"/>
            <w:vAlign w:val="center"/>
          </w:tcPr>
          <w:p>
            <w:pPr>
              <w:pStyle w:val="37"/>
              <w:spacing w:line="580" w:lineRule="exact"/>
              <w:jc w:val="center"/>
            </w:pPr>
            <w:r>
              <w:rPr>
                <w:rFonts w:hint="eastAsia"/>
              </w:rPr>
              <w:t>11.5</w:t>
            </w:r>
          </w:p>
        </w:tc>
        <w:tc>
          <w:tcPr>
            <w:tcW w:w="1412" w:type="dxa"/>
            <w:vAlign w:val="center"/>
          </w:tcPr>
          <w:p>
            <w:pPr>
              <w:pStyle w:val="37"/>
              <w:spacing w:line="580" w:lineRule="exact"/>
              <w:jc w:val="center"/>
            </w:pPr>
            <w:r>
              <w:rPr>
                <w:rFonts w:hint="eastAsia"/>
              </w:rPr>
              <w:t>23</w:t>
            </w:r>
          </w:p>
        </w:tc>
        <w:tc>
          <w:tcPr>
            <w:tcW w:w="1443" w:type="dxa"/>
            <w:vAlign w:val="center"/>
          </w:tcPr>
          <w:p>
            <w:pPr>
              <w:pStyle w:val="37"/>
              <w:spacing w:line="580" w:lineRule="exact"/>
              <w:jc w:val="center"/>
            </w:pPr>
            <w:r>
              <w:rPr>
                <w:rFonts w:hint="eastAsia"/>
              </w:rPr>
              <w:t>36</w:t>
            </w:r>
          </w:p>
        </w:tc>
        <w:tc>
          <w:tcPr>
            <w:tcW w:w="1412" w:type="dxa"/>
            <w:vAlign w:val="center"/>
          </w:tcPr>
          <w:p>
            <w:pPr>
              <w:pStyle w:val="37"/>
              <w:spacing w:line="580" w:lineRule="exact"/>
              <w:jc w:val="center"/>
            </w:pPr>
            <w:r>
              <w:t>22</w:t>
            </w:r>
          </w:p>
        </w:tc>
        <w:tc>
          <w:tcPr>
            <w:tcW w:w="1433" w:type="dxa"/>
            <w:vAlign w:val="center"/>
          </w:tcPr>
          <w:p>
            <w:pPr>
              <w:pStyle w:val="37"/>
              <w:spacing w:line="580" w:lineRule="exact"/>
              <w:jc w:val="center"/>
            </w:pPr>
            <w:r>
              <w:t>9</w:t>
            </w:r>
            <w:r>
              <w:rPr>
                <w:rFonts w:hint="eastAsia"/>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4" w:type="dxa"/>
            <w:vAlign w:val="center"/>
          </w:tcPr>
          <w:p>
            <w:pPr>
              <w:pStyle w:val="37"/>
              <w:spacing w:line="580" w:lineRule="exact"/>
              <w:jc w:val="center"/>
            </w:pPr>
            <w:r>
              <w:rPr>
                <w:rFonts w:hint="eastAsia"/>
              </w:rPr>
              <w:t>得分率</w:t>
            </w:r>
          </w:p>
        </w:tc>
        <w:tc>
          <w:tcPr>
            <w:tcW w:w="1414" w:type="dxa"/>
            <w:vAlign w:val="center"/>
          </w:tcPr>
          <w:p>
            <w:pPr>
              <w:pStyle w:val="37"/>
              <w:spacing w:line="580" w:lineRule="exact"/>
              <w:jc w:val="center"/>
            </w:pPr>
            <w:r>
              <w:rPr>
                <w:rFonts w:hint="eastAsia"/>
              </w:rPr>
              <w:t>67</w:t>
            </w:r>
            <w:r>
              <w:t>.</w:t>
            </w:r>
            <w:r>
              <w:rPr>
                <w:rFonts w:hint="eastAsia"/>
              </w:rPr>
              <w:t>65%</w:t>
            </w:r>
          </w:p>
        </w:tc>
        <w:tc>
          <w:tcPr>
            <w:tcW w:w="1412" w:type="dxa"/>
            <w:vAlign w:val="center"/>
          </w:tcPr>
          <w:p>
            <w:pPr>
              <w:pStyle w:val="37"/>
              <w:spacing w:line="580" w:lineRule="exact"/>
              <w:jc w:val="center"/>
            </w:pPr>
            <w:r>
              <w:rPr>
                <w:rFonts w:hint="eastAsia"/>
              </w:rPr>
              <w:t>100%</w:t>
            </w:r>
          </w:p>
        </w:tc>
        <w:tc>
          <w:tcPr>
            <w:tcW w:w="1443" w:type="dxa"/>
            <w:vAlign w:val="center"/>
          </w:tcPr>
          <w:p>
            <w:pPr>
              <w:pStyle w:val="37"/>
              <w:spacing w:line="580" w:lineRule="exact"/>
              <w:jc w:val="center"/>
            </w:pPr>
            <w:r>
              <w:rPr>
                <w:rFonts w:hint="eastAsia"/>
              </w:rPr>
              <w:t>94.74%</w:t>
            </w:r>
          </w:p>
        </w:tc>
        <w:tc>
          <w:tcPr>
            <w:tcW w:w="1412" w:type="dxa"/>
            <w:vAlign w:val="center"/>
          </w:tcPr>
          <w:p>
            <w:pPr>
              <w:pStyle w:val="37"/>
              <w:spacing w:line="580" w:lineRule="exact"/>
              <w:jc w:val="center"/>
            </w:pPr>
            <w:r>
              <w:t>100</w:t>
            </w:r>
            <w:r>
              <w:rPr>
                <w:rFonts w:hint="eastAsia"/>
              </w:rPr>
              <w:t>%</w:t>
            </w:r>
          </w:p>
        </w:tc>
        <w:tc>
          <w:tcPr>
            <w:tcW w:w="1433" w:type="dxa"/>
            <w:vAlign w:val="center"/>
          </w:tcPr>
          <w:p>
            <w:pPr>
              <w:pStyle w:val="37"/>
              <w:spacing w:line="580" w:lineRule="exact"/>
              <w:jc w:val="center"/>
            </w:pPr>
            <w:r>
              <w:t>9</w:t>
            </w:r>
            <w:r>
              <w:rPr>
                <w:rFonts w:hint="eastAsia"/>
              </w:rPr>
              <w:t>2.5%</w:t>
            </w:r>
          </w:p>
        </w:tc>
      </w:tr>
      <w:bookmarkEnd w:id="13"/>
    </w:tbl>
    <w:p>
      <w:pPr>
        <w:pStyle w:val="25"/>
        <w:spacing w:line="580" w:lineRule="exact"/>
        <w:ind w:firstLine="640"/>
        <w:rPr>
          <w:bCs/>
        </w:rPr>
      </w:pPr>
      <w:bookmarkStart w:id="14" w:name="_Hlk91875411"/>
      <w:r>
        <w:rPr>
          <w:rFonts w:hint="eastAsia"/>
        </w:rPr>
        <w:t>评价结论：</w:t>
      </w:r>
      <w:bookmarkEnd w:id="14"/>
      <w:r>
        <w:rPr>
          <w:rFonts w:hint="eastAsia"/>
        </w:rPr>
        <w:t>项目立项程序规范，预算编制合理，资金到位及时，项目产出完成良好，服务对象对项目整体执行效果满意度较高。但是，项目决策方面存在初始绩效目标指标不明确、测算过程细化程度不够、立项文件无法提供等问题</w:t>
      </w:r>
      <w:r>
        <w:rPr>
          <w:rFonts w:hint="eastAsia"/>
          <w:bCs/>
        </w:rPr>
        <w:t>；</w:t>
      </w:r>
      <w:r>
        <w:rPr>
          <w:rFonts w:hint="eastAsia" w:cs="仿宋_GB2312"/>
        </w:rPr>
        <w:t>项目产出方面存在个别问题无法解决的情况。</w:t>
      </w:r>
    </w:p>
    <w:p>
      <w:pPr>
        <w:pStyle w:val="27"/>
        <w:spacing w:line="580" w:lineRule="exact"/>
        <w:ind w:firstLine="640" w:firstLineChars="200"/>
      </w:pPr>
      <w:bookmarkStart w:id="15" w:name="_Toc123999532"/>
      <w:r>
        <w:rPr>
          <w:rFonts w:hint="eastAsia"/>
        </w:rPr>
        <w:t>四、绩效评价指标分析</w:t>
      </w:r>
      <w:bookmarkEnd w:id="15"/>
    </w:p>
    <w:p>
      <w:pPr>
        <w:pStyle w:val="29"/>
        <w:spacing w:line="580" w:lineRule="exact"/>
        <w:ind w:firstLine="640"/>
      </w:pPr>
      <w:bookmarkStart w:id="16" w:name="_Toc123999533"/>
      <w:r>
        <w:rPr>
          <w:rFonts w:hint="eastAsia"/>
        </w:rPr>
        <w:t>（一）项目决策情况</w:t>
      </w:r>
      <w:bookmarkEnd w:id="16"/>
    </w:p>
    <w:p>
      <w:pPr>
        <w:pStyle w:val="25"/>
        <w:spacing w:line="580" w:lineRule="exact"/>
        <w:ind w:firstLine="640"/>
        <w:rPr>
          <w:color w:val="FF0000"/>
        </w:rPr>
      </w:pPr>
      <w:r>
        <w:rPr>
          <w:rFonts w:hint="eastAsia"/>
        </w:rPr>
        <w:t>决策指标主要包括项目立项、绩效目标、预算编制</w:t>
      </w:r>
      <w:r>
        <w:t>3</w:t>
      </w:r>
      <w:r>
        <w:rPr>
          <w:rFonts w:hint="eastAsia"/>
        </w:rPr>
        <w:t>项二级指标，</w:t>
      </w:r>
      <w:r>
        <w:t>8</w:t>
      </w:r>
      <w:r>
        <w:rPr>
          <w:rFonts w:hint="eastAsia"/>
        </w:rPr>
        <w:t>项三级指标，基础总分</w:t>
      </w:r>
      <w:r>
        <w:t>17</w:t>
      </w:r>
      <w:r>
        <w:rPr>
          <w:rFonts w:hint="eastAsia"/>
        </w:rPr>
        <w:t>分，合计得分</w:t>
      </w:r>
      <w:r>
        <w:t>1</w:t>
      </w:r>
      <w:r>
        <w:rPr>
          <w:rFonts w:hint="eastAsia"/>
        </w:rPr>
        <w:t>1.5分。</w:t>
      </w:r>
    </w:p>
    <w:p>
      <w:pPr>
        <w:pStyle w:val="25"/>
        <w:spacing w:line="580" w:lineRule="exact"/>
        <w:ind w:firstLine="640"/>
      </w:pPr>
      <w:r>
        <w:rPr>
          <w:rFonts w:hint="eastAsia"/>
        </w:rPr>
        <w:t>1.项目立项</w:t>
      </w:r>
    </w:p>
    <w:p>
      <w:pPr>
        <w:pStyle w:val="25"/>
        <w:spacing w:line="580" w:lineRule="exact"/>
        <w:ind w:firstLine="640"/>
      </w:pPr>
      <w:r>
        <w:rPr>
          <w:rFonts w:hint="eastAsia"/>
        </w:rPr>
        <w:t>（1）立项依据充分性（总分2分，得分1分）。项目设立依据符合财政部的要求及市局的统一部署，和平区从</w:t>
      </w:r>
      <w:r>
        <w:t>2011年上半年开始，按照“以平台促应用、以应用推平台”的思路，全面开展平台建设实施工作。有力促进了财政管理的科学化精细化。为财政改革发展提供了信息支撑和技术保障，促进了财政科学化、规范化和信息化管理水平提升。综合分析，项目立项符合国家法律法规、国民经济发展规划和相关政策；符合行业发展规划和政策要求；与部门职责范围相符，属于部门履职所需；属于公共财政支持范围；未与其他部门同类项目或部门内部相关项目重复</w:t>
      </w:r>
      <w:r>
        <w:rPr>
          <w:rFonts w:hint="eastAsia"/>
        </w:rPr>
        <w:t>。但由于项目初始执行时间较早，预算单位未能及时提供依据文件的具体内容。</w:t>
      </w:r>
    </w:p>
    <w:p>
      <w:pPr>
        <w:pStyle w:val="25"/>
        <w:spacing w:line="580" w:lineRule="exact"/>
        <w:ind w:firstLine="640"/>
      </w:pPr>
      <w:r>
        <w:rPr>
          <w:rFonts w:hint="eastAsia"/>
        </w:rPr>
        <w:t>（2）立项程序规范性（总分2分，得分</w:t>
      </w:r>
      <w:r>
        <w:t>2</w:t>
      </w:r>
      <w:r>
        <w:rPr>
          <w:rFonts w:hint="eastAsia"/>
        </w:rPr>
        <w:t>分）。金财工程及软件升级项目有完整的工作请示签呈单、项目支出预算明细表、审批文件等相关材料，事前经过党组会集体决策，项目立项程序符合规范要求。</w:t>
      </w:r>
    </w:p>
    <w:p>
      <w:pPr>
        <w:pStyle w:val="25"/>
        <w:spacing w:line="580" w:lineRule="exact"/>
        <w:ind w:firstLine="640"/>
      </w:pPr>
      <w:r>
        <w:rPr>
          <w:rFonts w:hint="eastAsia"/>
        </w:rPr>
        <w:t>2.绩效目标</w:t>
      </w:r>
    </w:p>
    <w:p>
      <w:pPr>
        <w:pStyle w:val="25"/>
        <w:spacing w:line="580" w:lineRule="exact"/>
        <w:ind w:firstLine="640"/>
        <w:rPr>
          <w:bCs/>
        </w:rPr>
      </w:pPr>
      <w:r>
        <w:rPr>
          <w:rFonts w:hint="eastAsia"/>
        </w:rPr>
        <w:t>（1）绩效目标明确性（总分</w:t>
      </w:r>
      <w:r>
        <w:t>4</w:t>
      </w:r>
      <w:r>
        <w:rPr>
          <w:rFonts w:hint="eastAsia"/>
        </w:rPr>
        <w:t>分，得分</w:t>
      </w:r>
      <w:r>
        <w:t>0</w:t>
      </w:r>
      <w:r>
        <w:rPr>
          <w:rFonts w:hint="eastAsia"/>
        </w:rPr>
        <w:t>分）。</w:t>
      </w:r>
      <w:r>
        <w:rPr>
          <w:rFonts w:hint="eastAsia"/>
          <w:bCs/>
        </w:rPr>
        <w:t>根据</w:t>
      </w:r>
      <w:r>
        <w:rPr>
          <w:rFonts w:hint="eastAsia"/>
        </w:rPr>
        <w:t>《天津市财政局关于印发&lt;天津市市级部门预算绩效目标管理办法&gt;的通知》（津财绩效〔2020〕16号）文件要求</w:t>
      </w:r>
      <w:r>
        <w:rPr>
          <w:rFonts w:hint="eastAsia"/>
          <w:bCs/>
        </w:rPr>
        <w:t>，“绩效指标是绩效目标的细化和量化”，金财工程及软件升级项目实施年度为2</w:t>
      </w:r>
      <w:r>
        <w:rPr>
          <w:bCs/>
        </w:rPr>
        <w:t>021</w:t>
      </w:r>
      <w:r>
        <w:rPr>
          <w:rFonts w:hint="eastAsia"/>
          <w:bCs/>
        </w:rPr>
        <w:t>年，根据天津市和平区财政局初始提供的本项目绩效目标表，该项目绩效目标与项目目标任务数相对应，但2</w:t>
      </w:r>
      <w:r>
        <w:rPr>
          <w:bCs/>
        </w:rPr>
        <w:t>021</w:t>
      </w:r>
      <w:r>
        <w:rPr>
          <w:rFonts w:hint="eastAsia"/>
          <w:bCs/>
        </w:rPr>
        <w:t>年绩效目标申报表编制的绩效指标中存在不</w:t>
      </w:r>
      <w:r>
        <w:rPr>
          <w:rFonts w:hint="eastAsia"/>
        </w:rPr>
        <w:t>准确、</w:t>
      </w:r>
      <w:r>
        <w:rPr>
          <w:rFonts w:hint="eastAsia"/>
          <w:bCs/>
        </w:rPr>
        <w:t>不可衡量的情况，具体如：数量指标“财政信息化软件覆盖全区全部一、二级预算单位覆盖率”，其指标值为“≥95%”，指标描述中“覆盖全区”与“覆盖率”表述重复，指标描述中“覆盖全区”与指标值“≥95%”相矛盾，指标值设置不准确。时效指标“系统数据时效性”，其指标值为“实时数据更新”；可持续影响指标“提高预算单位财务人员业务能力水平”，其指标值为“提高”；可持续影响指标“将财政业务智能化管理，提升工作效率”，其指标值为“提升”，无法判断该指标的具体衡量标准，指标设置不明确无法衡量。</w:t>
      </w:r>
    </w:p>
    <w:p>
      <w:pPr>
        <w:pStyle w:val="25"/>
        <w:spacing w:line="580" w:lineRule="exact"/>
        <w:ind w:firstLine="640"/>
        <w:rPr>
          <w:bCs/>
        </w:rPr>
      </w:pPr>
      <w:r>
        <w:rPr>
          <w:rFonts w:hint="eastAsia"/>
          <w:bCs/>
        </w:rPr>
        <w:t>（2）绩效目标合理性（总分</w:t>
      </w:r>
      <w:r>
        <w:rPr>
          <w:bCs/>
        </w:rPr>
        <w:t>2</w:t>
      </w:r>
      <w:r>
        <w:rPr>
          <w:rFonts w:hint="eastAsia"/>
          <w:bCs/>
        </w:rPr>
        <w:t>分，得分</w:t>
      </w:r>
      <w:r>
        <w:rPr>
          <w:bCs/>
        </w:rPr>
        <w:t>2</w:t>
      </w:r>
      <w:r>
        <w:rPr>
          <w:rFonts w:hint="eastAsia"/>
          <w:bCs/>
        </w:rPr>
        <w:t>分）。</w:t>
      </w:r>
      <w:r>
        <w:rPr>
          <w:rFonts w:hint="eastAsia"/>
        </w:rPr>
        <w:t>根据《天津市财政局关于印发&lt;天津市市级部门预算绩效目标管理办法&gt;的通知》（津财绩效〔2020〕16号）文件要求</w:t>
      </w:r>
      <w:r>
        <w:rPr>
          <w:rFonts w:hint="eastAsia"/>
          <w:bCs/>
        </w:rPr>
        <w:t>“绩效目标要能清晰反映预算资金的预期产出和效果”。天津市和平区财政局设置的项目</w:t>
      </w:r>
      <w:r>
        <w:rPr>
          <w:rFonts w:hint="eastAsia"/>
        </w:rPr>
        <w:t>绩效目标为“保障网络线路运行畅通，保障各类财政信息化软件运行，保障机房开展等保测评及保障区财政局信息系统、数据机房以及日常办公设备的正常运行维护”，</w:t>
      </w:r>
      <w:r>
        <w:rPr>
          <w:rFonts w:hint="eastAsia"/>
          <w:bCs/>
        </w:rPr>
        <w:t>项目</w:t>
      </w:r>
      <w:r>
        <w:rPr>
          <w:rFonts w:hint="eastAsia"/>
        </w:rPr>
        <w:t>绩效目标设置与</w:t>
      </w:r>
      <w:r>
        <w:rPr>
          <w:rFonts w:hint="eastAsia"/>
          <w:bCs/>
        </w:rPr>
        <w:t>实际工作内容相匹配，</w:t>
      </w:r>
      <w:r>
        <w:rPr>
          <w:rFonts w:hint="eastAsia"/>
        </w:rPr>
        <w:t>针对</w:t>
      </w:r>
      <w:r>
        <w:rPr>
          <w:rFonts w:hint="eastAsia"/>
          <w:bCs/>
        </w:rPr>
        <w:t>项目绩效目标细化分解为具体的绩效指标，预期产出效益和效果符合正常的业绩水平，绩效目标与预算确定的资金量相匹配，项目绩效目标设定合理。</w:t>
      </w:r>
    </w:p>
    <w:p>
      <w:pPr>
        <w:pStyle w:val="25"/>
        <w:spacing w:line="580" w:lineRule="exact"/>
        <w:ind w:firstLine="640"/>
        <w:rPr>
          <w:bCs/>
        </w:rPr>
      </w:pPr>
      <w:r>
        <w:rPr>
          <w:rFonts w:hint="eastAsia"/>
          <w:bCs/>
        </w:rPr>
        <w:t>3.预算编制</w:t>
      </w:r>
    </w:p>
    <w:p>
      <w:pPr>
        <w:pStyle w:val="25"/>
        <w:spacing w:line="580" w:lineRule="exact"/>
        <w:ind w:firstLine="640"/>
        <w:rPr>
          <w:bCs/>
        </w:rPr>
      </w:pPr>
      <w:r>
        <w:rPr>
          <w:rFonts w:hint="eastAsia"/>
          <w:bCs/>
        </w:rPr>
        <w:t>（1）测算内容合规性（总分2分，得分2分）。本项目预算测算内容为网络线路运行财政信息化软件运行机房维护成本，测算内容符合财政部及市局规定的工作范围，其内容与实际需求相匹配，不存在重复测算，项目测算内容合规。</w:t>
      </w:r>
    </w:p>
    <w:p>
      <w:pPr>
        <w:pStyle w:val="25"/>
        <w:spacing w:line="580" w:lineRule="exact"/>
        <w:ind w:firstLine="640"/>
        <w:rPr>
          <w:bCs/>
        </w:rPr>
      </w:pPr>
      <w:r>
        <w:rPr>
          <w:rFonts w:hint="eastAsia"/>
          <w:bCs/>
        </w:rPr>
        <w:t>（2）测算标准合理性（总分2分，得分2分）。本项目为经常性项目，采用政府采购方式进行公开招标，测算标准符合行业标准和部门自行制定的项目支出预算明细表与社会实际支出水平，预算测算标准符合领域管理标准，测算标准合理。</w:t>
      </w:r>
    </w:p>
    <w:p>
      <w:pPr>
        <w:pStyle w:val="25"/>
        <w:spacing w:line="580" w:lineRule="exact"/>
        <w:ind w:firstLine="640"/>
      </w:pPr>
      <w:r>
        <w:rPr>
          <w:rFonts w:hint="eastAsia"/>
          <w:bCs/>
        </w:rPr>
        <w:t>（3）测算数据客观性（总分2分，得分2分）。通过</w:t>
      </w:r>
      <w:r>
        <w:rPr>
          <w:bCs/>
        </w:rPr>
        <w:t>2021年度本项目实际情况及对比2020年度项目预算情况相结合，本项目预算测算数据与历史数据、相关行业数据有可比性，符合客观需求。</w:t>
      </w:r>
    </w:p>
    <w:p>
      <w:pPr>
        <w:pStyle w:val="25"/>
        <w:spacing w:line="580" w:lineRule="exact"/>
        <w:ind w:firstLine="640"/>
        <w:rPr>
          <w:bCs/>
        </w:rPr>
      </w:pPr>
      <w:r>
        <w:rPr>
          <w:rFonts w:hint="eastAsia"/>
          <w:bCs/>
        </w:rPr>
        <w:t>（4）测算过程细化度（总分1分，得分0.5分）。本项目实际内容包括硬件设备改造和软件升级等内容，项目测算过程不够细化，缺乏根据人力、商品和服务、资本性各类支出分别测算成本的过程。</w:t>
      </w:r>
    </w:p>
    <w:p>
      <w:pPr>
        <w:pStyle w:val="25"/>
        <w:spacing w:line="580" w:lineRule="exact"/>
        <w:ind w:firstLine="640"/>
      </w:pPr>
      <w:r>
        <w:rPr>
          <w:rFonts w:hint="eastAsia"/>
        </w:rPr>
        <w:t>（二）项目过程情况</w:t>
      </w:r>
    </w:p>
    <w:p>
      <w:pPr>
        <w:pStyle w:val="25"/>
        <w:spacing w:line="580" w:lineRule="exact"/>
        <w:ind w:firstLine="640"/>
      </w:pPr>
      <w:r>
        <w:rPr>
          <w:rFonts w:hint="eastAsia"/>
        </w:rPr>
        <w:t>过程指标主要包括资金管理、</w:t>
      </w:r>
      <w:r>
        <w:rPr>
          <w:rFonts w:hint="eastAsia"/>
          <w:bCs/>
        </w:rPr>
        <w:t>组织实施2项二级指标，</w:t>
      </w:r>
      <w:r>
        <w:rPr>
          <w:bCs/>
        </w:rPr>
        <w:t>6</w:t>
      </w:r>
      <w:r>
        <w:rPr>
          <w:rFonts w:hint="eastAsia"/>
          <w:bCs/>
        </w:rPr>
        <w:t>项三级指标，基础总分2</w:t>
      </w:r>
      <w:r>
        <w:rPr>
          <w:bCs/>
        </w:rPr>
        <w:t>3</w:t>
      </w:r>
      <w:r>
        <w:rPr>
          <w:rFonts w:hint="eastAsia"/>
          <w:bCs/>
        </w:rPr>
        <w:t>分，合计得分</w:t>
      </w:r>
      <w:r>
        <w:rPr>
          <w:bCs/>
        </w:rPr>
        <w:t>2</w:t>
      </w:r>
      <w:r>
        <w:rPr>
          <w:rFonts w:hint="eastAsia"/>
          <w:bCs/>
        </w:rPr>
        <w:t>3分。</w:t>
      </w:r>
    </w:p>
    <w:p>
      <w:pPr>
        <w:pStyle w:val="25"/>
        <w:spacing w:line="580" w:lineRule="exact"/>
        <w:ind w:firstLine="640"/>
      </w:pPr>
      <w:r>
        <w:rPr>
          <w:rFonts w:hint="eastAsia"/>
        </w:rPr>
        <w:t>1.资金管理</w:t>
      </w:r>
    </w:p>
    <w:p>
      <w:pPr>
        <w:pStyle w:val="25"/>
        <w:spacing w:line="580" w:lineRule="exact"/>
        <w:ind w:firstLine="640"/>
        <w:rPr>
          <w:bCs/>
        </w:rPr>
      </w:pPr>
      <w:r>
        <w:rPr>
          <w:rFonts w:hint="eastAsia"/>
        </w:rPr>
        <w:t>（1）资金到位率（总分</w:t>
      </w:r>
      <w:r>
        <w:t>3</w:t>
      </w:r>
      <w:r>
        <w:rPr>
          <w:rFonts w:hint="eastAsia"/>
        </w:rPr>
        <w:t>分，得分</w:t>
      </w:r>
      <w:r>
        <w:t>3</w:t>
      </w:r>
      <w:r>
        <w:rPr>
          <w:rFonts w:hint="eastAsia"/>
        </w:rPr>
        <w:t>分）。金财工程及软件升级项目全年预算金额为80.8</w:t>
      </w:r>
      <w:r>
        <w:rPr>
          <w:rFonts w:hint="eastAsia"/>
          <w:bCs/>
        </w:rPr>
        <w:t>万元。截止2</w:t>
      </w:r>
      <w:r>
        <w:rPr>
          <w:bCs/>
        </w:rPr>
        <w:t>021</w:t>
      </w:r>
      <w:r>
        <w:rPr>
          <w:rFonts w:hint="eastAsia"/>
          <w:bCs/>
        </w:rPr>
        <w:t>年</w:t>
      </w:r>
      <w:r>
        <w:rPr>
          <w:bCs/>
        </w:rPr>
        <w:t>12</w:t>
      </w:r>
      <w:r>
        <w:rPr>
          <w:rFonts w:hint="eastAsia"/>
          <w:bCs/>
        </w:rPr>
        <w:t>月3</w:t>
      </w:r>
      <w:r>
        <w:rPr>
          <w:bCs/>
        </w:rPr>
        <w:t>1</w:t>
      </w:r>
      <w:r>
        <w:rPr>
          <w:rFonts w:hint="eastAsia"/>
          <w:bCs/>
        </w:rPr>
        <w:t>日，</w:t>
      </w:r>
      <w:r>
        <w:rPr>
          <w:rFonts w:hint="eastAsia"/>
        </w:rPr>
        <w:t>项目实际到位金额为</w:t>
      </w:r>
      <w:r>
        <w:rPr>
          <w:rFonts w:hint="eastAsia"/>
          <w:bCs/>
        </w:rPr>
        <w:t>80.8</w:t>
      </w:r>
      <w:r>
        <w:rPr>
          <w:rFonts w:hint="eastAsia"/>
        </w:rPr>
        <w:t>万元，</w:t>
      </w:r>
      <w:r>
        <w:rPr>
          <w:rFonts w:hint="eastAsia"/>
          <w:bCs/>
        </w:rPr>
        <w:t>资金到位率为1</w:t>
      </w:r>
      <w:r>
        <w:rPr>
          <w:bCs/>
        </w:rPr>
        <w:t>00</w:t>
      </w:r>
      <w:r>
        <w:rPr>
          <w:rFonts w:hint="eastAsia"/>
          <w:bCs/>
        </w:rPr>
        <w:t>%。</w:t>
      </w:r>
    </w:p>
    <w:p>
      <w:pPr>
        <w:pStyle w:val="25"/>
        <w:spacing w:line="580" w:lineRule="exact"/>
        <w:ind w:firstLine="640"/>
        <w:rPr>
          <w:bCs/>
        </w:rPr>
      </w:pPr>
      <w:r>
        <w:rPr>
          <w:rFonts w:hint="eastAsia"/>
        </w:rPr>
        <w:t>（2）资金到位及时率（总分</w:t>
      </w:r>
      <w:r>
        <w:t>3</w:t>
      </w:r>
      <w:r>
        <w:rPr>
          <w:rFonts w:hint="eastAsia"/>
        </w:rPr>
        <w:t>分，得分</w:t>
      </w:r>
      <w:r>
        <w:t>3</w:t>
      </w:r>
      <w:r>
        <w:rPr>
          <w:rFonts w:hint="eastAsia"/>
        </w:rPr>
        <w:t>分）。根据单位财务明细台账显示，截至2</w:t>
      </w:r>
      <w:r>
        <w:t>021</w:t>
      </w:r>
      <w:r>
        <w:rPr>
          <w:rFonts w:hint="eastAsia"/>
        </w:rPr>
        <w:t>年1</w:t>
      </w:r>
      <w:r>
        <w:t>2</w:t>
      </w:r>
      <w:r>
        <w:rPr>
          <w:rFonts w:hint="eastAsia"/>
        </w:rPr>
        <w:t>月3</w:t>
      </w:r>
      <w:r>
        <w:t>1</w:t>
      </w:r>
      <w:r>
        <w:rPr>
          <w:rFonts w:hint="eastAsia"/>
        </w:rPr>
        <w:t>日，</w:t>
      </w:r>
      <w:r>
        <w:rPr>
          <w:rFonts w:hint="eastAsia"/>
          <w:bCs/>
        </w:rPr>
        <w:t>天津市和平区财政局已收到天津市和平区财政局用款计划批复共计80.8万元，</w:t>
      </w:r>
      <w:r>
        <w:rPr>
          <w:rFonts w:hint="eastAsia"/>
        </w:rPr>
        <w:t>资金到位及时</w:t>
      </w:r>
      <w:r>
        <w:rPr>
          <w:rFonts w:hint="eastAsia"/>
          <w:bCs/>
        </w:rPr>
        <w:t>，资金到位及时率为1</w:t>
      </w:r>
      <w:r>
        <w:rPr>
          <w:bCs/>
        </w:rPr>
        <w:t>00</w:t>
      </w:r>
      <w:r>
        <w:rPr>
          <w:rFonts w:hint="eastAsia"/>
          <w:bCs/>
        </w:rPr>
        <w:t>%。</w:t>
      </w:r>
    </w:p>
    <w:p>
      <w:pPr>
        <w:pStyle w:val="25"/>
        <w:spacing w:line="580" w:lineRule="exact"/>
        <w:ind w:firstLine="640"/>
      </w:pPr>
      <w:r>
        <w:rPr>
          <w:rFonts w:hint="eastAsia"/>
        </w:rPr>
        <w:t>（3）预算执行率（总分</w:t>
      </w:r>
      <w:r>
        <w:t>3</w:t>
      </w:r>
      <w:r>
        <w:rPr>
          <w:rFonts w:hint="eastAsia"/>
        </w:rPr>
        <w:t>分，得分</w:t>
      </w:r>
      <w:r>
        <w:t>3</w:t>
      </w:r>
      <w:r>
        <w:rPr>
          <w:rFonts w:hint="eastAsia"/>
        </w:rPr>
        <w:t>分）。金财工程及软件升级项目实际到位区级资金80.8万元。</w:t>
      </w:r>
      <w:r>
        <w:rPr>
          <w:rFonts w:hint="eastAsia"/>
          <w:bCs/>
        </w:rPr>
        <w:t>根据单位财务明细账显示，截至2</w:t>
      </w:r>
      <w:r>
        <w:rPr>
          <w:bCs/>
        </w:rPr>
        <w:t>021</w:t>
      </w:r>
      <w:r>
        <w:rPr>
          <w:rFonts w:hint="eastAsia"/>
          <w:bCs/>
        </w:rPr>
        <w:t>年1</w:t>
      </w:r>
      <w:r>
        <w:rPr>
          <w:bCs/>
        </w:rPr>
        <w:t>2</w:t>
      </w:r>
      <w:r>
        <w:rPr>
          <w:rFonts w:hint="eastAsia"/>
          <w:bCs/>
        </w:rPr>
        <w:t>月</w:t>
      </w:r>
      <w:r>
        <w:rPr>
          <w:bCs/>
        </w:rPr>
        <w:t>31</w:t>
      </w:r>
      <w:r>
        <w:rPr>
          <w:rFonts w:hint="eastAsia"/>
          <w:bCs/>
        </w:rPr>
        <w:t>日，项目实际支出区级资金80.8万元，</w:t>
      </w:r>
      <w:r>
        <w:rPr>
          <w:rFonts w:hint="eastAsia"/>
        </w:rPr>
        <w:t>预算执行率为</w:t>
      </w:r>
      <w:r>
        <w:t>100</w:t>
      </w:r>
      <w:r>
        <w:rPr>
          <w:rFonts w:hint="eastAsia"/>
        </w:rPr>
        <w:t>%。</w:t>
      </w:r>
    </w:p>
    <w:p>
      <w:pPr>
        <w:pStyle w:val="25"/>
        <w:spacing w:line="580" w:lineRule="exact"/>
        <w:ind w:firstLine="640"/>
      </w:pPr>
      <w:r>
        <w:rPr>
          <w:rFonts w:hint="eastAsia"/>
          <w:bCs/>
        </w:rPr>
        <w:t>（</w:t>
      </w:r>
      <w:r>
        <w:rPr>
          <w:bCs/>
        </w:rPr>
        <w:t>4</w:t>
      </w:r>
      <w:r>
        <w:rPr>
          <w:rFonts w:hint="eastAsia"/>
          <w:bCs/>
        </w:rPr>
        <w:t>）资金使用合规性（总分</w:t>
      </w:r>
      <w:r>
        <w:rPr>
          <w:bCs/>
        </w:rPr>
        <w:t>7</w:t>
      </w:r>
      <w:r>
        <w:rPr>
          <w:rFonts w:hint="eastAsia"/>
          <w:bCs/>
        </w:rPr>
        <w:t>分，得分</w:t>
      </w:r>
      <w:r>
        <w:rPr>
          <w:bCs/>
        </w:rPr>
        <w:t>7</w:t>
      </w:r>
      <w:r>
        <w:rPr>
          <w:rFonts w:hint="eastAsia"/>
          <w:bCs/>
        </w:rPr>
        <w:t>分）。</w:t>
      </w:r>
      <w:r>
        <w:rPr>
          <w:rFonts w:hint="eastAsia"/>
        </w:rPr>
        <w:t>依据</w:t>
      </w:r>
      <w:r>
        <w:rPr>
          <w:rFonts w:hint="eastAsia"/>
          <w:bCs/>
        </w:rPr>
        <w:t>天津市和平区财政局</w:t>
      </w:r>
      <w:r>
        <w:rPr>
          <w:rFonts w:hint="eastAsia"/>
        </w:rPr>
        <w:t>提供的资金申请请示、请示批复、资金拨付单及电子账得出，本项目资金均用于金财工程及软件升级项目支出，</w:t>
      </w:r>
      <w:r>
        <w:rPr>
          <w:rFonts w:hint="eastAsia"/>
          <w:bCs/>
        </w:rPr>
        <w:t>天津市和平区财政局提供的凭证及请款单据完整，财务记账符合国家财经法规和财务管理制度规定；项目资金拨付有完整的审批程序和手续，各明细项目支出有完整的请款申请及资金审批单据；支出符合预算批复和合同规定用途；项目资金不存在截留、挤占、挪用、虚列支出等情况。</w:t>
      </w:r>
    </w:p>
    <w:p>
      <w:pPr>
        <w:pStyle w:val="25"/>
        <w:spacing w:line="580" w:lineRule="exact"/>
        <w:ind w:firstLine="640"/>
        <w:rPr>
          <w:bCs/>
        </w:rPr>
      </w:pPr>
      <w:r>
        <w:rPr>
          <w:rFonts w:hint="eastAsia"/>
          <w:bCs/>
        </w:rPr>
        <w:t>2.组织实施</w:t>
      </w:r>
    </w:p>
    <w:p>
      <w:pPr>
        <w:pStyle w:val="25"/>
        <w:spacing w:line="580" w:lineRule="exact"/>
        <w:ind w:firstLine="640"/>
      </w:pPr>
      <w:r>
        <w:rPr>
          <w:rFonts w:hint="eastAsia"/>
          <w:bCs/>
        </w:rPr>
        <w:t>（1）管理制度健全性（总分2分，得分2分）。天津市和平区财政局作为项目实施单位</w:t>
      </w:r>
      <w:r>
        <w:rPr>
          <w:rFonts w:hint="eastAsia"/>
        </w:rPr>
        <w:t>，具有相应的财务和业务管理制度，主要为单位内部控制制度中采购管理制度、合同管理制度、资产管理制度、资金管理制度、收支管理制度等。财务和业务管理制度合法、合规，内部控制制度中也明确项目申报、项目实施、项目验收等环节的管理要求，单位管理制度健全。</w:t>
      </w:r>
    </w:p>
    <w:p>
      <w:pPr>
        <w:pStyle w:val="25"/>
        <w:spacing w:line="580" w:lineRule="exact"/>
        <w:ind w:firstLine="640"/>
        <w:rPr>
          <w:bCs/>
        </w:rPr>
      </w:pPr>
      <w:r>
        <w:rPr>
          <w:rFonts w:hint="eastAsia"/>
          <w:bCs/>
        </w:rPr>
        <w:t>（2）制度执行有效性（总分5分，得分5分）。项目执行遵守相关法律法规和业务管理制度规定；项目采购计划、采购需求、采购预算、采购合同等资料齐全并及时归档，项目资金支出手续完备；项目实施过程中各项请款、付款文件齐全并及时归档；项目实施的人员条件等均落实到位。</w:t>
      </w:r>
    </w:p>
    <w:p>
      <w:pPr>
        <w:pStyle w:val="25"/>
        <w:spacing w:line="580" w:lineRule="exact"/>
        <w:ind w:firstLine="640"/>
      </w:pPr>
      <w:r>
        <w:rPr>
          <w:rFonts w:hint="eastAsia"/>
        </w:rPr>
        <w:t>（三）项目产出情况</w:t>
      </w:r>
    </w:p>
    <w:p>
      <w:pPr>
        <w:pStyle w:val="25"/>
        <w:spacing w:line="580" w:lineRule="exact"/>
        <w:ind w:firstLine="640"/>
      </w:pPr>
      <w:r>
        <w:rPr>
          <w:rFonts w:hint="eastAsia"/>
        </w:rPr>
        <w:t>产出指标主要包括产出数量、产出质量、产出时效和产出成本</w:t>
      </w:r>
      <w:r>
        <w:t>4</w:t>
      </w:r>
      <w:r>
        <w:rPr>
          <w:rFonts w:hint="eastAsia"/>
        </w:rPr>
        <w:t>项二级指标，</w:t>
      </w:r>
      <w:r>
        <w:t>7</w:t>
      </w:r>
      <w:r>
        <w:rPr>
          <w:rFonts w:hint="eastAsia"/>
        </w:rPr>
        <w:t>项三级指标，基础总分</w:t>
      </w:r>
      <w:r>
        <w:t>38</w:t>
      </w:r>
      <w:r>
        <w:rPr>
          <w:rFonts w:hint="eastAsia"/>
        </w:rPr>
        <w:t>分，合计得分36分。</w:t>
      </w:r>
    </w:p>
    <w:p>
      <w:pPr>
        <w:pStyle w:val="25"/>
        <w:spacing w:line="580" w:lineRule="exact"/>
        <w:ind w:firstLine="640"/>
      </w:pPr>
      <w:r>
        <w:t>1</w:t>
      </w:r>
      <w:r>
        <w:rPr>
          <w:rFonts w:hint="eastAsia"/>
        </w:rPr>
        <w:t>.产出数量</w:t>
      </w:r>
    </w:p>
    <w:p>
      <w:pPr>
        <w:pStyle w:val="25"/>
        <w:spacing w:line="580" w:lineRule="exact"/>
        <w:ind w:firstLine="640"/>
      </w:pPr>
      <w:r>
        <w:rPr>
          <w:rFonts w:hint="eastAsia"/>
        </w:rPr>
        <w:t>（</w:t>
      </w:r>
      <w:r>
        <w:t>1</w:t>
      </w:r>
      <w:r>
        <w:rPr>
          <w:rFonts w:hint="eastAsia"/>
        </w:rPr>
        <w:t>）</w:t>
      </w:r>
      <w:r>
        <w:rPr>
          <w:rFonts w:hint="eastAsia"/>
          <w:color w:val="000000"/>
        </w:rPr>
        <w:t>租用网络线路数量</w:t>
      </w:r>
      <w:r>
        <w:rPr>
          <w:rFonts w:hint="eastAsia"/>
        </w:rPr>
        <w:t>（总分5分，得分5分）。根据调研组调研和单位提供的相关资料得出，2</w:t>
      </w:r>
      <w:r>
        <w:t>021</w:t>
      </w:r>
      <w:r>
        <w:rPr>
          <w:rFonts w:hint="eastAsia"/>
        </w:rPr>
        <w:t>年天津市和平区共租用5条网络线路，经核实5条网络线路已全部投入使用，</w:t>
      </w:r>
      <w:r>
        <w:rPr>
          <w:rFonts w:hint="eastAsia"/>
          <w:color w:val="000000"/>
        </w:rPr>
        <w:t>租用网络线路数量完成率</w:t>
      </w:r>
      <w:r>
        <w:rPr>
          <w:rFonts w:hint="eastAsia"/>
        </w:rPr>
        <w:t>为</w:t>
      </w:r>
      <w:r>
        <w:t>1</w:t>
      </w:r>
      <w:r>
        <w:rPr>
          <w:rFonts w:hint="eastAsia"/>
        </w:rPr>
        <w:t>60%。</w:t>
      </w:r>
    </w:p>
    <w:p>
      <w:pPr>
        <w:pStyle w:val="25"/>
        <w:spacing w:line="580" w:lineRule="exact"/>
        <w:ind w:firstLine="640"/>
      </w:pPr>
      <w:r>
        <w:rPr>
          <w:rFonts w:hint="eastAsia"/>
        </w:rPr>
        <w:t>（</w:t>
      </w:r>
      <w:r>
        <w:t>2</w:t>
      </w:r>
      <w:r>
        <w:rPr>
          <w:rFonts w:hint="eastAsia"/>
        </w:rPr>
        <w:t>）维护财政信息化软件数量（总分5分，得分5分）。根据调研组调研和单位提供的相关资料得出，2</w:t>
      </w:r>
      <w:r>
        <w:t>021</w:t>
      </w:r>
      <w:r>
        <w:rPr>
          <w:rFonts w:hint="eastAsia"/>
        </w:rPr>
        <w:t>年天津市和平区维护财政信息化软件</w:t>
      </w:r>
      <w:r>
        <w:rPr>
          <w:rFonts w:hint="eastAsia"/>
          <w:lang w:eastAsia="zh-CN"/>
        </w:rPr>
        <w:t>共包括</w:t>
      </w:r>
      <w:r>
        <w:rPr>
          <w:rFonts w:hint="eastAsia"/>
        </w:rPr>
        <w:t>财务管理软件、工资统发管理系统、政府财务报告集中编报、数据分析开发、账户管理系统运维、直达资金接口改造销售及实施、预算外管理系统、系统运维服务、指标管理系统、直达资金监控系统、行政事业单位资产管理信息系统、部门决算系统、公务员工资管理云平台、机关事业单位工资管理系统等14个</w:t>
      </w:r>
      <w:r>
        <w:rPr>
          <w:rFonts w:hint="eastAsia"/>
          <w:lang w:eastAsia="zh-CN"/>
        </w:rPr>
        <w:t>，</w:t>
      </w:r>
      <w:r>
        <w:rPr>
          <w:rFonts w:hint="eastAsia"/>
        </w:rPr>
        <w:t>经核实14条财政信息化软件已全部完成维护工作，维护财政信息化软件数量完成率为</w:t>
      </w:r>
      <w:r>
        <w:t>1</w:t>
      </w:r>
      <w:r>
        <w:rPr>
          <w:rFonts w:hint="eastAsia"/>
        </w:rPr>
        <w:t>4</w:t>
      </w:r>
      <w:r>
        <w:t>0</w:t>
      </w:r>
      <w:r>
        <w:rPr>
          <w:rFonts w:hint="eastAsia"/>
        </w:rPr>
        <w:t>%。</w:t>
      </w:r>
    </w:p>
    <w:p>
      <w:pPr>
        <w:pStyle w:val="25"/>
        <w:spacing w:line="580" w:lineRule="exact"/>
        <w:ind w:firstLine="640"/>
      </w:pPr>
      <w:r>
        <w:rPr>
          <w:rFonts w:hint="eastAsia"/>
        </w:rPr>
        <w:t>2.产出质量</w:t>
      </w:r>
    </w:p>
    <w:p>
      <w:pPr>
        <w:pStyle w:val="25"/>
        <w:spacing w:line="580" w:lineRule="exact"/>
        <w:ind w:firstLine="640"/>
      </w:pPr>
      <w:r>
        <w:rPr>
          <w:rFonts w:hint="eastAsia"/>
        </w:rPr>
        <w:t>（1）信息化设施设备维修维护修复率（总分</w:t>
      </w:r>
      <w:r>
        <w:t>6</w:t>
      </w:r>
      <w:r>
        <w:rPr>
          <w:rFonts w:hint="eastAsia"/>
        </w:rPr>
        <w:t>分，得分</w:t>
      </w:r>
      <w:r>
        <w:t>6</w:t>
      </w:r>
      <w:r>
        <w:rPr>
          <w:rFonts w:hint="eastAsia"/>
        </w:rPr>
        <w:t>分）。根据调研组调研和单位提供的相关资料得出，2</w:t>
      </w:r>
      <w:r>
        <w:t>021</w:t>
      </w:r>
      <w:r>
        <w:rPr>
          <w:rFonts w:hint="eastAsia"/>
        </w:rPr>
        <w:t>年天津市和平区信息化设施设备维修维护实际覆盖14个信息化软件，经核实全部完成维修维护工作，信息化设施设备维修维护修复率为</w:t>
      </w:r>
      <w:r>
        <w:t>100</w:t>
      </w:r>
      <w:r>
        <w:rPr>
          <w:rFonts w:hint="eastAsia"/>
        </w:rPr>
        <w:t>%。</w:t>
      </w:r>
    </w:p>
    <w:p>
      <w:pPr>
        <w:pStyle w:val="25"/>
        <w:spacing w:line="580" w:lineRule="exact"/>
        <w:ind w:firstLine="640"/>
        <w:rPr>
          <w:bCs/>
        </w:rPr>
      </w:pPr>
      <w:r>
        <w:rPr>
          <w:rFonts w:hint="eastAsia"/>
        </w:rPr>
        <w:t>（2）区属预算单位软件问题解决率（总分</w:t>
      </w:r>
      <w:r>
        <w:t>6</w:t>
      </w:r>
      <w:r>
        <w:rPr>
          <w:rFonts w:hint="eastAsia"/>
        </w:rPr>
        <w:t>分，得分4分）。2</w:t>
      </w:r>
      <w:r>
        <w:t>021</w:t>
      </w:r>
      <w:r>
        <w:rPr>
          <w:rFonts w:hint="eastAsia"/>
        </w:rPr>
        <w:t>年天津市和平区信息化设施设备维修维护实际覆盖14个信息化软件，依据实地调研、抽查区属预算单位了解情况等方式，目前大部分问题可以得到解决，但随着政府机关对办公电脑信创替代的要求，目前部分应用软件尚无法与信创操作系统兼容，导致存在部分问题无法解决。该情况已向相关软件公司反馈，目前尚未完成优化、得到完全解决。</w:t>
      </w:r>
    </w:p>
    <w:p>
      <w:pPr>
        <w:pStyle w:val="25"/>
        <w:spacing w:line="580" w:lineRule="exact"/>
        <w:ind w:firstLine="640"/>
      </w:pPr>
      <w:r>
        <w:rPr>
          <w:rFonts w:hint="eastAsia"/>
        </w:rPr>
        <w:t>3.产出时效</w:t>
      </w:r>
    </w:p>
    <w:p>
      <w:pPr>
        <w:pStyle w:val="25"/>
        <w:spacing w:line="580" w:lineRule="exact"/>
        <w:ind w:firstLine="640"/>
      </w:pPr>
      <w:r>
        <w:rPr>
          <w:rFonts w:hint="eastAsia"/>
        </w:rPr>
        <w:t>（</w:t>
      </w:r>
      <w:r>
        <w:t>1</w:t>
      </w:r>
      <w:r>
        <w:rPr>
          <w:rFonts w:hint="eastAsia"/>
        </w:rPr>
        <w:t>）信息化软件维护及时率（总分</w:t>
      </w:r>
      <w:r>
        <w:t>5</w:t>
      </w:r>
      <w:r>
        <w:rPr>
          <w:rFonts w:hint="eastAsia"/>
        </w:rPr>
        <w:t>分，得分5分）。依据实地调研，抽查预算单位了解情况等方式，信息化软件维护实际覆盖</w:t>
      </w:r>
      <w:r>
        <w:t>14个信息化软件</w:t>
      </w:r>
      <w:r>
        <w:rPr>
          <w:rFonts w:hint="eastAsia"/>
        </w:rPr>
        <w:t>，发现问题由使用人员随时上报，维护人员及时解决，未发现维护不及时的情况</w:t>
      </w:r>
      <w:r>
        <w:t>。信息化软件维护及时率为100%。</w:t>
      </w:r>
    </w:p>
    <w:p>
      <w:pPr>
        <w:spacing w:line="580" w:lineRule="exact"/>
        <w:ind w:firstLine="640"/>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2</w:t>
      </w:r>
      <w:r>
        <w:rPr>
          <w:rFonts w:hint="eastAsia" w:ascii="Times New Roman" w:hAnsi="Times New Roman" w:eastAsia="仿宋_GB2312"/>
          <w:sz w:val="32"/>
        </w:rPr>
        <w:t>）数据更新及时率（总分5分，得分5分）。根据调研组调研，数据更新覆盖14个信息化软件，维护人员及时更新数据，保障信息化软件的有效使用。数据更新及时率为100%。</w:t>
      </w:r>
    </w:p>
    <w:p>
      <w:pPr>
        <w:pStyle w:val="25"/>
        <w:spacing w:line="580" w:lineRule="exact"/>
        <w:ind w:firstLine="640"/>
      </w:pPr>
      <w:r>
        <w:rPr>
          <w:rFonts w:hint="eastAsia"/>
        </w:rPr>
        <w:t>4.产出成本</w:t>
      </w:r>
    </w:p>
    <w:p>
      <w:pPr>
        <w:pStyle w:val="25"/>
        <w:spacing w:line="580" w:lineRule="exact"/>
        <w:ind w:firstLine="640"/>
      </w:pPr>
      <w:r>
        <w:rPr>
          <w:rFonts w:hint="eastAsia"/>
        </w:rPr>
        <w:t>（1）维护成本节约率</w:t>
      </w:r>
      <w:r>
        <w:t>（</w:t>
      </w:r>
      <w:r>
        <w:rPr>
          <w:rFonts w:hint="eastAsia"/>
        </w:rPr>
        <w:t>总分6分，得分6分</w:t>
      </w:r>
      <w:r>
        <w:t>）。</w:t>
      </w:r>
      <w:r>
        <w:rPr>
          <w:rFonts w:hint="eastAsia"/>
        </w:rPr>
        <w:t>依据项目预算明细、项目合同等相关资料，本</w:t>
      </w:r>
      <w:r>
        <w:t>项目预算金额为</w:t>
      </w:r>
      <w:r>
        <w:rPr>
          <w:rFonts w:hint="eastAsia"/>
        </w:rPr>
        <w:t>80.8</w:t>
      </w:r>
      <w:r>
        <w:t>万元，</w:t>
      </w:r>
      <w:r>
        <w:rPr>
          <w:rFonts w:hint="eastAsia"/>
        </w:rPr>
        <w:t>2</w:t>
      </w:r>
      <w:r>
        <w:t>021</w:t>
      </w:r>
      <w:r>
        <w:rPr>
          <w:rFonts w:hint="eastAsia"/>
        </w:rPr>
        <w:t>年实际支出总金额80.8万元，未超过年初预算资金，项目</w:t>
      </w:r>
      <w:r>
        <w:t>资金</w:t>
      </w:r>
      <w:r>
        <w:rPr>
          <w:rFonts w:hint="eastAsia"/>
        </w:rPr>
        <w:t>成本</w:t>
      </w:r>
      <w:r>
        <w:t>节约率0%</w:t>
      </w:r>
      <w:r>
        <w:rPr>
          <w:rFonts w:hint="eastAsia"/>
        </w:rPr>
        <w:t>。</w:t>
      </w:r>
    </w:p>
    <w:p>
      <w:pPr>
        <w:pStyle w:val="29"/>
        <w:spacing w:line="580" w:lineRule="exact"/>
        <w:ind w:firstLine="640"/>
      </w:pPr>
      <w:bookmarkStart w:id="17" w:name="_Toc123999534"/>
      <w:r>
        <w:rPr>
          <w:rFonts w:hint="eastAsia"/>
        </w:rPr>
        <w:t>（四）项目效益情况</w:t>
      </w:r>
      <w:bookmarkEnd w:id="17"/>
    </w:p>
    <w:p>
      <w:pPr>
        <w:pStyle w:val="25"/>
        <w:spacing w:line="580" w:lineRule="exact"/>
        <w:ind w:firstLine="640"/>
      </w:pPr>
      <w:r>
        <w:rPr>
          <w:rFonts w:hint="eastAsia"/>
        </w:rPr>
        <w:t>效益指标主要包括社会效益、服务对象满意度2项二级指标，2项三级指标，基础总分</w:t>
      </w:r>
      <w:r>
        <w:t>22</w:t>
      </w:r>
      <w:r>
        <w:rPr>
          <w:rFonts w:hint="eastAsia"/>
        </w:rPr>
        <w:t>分，合计得分</w:t>
      </w:r>
      <w:r>
        <w:t>22</w:t>
      </w:r>
      <w:r>
        <w:rPr>
          <w:rFonts w:hint="eastAsia"/>
        </w:rPr>
        <w:t>分。</w:t>
      </w:r>
    </w:p>
    <w:p>
      <w:pPr>
        <w:pStyle w:val="25"/>
        <w:spacing w:line="580" w:lineRule="exact"/>
        <w:ind w:firstLine="640"/>
      </w:pPr>
      <w:r>
        <w:rPr>
          <w:rFonts w:hint="eastAsia"/>
        </w:rPr>
        <w:t>1.社会效益</w:t>
      </w:r>
    </w:p>
    <w:p>
      <w:pPr>
        <w:pStyle w:val="25"/>
        <w:spacing w:line="580" w:lineRule="exact"/>
        <w:ind w:firstLine="640"/>
      </w:pPr>
      <w:r>
        <w:rPr>
          <w:rFonts w:hint="eastAsia"/>
        </w:rPr>
        <w:t>保证财务业务软件稳定（总分11分，得分11分）。通过根据单位提供相关资料及评价组实地调研访谈了解，金财工程及软件升级项目实施期间，业务软件运行稳定，有效提升各预算单位的使用效率，为全区财政工作高效有序运转提供了有力保障。</w:t>
      </w:r>
    </w:p>
    <w:p>
      <w:pPr>
        <w:pStyle w:val="25"/>
        <w:spacing w:line="580" w:lineRule="exact"/>
        <w:ind w:firstLine="640"/>
      </w:pPr>
      <w:r>
        <w:t>2</w:t>
      </w:r>
      <w:r>
        <w:rPr>
          <w:rFonts w:hint="eastAsia"/>
        </w:rPr>
        <w:t>.可持续影响</w:t>
      </w:r>
    </w:p>
    <w:p>
      <w:pPr>
        <w:pStyle w:val="25"/>
        <w:spacing w:line="580" w:lineRule="exact"/>
        <w:ind w:firstLine="640"/>
      </w:pPr>
      <w:r>
        <w:rPr>
          <w:rFonts w:hint="eastAsia"/>
        </w:rPr>
        <w:t>信息化软件使用人员满意度（总分11分，得分11分）。本项目实际受益对象是信息化软件使用人员满意度，评价组对</w:t>
      </w:r>
      <w:r>
        <w:t>59家一级预算单位进行随机满意度调查，共发放59份问卷，实际收回有效问卷共59份。根据调查结果显示，对信息化设施设备维修维护满意人数为59人，对数据更新及时性满意人数为59人，对问题答复率和解决率满意人数为59人，对软件运行稳定性满意人数为59人，对整体工作满意度为59人。</w:t>
      </w:r>
    </w:p>
    <w:p>
      <w:pPr>
        <w:pStyle w:val="27"/>
        <w:spacing w:line="580" w:lineRule="exact"/>
        <w:ind w:firstLine="640" w:firstLineChars="200"/>
      </w:pPr>
      <w:bookmarkStart w:id="18" w:name="_Toc123999535"/>
      <w:r>
        <w:rPr>
          <w:rFonts w:hint="eastAsia"/>
        </w:rPr>
        <w:t>五、存在的主要问题</w:t>
      </w:r>
      <w:bookmarkEnd w:id="18"/>
    </w:p>
    <w:p>
      <w:pPr>
        <w:pStyle w:val="29"/>
        <w:spacing w:line="580" w:lineRule="exact"/>
        <w:ind w:firstLine="640"/>
      </w:pPr>
      <w:bookmarkStart w:id="19" w:name="_Toc123999536"/>
      <w:bookmarkStart w:id="20" w:name="_Toc112783992"/>
      <w:r>
        <w:rPr>
          <w:rFonts w:hint="eastAsia"/>
        </w:rPr>
        <w:t>（一）项目绩效目标设置全面性、细化程度不足</w:t>
      </w:r>
      <w:bookmarkEnd w:id="19"/>
      <w:bookmarkEnd w:id="20"/>
    </w:p>
    <w:p>
      <w:pPr>
        <w:pStyle w:val="25"/>
        <w:spacing w:line="580" w:lineRule="exact"/>
        <w:ind w:firstLine="640"/>
        <w:rPr>
          <w:bCs/>
        </w:rPr>
      </w:pPr>
      <w:bookmarkStart w:id="21" w:name="_Toc112551378"/>
      <w:r>
        <w:rPr>
          <w:rFonts w:hint="eastAsia"/>
        </w:rPr>
        <w:t>根据《天津市财政局关于印发&lt;天津市市级部门预算绩效目标管理办法&gt;的通知》（津财绩效〔2020〕16号）文件要求，</w:t>
      </w:r>
      <w:r>
        <w:rPr>
          <w:rFonts w:hint="eastAsia"/>
          <w:bCs/>
        </w:rPr>
        <w:t>“绩效指标是绩效目标的细化和量化”，金财工程及软件升级项目实施年度为2</w:t>
      </w:r>
      <w:r>
        <w:rPr>
          <w:bCs/>
        </w:rPr>
        <w:t>021</w:t>
      </w:r>
      <w:r>
        <w:rPr>
          <w:rFonts w:hint="eastAsia"/>
          <w:bCs/>
        </w:rPr>
        <w:t>年，根据天津市和平区财政局提供的本项目绩效目标表，该项目绩效目标与项目目标任务数相对应，但2</w:t>
      </w:r>
      <w:r>
        <w:rPr>
          <w:bCs/>
        </w:rPr>
        <w:t>021</w:t>
      </w:r>
      <w:r>
        <w:rPr>
          <w:rFonts w:hint="eastAsia"/>
          <w:bCs/>
        </w:rPr>
        <w:t>年绩效目标申报表编制的绩效指标中存在不</w:t>
      </w:r>
      <w:r>
        <w:rPr>
          <w:rFonts w:hint="eastAsia"/>
        </w:rPr>
        <w:t>准确、</w:t>
      </w:r>
      <w:r>
        <w:rPr>
          <w:rFonts w:hint="eastAsia"/>
          <w:bCs/>
        </w:rPr>
        <w:t>不可衡量的情况，具体如：数量指标“财政信息化软件覆盖全区全部一、二级预算单位覆盖率”，其指标值为“≥95%”，指标描述中“覆盖全区”与“覆盖率”表述重复，指标描述中“覆盖全区”与指标值“≥95%”相矛盾，指标值设置不准确。时效指标“系统数据时效性”，其指标值为“实时数据更新”；可持续影响指标“提高预算单位财务人员业务能力水平”，其指标值为“提高”；可持续影响指标“将财政业务智能化管理，提升工作效率”，其指标值为“提升”，无法判断该指标的具体衡量标准，指标设置不明确无法衡量。</w:t>
      </w:r>
    </w:p>
    <w:p>
      <w:pPr>
        <w:pStyle w:val="29"/>
        <w:spacing w:line="580" w:lineRule="exact"/>
        <w:ind w:firstLine="640"/>
      </w:pPr>
      <w:bookmarkStart w:id="22" w:name="_Toc123999537"/>
      <w:r>
        <w:rPr>
          <w:rFonts w:hint="eastAsia" w:ascii="Times New Roman" w:hAnsi="Times New Roman" w:eastAsia="仿宋_GB2312"/>
          <w:bCs w:val="0"/>
          <w:szCs w:val="21"/>
        </w:rPr>
        <w:t>（二）</w:t>
      </w:r>
      <w:bookmarkEnd w:id="21"/>
      <w:r>
        <w:rPr>
          <w:rFonts w:hint="eastAsia"/>
        </w:rPr>
        <w:t>区属预算单位软件问题解决率有待提高</w:t>
      </w:r>
      <w:bookmarkEnd w:id="22"/>
    </w:p>
    <w:p>
      <w:pPr>
        <w:pStyle w:val="25"/>
        <w:spacing w:line="580" w:lineRule="exact"/>
        <w:ind w:firstLine="640"/>
        <w:rPr>
          <w:bCs/>
        </w:rPr>
      </w:pPr>
      <w:r>
        <w:rPr>
          <w:rFonts w:hint="eastAsia"/>
        </w:rPr>
        <w:t>目前大部分问题可以得到解决，但随着政府机关对办公电脑信创替代的要求，目前部分应用软件尚无法与信创操作系统兼容，导致存在部分问题无法解决。该情况已向相关软件公司反馈，目前尚未完成优化、得到完全解决。</w:t>
      </w:r>
    </w:p>
    <w:p>
      <w:pPr>
        <w:pStyle w:val="29"/>
        <w:spacing w:line="580" w:lineRule="exact"/>
        <w:ind w:firstLine="640"/>
      </w:pPr>
      <w:bookmarkStart w:id="23" w:name="_Toc123999538"/>
      <w:r>
        <w:rPr>
          <w:rFonts w:hint="eastAsia"/>
          <w:szCs w:val="21"/>
        </w:rPr>
        <w:t>（三）</w:t>
      </w:r>
      <w:r>
        <w:rPr>
          <w:rFonts w:hint="eastAsia"/>
        </w:rPr>
        <w:t>项目测算过程不够细化</w:t>
      </w:r>
      <w:bookmarkEnd w:id="23"/>
    </w:p>
    <w:p>
      <w:pPr>
        <w:pStyle w:val="25"/>
        <w:spacing w:line="580" w:lineRule="exact"/>
        <w:ind w:firstLine="640"/>
        <w:rPr>
          <w:bCs/>
        </w:rPr>
      </w:pPr>
      <w:r>
        <w:rPr>
          <w:rFonts w:hint="eastAsia"/>
        </w:rPr>
        <w:t>单位未能提供预算测算明细佐证依据，仅将历史数据作为唯一依据，预算测算客观性不足。项目测算过程中未明确人力、商品和服务、资本性等各类支出明细，项目测算细化程度不够清晰</w:t>
      </w:r>
      <w:r>
        <w:rPr>
          <w:rFonts w:hint="eastAsia"/>
          <w:bCs/>
        </w:rPr>
        <w:t>。</w:t>
      </w:r>
    </w:p>
    <w:p>
      <w:pPr>
        <w:pStyle w:val="27"/>
        <w:spacing w:line="580" w:lineRule="exact"/>
      </w:pPr>
      <w:bookmarkStart w:id="24" w:name="_Toc123999539"/>
      <w:r>
        <w:rPr>
          <w:rFonts w:hint="eastAsia"/>
        </w:rPr>
        <w:t>六、相关建议</w:t>
      </w:r>
      <w:bookmarkEnd w:id="24"/>
    </w:p>
    <w:p>
      <w:pPr>
        <w:pStyle w:val="29"/>
        <w:spacing w:line="580" w:lineRule="exact"/>
        <w:ind w:firstLine="640"/>
      </w:pPr>
      <w:bookmarkStart w:id="25" w:name="_Toc112783995"/>
      <w:bookmarkStart w:id="26" w:name="_Toc123999540"/>
      <w:r>
        <w:rPr>
          <w:rFonts w:hint="eastAsia"/>
        </w:rPr>
        <w:t>（一）加强绩效理念，提升绩效管理水平</w:t>
      </w:r>
      <w:bookmarkEnd w:id="25"/>
      <w:bookmarkEnd w:id="26"/>
    </w:p>
    <w:p>
      <w:pPr>
        <w:pStyle w:val="25"/>
        <w:spacing w:line="580" w:lineRule="exact"/>
        <w:ind w:firstLine="640"/>
      </w:pPr>
      <w:r>
        <w:rPr>
          <w:rFonts w:hint="eastAsia"/>
        </w:rPr>
        <w:t>一是建议单位在设置项目绩效目标时要加强谋划，针对项目具体实施内容明确项目预期产出及预期达到的效益。二是建议单位在设置项目绩效目标、项目绩效指标要具有适当性，对于绩效指标的表述要清晰规范，指标值的设置要围绕项目立项依据和项目工作计划方案，要符合行业标准，有一定可行性。三是建议单位在设置项目绩效目标、项目绩效指标时要具有合理性，指标值要可衡量，细化指标时要覆盖全面，指标间要相互对应，规范合理的设置项目绩效目标和绩效指标。四是建议加强单位的绩效培训力度，提高绩效工作的重视程度，强化对绩效基本概念的理解，近而提高整体绩效工作质量。</w:t>
      </w:r>
      <w:bookmarkStart w:id="27" w:name="_Toc112551385"/>
    </w:p>
    <w:p>
      <w:pPr>
        <w:pStyle w:val="29"/>
        <w:spacing w:line="580" w:lineRule="exact"/>
        <w:ind w:firstLine="640"/>
      </w:pPr>
      <w:bookmarkStart w:id="28" w:name="_Toc123999541"/>
      <w:r>
        <w:rPr>
          <w:rFonts w:hint="eastAsia"/>
        </w:rPr>
        <w:t>（二）加强沟通，提高软件问题解决率</w:t>
      </w:r>
      <w:bookmarkEnd w:id="28"/>
    </w:p>
    <w:p>
      <w:pPr>
        <w:pStyle w:val="25"/>
        <w:spacing w:line="580" w:lineRule="exact"/>
        <w:ind w:firstLine="640"/>
        <w:rPr>
          <w:rFonts w:ascii="仿宋_GB2312"/>
        </w:rPr>
      </w:pPr>
      <w:r>
        <w:rPr>
          <w:rFonts w:hint="eastAsia" w:ascii="仿宋_GB2312"/>
        </w:rPr>
        <w:t>积极与软件公司与上级部门沟通联系，妥善解决好</w:t>
      </w:r>
      <w:r>
        <w:rPr>
          <w:rFonts w:hint="eastAsia"/>
        </w:rPr>
        <w:t>部分应用软件尚无法与信创操作系统兼容的问题，让应用软件运行实现最优化，提高工作的服务质量与服务效果，进一步提升使用人员的使用体验。</w:t>
      </w:r>
    </w:p>
    <w:p>
      <w:pPr>
        <w:pStyle w:val="29"/>
        <w:spacing w:line="580" w:lineRule="exact"/>
        <w:ind w:firstLine="640"/>
      </w:pPr>
      <w:bookmarkStart w:id="29" w:name="_Toc123999542"/>
      <w:r>
        <w:rPr>
          <w:rFonts w:hint="eastAsia"/>
        </w:rPr>
        <w:t>（三）</w:t>
      </w:r>
      <w:bookmarkEnd w:id="27"/>
      <w:r>
        <w:rPr>
          <w:rFonts w:hint="eastAsia"/>
        </w:rPr>
        <w:t>加强项目预算编制与资金管理</w:t>
      </w:r>
      <w:bookmarkEnd w:id="29"/>
    </w:p>
    <w:p>
      <w:pPr>
        <w:pStyle w:val="25"/>
        <w:spacing w:line="580" w:lineRule="exact"/>
        <w:ind w:firstLine="640"/>
      </w:pPr>
      <w:r>
        <w:rPr>
          <w:rFonts w:hint="eastAsia"/>
        </w:rPr>
        <w:t>建议单位在编制年初预算时，应多方位考虑影响预算准确性因素，一方面参考历史数据作为项目预算编报依据，另一方面，制定项目支出标准，明确市场支出行情，进行事前询价，细化项目资金构成，从人力、商品服务和资本性等多方面测算支出成本，保障预算编制依据的充分性。</w:t>
      </w:r>
    </w:p>
    <w:p>
      <w:pPr>
        <w:pStyle w:val="27"/>
        <w:spacing w:line="580" w:lineRule="exact"/>
      </w:pPr>
      <w:bookmarkStart w:id="30" w:name="_Toc123999543"/>
      <w:r>
        <w:rPr>
          <w:rFonts w:hint="eastAsia"/>
        </w:rPr>
        <w:t>七、附件</w:t>
      </w:r>
      <w:bookmarkEnd w:id="30"/>
    </w:p>
    <w:p>
      <w:pPr>
        <w:pStyle w:val="29"/>
        <w:spacing w:line="580" w:lineRule="exact"/>
        <w:ind w:firstLine="640"/>
        <w:rPr>
          <w:rFonts w:ascii="Times New Roman" w:hAnsi="Times New Roman" w:eastAsia="仿宋_GB2312"/>
          <w:bCs w:val="0"/>
          <w:szCs w:val="21"/>
        </w:rPr>
      </w:pPr>
      <w:bookmarkStart w:id="31" w:name="_Toc123999544"/>
      <w:r>
        <w:rPr>
          <w:rFonts w:hint="eastAsia" w:ascii="Times New Roman" w:hAnsi="Times New Roman" w:eastAsia="仿宋_GB2312"/>
          <w:bCs w:val="0"/>
          <w:szCs w:val="21"/>
        </w:rPr>
        <w:t>附件：天津市和平区财政局金财工程及软件升级项目绩效评价指标体系及评分表</w:t>
      </w:r>
      <w:bookmarkEnd w:id="31"/>
    </w:p>
    <w:sectPr>
      <w:footerReference r:id="rId9" w:type="default"/>
      <w:pgSz w:w="11906" w:h="16838"/>
      <w:pgMar w:top="2268" w:right="1797" w:bottom="1701"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p>
    <w:pPr>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1804115"/>
    </w:sdtPr>
    <w:sdtContent>
      <w:p>
        <w:pPr>
          <w:pStyle w:val="12"/>
          <w:ind w:firstLine="360"/>
          <w:jc w:val="center"/>
        </w:pPr>
        <w:r>
          <w:fldChar w:fldCharType="begin"/>
        </w:r>
        <w:r>
          <w:instrText xml:space="preserve">PAGE   \* MERGEFORMAT</w:instrText>
        </w:r>
        <w:r>
          <w:fldChar w:fldCharType="separate"/>
        </w:r>
        <w:r>
          <w:rPr>
            <w:lang w:val="zh-CN"/>
          </w:rPr>
          <w:t>23</w:t>
        </w:r>
        <w:r>
          <w:rPr>
            <w:lang w:val="zh-CN"/>
          </w:rPr>
          <w:fldChar w:fldCharType="end"/>
        </w:r>
      </w:p>
    </w:sdtContent>
  </w:sdt>
  <w:p>
    <w:pPr>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853DE5"/>
    <w:multiLevelType w:val="singleLevel"/>
    <w:tmpl w:val="C1853D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2727"/>
    <w:rsid w:val="0002394F"/>
    <w:rsid w:val="0003091A"/>
    <w:rsid w:val="00037B0C"/>
    <w:rsid w:val="00063FF3"/>
    <w:rsid w:val="00065B69"/>
    <w:rsid w:val="00070EF3"/>
    <w:rsid w:val="00080C8C"/>
    <w:rsid w:val="000A4A09"/>
    <w:rsid w:val="000A543B"/>
    <w:rsid w:val="000B0307"/>
    <w:rsid w:val="000B37EE"/>
    <w:rsid w:val="000E4CA3"/>
    <w:rsid w:val="001122AA"/>
    <w:rsid w:val="00112C3C"/>
    <w:rsid w:val="00123C44"/>
    <w:rsid w:val="00144F75"/>
    <w:rsid w:val="00147561"/>
    <w:rsid w:val="00157E08"/>
    <w:rsid w:val="001710B3"/>
    <w:rsid w:val="001847F3"/>
    <w:rsid w:val="00190C6A"/>
    <w:rsid w:val="001A77F5"/>
    <w:rsid w:val="001C0516"/>
    <w:rsid w:val="001D0AC8"/>
    <w:rsid w:val="001D269B"/>
    <w:rsid w:val="001D3328"/>
    <w:rsid w:val="001D4D71"/>
    <w:rsid w:val="001D5A68"/>
    <w:rsid w:val="001E1D28"/>
    <w:rsid w:val="001F241D"/>
    <w:rsid w:val="00205874"/>
    <w:rsid w:val="002206E9"/>
    <w:rsid w:val="00232737"/>
    <w:rsid w:val="0024596C"/>
    <w:rsid w:val="00256FA0"/>
    <w:rsid w:val="0026080E"/>
    <w:rsid w:val="00264A4D"/>
    <w:rsid w:val="002857E4"/>
    <w:rsid w:val="002876B7"/>
    <w:rsid w:val="00292F87"/>
    <w:rsid w:val="00294D66"/>
    <w:rsid w:val="00297BA4"/>
    <w:rsid w:val="002B587D"/>
    <w:rsid w:val="002D5ED4"/>
    <w:rsid w:val="002F001D"/>
    <w:rsid w:val="002F2A4C"/>
    <w:rsid w:val="002F2AC6"/>
    <w:rsid w:val="00344E19"/>
    <w:rsid w:val="00363665"/>
    <w:rsid w:val="003668F4"/>
    <w:rsid w:val="0037244C"/>
    <w:rsid w:val="00381F95"/>
    <w:rsid w:val="003901C0"/>
    <w:rsid w:val="003B25A9"/>
    <w:rsid w:val="003C4271"/>
    <w:rsid w:val="003C679D"/>
    <w:rsid w:val="003E3339"/>
    <w:rsid w:val="003F102C"/>
    <w:rsid w:val="003F4412"/>
    <w:rsid w:val="004065F8"/>
    <w:rsid w:val="004115FC"/>
    <w:rsid w:val="00412A87"/>
    <w:rsid w:val="00427F78"/>
    <w:rsid w:val="00432D60"/>
    <w:rsid w:val="0043316B"/>
    <w:rsid w:val="00450838"/>
    <w:rsid w:val="004664DC"/>
    <w:rsid w:val="00470B2A"/>
    <w:rsid w:val="004808BD"/>
    <w:rsid w:val="004810D5"/>
    <w:rsid w:val="00496FCA"/>
    <w:rsid w:val="004C1E1A"/>
    <w:rsid w:val="004D245D"/>
    <w:rsid w:val="004E14B9"/>
    <w:rsid w:val="004F4F86"/>
    <w:rsid w:val="00503B2C"/>
    <w:rsid w:val="00521114"/>
    <w:rsid w:val="00525874"/>
    <w:rsid w:val="00531467"/>
    <w:rsid w:val="00536BF0"/>
    <w:rsid w:val="00536EF5"/>
    <w:rsid w:val="00546DF3"/>
    <w:rsid w:val="0055761F"/>
    <w:rsid w:val="005812DD"/>
    <w:rsid w:val="00585931"/>
    <w:rsid w:val="005A2A42"/>
    <w:rsid w:val="005A79A7"/>
    <w:rsid w:val="005B046C"/>
    <w:rsid w:val="005B4701"/>
    <w:rsid w:val="005B64D5"/>
    <w:rsid w:val="005E001A"/>
    <w:rsid w:val="005E0E2A"/>
    <w:rsid w:val="005F701A"/>
    <w:rsid w:val="00613A08"/>
    <w:rsid w:val="00632C8E"/>
    <w:rsid w:val="0063453F"/>
    <w:rsid w:val="00635084"/>
    <w:rsid w:val="00637EC6"/>
    <w:rsid w:val="00660D7B"/>
    <w:rsid w:val="0068195E"/>
    <w:rsid w:val="00684701"/>
    <w:rsid w:val="00687FBF"/>
    <w:rsid w:val="006948E6"/>
    <w:rsid w:val="0069534C"/>
    <w:rsid w:val="006B040B"/>
    <w:rsid w:val="006C16A4"/>
    <w:rsid w:val="006F11A5"/>
    <w:rsid w:val="006F40D8"/>
    <w:rsid w:val="006F7995"/>
    <w:rsid w:val="007066C5"/>
    <w:rsid w:val="0071290C"/>
    <w:rsid w:val="00722F8B"/>
    <w:rsid w:val="00732D14"/>
    <w:rsid w:val="00733231"/>
    <w:rsid w:val="00733263"/>
    <w:rsid w:val="0074790D"/>
    <w:rsid w:val="00757D29"/>
    <w:rsid w:val="00761AF0"/>
    <w:rsid w:val="00766C94"/>
    <w:rsid w:val="00771652"/>
    <w:rsid w:val="007756F6"/>
    <w:rsid w:val="00782BEB"/>
    <w:rsid w:val="007A0FBE"/>
    <w:rsid w:val="007A7B0D"/>
    <w:rsid w:val="007C0EC5"/>
    <w:rsid w:val="007D2B05"/>
    <w:rsid w:val="007D5A0C"/>
    <w:rsid w:val="008148EA"/>
    <w:rsid w:val="0082290C"/>
    <w:rsid w:val="008257E3"/>
    <w:rsid w:val="00834BD6"/>
    <w:rsid w:val="00840441"/>
    <w:rsid w:val="008429A8"/>
    <w:rsid w:val="00860A33"/>
    <w:rsid w:val="00876212"/>
    <w:rsid w:val="00885EC7"/>
    <w:rsid w:val="00891A0E"/>
    <w:rsid w:val="008A7612"/>
    <w:rsid w:val="008B5612"/>
    <w:rsid w:val="008B5E55"/>
    <w:rsid w:val="008C4808"/>
    <w:rsid w:val="008D444B"/>
    <w:rsid w:val="00911354"/>
    <w:rsid w:val="00913785"/>
    <w:rsid w:val="009166F7"/>
    <w:rsid w:val="00922E35"/>
    <w:rsid w:val="00930908"/>
    <w:rsid w:val="0095075A"/>
    <w:rsid w:val="00957843"/>
    <w:rsid w:val="0096637C"/>
    <w:rsid w:val="00975341"/>
    <w:rsid w:val="009917F1"/>
    <w:rsid w:val="00994123"/>
    <w:rsid w:val="00994719"/>
    <w:rsid w:val="009C431D"/>
    <w:rsid w:val="009D2727"/>
    <w:rsid w:val="009D2C3B"/>
    <w:rsid w:val="009D2F61"/>
    <w:rsid w:val="009E4F93"/>
    <w:rsid w:val="00A20B9E"/>
    <w:rsid w:val="00A401A5"/>
    <w:rsid w:val="00A47B33"/>
    <w:rsid w:val="00A5280B"/>
    <w:rsid w:val="00A7227B"/>
    <w:rsid w:val="00A750E8"/>
    <w:rsid w:val="00A84786"/>
    <w:rsid w:val="00A92C16"/>
    <w:rsid w:val="00A95AE5"/>
    <w:rsid w:val="00AB3E14"/>
    <w:rsid w:val="00AB7172"/>
    <w:rsid w:val="00B02B24"/>
    <w:rsid w:val="00B059E1"/>
    <w:rsid w:val="00B13B52"/>
    <w:rsid w:val="00B15201"/>
    <w:rsid w:val="00B16E56"/>
    <w:rsid w:val="00B365D2"/>
    <w:rsid w:val="00B440EE"/>
    <w:rsid w:val="00B775DF"/>
    <w:rsid w:val="00B87BC2"/>
    <w:rsid w:val="00B936B4"/>
    <w:rsid w:val="00B95D07"/>
    <w:rsid w:val="00BA1161"/>
    <w:rsid w:val="00BC7135"/>
    <w:rsid w:val="00BE417D"/>
    <w:rsid w:val="00BE4366"/>
    <w:rsid w:val="00BE7D56"/>
    <w:rsid w:val="00BF2555"/>
    <w:rsid w:val="00C11877"/>
    <w:rsid w:val="00C20597"/>
    <w:rsid w:val="00C241B1"/>
    <w:rsid w:val="00C516CA"/>
    <w:rsid w:val="00C5310A"/>
    <w:rsid w:val="00C579E0"/>
    <w:rsid w:val="00C73984"/>
    <w:rsid w:val="00C765EB"/>
    <w:rsid w:val="00C81C4F"/>
    <w:rsid w:val="00C85A99"/>
    <w:rsid w:val="00C93E50"/>
    <w:rsid w:val="00CA0104"/>
    <w:rsid w:val="00CB1E79"/>
    <w:rsid w:val="00CB2B4C"/>
    <w:rsid w:val="00CC01F2"/>
    <w:rsid w:val="00CC16E9"/>
    <w:rsid w:val="00CC4EFF"/>
    <w:rsid w:val="00CD69EA"/>
    <w:rsid w:val="00CE038A"/>
    <w:rsid w:val="00CF1CAE"/>
    <w:rsid w:val="00CF3278"/>
    <w:rsid w:val="00CF67C3"/>
    <w:rsid w:val="00D6066C"/>
    <w:rsid w:val="00D721A4"/>
    <w:rsid w:val="00D7394B"/>
    <w:rsid w:val="00D76450"/>
    <w:rsid w:val="00DD46FF"/>
    <w:rsid w:val="00DF7A78"/>
    <w:rsid w:val="00E238BE"/>
    <w:rsid w:val="00E8278E"/>
    <w:rsid w:val="00E95793"/>
    <w:rsid w:val="00E97DEF"/>
    <w:rsid w:val="00EA421D"/>
    <w:rsid w:val="00EF1DF8"/>
    <w:rsid w:val="00EF2BF0"/>
    <w:rsid w:val="00EF70B8"/>
    <w:rsid w:val="00F10261"/>
    <w:rsid w:val="00F104D1"/>
    <w:rsid w:val="00F118F2"/>
    <w:rsid w:val="00F165F0"/>
    <w:rsid w:val="00F31831"/>
    <w:rsid w:val="00F55BE7"/>
    <w:rsid w:val="00F6171A"/>
    <w:rsid w:val="00F677CE"/>
    <w:rsid w:val="00F97E75"/>
    <w:rsid w:val="00FB02F7"/>
    <w:rsid w:val="00FB5BCF"/>
    <w:rsid w:val="00FB7C22"/>
    <w:rsid w:val="00FC0E8C"/>
    <w:rsid w:val="00FD39A1"/>
    <w:rsid w:val="00FF503F"/>
    <w:rsid w:val="33197CAD"/>
    <w:rsid w:val="3D723DA9"/>
    <w:rsid w:val="58FD3ED6"/>
    <w:rsid w:val="6D2050C5"/>
    <w:rsid w:val="6FA132BD"/>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unhideWhenUsed="0" w:uiPriority="39" w:name="toc 1"/>
    <w:lsdException w:qFormat="1" w:uiPriority="39" w:semiHidden="0" w:name="toc 2"/>
    <w:lsdException w:qFormat="1"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semiHidden="0" w:name="Title"/>
    <w:lsdException w:unhideWhenUsed="0" w:uiPriority="99" w:name="Closing"/>
    <w:lsdException w:unhideWhenUsed="0" w:uiPriority="99" w:name="Signature"/>
    <w:lsdException w:qFormat="1" w:uiPriority="1" w:semiHidden="0" w:name="Default Paragraph Font"/>
    <w:lsdException w:qFormat="1" w:unhideWhenUsed="0" w:uiPriority="99" w:semiHidden="0"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semiHidden="0"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semiHidden="0" w:name="Strong"/>
    <w:lsdException w:qFormat="1" w:unhideWhenUsed="0" w:uiPriority="20" w:semiHidden="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0"/>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1"/>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3"/>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qFormat/>
    <w:uiPriority w:val="9"/>
    <w:pPr>
      <w:keepNext/>
      <w:keepLines/>
      <w:spacing w:before="280" w:after="290" w:line="480" w:lineRule="auto"/>
      <w:ind w:firstLine="0" w:firstLineChars="0"/>
      <w:outlineLvl w:val="4"/>
    </w:pPr>
    <w:rPr>
      <w:b/>
      <w:bCs/>
      <w:szCs w:val="28"/>
    </w:rPr>
  </w:style>
  <w:style w:type="character" w:default="1" w:styleId="14">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7">
    <w:name w:val="annotation subject"/>
    <w:basedOn w:val="8"/>
    <w:next w:val="8"/>
    <w:link w:val="45"/>
    <w:semiHidden/>
    <w:qFormat/>
    <w:uiPriority w:val="99"/>
    <w:rPr>
      <w:b/>
      <w:bCs/>
    </w:rPr>
  </w:style>
  <w:style w:type="paragraph" w:styleId="8">
    <w:name w:val="annotation text"/>
    <w:basedOn w:val="1"/>
    <w:link w:val="44"/>
    <w:semiHidden/>
    <w:qFormat/>
    <w:uiPriority w:val="99"/>
  </w:style>
  <w:style w:type="paragraph" w:styleId="9">
    <w:name w:val="Body Text"/>
    <w:basedOn w:val="1"/>
    <w:link w:val="46"/>
    <w:qFormat/>
    <w:uiPriority w:val="99"/>
    <w:pPr>
      <w:spacing w:after="120" w:line="240" w:lineRule="auto"/>
      <w:ind w:firstLine="0" w:firstLineChars="0"/>
      <w:jc w:val="both"/>
    </w:pPr>
    <w:rPr>
      <w:rFonts w:ascii="Times New Roman" w:hAnsi="Times New Roman" w:eastAsia="宋体" w:cs="Times New Roman"/>
      <w:kern w:val="0"/>
      <w:sz w:val="32"/>
      <w:szCs w:val="32"/>
    </w:rPr>
  </w:style>
  <w:style w:type="paragraph" w:styleId="10">
    <w:name w:val="toc 3"/>
    <w:basedOn w:val="1"/>
    <w:next w:val="1"/>
    <w:unhideWhenUsed/>
    <w:qFormat/>
    <w:uiPriority w:val="39"/>
    <w:pPr>
      <w:widowControl/>
      <w:tabs>
        <w:tab w:val="right" w:leader="dot" w:pos="8302"/>
      </w:tabs>
      <w:spacing w:after="100" w:line="259" w:lineRule="auto"/>
      <w:ind w:left="284" w:firstLine="0" w:firstLineChars="0"/>
    </w:pPr>
    <w:rPr>
      <w:rFonts w:ascii="仿宋_GB2312" w:eastAsia="仿宋_GB2312" w:cs="Times New Roman"/>
      <w:spacing w:val="-20"/>
      <w:sz w:val="32"/>
      <w:szCs w:val="32"/>
    </w:rPr>
  </w:style>
  <w:style w:type="paragraph" w:styleId="11">
    <w:name w:val="Balloon Text"/>
    <w:basedOn w:val="1"/>
    <w:link w:val="41"/>
    <w:semiHidden/>
    <w:qFormat/>
    <w:uiPriority w:val="99"/>
    <w:pPr>
      <w:spacing w:line="240" w:lineRule="auto"/>
    </w:pPr>
    <w:rPr>
      <w:sz w:val="18"/>
      <w:szCs w:val="18"/>
    </w:rPr>
  </w:style>
  <w:style w:type="paragraph" w:styleId="12">
    <w:name w:val="footer"/>
    <w:basedOn w:val="1"/>
    <w:link w:val="40"/>
    <w:qFormat/>
    <w:uiPriority w:val="99"/>
    <w:pPr>
      <w:tabs>
        <w:tab w:val="center" w:pos="4153"/>
        <w:tab w:val="right" w:pos="8306"/>
      </w:tabs>
      <w:snapToGrid w:val="0"/>
      <w:spacing w:line="240" w:lineRule="auto"/>
    </w:pPr>
    <w:rPr>
      <w:sz w:val="18"/>
      <w:szCs w:val="18"/>
    </w:rPr>
  </w:style>
  <w:style w:type="paragraph" w:styleId="13">
    <w:name w:val="toc 2"/>
    <w:basedOn w:val="1"/>
    <w:next w:val="1"/>
    <w:unhideWhenUsed/>
    <w:qFormat/>
    <w:uiPriority w:val="39"/>
    <w:pPr>
      <w:widowControl/>
      <w:tabs>
        <w:tab w:val="right" w:leader="dot" w:pos="8302"/>
      </w:tabs>
      <w:spacing w:after="100" w:line="259" w:lineRule="auto"/>
      <w:ind w:firstLine="0" w:firstLineChars="0"/>
    </w:pPr>
    <w:rPr>
      <w:rFonts w:ascii="仿宋_GB2312" w:eastAsia="仿宋_GB2312" w:cs="Times New Roman"/>
      <w:b/>
      <w:kern w:val="0"/>
      <w:sz w:val="32"/>
      <w:szCs w:val="32"/>
    </w:rPr>
  </w:style>
  <w:style w:type="character" w:styleId="15">
    <w:name w:val="Hyperlink"/>
    <w:basedOn w:val="14"/>
    <w:unhideWhenUsed/>
    <w:qFormat/>
    <w:uiPriority w:val="99"/>
    <w:rPr>
      <w:color w:val="0563C1" w:themeColor="hyperlink"/>
      <w:u w:val="single"/>
    </w:rPr>
  </w:style>
  <w:style w:type="character" w:styleId="16">
    <w:name w:val="annotation reference"/>
    <w:basedOn w:val="14"/>
    <w:semiHidden/>
    <w:qFormat/>
    <w:uiPriority w:val="99"/>
    <w:rPr>
      <w:sz w:val="21"/>
      <w:szCs w:val="21"/>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标题 1 Char"/>
    <w:basedOn w:val="14"/>
    <w:link w:val="2"/>
    <w:semiHidden/>
    <w:qFormat/>
    <w:uiPriority w:val="9"/>
    <w:rPr>
      <w:b/>
      <w:bCs/>
      <w:kern w:val="44"/>
      <w:sz w:val="44"/>
      <w:szCs w:val="44"/>
    </w:rPr>
  </w:style>
  <w:style w:type="character" w:customStyle="1" w:styleId="20">
    <w:name w:val="标题 2 Char"/>
    <w:basedOn w:val="14"/>
    <w:link w:val="3"/>
    <w:semiHidden/>
    <w:qFormat/>
    <w:uiPriority w:val="9"/>
    <w:rPr>
      <w:rFonts w:asciiTheme="majorHAnsi" w:hAnsiTheme="majorHAnsi" w:cstheme="majorBidi"/>
      <w:b/>
      <w:bCs/>
      <w:sz w:val="32"/>
      <w:szCs w:val="32"/>
    </w:rPr>
  </w:style>
  <w:style w:type="character" w:customStyle="1" w:styleId="21">
    <w:name w:val="标题 3 Char"/>
    <w:basedOn w:val="14"/>
    <w:link w:val="4"/>
    <w:semiHidden/>
    <w:qFormat/>
    <w:uiPriority w:val="9"/>
    <w:rPr>
      <w:b/>
      <w:bCs/>
      <w:sz w:val="30"/>
      <w:szCs w:val="32"/>
    </w:rPr>
  </w:style>
  <w:style w:type="character" w:customStyle="1" w:styleId="22">
    <w:name w:val="标题 5 Char"/>
    <w:basedOn w:val="14"/>
    <w:link w:val="6"/>
    <w:semiHidden/>
    <w:qFormat/>
    <w:uiPriority w:val="9"/>
    <w:rPr>
      <w:b/>
      <w:bCs/>
      <w:szCs w:val="28"/>
    </w:rPr>
  </w:style>
  <w:style w:type="character" w:customStyle="1" w:styleId="23">
    <w:name w:val="标题 4 Char"/>
    <w:basedOn w:val="14"/>
    <w:link w:val="5"/>
    <w:semiHidden/>
    <w:qFormat/>
    <w:uiPriority w:val="9"/>
    <w:rPr>
      <w:rFonts w:asciiTheme="majorHAnsi" w:hAnsiTheme="majorHAnsi" w:eastAsiaTheme="majorEastAsia" w:cstheme="majorBidi"/>
      <w:b/>
      <w:bCs/>
      <w:sz w:val="28"/>
      <w:szCs w:val="28"/>
    </w:rPr>
  </w:style>
  <w:style w:type="paragraph" w:customStyle="1" w:styleId="24">
    <w:name w:val="市局绩效-标题"/>
    <w:basedOn w:val="2"/>
    <w:link w:val="26"/>
    <w:qFormat/>
    <w:uiPriority w:val="0"/>
    <w:pPr>
      <w:spacing w:line="600" w:lineRule="exact"/>
    </w:pPr>
    <w:rPr>
      <w:rFonts w:ascii="方正小标宋简体" w:hAnsi="方正小标宋简体" w:eastAsia="方正小标宋简体"/>
      <w:b w:val="0"/>
    </w:rPr>
  </w:style>
  <w:style w:type="paragraph" w:customStyle="1" w:styleId="25">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6">
    <w:name w:val="市局绩效-标题 字符"/>
    <w:basedOn w:val="19"/>
    <w:link w:val="24"/>
    <w:qFormat/>
    <w:uiPriority w:val="0"/>
    <w:rPr>
      <w:rFonts w:ascii="方正小标宋简体" w:hAnsi="方正小标宋简体" w:eastAsia="方正小标宋简体"/>
      <w:b w:val="0"/>
      <w:kern w:val="44"/>
      <w:sz w:val="44"/>
      <w:szCs w:val="44"/>
    </w:rPr>
  </w:style>
  <w:style w:type="paragraph" w:customStyle="1" w:styleId="27">
    <w:name w:val="市局绩效-一级标题"/>
    <w:basedOn w:val="3"/>
    <w:link w:val="30"/>
    <w:qFormat/>
    <w:uiPriority w:val="0"/>
    <w:pPr>
      <w:spacing w:before="0" w:after="0" w:line="600" w:lineRule="exact"/>
      <w:ind w:firstLine="641"/>
      <w:jc w:val="both"/>
    </w:pPr>
    <w:rPr>
      <w:rFonts w:ascii="Times New Roman" w:hAnsi="Times New Roman" w:eastAsia="黑体"/>
      <w:b w:val="0"/>
    </w:rPr>
  </w:style>
  <w:style w:type="character" w:customStyle="1" w:styleId="28">
    <w:name w:val="市局绩效-正文 字符"/>
    <w:basedOn w:val="14"/>
    <w:link w:val="25"/>
    <w:qFormat/>
    <w:uiPriority w:val="0"/>
    <w:rPr>
      <w:rFonts w:ascii="Times New Roman" w:hAnsi="Times New Roman" w:eastAsia="仿宋_GB2312"/>
      <w:sz w:val="32"/>
    </w:rPr>
  </w:style>
  <w:style w:type="paragraph" w:customStyle="1" w:styleId="29">
    <w:name w:val="市局绩效-二级标题"/>
    <w:basedOn w:val="4"/>
    <w:link w:val="31"/>
    <w:qFormat/>
    <w:uiPriority w:val="0"/>
    <w:pPr>
      <w:spacing w:before="0" w:after="0" w:line="600" w:lineRule="exact"/>
      <w:ind w:firstLine="200" w:firstLineChars="200"/>
      <w:jc w:val="both"/>
    </w:pPr>
    <w:rPr>
      <w:rFonts w:eastAsia="楷体_GB2312"/>
      <w:b w:val="0"/>
      <w:sz w:val="32"/>
    </w:rPr>
  </w:style>
  <w:style w:type="character" w:customStyle="1" w:styleId="30">
    <w:name w:val="市局绩效-一级标题 字符"/>
    <w:basedOn w:val="20"/>
    <w:link w:val="27"/>
    <w:qFormat/>
    <w:uiPriority w:val="0"/>
    <w:rPr>
      <w:rFonts w:ascii="Times New Roman" w:hAnsi="Times New Roman" w:eastAsia="黑体" w:cstheme="majorBidi"/>
      <w:b w:val="0"/>
      <w:sz w:val="32"/>
      <w:szCs w:val="32"/>
    </w:rPr>
  </w:style>
  <w:style w:type="character" w:customStyle="1" w:styleId="31">
    <w:name w:val="市局绩效-二级标题 字符"/>
    <w:basedOn w:val="21"/>
    <w:link w:val="29"/>
    <w:qFormat/>
    <w:uiPriority w:val="0"/>
    <w:rPr>
      <w:rFonts w:eastAsia="楷体_GB2312"/>
      <w:b w:val="0"/>
      <w:sz w:val="32"/>
      <w:szCs w:val="32"/>
    </w:rPr>
  </w:style>
  <w:style w:type="paragraph" w:customStyle="1" w:styleId="32">
    <w:name w:val="市局绩效-表格标题"/>
    <w:basedOn w:val="1"/>
    <w:link w:val="34"/>
    <w:qFormat/>
    <w:uiPriority w:val="0"/>
    <w:pPr>
      <w:widowControl/>
      <w:spacing w:line="240" w:lineRule="auto"/>
      <w:ind w:firstLine="0" w:firstLineChars="0"/>
      <w:jc w:val="center"/>
    </w:pPr>
    <w:rPr>
      <w:rFonts w:ascii="Times New Roman" w:hAnsi="Times New Roman" w:eastAsia="宋体" w:cs="Times New Roman"/>
      <w:bCs/>
      <w:sz w:val="24"/>
      <w:szCs w:val="24"/>
    </w:rPr>
  </w:style>
  <w:style w:type="paragraph" w:customStyle="1" w:styleId="33">
    <w:name w:val="市局绩效-表格单位"/>
    <w:basedOn w:val="1"/>
    <w:link w:val="36"/>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4">
    <w:name w:val="市局绩效-表格标题 字符"/>
    <w:basedOn w:val="14"/>
    <w:link w:val="32"/>
    <w:qFormat/>
    <w:uiPriority w:val="0"/>
    <w:rPr>
      <w:rFonts w:ascii="Times New Roman" w:hAnsi="Times New Roman" w:eastAsia="宋体" w:cs="Times New Roman"/>
      <w:bCs/>
      <w:sz w:val="24"/>
      <w:szCs w:val="24"/>
    </w:rPr>
  </w:style>
  <w:style w:type="paragraph" w:customStyle="1" w:styleId="35">
    <w:name w:val="市局绩效-表格表头"/>
    <w:basedOn w:val="25"/>
    <w:link w:val="38"/>
    <w:qFormat/>
    <w:uiPriority w:val="0"/>
    <w:pPr>
      <w:spacing w:line="240" w:lineRule="auto"/>
      <w:ind w:firstLine="0" w:firstLineChars="0"/>
      <w:jc w:val="center"/>
    </w:pPr>
    <w:rPr>
      <w:rFonts w:eastAsia="宋体"/>
      <w:b/>
      <w:sz w:val="21"/>
    </w:rPr>
  </w:style>
  <w:style w:type="character" w:customStyle="1" w:styleId="36">
    <w:name w:val="市局绩效-表格单位 字符"/>
    <w:basedOn w:val="14"/>
    <w:link w:val="33"/>
    <w:qFormat/>
    <w:uiPriority w:val="0"/>
    <w:rPr>
      <w:rFonts w:ascii="Times New Roman" w:hAnsi="Times New Roman" w:eastAsia="宋体"/>
      <w:bCs/>
      <w:szCs w:val="18"/>
    </w:rPr>
  </w:style>
  <w:style w:type="paragraph" w:customStyle="1" w:styleId="37">
    <w:name w:val="市局绩效-表格内容"/>
    <w:basedOn w:val="25"/>
    <w:link w:val="39"/>
    <w:qFormat/>
    <w:uiPriority w:val="0"/>
    <w:pPr>
      <w:spacing w:line="240" w:lineRule="auto"/>
      <w:ind w:firstLine="0" w:firstLineChars="0"/>
    </w:pPr>
    <w:rPr>
      <w:rFonts w:eastAsia="宋体"/>
      <w:sz w:val="21"/>
    </w:rPr>
  </w:style>
  <w:style w:type="character" w:customStyle="1" w:styleId="38">
    <w:name w:val="市局绩效-表格表头 字符"/>
    <w:basedOn w:val="28"/>
    <w:link w:val="35"/>
    <w:qFormat/>
    <w:uiPriority w:val="0"/>
    <w:rPr>
      <w:rFonts w:ascii="Times New Roman" w:hAnsi="Times New Roman" w:eastAsia="宋体"/>
      <w:b/>
      <w:sz w:val="32"/>
    </w:rPr>
  </w:style>
  <w:style w:type="character" w:customStyle="1" w:styleId="39">
    <w:name w:val="市局绩效-表格内容 字符"/>
    <w:basedOn w:val="28"/>
    <w:link w:val="37"/>
    <w:qFormat/>
    <w:uiPriority w:val="0"/>
    <w:rPr>
      <w:rFonts w:ascii="Times New Roman" w:hAnsi="Times New Roman" w:eastAsia="宋体"/>
      <w:sz w:val="32"/>
    </w:rPr>
  </w:style>
  <w:style w:type="character" w:customStyle="1" w:styleId="40">
    <w:name w:val="页脚 Char"/>
    <w:basedOn w:val="14"/>
    <w:link w:val="12"/>
    <w:qFormat/>
    <w:uiPriority w:val="99"/>
    <w:rPr>
      <w:sz w:val="18"/>
      <w:szCs w:val="18"/>
    </w:rPr>
  </w:style>
  <w:style w:type="character" w:customStyle="1" w:styleId="41">
    <w:name w:val="批注框文本 Char"/>
    <w:basedOn w:val="14"/>
    <w:link w:val="11"/>
    <w:semiHidden/>
    <w:qFormat/>
    <w:uiPriority w:val="99"/>
    <w:rPr>
      <w:sz w:val="18"/>
      <w:szCs w:val="18"/>
    </w:rPr>
  </w:style>
  <w:style w:type="paragraph" w:customStyle="1" w:styleId="42">
    <w:name w:val="市局绩效-注"/>
    <w:basedOn w:val="25"/>
    <w:link w:val="43"/>
    <w:qFormat/>
    <w:uiPriority w:val="0"/>
    <w:pPr>
      <w:ind w:firstLine="0" w:firstLineChars="0"/>
    </w:pPr>
    <w:rPr>
      <w:rFonts w:eastAsia="宋体"/>
      <w:bCs/>
      <w:sz w:val="21"/>
    </w:rPr>
  </w:style>
  <w:style w:type="character" w:customStyle="1" w:styleId="43">
    <w:name w:val="市局绩效-注 字符"/>
    <w:basedOn w:val="28"/>
    <w:link w:val="42"/>
    <w:qFormat/>
    <w:uiPriority w:val="0"/>
    <w:rPr>
      <w:rFonts w:ascii="Times New Roman" w:hAnsi="Times New Roman" w:eastAsia="宋体"/>
      <w:bCs/>
      <w:sz w:val="32"/>
    </w:rPr>
  </w:style>
  <w:style w:type="character" w:customStyle="1" w:styleId="44">
    <w:name w:val="批注文字 Char"/>
    <w:basedOn w:val="14"/>
    <w:link w:val="8"/>
    <w:semiHidden/>
    <w:qFormat/>
    <w:uiPriority w:val="99"/>
  </w:style>
  <w:style w:type="character" w:customStyle="1" w:styleId="45">
    <w:name w:val="批注主题 Char"/>
    <w:basedOn w:val="44"/>
    <w:link w:val="7"/>
    <w:semiHidden/>
    <w:qFormat/>
    <w:uiPriority w:val="99"/>
    <w:rPr>
      <w:b/>
      <w:bCs/>
    </w:rPr>
  </w:style>
  <w:style w:type="character" w:customStyle="1" w:styleId="46">
    <w:name w:val="正文文本 Char"/>
    <w:basedOn w:val="14"/>
    <w:link w:val="9"/>
    <w:qFormat/>
    <w:uiPriority w:val="99"/>
    <w:rPr>
      <w:rFonts w:ascii="Times New Roman" w:hAnsi="Times New Roman" w:eastAsia="宋体" w:cs="Times New Roman"/>
      <w:kern w:val="0"/>
      <w:sz w:val="32"/>
      <w:szCs w:val="32"/>
    </w:rPr>
  </w:style>
  <w:style w:type="table" w:customStyle="1" w:styleId="47">
    <w:name w:val="TableGrid"/>
    <w:qFormat/>
    <w:uiPriority w:val="0"/>
    <w:rPr>
      <w:kern w:val="2"/>
      <w:sz w:val="21"/>
      <w:szCs w:val="22"/>
    </w:rPr>
    <w:tblPr>
      <w:tblLayout w:type="fixed"/>
      <w:tblCellMar>
        <w:top w:w="0" w:type="dxa"/>
        <w:left w:w="0" w:type="dxa"/>
        <w:bottom w:w="0" w:type="dxa"/>
        <w:right w:w="0" w:type="dxa"/>
      </w:tblCellMar>
    </w:tblPr>
  </w:style>
  <w:style w:type="paragraph" w:customStyle="1" w:styleId="48">
    <w:name w:val="绩效正文"/>
    <w:basedOn w:val="1"/>
    <w:link w:val="49"/>
    <w:qFormat/>
    <w:uiPriority w:val="0"/>
    <w:pPr>
      <w:spacing w:line="480" w:lineRule="exact"/>
      <w:textAlignment w:val="baseline"/>
    </w:pPr>
    <w:rPr>
      <w:rFonts w:ascii="Times New Roman" w:hAnsi="Times New Roman" w:eastAsia="仿宋" w:cs="Times New Roman"/>
      <w:sz w:val="28"/>
      <w:szCs w:val="24"/>
    </w:rPr>
  </w:style>
  <w:style w:type="character" w:customStyle="1" w:styleId="49">
    <w:name w:val="绩效正文 字符"/>
    <w:basedOn w:val="14"/>
    <w:link w:val="48"/>
    <w:qFormat/>
    <w:uiPriority w:val="0"/>
    <w:rPr>
      <w:rFonts w:ascii="Times New Roman" w:hAnsi="Times New Roman" w:eastAsia="仿宋" w:cs="Times New Roman"/>
      <w:kern w:val="2"/>
      <w:sz w:val="28"/>
      <w:szCs w:val="24"/>
    </w:rPr>
  </w:style>
  <w:style w:type="paragraph" w:customStyle="1" w:styleId="5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988333-FBDD-42C3-82F0-9885ECAA6A52}">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26</Pages>
  <Words>1764</Words>
  <Characters>10058</Characters>
  <Lines>83</Lines>
  <Paragraphs>23</Paragraphs>
  <ScaleCrop>false</ScaleCrop>
  <LinksUpToDate>false</LinksUpToDate>
  <CharactersWithSpaces>11799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2022-11-06T10:16:00Z</dcterms:created>
  <dc:creator>忠晔 张</dc:creator>
  <cp:lastModifiedBy>Administrator</cp:lastModifiedBy>
  <cp:lastPrinted>2022-12-23T01:45:00Z</cp:lastPrinted>
  <dcterms:modified xsi:type="dcterms:W3CDTF">2023-01-10T01:33:05Z</dcterms:modified>
  <cp:revision>229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5FBB7045FB734518992F213AED159B8F</vt:lpwstr>
  </property>
  <property fmtid="{D5CDD505-2E9C-101B-9397-08002B2CF9AE}" pid="4" name="_DocHome">
    <vt:i4>-200525321</vt:i4>
  </property>
</Properties>
</file>