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outlineLvl w:val="0"/>
        <w:rPr>
          <w:rFonts w:ascii="宋体" w:hAnsi="宋体" w:eastAsia="仿宋_GB2312" w:cs="宋体"/>
          <w:b/>
          <w:bCs/>
          <w:color w:val="000000"/>
          <w:kern w:val="0"/>
          <w:sz w:val="40"/>
          <w:szCs w:val="40"/>
        </w:rPr>
      </w:pPr>
      <w:r>
        <w:rPr>
          <w:rFonts w:hint="eastAsia" w:ascii="仿宋_GB2312" w:eastAsia="仿宋_GB2312"/>
          <w:color w:val="000000" w:themeColor="text1"/>
          <w:sz w:val="32"/>
          <w:szCs w:val="32"/>
        </w:rPr>
        <w:t>附件</w:t>
      </w:r>
    </w:p>
    <w:p>
      <w:pPr>
        <w:jc w:val="center"/>
        <w:rPr>
          <w:rFonts w:ascii="华文中宋" w:hAnsi="华文中宋" w:eastAsia="华文中宋"/>
          <w:color w:val="000000" w:themeColor="text1"/>
          <w:sz w:val="40"/>
          <w:szCs w:val="40"/>
        </w:rPr>
      </w:pPr>
      <w:r>
        <w:rPr>
          <w:rFonts w:hint="eastAsia" w:ascii="华文中宋" w:hAnsi="华文中宋" w:eastAsia="华文中宋"/>
          <w:color w:val="000000" w:themeColor="text1"/>
          <w:sz w:val="40"/>
          <w:szCs w:val="40"/>
        </w:rPr>
        <w:t>2020年度行政事业单位内部控制报告数据质量自查表</w:t>
      </w:r>
    </w:p>
    <w:p>
      <w:pPr>
        <w:outlineLvl w:val="0"/>
        <w:rPr>
          <w:rFonts w:ascii="宋体" w:hAnsi="宋体" w:cs="宋体"/>
          <w:color w:val="080000"/>
          <w:kern w:val="0"/>
          <w:sz w:val="22"/>
          <w:szCs w:val="22"/>
        </w:rPr>
      </w:pPr>
    </w:p>
    <w:p>
      <w:pPr>
        <w:outlineLvl w:val="0"/>
        <w:rPr>
          <w:rFonts w:ascii="宋体" w:hAnsi="宋体" w:cs="宋体"/>
          <w:color w:val="080000"/>
          <w:kern w:val="0"/>
          <w:sz w:val="22"/>
          <w:szCs w:val="22"/>
        </w:rPr>
      </w:pPr>
      <w:r>
        <w:rPr>
          <w:rFonts w:hint="eastAsia" w:ascii="宋体" w:hAnsi="宋体" w:cs="宋体"/>
          <w:color w:val="080000"/>
          <w:kern w:val="0"/>
          <w:sz w:val="22"/>
          <w:szCs w:val="22"/>
        </w:rPr>
        <w:t>编制</w:t>
      </w:r>
      <w:r>
        <w:rPr>
          <w:rFonts w:hint="eastAsia" w:ascii="宋体" w:hAnsi="宋体" w:cs="宋体"/>
          <w:color w:val="080000"/>
          <w:kern w:val="0"/>
          <w:sz w:val="22"/>
          <w:szCs w:val="22"/>
          <w:lang w:eastAsia="zh-CN"/>
        </w:rPr>
        <w:t>单位</w:t>
      </w:r>
      <w:r>
        <w:rPr>
          <w:rFonts w:hint="eastAsia" w:ascii="宋体" w:hAnsi="宋体" w:cs="宋体"/>
          <w:color w:val="080000"/>
          <w:kern w:val="0"/>
          <w:sz w:val="22"/>
          <w:szCs w:val="22"/>
        </w:rPr>
        <w:t xml:space="preserve">：                                记录人：                    审核人：                   报送日期： </w:t>
      </w:r>
      <w:bookmarkStart w:id="0" w:name="_GoBack"/>
      <w:bookmarkEnd w:id="0"/>
    </w:p>
    <w:tbl>
      <w:tblPr>
        <w:tblStyle w:val="5"/>
        <w:tblW w:w="13948" w:type="dxa"/>
        <w:tblInd w:w="0" w:type="dxa"/>
        <w:tblLayout w:type="fixed"/>
        <w:tblCellMar>
          <w:top w:w="0" w:type="dxa"/>
          <w:left w:w="108" w:type="dxa"/>
          <w:bottom w:w="0" w:type="dxa"/>
          <w:right w:w="108" w:type="dxa"/>
        </w:tblCellMar>
      </w:tblPr>
      <w:tblGrid>
        <w:gridCol w:w="1414"/>
        <w:gridCol w:w="2511"/>
        <w:gridCol w:w="4508"/>
        <w:gridCol w:w="2762"/>
        <w:gridCol w:w="2753"/>
      </w:tblGrid>
      <w:tr>
        <w:tblPrEx>
          <w:tblCellMar>
            <w:top w:w="0" w:type="dxa"/>
            <w:left w:w="108" w:type="dxa"/>
            <w:bottom w:w="0" w:type="dxa"/>
            <w:right w:w="108" w:type="dxa"/>
          </w:tblCellMar>
        </w:tblPrEx>
        <w:trPr>
          <w:cantSplit/>
          <w:trHeight w:val="525" w:hRule="atLeast"/>
          <w:tblHeader/>
        </w:trPr>
        <w:tc>
          <w:tcPr>
            <w:tcW w:w="39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审核指标</w:t>
            </w:r>
          </w:p>
        </w:tc>
        <w:tc>
          <w:tcPr>
            <w:tcW w:w="45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审核要求</w:t>
            </w:r>
          </w:p>
        </w:tc>
        <w:tc>
          <w:tcPr>
            <w:tcW w:w="27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审核结果</w:t>
            </w:r>
          </w:p>
        </w:tc>
        <w:tc>
          <w:tcPr>
            <w:tcW w:w="275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情况说明</w:t>
            </w:r>
          </w:p>
        </w:tc>
      </w:tr>
      <w:tr>
        <w:tblPrEx>
          <w:tblCellMar>
            <w:top w:w="0" w:type="dxa"/>
            <w:left w:w="108" w:type="dxa"/>
            <w:bottom w:w="0" w:type="dxa"/>
            <w:right w:w="108" w:type="dxa"/>
          </w:tblCellMar>
        </w:tblPrEx>
        <w:trPr>
          <w:cantSplit/>
          <w:trHeight w:val="825" w:hRule="atLeast"/>
        </w:trPr>
        <w:tc>
          <w:tcPr>
            <w:tcW w:w="1414"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一、报告材料的规范性</w:t>
            </w:r>
          </w:p>
        </w:tc>
        <w:tc>
          <w:tcPr>
            <w:tcW w:w="25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报告编制符合规定格式，报送手续齐全。</w:t>
            </w:r>
          </w:p>
        </w:tc>
        <w:tc>
          <w:tcPr>
            <w:tcW w:w="45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报告材料完整，数据填列齐全，装订规范，不得缺少张页；报告封面指标填列完整，正式行文报送时需经部门主要负责人签字或盖章，并加盖单位行政公章。</w:t>
            </w:r>
          </w:p>
        </w:tc>
        <w:tc>
          <w:tcPr>
            <w:tcW w:w="27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审核通过/审核不通过</w:t>
            </w:r>
          </w:p>
        </w:tc>
        <w:tc>
          <w:tcPr>
            <w:tcW w:w="27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cantSplit/>
          <w:trHeight w:val="825" w:hRule="atLeast"/>
        </w:trPr>
        <w:tc>
          <w:tcPr>
            <w:tcW w:w="141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二、基础数据的规范性</w:t>
            </w:r>
          </w:p>
        </w:tc>
        <w:tc>
          <w:tcPr>
            <w:tcW w:w="25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（一）电子树形结构规范、清晰。</w:t>
            </w:r>
          </w:p>
        </w:tc>
        <w:tc>
          <w:tcPr>
            <w:tcW w:w="45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应按照预算管理级次，逐级建立内控报告数据的树形结构，不存在树形外的单位节点。</w:t>
            </w:r>
          </w:p>
        </w:tc>
        <w:tc>
          <w:tcPr>
            <w:tcW w:w="27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树形结构清晰/树形结构混乱</w:t>
            </w:r>
          </w:p>
        </w:tc>
        <w:tc>
          <w:tcPr>
            <w:tcW w:w="275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szCs w:val="22"/>
              </w:rPr>
            </w:pPr>
          </w:p>
        </w:tc>
      </w:tr>
      <w:tr>
        <w:tblPrEx>
          <w:tblCellMar>
            <w:top w:w="0" w:type="dxa"/>
            <w:left w:w="108" w:type="dxa"/>
            <w:bottom w:w="0" w:type="dxa"/>
            <w:right w:w="108" w:type="dxa"/>
          </w:tblCellMar>
        </w:tblPrEx>
        <w:trPr>
          <w:cantSplit/>
          <w:trHeight w:val="1021" w:hRule="atLeast"/>
        </w:trPr>
        <w:tc>
          <w:tcPr>
            <w:tcW w:w="141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25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（二）报告内容规范，不存在超出枚举范围的下拉选择项内容。</w:t>
            </w:r>
          </w:p>
        </w:tc>
        <w:tc>
          <w:tcPr>
            <w:tcW w:w="45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报告中存在大量下拉选择项，须保证单位填录内容在下拉选项的枚举范围内。</w:t>
            </w:r>
          </w:p>
        </w:tc>
        <w:tc>
          <w:tcPr>
            <w:tcW w:w="27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审核通过/审核不通过</w:t>
            </w:r>
          </w:p>
        </w:tc>
        <w:tc>
          <w:tcPr>
            <w:tcW w:w="275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szCs w:val="22"/>
              </w:rPr>
            </w:pPr>
          </w:p>
        </w:tc>
      </w:tr>
      <w:tr>
        <w:tblPrEx>
          <w:tblCellMar>
            <w:top w:w="0" w:type="dxa"/>
            <w:left w:w="108" w:type="dxa"/>
            <w:bottom w:w="0" w:type="dxa"/>
            <w:right w:w="108" w:type="dxa"/>
          </w:tblCellMar>
        </w:tblPrEx>
        <w:trPr>
          <w:cantSplit/>
          <w:trHeight w:val="840" w:hRule="atLeast"/>
        </w:trPr>
        <w:tc>
          <w:tcPr>
            <w:tcW w:w="141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25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（三）公式审核无误，勾稽关系准确。</w:t>
            </w:r>
          </w:p>
        </w:tc>
        <w:tc>
          <w:tcPr>
            <w:tcW w:w="45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表内、表间勾稽关系正确，无技术性错误。</w:t>
            </w:r>
          </w:p>
        </w:tc>
        <w:tc>
          <w:tcPr>
            <w:tcW w:w="27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公式审核无误/部分单位存在审核错误</w:t>
            </w:r>
          </w:p>
        </w:tc>
        <w:tc>
          <w:tcPr>
            <w:tcW w:w="275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szCs w:val="22"/>
              </w:rPr>
            </w:pPr>
          </w:p>
        </w:tc>
      </w:tr>
      <w:tr>
        <w:tblPrEx>
          <w:tblCellMar>
            <w:top w:w="0" w:type="dxa"/>
            <w:left w:w="108" w:type="dxa"/>
            <w:bottom w:w="0" w:type="dxa"/>
            <w:right w:w="108" w:type="dxa"/>
          </w:tblCellMar>
        </w:tblPrEx>
        <w:trPr>
          <w:cantSplit/>
          <w:trHeight w:val="1500" w:hRule="atLeast"/>
        </w:trPr>
        <w:tc>
          <w:tcPr>
            <w:tcW w:w="141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25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（四）隶属关系与实际预算管理级次一致</w:t>
            </w:r>
          </w:p>
        </w:tc>
        <w:tc>
          <w:tcPr>
            <w:tcW w:w="45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隶属关系”按照单位实际预算管理级次填写，县级所属单位，隶属关系全都为该县；市级单位，隶属关系全部为该市（代码后2位为“00”）；省级单位，隶属关系全部为该省（代码后4位为“0000”）；中央单位，隶属关系全部为中央。</w:t>
            </w:r>
          </w:p>
        </w:tc>
        <w:tc>
          <w:tcPr>
            <w:tcW w:w="27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审核通过/审核不通过</w:t>
            </w:r>
          </w:p>
        </w:tc>
        <w:tc>
          <w:tcPr>
            <w:tcW w:w="27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cantSplit/>
          <w:trHeight w:val="675" w:hRule="atLeast"/>
        </w:trPr>
        <w:tc>
          <w:tcPr>
            <w:tcW w:w="141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三、上下年数据变动合理性</w:t>
            </w:r>
          </w:p>
        </w:tc>
        <w:tc>
          <w:tcPr>
            <w:tcW w:w="25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（一）报送户数变动合理。</w:t>
            </w:r>
          </w:p>
        </w:tc>
        <w:tc>
          <w:tcPr>
            <w:tcW w:w="45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上下年度数据衔接一致，两年报送的单户数量变化合理，差异过大应当说明。</w:t>
            </w:r>
          </w:p>
        </w:tc>
        <w:tc>
          <w:tcPr>
            <w:tcW w:w="27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差异在1</w:t>
            </w:r>
            <w:r>
              <w:rPr>
                <w:rFonts w:ascii="宋体" w:hAnsi="宋体" w:cs="宋体"/>
                <w:color w:val="000000"/>
                <w:kern w:val="0"/>
                <w:sz w:val="22"/>
                <w:szCs w:val="22"/>
              </w:rPr>
              <w:t>0</w:t>
            </w:r>
            <w:r>
              <w:rPr>
                <w:rFonts w:hint="eastAsia" w:ascii="宋体" w:hAnsi="宋体" w:cs="宋体"/>
                <w:color w:val="000000"/>
                <w:kern w:val="0"/>
                <w:sz w:val="22"/>
                <w:szCs w:val="22"/>
              </w:rPr>
              <w:t>%以内/差异较大需要说明</w:t>
            </w:r>
          </w:p>
        </w:tc>
        <w:tc>
          <w:tcPr>
            <w:tcW w:w="27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cantSplit/>
          <w:trHeight w:val="675" w:hRule="atLeast"/>
        </w:trPr>
        <w:tc>
          <w:tcPr>
            <w:tcW w:w="141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25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（二）年末总资产账面金额变动合理</w:t>
            </w:r>
          </w:p>
        </w:tc>
        <w:tc>
          <w:tcPr>
            <w:tcW w:w="45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上下年度数据衔接一致，年末总资产账面金额变化合理，差异过大应当说明。</w:t>
            </w:r>
          </w:p>
        </w:tc>
        <w:tc>
          <w:tcPr>
            <w:tcW w:w="27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差异在10%以内/差异较大需要说明</w:t>
            </w:r>
          </w:p>
        </w:tc>
        <w:tc>
          <w:tcPr>
            <w:tcW w:w="27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cantSplit/>
          <w:trHeight w:val="900" w:hRule="atLeast"/>
        </w:trPr>
        <w:tc>
          <w:tcPr>
            <w:tcW w:w="141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四、业务数据的准确性，同口径数据一致</w:t>
            </w:r>
          </w:p>
        </w:tc>
        <w:tc>
          <w:tcPr>
            <w:tcW w:w="25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（一）“年末在职人数”核对</w:t>
            </w:r>
          </w:p>
        </w:tc>
        <w:tc>
          <w:tcPr>
            <w:tcW w:w="45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“年末在职人数”应当与部门决算《基本数字表》（财决附02表）第4栏合计数一致，即“年末职工人数”中“人员总计”的“在职人员”合计数。</w:t>
            </w:r>
          </w:p>
        </w:tc>
        <w:tc>
          <w:tcPr>
            <w:tcW w:w="27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一致/差异在1</w:t>
            </w:r>
            <w:r>
              <w:rPr>
                <w:rFonts w:ascii="宋体" w:hAnsi="宋体" w:cs="宋体"/>
                <w:color w:val="000000"/>
                <w:kern w:val="0"/>
                <w:sz w:val="22"/>
                <w:szCs w:val="22"/>
              </w:rPr>
              <w:t>0</w:t>
            </w:r>
            <w:r>
              <w:rPr>
                <w:rFonts w:hint="eastAsia" w:ascii="宋体" w:hAnsi="宋体" w:cs="宋体"/>
                <w:color w:val="000000"/>
                <w:kern w:val="0"/>
                <w:sz w:val="22"/>
                <w:szCs w:val="22"/>
              </w:rPr>
              <w:t>%以内/差异较大需要说明</w:t>
            </w:r>
          </w:p>
        </w:tc>
        <w:tc>
          <w:tcPr>
            <w:tcW w:w="27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cantSplit/>
          <w:trHeight w:val="900" w:hRule="atLeast"/>
        </w:trPr>
        <w:tc>
          <w:tcPr>
            <w:tcW w:w="141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25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（二）“应上缴非税收入金额”核对</w:t>
            </w:r>
          </w:p>
        </w:tc>
        <w:tc>
          <w:tcPr>
            <w:tcW w:w="45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“应上缴非税收入金额”应当与决算报表的《非税收入征缴情况表》（财决附04表）中纳入预算管理以及纳入财政专户管理的非税收入合计数一致，即表第2栏次第1行合计数加第7栏次第1行合计数（单位：元）。</w:t>
            </w:r>
          </w:p>
        </w:tc>
        <w:tc>
          <w:tcPr>
            <w:tcW w:w="27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一致/差异在10%以内/差异较大需要说明</w:t>
            </w:r>
          </w:p>
        </w:tc>
        <w:tc>
          <w:tcPr>
            <w:tcW w:w="27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cantSplit/>
          <w:trHeight w:val="900" w:hRule="atLeast"/>
        </w:trPr>
        <w:tc>
          <w:tcPr>
            <w:tcW w:w="141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25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（三）“实际上缴非税收入金额”核对</w:t>
            </w:r>
          </w:p>
        </w:tc>
        <w:tc>
          <w:tcPr>
            <w:tcW w:w="45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实际上缴非税收入”应当与决算报表的《非税收入征缴情况表》（财决附04表）中纳入预算管理的已缴国库小计数及纳入财政专户管理的已缴财政专户小计数之和一致，即表第3栏次第1行合计数加第8栏次第1行合计数（单位：元）。</w:t>
            </w:r>
          </w:p>
        </w:tc>
        <w:tc>
          <w:tcPr>
            <w:tcW w:w="27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一致/差异在10%以内/差异较大需要说明</w:t>
            </w:r>
          </w:p>
        </w:tc>
        <w:tc>
          <w:tcPr>
            <w:tcW w:w="27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cantSplit/>
          <w:trHeight w:val="900" w:hRule="atLeast"/>
        </w:trPr>
        <w:tc>
          <w:tcPr>
            <w:tcW w:w="141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25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（四）“本年支出预算金额”核对</w:t>
            </w:r>
          </w:p>
        </w:tc>
        <w:tc>
          <w:tcPr>
            <w:tcW w:w="45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“本年支出预算金额”，应当与本年决算报表的《收入支出决算总表》（财决01表）中本年支出的调整预算数一致，即表第8栏次第84行合计数（单位：元）</w:t>
            </w:r>
          </w:p>
        </w:tc>
        <w:tc>
          <w:tcPr>
            <w:tcW w:w="27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一致/差异在10%以内/差异较大需要说明</w:t>
            </w:r>
          </w:p>
        </w:tc>
        <w:tc>
          <w:tcPr>
            <w:tcW w:w="27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cantSplit/>
          <w:trHeight w:val="900" w:hRule="atLeast"/>
        </w:trPr>
        <w:tc>
          <w:tcPr>
            <w:tcW w:w="141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25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（五）“本年实际支出总额”核对</w:t>
            </w:r>
          </w:p>
        </w:tc>
        <w:tc>
          <w:tcPr>
            <w:tcW w:w="45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“本年实际支出总额”应当与2020年决算报表的《收入支出决算总表》（财决01表）中本年支出的决算数一致，即表第9栏次第84行合计数（单位：元）。</w:t>
            </w:r>
          </w:p>
        </w:tc>
        <w:tc>
          <w:tcPr>
            <w:tcW w:w="27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一致/差异在10%以内/差异较大需要说明</w:t>
            </w:r>
          </w:p>
        </w:tc>
        <w:tc>
          <w:tcPr>
            <w:tcW w:w="27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cantSplit/>
          <w:trHeight w:val="1200" w:hRule="atLeast"/>
        </w:trPr>
        <w:tc>
          <w:tcPr>
            <w:tcW w:w="141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25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（六）“上年‘三公’经费决算数”核对</w:t>
            </w:r>
          </w:p>
        </w:tc>
        <w:tc>
          <w:tcPr>
            <w:tcW w:w="45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“上年‘三公’经费决算数”应当与2019年决算报表的《机构运行信息表》（财决附03表）中“三公”经费支出的支出合计数一致，即表第2栏次第2行统计数（单位：元）</w:t>
            </w:r>
          </w:p>
        </w:tc>
        <w:tc>
          <w:tcPr>
            <w:tcW w:w="27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一致/差异在10%以内/差异较大需要说明</w:t>
            </w:r>
          </w:p>
        </w:tc>
        <w:tc>
          <w:tcPr>
            <w:tcW w:w="27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cantSplit/>
          <w:trHeight w:val="1200" w:hRule="atLeast"/>
        </w:trPr>
        <w:tc>
          <w:tcPr>
            <w:tcW w:w="141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25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（七）“本年‘三公’经费决算数”核对</w:t>
            </w:r>
          </w:p>
        </w:tc>
        <w:tc>
          <w:tcPr>
            <w:tcW w:w="45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“本年‘三公’经费决算数”应当与2020年决算报表的《机构运行信息表》（财决附03表）中“三公”经费支出的支出合计数一致，即表第2栏次第2行统计数（单位：元）。</w:t>
            </w:r>
          </w:p>
        </w:tc>
        <w:tc>
          <w:tcPr>
            <w:tcW w:w="27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一致/差异在10%以内/差异较大需要说明</w:t>
            </w:r>
          </w:p>
        </w:tc>
        <w:tc>
          <w:tcPr>
            <w:tcW w:w="27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cantSplit/>
          <w:trHeight w:val="900" w:hRule="atLeast"/>
        </w:trPr>
        <w:tc>
          <w:tcPr>
            <w:tcW w:w="141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25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（八）“本年实际采购金额”核对</w:t>
            </w:r>
          </w:p>
        </w:tc>
        <w:tc>
          <w:tcPr>
            <w:tcW w:w="45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“本年实际采购金额”应当与决算报表《机构运行信息表》（财决附03表）第3栏次第40行“政府采购支出合计”的统计数（单位：元）一致。</w:t>
            </w:r>
          </w:p>
        </w:tc>
        <w:tc>
          <w:tcPr>
            <w:tcW w:w="27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一致/差异在10%以内/差异较大需要说明</w:t>
            </w:r>
          </w:p>
        </w:tc>
        <w:tc>
          <w:tcPr>
            <w:tcW w:w="27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cantSplit/>
          <w:trHeight w:val="596" w:hRule="atLeast"/>
        </w:trPr>
        <w:tc>
          <w:tcPr>
            <w:tcW w:w="141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25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（九）“年末总资产账面金额”核对</w:t>
            </w:r>
          </w:p>
        </w:tc>
        <w:tc>
          <w:tcPr>
            <w:tcW w:w="45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基层单位的“年末总资产账面金额”应当与国有资产报表《资产负债表》（财资01表）中第2栏次第1行资产合计期末数（单位：元）一致；汇总单位的“年末总资产账面金额”应当与国有资产报表《资产负债汇总表》（财资综01表）中第2栏次第1行资产合计期末数（单位：元）一致。</w:t>
            </w:r>
          </w:p>
        </w:tc>
        <w:tc>
          <w:tcPr>
            <w:tcW w:w="27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一致/差异在10%以内/差异较大需要说明</w:t>
            </w:r>
          </w:p>
        </w:tc>
        <w:tc>
          <w:tcPr>
            <w:tcW w:w="27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cantSplit/>
          <w:trHeight w:val="3006" w:hRule="atLeast"/>
        </w:trPr>
        <w:tc>
          <w:tcPr>
            <w:tcW w:w="141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25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（十）“固定资产本期减少额”核对</w:t>
            </w:r>
          </w:p>
        </w:tc>
        <w:tc>
          <w:tcPr>
            <w:tcW w:w="45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基层单位的“固定资产本期减少额”应当与国有资产报表中《资产处置情况表》（财资10表）中本期减少的固定资产账面原值，即表第6栏次第1行固定资产原值小计数（单位：元）一致；汇总单位的“固定资产本期减少额”应当与国有资产报表中《资产处置情况汇总表》（财资综06表）中本期减少的固定资产账面原值，即表第2栏次第3行固定资产账面原值小计数（单位：元）一致</w:t>
            </w:r>
          </w:p>
        </w:tc>
        <w:tc>
          <w:tcPr>
            <w:tcW w:w="27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一致/差异在10%以内/差异较大需要说明</w:t>
            </w:r>
          </w:p>
        </w:tc>
        <w:tc>
          <w:tcPr>
            <w:tcW w:w="27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cantSplit/>
          <w:trHeight w:val="1405" w:hRule="atLeast"/>
        </w:trPr>
        <w:tc>
          <w:tcPr>
            <w:tcW w:w="141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25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（十一）“年度实际投资额”核对</w:t>
            </w:r>
          </w:p>
        </w:tc>
        <w:tc>
          <w:tcPr>
            <w:tcW w:w="45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“年度实际投资额”应当与决算报表《项目支出决算明细表》（财决05-2表）“资本性支出（基本建设）” 第62栏次第1行小计数（单位：元）一致。</w:t>
            </w:r>
          </w:p>
        </w:tc>
        <w:tc>
          <w:tcPr>
            <w:tcW w:w="27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一致/差异在10%以内/差异较大需要说明</w:t>
            </w:r>
          </w:p>
        </w:tc>
        <w:tc>
          <w:tcPr>
            <w:tcW w:w="27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cantSplit/>
          <w:trHeight w:val="1415" w:hRule="atLeast"/>
        </w:trPr>
        <w:tc>
          <w:tcPr>
            <w:tcW w:w="141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五、数值型指标的合理性</w:t>
            </w:r>
          </w:p>
        </w:tc>
        <w:tc>
          <w:tcPr>
            <w:tcW w:w="25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（一）“内部控制机构运行情况”异常值排查核对</w:t>
            </w:r>
          </w:p>
        </w:tc>
        <w:tc>
          <w:tcPr>
            <w:tcW w:w="45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本年单位内部控制领导小组会议次数、本年单位开展内部控制专题培训次数、内部控制相关问题数量、通过内部控制体系进行整改的问题数量不存在不合理的异常值。</w:t>
            </w:r>
          </w:p>
        </w:tc>
        <w:tc>
          <w:tcPr>
            <w:tcW w:w="27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无异常/存在异常需要说明</w:t>
            </w:r>
          </w:p>
        </w:tc>
        <w:tc>
          <w:tcPr>
            <w:tcW w:w="27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cantSplit/>
          <w:trHeight w:val="1261" w:hRule="atLeast"/>
        </w:trPr>
        <w:tc>
          <w:tcPr>
            <w:tcW w:w="141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25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（二）“内部控制制度执行情况”异常值排查核对</w:t>
            </w:r>
          </w:p>
        </w:tc>
        <w:tc>
          <w:tcPr>
            <w:tcW w:w="45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所有数值型数据，不存在不合理的异常值，尤其项目数量、合同订立数、经合法性审查的合同数不能误填为金额。</w:t>
            </w:r>
          </w:p>
        </w:tc>
        <w:tc>
          <w:tcPr>
            <w:tcW w:w="27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无异常/存在异常需要说明</w:t>
            </w:r>
          </w:p>
        </w:tc>
        <w:tc>
          <w:tcPr>
            <w:tcW w:w="27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r>
    </w:tbl>
    <w:p>
      <w:r>
        <w:rPr>
          <w:rFonts w:hint="eastAsia"/>
        </w:rPr>
        <w:t>注：上下年数据差异率，以上年数据为计算基数；同口径数据差异率，以部门决算、资产报告等外部数据为计算基数。</w:t>
      </w: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宋体"/>
    <w:panose1 w:val="00000000000000000000"/>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Latha"/>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Latha">
    <w:panose1 w:val="02000400000000000000"/>
    <w:charset w:val="00"/>
    <w:family w:val="auto"/>
    <w:pitch w:val="default"/>
    <w:sig w:usb0="001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3"/>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E3A4D"/>
    <w:rsid w:val="00027422"/>
    <w:rsid w:val="000275DB"/>
    <w:rsid w:val="000C226E"/>
    <w:rsid w:val="000D383F"/>
    <w:rsid w:val="001504F7"/>
    <w:rsid w:val="001F0C0E"/>
    <w:rsid w:val="002813DB"/>
    <w:rsid w:val="00294AE1"/>
    <w:rsid w:val="00344108"/>
    <w:rsid w:val="003B26A2"/>
    <w:rsid w:val="003D34C4"/>
    <w:rsid w:val="00420C20"/>
    <w:rsid w:val="0043337F"/>
    <w:rsid w:val="00444AE1"/>
    <w:rsid w:val="00487D28"/>
    <w:rsid w:val="004A60A8"/>
    <w:rsid w:val="004B5A86"/>
    <w:rsid w:val="004C1A63"/>
    <w:rsid w:val="004E54D8"/>
    <w:rsid w:val="006515AE"/>
    <w:rsid w:val="00682C07"/>
    <w:rsid w:val="008C469D"/>
    <w:rsid w:val="009F1896"/>
    <w:rsid w:val="00A04DD2"/>
    <w:rsid w:val="00A968DC"/>
    <w:rsid w:val="00B93A99"/>
    <w:rsid w:val="00C53290"/>
    <w:rsid w:val="00CC5183"/>
    <w:rsid w:val="00D00ABE"/>
    <w:rsid w:val="00E36938"/>
    <w:rsid w:val="00E36BA4"/>
    <w:rsid w:val="00E62BE5"/>
    <w:rsid w:val="00E83B2A"/>
    <w:rsid w:val="00EE3A4D"/>
    <w:rsid w:val="00EF72B5"/>
    <w:rsid w:val="00F62D5F"/>
    <w:rsid w:val="1ADF72CB"/>
    <w:rsid w:val="26D72D71"/>
    <w:rsid w:val="2C8E7B8C"/>
    <w:rsid w:val="2CE15FF8"/>
    <w:rsid w:val="2EB113B8"/>
    <w:rsid w:val="43F72433"/>
    <w:rsid w:val="478F112F"/>
    <w:rsid w:val="592663A1"/>
    <w:rsid w:val="5D21641C"/>
    <w:rsid w:val="632E653E"/>
    <w:rsid w:val="6F006801"/>
    <w:rsid w:val="78646BD9"/>
    <w:rsid w:val="7A08533A"/>
    <w:rsid w:val="7A7E1054"/>
    <w:rsid w:val="7F6C0870"/>
    <w:rsid w:val="ED99CC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rFonts w:ascii="宋体"/>
      <w:sz w:val="18"/>
      <w:szCs w:val="18"/>
    </w:r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批注框文本 Char"/>
    <w:basedOn w:val="6"/>
    <w:link w:val="2"/>
    <w:semiHidden/>
    <w:qFormat/>
    <w:uiPriority w:val="99"/>
    <w:rPr>
      <w:rFonts w:ascii="宋体"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401</Words>
  <Characters>2292</Characters>
  <Lines>19</Lines>
  <Paragraphs>5</Paragraphs>
  <TotalTime>54</TotalTime>
  <ScaleCrop>false</ScaleCrop>
  <LinksUpToDate>false</LinksUpToDate>
  <CharactersWithSpaces>2688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2020-12-09T15:29:00Z</dcterms:created>
  <dc:creator>曼</dc:creator>
  <cp:lastModifiedBy>公共联络QQ</cp:lastModifiedBy>
  <cp:lastPrinted>2020-12-10T16:13:00Z</cp:lastPrinted>
  <dcterms:modified xsi:type="dcterms:W3CDTF">2021-05-20T06:42:38Z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