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hint="eastAsia" w:eastAsia="方正小标宋简体"/>
          <w:sz w:val="52"/>
          <w:szCs w:val="52"/>
        </w:rPr>
      </w:pPr>
      <w:r>
        <w:rPr>
          <w:rFonts w:hint="eastAsia" w:eastAsia="方正小标宋简体"/>
          <w:sz w:val="52"/>
          <w:szCs w:val="52"/>
        </w:rPr>
        <w:t>部门整体</w:t>
      </w:r>
      <w:r>
        <w:rPr>
          <w:rFonts w:eastAsia="方正小标宋简体"/>
          <w:sz w:val="52"/>
          <w:szCs w:val="52"/>
        </w:rPr>
        <w:t>支出</w:t>
      </w:r>
      <w:r>
        <w:rPr>
          <w:rFonts w:hint="eastAsia" w:eastAsia="方正小标宋简体"/>
          <w:sz w:val="52"/>
          <w:szCs w:val="52"/>
        </w:rPr>
        <w:t>绩效评价</w:t>
      </w:r>
      <w:r>
        <w:rPr>
          <w:rFonts w:eastAsia="方正小标宋简体"/>
          <w:sz w:val="52"/>
          <w:szCs w:val="52"/>
        </w:rPr>
        <w:t>报告</w:t>
      </w:r>
    </w:p>
    <w:p>
      <w:pPr>
        <w:spacing w:line="800" w:lineRule="exact"/>
        <w:ind w:firstLine="0" w:firstLineChars="0"/>
        <w:jc w:val="center"/>
        <w:rPr>
          <w:rFonts w:hint="eastAsia" w:eastAsia="方正小标宋简体"/>
          <w:sz w:val="48"/>
          <w:szCs w:val="44"/>
        </w:rPr>
      </w:pPr>
      <w:r>
        <w:rPr>
          <w:rFonts w:eastAsia="方正小标宋简体"/>
          <w:sz w:val="40"/>
          <w:szCs w:val="36"/>
        </w:rPr>
        <w:t>（</w:t>
      </w:r>
      <w:r>
        <w:rPr>
          <w:rFonts w:ascii="Times New Roman" w:hAnsi="Times New Roman" w:eastAsia="方正小标宋简体" w:cs="Times New Roman"/>
          <w:sz w:val="40"/>
          <w:szCs w:val="40"/>
        </w:rPr>
        <w:t>20</w:t>
      </w:r>
      <w:r>
        <w:rPr>
          <w:rFonts w:hint="eastAsia" w:ascii="Times New Roman" w:hAnsi="Times New Roman" w:eastAsia="方正小标宋简体" w:cs="Times New Roman"/>
          <w:sz w:val="40"/>
          <w:szCs w:val="40"/>
        </w:rPr>
        <w:t>23</w:t>
      </w:r>
      <w:r>
        <w:rPr>
          <w:rFonts w:eastAsia="方正小标宋简体"/>
          <w:sz w:val="40"/>
          <w:szCs w:val="36"/>
        </w:rPr>
        <w:t>年度）</w:t>
      </w:r>
    </w:p>
    <w:p>
      <w:pPr>
        <w:spacing w:line="600" w:lineRule="exact"/>
        <w:ind w:firstLine="0" w:firstLineChars="0"/>
        <w:rPr>
          <w:rFonts w:hint="eastAsia" w:eastAsia="黑体"/>
          <w:sz w:val="32"/>
          <w:szCs w:val="32"/>
        </w:rPr>
      </w:pPr>
    </w:p>
    <w:p>
      <w:pPr>
        <w:spacing w:line="600" w:lineRule="exact"/>
        <w:ind w:firstLine="0" w:firstLineChars="0"/>
        <w:rPr>
          <w:rFonts w:hint="eastAsia" w:eastAsia="黑体"/>
          <w:sz w:val="32"/>
          <w:szCs w:val="32"/>
        </w:rPr>
      </w:pPr>
    </w:p>
    <w:p>
      <w:pPr>
        <w:spacing w:line="600" w:lineRule="exact"/>
        <w:ind w:firstLine="0" w:firstLineChars="0"/>
        <w:rPr>
          <w:rFonts w:hint="eastAsia" w:eastAsia="黑体"/>
          <w:sz w:val="32"/>
          <w:szCs w:val="32"/>
        </w:rPr>
      </w:pPr>
    </w:p>
    <w:p>
      <w:pPr>
        <w:spacing w:line="600" w:lineRule="exact"/>
        <w:ind w:firstLine="0" w:firstLineChars="0"/>
        <w:rPr>
          <w:rFonts w:hint="eastAsia" w:eastAsia="黑体"/>
          <w:sz w:val="32"/>
          <w:szCs w:val="32"/>
        </w:rPr>
      </w:pPr>
    </w:p>
    <w:p>
      <w:pPr>
        <w:spacing w:line="600" w:lineRule="exact"/>
        <w:ind w:firstLine="0" w:firstLineChars="0"/>
        <w:rPr>
          <w:rFonts w:hint="eastAsia" w:eastAsia="黑体"/>
          <w:sz w:val="32"/>
          <w:szCs w:val="32"/>
        </w:rPr>
      </w:pPr>
    </w:p>
    <w:p>
      <w:pPr>
        <w:spacing w:line="600" w:lineRule="exact"/>
        <w:ind w:firstLine="0" w:firstLineChars="0"/>
        <w:rPr>
          <w:rFonts w:hint="eastAsia" w:eastAsia="黑体"/>
          <w:sz w:val="32"/>
          <w:szCs w:val="32"/>
        </w:rPr>
      </w:pPr>
    </w:p>
    <w:p>
      <w:pPr>
        <w:spacing w:line="600" w:lineRule="exact"/>
        <w:ind w:firstLine="0" w:firstLineChars="0"/>
        <w:rPr>
          <w:rFonts w:hint="eastAsia" w:eastAsia="黑体"/>
          <w:sz w:val="32"/>
          <w:szCs w:val="32"/>
        </w:rPr>
      </w:pPr>
    </w:p>
    <w:p>
      <w:pPr>
        <w:spacing w:line="900" w:lineRule="exact"/>
        <w:ind w:firstLine="0" w:firstLineChars="0"/>
        <w:rPr>
          <w:rFonts w:hint="eastAsia" w:eastAsia="仿宋_GB2312"/>
          <w:sz w:val="32"/>
          <w:szCs w:val="32"/>
          <w:u w:val="single"/>
        </w:rPr>
      </w:pPr>
      <w:r>
        <w:rPr>
          <w:rFonts w:hint="eastAsia" w:eastAsia="仿宋_GB2312"/>
          <w:sz w:val="32"/>
          <w:szCs w:val="32"/>
        </w:rPr>
        <w:t>部</w:t>
      </w:r>
      <w:r>
        <w:rPr>
          <w:rFonts w:eastAsia="仿宋_GB2312"/>
          <w:sz w:val="32"/>
          <w:szCs w:val="32"/>
        </w:rPr>
        <w:t xml:space="preserve"> </w:t>
      </w:r>
      <w:r>
        <w:rPr>
          <w:rFonts w:hint="eastAsia" w:eastAsia="仿宋_GB2312"/>
          <w:sz w:val="32"/>
          <w:szCs w:val="32"/>
        </w:rPr>
        <w:t>门</w:t>
      </w:r>
      <w:r>
        <w:rPr>
          <w:rFonts w:eastAsia="仿宋_GB2312"/>
          <w:sz w:val="32"/>
          <w:szCs w:val="32"/>
        </w:rPr>
        <w:t xml:space="preserve"> 名 称：</w:t>
      </w:r>
      <w:r>
        <w:rPr>
          <w:rFonts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lang w:val="en-US" w:eastAsia="zh-CN"/>
        </w:rPr>
        <w:t xml:space="preserve">  </w:t>
      </w:r>
      <w:r>
        <w:rPr>
          <w:rFonts w:hint="eastAsia" w:ascii="Times New Roman" w:hAnsi="Times New Roman" w:eastAsia="仿宋_GB2312" w:cs="Times New Roman"/>
          <w:spacing w:val="-20"/>
          <w:sz w:val="32"/>
          <w:szCs w:val="32"/>
          <w:highlight w:val="none"/>
          <w:u w:val="single"/>
          <w:lang w:val="en-US" w:eastAsia="zh-CN"/>
        </w:rPr>
        <w:t xml:space="preserve"> </w:t>
      </w:r>
      <w:r>
        <w:rPr>
          <w:rFonts w:hint="eastAsia" w:ascii="Times New Roman" w:hAnsi="Times New Roman" w:eastAsia="仿宋_GB2312" w:cs="Times New Roman"/>
          <w:spacing w:val="-20"/>
          <w:sz w:val="32"/>
          <w:szCs w:val="32"/>
          <w:highlight w:val="none"/>
          <w:u w:val="single"/>
        </w:rPr>
        <w:t>中共天津市和平区委党校</w:t>
      </w:r>
      <w:r>
        <w:rPr>
          <w:rFonts w:ascii="Times New Roman" w:hAnsi="Times New Roman" w:eastAsia="仿宋_GB2312" w:cs="Times New Roman"/>
          <w:spacing w:val="-20"/>
          <w:sz w:val="32"/>
          <w:szCs w:val="32"/>
          <w:highlight w:val="none"/>
          <w:u w:val="single"/>
        </w:rPr>
        <w:t xml:space="preserve"> </w:t>
      </w:r>
      <w:r>
        <w:rPr>
          <w:rFonts w:hint="eastAsia" w:ascii="Times New Roman" w:hAnsi="Times New Roman" w:eastAsia="仿宋_GB2312" w:cs="Times New Roman"/>
          <w:spacing w:val="-20"/>
          <w:sz w:val="32"/>
          <w:szCs w:val="32"/>
          <w:highlight w:val="none"/>
          <w:u w:val="single"/>
          <w:lang w:val="en-US" w:eastAsia="zh-CN"/>
        </w:rPr>
        <w:t xml:space="preserve">   </w:t>
      </w:r>
      <w:r>
        <w:rPr>
          <w:rFonts w:ascii="Times New Roman" w:hAnsi="Times New Roman" w:eastAsia="仿宋_GB2312" w:cs="Times New Roman"/>
          <w:spacing w:val="-20"/>
          <w:sz w:val="32"/>
          <w:szCs w:val="32"/>
          <w:u w:val="single"/>
        </w:rPr>
        <w:t xml:space="preserve">    </w:t>
      </w:r>
      <w:r>
        <w:rPr>
          <w:rFonts w:hint="eastAsia" w:ascii="仿宋_GB2312" w:eastAsia="仿宋_GB2312"/>
          <w:spacing w:val="-20"/>
          <w:sz w:val="32"/>
          <w:szCs w:val="32"/>
          <w:u w:val="single"/>
        </w:rPr>
        <w:t xml:space="preserve"> </w:t>
      </w:r>
      <w:r>
        <w:rPr>
          <w:rFonts w:ascii="仿宋_GB2312" w:eastAsia="仿宋_GB2312"/>
          <w:spacing w:val="-20"/>
          <w:sz w:val="32"/>
          <w:szCs w:val="32"/>
          <w:u w:val="single"/>
        </w:rPr>
        <w:t xml:space="preserve">      </w:t>
      </w:r>
    </w:p>
    <w:p>
      <w:pPr>
        <w:spacing w:line="900" w:lineRule="exact"/>
        <w:ind w:firstLine="0" w:firstLineChars="0"/>
        <w:rPr>
          <w:rFonts w:eastAsia="仿宋_GB2312"/>
          <w:sz w:val="32"/>
          <w:szCs w:val="32"/>
          <w:u w:val="single"/>
        </w:rPr>
      </w:pPr>
      <w:r>
        <w:rPr>
          <w:rFonts w:eastAsia="仿宋_GB2312"/>
          <w:sz w:val="32"/>
          <w:szCs w:val="32"/>
        </w:rPr>
        <w:t xml:space="preserve">评 </w:t>
      </w:r>
      <w:r>
        <w:rPr>
          <w:rFonts w:hint="eastAsia" w:eastAsia="仿宋_GB2312"/>
          <w:sz w:val="32"/>
          <w:szCs w:val="32"/>
        </w:rPr>
        <w:t xml:space="preserve">价 </w:t>
      </w:r>
      <w:r>
        <w:rPr>
          <w:rFonts w:eastAsia="仿宋_GB2312"/>
          <w:sz w:val="32"/>
          <w:szCs w:val="32"/>
        </w:rPr>
        <w:t>机 构</w:t>
      </w:r>
      <w:r>
        <w:rPr>
          <w:rFonts w:hint="eastAsia" w:eastAsia="仿宋_GB2312"/>
          <w:sz w:val="32"/>
          <w:szCs w:val="32"/>
        </w:rPr>
        <w:t>：</w:t>
      </w:r>
      <w:r>
        <w:rPr>
          <w:rFonts w:eastAsia="仿宋_GB2312"/>
          <w:sz w:val="32"/>
          <w:szCs w:val="32"/>
          <w:u w:val="single"/>
        </w:rPr>
        <w:t xml:space="preserve">         天津</w:t>
      </w:r>
      <w:r>
        <w:rPr>
          <w:rFonts w:hint="eastAsia" w:eastAsia="仿宋_GB2312"/>
          <w:sz w:val="32"/>
          <w:szCs w:val="32"/>
          <w:u w:val="single"/>
        </w:rPr>
        <w:t>安信管理咨询</w:t>
      </w:r>
      <w:r>
        <w:rPr>
          <w:rFonts w:eastAsia="仿宋_GB2312"/>
          <w:sz w:val="32"/>
          <w:szCs w:val="32"/>
          <w:u w:val="single"/>
        </w:rPr>
        <w:t>有限公司</w:t>
      </w:r>
      <w:r>
        <w:rPr>
          <w:rFonts w:hint="eastAsia" w:eastAsia="仿宋_GB2312"/>
          <w:sz w:val="32"/>
          <w:szCs w:val="32"/>
          <w:u w:val="single"/>
        </w:rPr>
        <w:t xml:space="preserve"> </w:t>
      </w:r>
      <w:r>
        <w:rPr>
          <w:rFonts w:eastAsia="仿宋_GB2312"/>
          <w:sz w:val="32"/>
          <w:szCs w:val="32"/>
          <w:u w:val="single"/>
        </w:rPr>
        <w:t xml:space="preserve">        </w:t>
      </w:r>
    </w:p>
    <w:p>
      <w:pPr>
        <w:spacing w:line="900" w:lineRule="exact"/>
        <w:ind w:firstLine="0" w:firstLineChars="0"/>
        <w:rPr>
          <w:rFonts w:hint="eastAsia" w:eastAsia="仿宋_GB2312"/>
          <w:sz w:val="32"/>
          <w:szCs w:val="32"/>
          <w:u w:val="single"/>
        </w:rPr>
      </w:pPr>
      <w:r>
        <w:rPr>
          <w:rFonts w:eastAsia="仿宋_GB2312"/>
          <w:sz w:val="32"/>
          <w:szCs w:val="32"/>
        </w:rPr>
        <w:t xml:space="preserve">评 </w:t>
      </w:r>
      <w:r>
        <w:rPr>
          <w:rFonts w:hint="eastAsia" w:eastAsia="仿宋_GB2312"/>
          <w:sz w:val="32"/>
          <w:szCs w:val="32"/>
        </w:rPr>
        <w:t>价</w:t>
      </w:r>
      <w:r>
        <w:rPr>
          <w:rFonts w:eastAsia="仿宋_GB2312"/>
          <w:sz w:val="32"/>
          <w:szCs w:val="32"/>
        </w:rPr>
        <w:t xml:space="preserve"> 日 期：</w:t>
      </w:r>
      <w:r>
        <w:rPr>
          <w:rFonts w:eastAsia="仿宋_GB2312"/>
          <w:sz w:val="32"/>
          <w:szCs w:val="32"/>
          <w:u w:val="single"/>
        </w:rPr>
        <w:t xml:space="preserve">       </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eastAsia="仿宋_GB2312"/>
          <w:sz w:val="32"/>
          <w:szCs w:val="32"/>
          <w:u w:val="single"/>
        </w:rPr>
        <w:t xml:space="preserve"> </w:t>
      </w:r>
      <w:r>
        <w:rPr>
          <w:rFonts w:hint="eastAsia" w:ascii="Times New Roman" w:hAnsi="Times New Roman" w:eastAsia="仿宋_GB2312" w:cs="Times New Roman"/>
          <w:sz w:val="32"/>
          <w:szCs w:val="32"/>
          <w:u w:val="single"/>
        </w:rPr>
        <w:t>2024</w:t>
      </w:r>
      <w:r>
        <w:rPr>
          <w:rFonts w:hint="eastAsia" w:eastAsia="仿宋_GB2312"/>
          <w:sz w:val="32"/>
          <w:szCs w:val="32"/>
          <w:u w:val="single"/>
        </w:rPr>
        <w:t>年</w:t>
      </w:r>
      <w:r>
        <w:rPr>
          <w:rFonts w:hint="eastAsia" w:ascii="Times New Roman" w:hAnsi="Times New Roman" w:eastAsia="仿宋_GB2312" w:cs="Times New Roman"/>
          <w:sz w:val="32"/>
          <w:szCs w:val="32"/>
          <w:u w:val="single"/>
        </w:rPr>
        <w:t>8</w:t>
      </w:r>
      <w:r>
        <w:rPr>
          <w:rFonts w:hint="eastAsia" w:eastAsia="仿宋_GB2312"/>
          <w:sz w:val="32"/>
          <w:szCs w:val="32"/>
          <w:u w:val="single"/>
        </w:rPr>
        <w:t>月</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p>
    <w:p>
      <w:pPr>
        <w:widowControl/>
        <w:spacing w:line="240" w:lineRule="auto"/>
        <w:ind w:firstLine="0" w:firstLineChars="0"/>
        <w:rPr>
          <w:rFonts w:hint="eastAsia" w:ascii="方正小标宋简体" w:hAnsi="方正小标宋简体" w:eastAsia="方正小标宋简体"/>
          <w:bCs/>
          <w:color w:val="000000" w:themeColor="text1"/>
          <w:kern w:val="44"/>
          <w:sz w:val="44"/>
          <w:szCs w:val="44"/>
          <w14:textFill>
            <w14:solidFill>
              <w14:schemeClr w14:val="tx1"/>
            </w14:solidFill>
          </w14:textFill>
        </w:rPr>
      </w:pPr>
      <w:r>
        <w:rPr>
          <w:rFonts w:ascii="方正小标宋简体" w:hAnsi="方正小标宋简体" w:eastAsia="方正小标宋简体"/>
          <w:bCs/>
          <w:color w:val="000000" w:themeColor="text1"/>
          <w:kern w:val="44"/>
          <w:sz w:val="44"/>
          <w:szCs w:val="44"/>
          <w14:textFill>
            <w14:solidFill>
              <w14:schemeClr w14:val="tx1"/>
            </w14:solidFill>
          </w14:textFill>
        </w:rPr>
        <w:br w:type="page"/>
      </w:r>
    </w:p>
    <w:sdt>
      <w:sdtPr>
        <w:rPr>
          <w:rFonts w:asciiTheme="minorHAnsi" w:hAnsiTheme="minorHAnsi" w:eastAsiaTheme="minorEastAsia" w:cstheme="minorBidi"/>
          <w:color w:val="auto"/>
          <w:kern w:val="2"/>
          <w:sz w:val="21"/>
          <w:szCs w:val="21"/>
          <w:lang w:val="zh-CN"/>
        </w:rPr>
        <w:id w:val="-505280812"/>
      </w:sdtPr>
      <w:sdtEndPr>
        <w:rPr>
          <w:rFonts w:asciiTheme="majorHAnsi" w:hAnsiTheme="majorHAnsi" w:eastAsiaTheme="majorEastAsia" w:cstheme="majorBidi"/>
          <w:b/>
          <w:bCs/>
          <w:color w:val="2F5597" w:themeColor="accent1" w:themeShade="BF"/>
          <w:kern w:val="0"/>
          <w:sz w:val="32"/>
          <w:szCs w:val="32"/>
          <w:lang w:val="zh-CN"/>
        </w:rPr>
      </w:sdtEndPr>
      <w:sdtContent>
        <w:p>
          <w:pPr>
            <w:pStyle w:val="46"/>
            <w:ind w:firstLine="420"/>
            <w:jc w:val="center"/>
            <w:rPr>
              <w:rFonts w:ascii="黑体" w:hAnsi="黑体" w:eastAsia="黑体" w:cs="黑体"/>
              <w:b w:val="0"/>
              <w:bCs w:val="0"/>
              <w:color w:val="auto"/>
              <w:kern w:val="0"/>
              <w:sz w:val="32"/>
              <w:szCs w:val="32"/>
              <w:lang w:val="en-US" w:eastAsia="zh-CN" w:bidi="ar-SA"/>
            </w:rPr>
          </w:pPr>
          <w:r>
            <w:rPr>
              <w:rFonts w:hint="eastAsia" w:ascii="黑体" w:hAnsi="黑体" w:eastAsia="黑体" w:cs="黑体"/>
              <w:color w:val="auto"/>
            </w:rPr>
            <w:t>目  录</w:t>
          </w:r>
          <w:r>
            <w:rPr>
              <w:rFonts w:ascii="黑体" w:hAnsi="黑体" w:eastAsia="黑体" w:cs="黑体"/>
              <w:color w:val="auto"/>
            </w:rPr>
            <w:fldChar w:fldCharType="begin"/>
          </w:r>
          <w:r>
            <w:rPr>
              <w:rFonts w:ascii="黑体" w:hAnsi="黑体" w:eastAsia="黑体" w:cs="黑体"/>
              <w:color w:val="auto"/>
            </w:rPr>
            <w:instrText xml:space="preserve"> </w:instrText>
          </w:r>
          <w:r>
            <w:rPr>
              <w:rFonts w:hint="eastAsia" w:ascii="黑体" w:hAnsi="黑体" w:eastAsia="黑体" w:cs="黑体"/>
              <w:color w:val="auto"/>
            </w:rPr>
            <w:instrText xml:space="preserve">TOC \o "1-3" \h \z \u</w:instrText>
          </w:r>
          <w:r>
            <w:rPr>
              <w:rFonts w:ascii="黑体" w:hAnsi="黑体" w:eastAsia="黑体" w:cs="黑体"/>
              <w:color w:val="auto"/>
            </w:rPr>
            <w:instrText xml:space="preserve"> </w:instrText>
          </w:r>
          <w:r>
            <w:rPr>
              <w:rFonts w:ascii="黑体" w:hAnsi="黑体" w:eastAsia="黑体" w:cs="黑体"/>
              <w:color w:val="auto"/>
            </w:rPr>
            <w:fldChar w:fldCharType="separate"/>
          </w:r>
        </w:p>
        <w:p>
          <w:pPr>
            <w:pStyle w:val="13"/>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_Toc6997 </w:instrText>
          </w:r>
          <w:r>
            <w:rPr>
              <w:rFonts w:ascii="Times New Roman" w:hAnsi="Times New Roman" w:eastAsia="黑体" w:cs="黑体"/>
              <w:sz w:val="32"/>
            </w:rPr>
            <w:fldChar w:fldCharType="separate"/>
          </w:r>
          <w:r>
            <w:rPr>
              <w:rFonts w:hint="eastAsia" w:ascii="Times New Roman" w:hAnsi="Times New Roman"/>
              <w:sz w:val="32"/>
            </w:rPr>
            <w:t>一、部门概况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_Toc6997 \h </w:instrText>
          </w:r>
          <w:r>
            <w:rPr>
              <w:rFonts w:ascii="Times New Roman" w:hAnsi="Times New Roman"/>
              <w:sz w:val="32"/>
            </w:rPr>
            <w:fldChar w:fldCharType="separate"/>
          </w:r>
          <w:r>
            <w:rPr>
              <w:rFonts w:ascii="Times New Roman" w:hAnsi="Times New Roman"/>
              <w:sz w:val="32"/>
            </w:rPr>
            <w:t>- 1 -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_Toc25666 </w:instrText>
          </w:r>
          <w:r>
            <w:rPr>
              <w:rFonts w:ascii="Times New Roman" w:hAnsi="Times New Roman" w:eastAsia="黑体" w:cs="黑体"/>
              <w:sz w:val="32"/>
            </w:rPr>
            <w:fldChar w:fldCharType="separate"/>
          </w:r>
          <w:r>
            <w:rPr>
              <w:rFonts w:hint="eastAsia" w:ascii="Times New Roman" w:hAnsi="Times New Roman"/>
              <w:sz w:val="32"/>
            </w:rPr>
            <w:t>（一）基本情况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_Toc25666 \h </w:instrText>
          </w:r>
          <w:r>
            <w:rPr>
              <w:rFonts w:ascii="Times New Roman" w:hAnsi="Times New Roman"/>
              <w:sz w:val="32"/>
            </w:rPr>
            <w:fldChar w:fldCharType="separate"/>
          </w:r>
          <w:r>
            <w:rPr>
              <w:rFonts w:ascii="Times New Roman" w:hAnsi="Times New Roman"/>
              <w:sz w:val="32"/>
            </w:rPr>
            <w:t>- 1 -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_Toc28974 </w:instrText>
          </w:r>
          <w:r>
            <w:rPr>
              <w:rFonts w:ascii="Times New Roman" w:hAnsi="Times New Roman" w:eastAsia="黑体" w:cs="黑体"/>
              <w:sz w:val="32"/>
            </w:rPr>
            <w:fldChar w:fldCharType="separate"/>
          </w:r>
          <w:r>
            <w:rPr>
              <w:rFonts w:hint="eastAsia" w:ascii="Times New Roman" w:hAnsi="Times New Roman"/>
              <w:sz w:val="32"/>
            </w:rPr>
            <w:t>（二）主要职责</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_Toc28974 \h </w:instrText>
          </w:r>
          <w:r>
            <w:rPr>
              <w:rFonts w:ascii="Times New Roman" w:hAnsi="Times New Roman"/>
              <w:sz w:val="32"/>
            </w:rPr>
            <w:fldChar w:fldCharType="separate"/>
          </w:r>
          <w:r>
            <w:rPr>
              <w:rFonts w:ascii="Times New Roman" w:hAnsi="Times New Roman"/>
              <w:sz w:val="32"/>
            </w:rPr>
            <w:t>- 2 -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_Toc14019 </w:instrText>
          </w:r>
          <w:r>
            <w:rPr>
              <w:rFonts w:ascii="Times New Roman" w:hAnsi="Times New Roman" w:eastAsia="黑体" w:cs="黑体"/>
              <w:sz w:val="32"/>
            </w:rPr>
            <w:fldChar w:fldCharType="separate"/>
          </w:r>
          <w:r>
            <w:rPr>
              <w:rFonts w:hint="eastAsia" w:ascii="Times New Roman" w:hAnsi="Times New Roman"/>
              <w:sz w:val="32"/>
            </w:rPr>
            <w:t>（三）年度计划</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_Toc14019 \h </w:instrText>
          </w:r>
          <w:r>
            <w:rPr>
              <w:rFonts w:ascii="Times New Roman" w:hAnsi="Times New Roman"/>
              <w:sz w:val="32"/>
            </w:rPr>
            <w:fldChar w:fldCharType="separate"/>
          </w:r>
          <w:r>
            <w:rPr>
              <w:rFonts w:ascii="Times New Roman" w:hAnsi="Times New Roman"/>
              <w:sz w:val="32"/>
            </w:rPr>
            <w:t>- 3 -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_Toc30374 </w:instrText>
          </w:r>
          <w:r>
            <w:rPr>
              <w:rFonts w:ascii="Times New Roman" w:hAnsi="Times New Roman" w:eastAsia="黑体" w:cs="黑体"/>
              <w:sz w:val="32"/>
            </w:rPr>
            <w:fldChar w:fldCharType="separate"/>
          </w:r>
          <w:r>
            <w:rPr>
              <w:rFonts w:hint="eastAsia" w:ascii="Times New Roman" w:hAnsi="Times New Roman"/>
              <w:sz w:val="32"/>
            </w:rPr>
            <w:t>（四）部门整体支出情况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_Toc30374 \h </w:instrText>
          </w:r>
          <w:r>
            <w:rPr>
              <w:rFonts w:ascii="Times New Roman" w:hAnsi="Times New Roman"/>
              <w:sz w:val="32"/>
            </w:rPr>
            <w:fldChar w:fldCharType="separate"/>
          </w:r>
          <w:r>
            <w:rPr>
              <w:rFonts w:ascii="Times New Roman" w:hAnsi="Times New Roman"/>
              <w:sz w:val="32"/>
            </w:rPr>
            <w:t>- 9 -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_Toc17413 </w:instrText>
          </w:r>
          <w:r>
            <w:rPr>
              <w:rFonts w:ascii="Times New Roman" w:hAnsi="Times New Roman" w:eastAsia="黑体" w:cs="黑体"/>
              <w:sz w:val="32"/>
            </w:rPr>
            <w:fldChar w:fldCharType="separate"/>
          </w:r>
          <w:r>
            <w:rPr>
              <w:rFonts w:hint="eastAsia" w:ascii="Times New Roman" w:hAnsi="Times New Roman"/>
              <w:sz w:val="32"/>
            </w:rPr>
            <w:t>（五）部门整体绩效目标</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_Toc17413 \h </w:instrText>
          </w:r>
          <w:r>
            <w:rPr>
              <w:rFonts w:ascii="Times New Roman" w:hAnsi="Times New Roman"/>
              <w:sz w:val="32"/>
            </w:rPr>
            <w:fldChar w:fldCharType="separate"/>
          </w:r>
          <w:r>
            <w:rPr>
              <w:rFonts w:ascii="Times New Roman" w:hAnsi="Times New Roman"/>
              <w:sz w:val="32"/>
            </w:rPr>
            <w:t>- 9 -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13"/>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_Toc14338 </w:instrText>
          </w:r>
          <w:r>
            <w:rPr>
              <w:rFonts w:ascii="Times New Roman" w:hAnsi="Times New Roman" w:eastAsia="黑体" w:cs="黑体"/>
              <w:sz w:val="32"/>
            </w:rPr>
            <w:fldChar w:fldCharType="separate"/>
          </w:r>
          <w:r>
            <w:rPr>
              <w:rFonts w:hint="eastAsia" w:ascii="Times New Roman" w:hAnsi="Times New Roman"/>
              <w:sz w:val="32"/>
            </w:rPr>
            <w:t>二、绩效评价实施过程</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_Toc14338 \h </w:instrText>
          </w:r>
          <w:r>
            <w:rPr>
              <w:rFonts w:ascii="Times New Roman" w:hAnsi="Times New Roman"/>
              <w:sz w:val="32"/>
            </w:rPr>
            <w:fldChar w:fldCharType="separate"/>
          </w:r>
          <w:r>
            <w:rPr>
              <w:rFonts w:ascii="Times New Roman" w:hAnsi="Times New Roman"/>
              <w:sz w:val="32"/>
            </w:rPr>
            <w:t>- 10 -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_Toc32298 </w:instrText>
          </w:r>
          <w:r>
            <w:rPr>
              <w:rFonts w:ascii="Times New Roman" w:hAnsi="Times New Roman" w:eastAsia="黑体" w:cs="黑体"/>
              <w:sz w:val="32"/>
            </w:rPr>
            <w:fldChar w:fldCharType="separate"/>
          </w:r>
          <w:r>
            <w:rPr>
              <w:rFonts w:hint="eastAsia" w:ascii="Times New Roman" w:hAnsi="Times New Roman" w:eastAsia="楷体_GB2312"/>
              <w:sz w:val="32"/>
              <w:szCs w:val="48"/>
            </w:rPr>
            <w:t>（一）评价原则和方法</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_Toc32298 \h </w:instrText>
          </w:r>
          <w:r>
            <w:rPr>
              <w:rFonts w:ascii="Times New Roman" w:hAnsi="Times New Roman"/>
              <w:sz w:val="32"/>
            </w:rPr>
            <w:fldChar w:fldCharType="separate"/>
          </w:r>
          <w:r>
            <w:rPr>
              <w:rFonts w:ascii="Times New Roman" w:hAnsi="Times New Roman"/>
              <w:sz w:val="32"/>
            </w:rPr>
            <w:t>- 10 -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_Toc25093 </w:instrText>
          </w:r>
          <w:r>
            <w:rPr>
              <w:rFonts w:ascii="Times New Roman" w:hAnsi="Times New Roman" w:eastAsia="黑体" w:cs="黑体"/>
              <w:sz w:val="32"/>
            </w:rPr>
            <w:fldChar w:fldCharType="separate"/>
          </w:r>
          <w:r>
            <w:rPr>
              <w:rFonts w:hint="eastAsia" w:ascii="Times New Roman" w:hAnsi="Times New Roman" w:eastAsia="楷体_GB2312"/>
              <w:sz w:val="32"/>
              <w:szCs w:val="48"/>
            </w:rPr>
            <w:t>（二）评价依据</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_Toc25093 \h </w:instrText>
          </w:r>
          <w:r>
            <w:rPr>
              <w:rFonts w:ascii="Times New Roman" w:hAnsi="Times New Roman"/>
              <w:sz w:val="32"/>
            </w:rPr>
            <w:fldChar w:fldCharType="separate"/>
          </w:r>
          <w:r>
            <w:rPr>
              <w:rFonts w:ascii="Times New Roman" w:hAnsi="Times New Roman"/>
              <w:sz w:val="32"/>
            </w:rPr>
            <w:t>- 11 -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_Toc32111 </w:instrText>
          </w:r>
          <w:r>
            <w:rPr>
              <w:rFonts w:ascii="Times New Roman" w:hAnsi="Times New Roman" w:eastAsia="黑体" w:cs="黑体"/>
              <w:sz w:val="32"/>
            </w:rPr>
            <w:fldChar w:fldCharType="separate"/>
          </w:r>
          <w:r>
            <w:rPr>
              <w:rFonts w:hint="eastAsia" w:ascii="Times New Roman" w:hAnsi="Times New Roman" w:eastAsia="楷体_GB2312"/>
              <w:sz w:val="32"/>
              <w:szCs w:val="48"/>
            </w:rPr>
            <w:t>（三）评价目的</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_Toc32111 \h </w:instrText>
          </w:r>
          <w:r>
            <w:rPr>
              <w:rFonts w:ascii="Times New Roman" w:hAnsi="Times New Roman"/>
              <w:sz w:val="32"/>
            </w:rPr>
            <w:fldChar w:fldCharType="separate"/>
          </w:r>
          <w:r>
            <w:rPr>
              <w:rFonts w:ascii="Times New Roman" w:hAnsi="Times New Roman"/>
              <w:sz w:val="32"/>
            </w:rPr>
            <w:t>- 13 -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_Toc22641 </w:instrText>
          </w:r>
          <w:r>
            <w:rPr>
              <w:rFonts w:ascii="Times New Roman" w:hAnsi="Times New Roman" w:eastAsia="黑体" w:cs="黑体"/>
              <w:sz w:val="32"/>
            </w:rPr>
            <w:fldChar w:fldCharType="separate"/>
          </w:r>
          <w:r>
            <w:rPr>
              <w:rFonts w:hint="eastAsia" w:ascii="Times New Roman" w:hAnsi="Times New Roman" w:eastAsia="楷体_GB2312"/>
              <w:sz w:val="32"/>
              <w:szCs w:val="48"/>
            </w:rPr>
            <w:t>（四）评价对象和范围</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_Toc22641 \h </w:instrText>
          </w:r>
          <w:r>
            <w:rPr>
              <w:rFonts w:ascii="Times New Roman" w:hAnsi="Times New Roman"/>
              <w:sz w:val="32"/>
            </w:rPr>
            <w:fldChar w:fldCharType="separate"/>
          </w:r>
          <w:r>
            <w:rPr>
              <w:rFonts w:ascii="Times New Roman" w:hAnsi="Times New Roman"/>
              <w:sz w:val="32"/>
            </w:rPr>
            <w:t>- 13 -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_Toc31003 </w:instrText>
          </w:r>
          <w:r>
            <w:rPr>
              <w:rFonts w:ascii="Times New Roman" w:hAnsi="Times New Roman" w:eastAsia="黑体" w:cs="黑体"/>
              <w:sz w:val="32"/>
            </w:rPr>
            <w:fldChar w:fldCharType="separate"/>
          </w:r>
          <w:r>
            <w:rPr>
              <w:rFonts w:hint="eastAsia" w:ascii="Times New Roman" w:hAnsi="Times New Roman" w:eastAsia="楷体_GB2312"/>
              <w:sz w:val="32"/>
              <w:szCs w:val="48"/>
            </w:rPr>
            <w:t>（五）评价思路</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_Toc31003 \h </w:instrText>
          </w:r>
          <w:r>
            <w:rPr>
              <w:rFonts w:ascii="Times New Roman" w:hAnsi="Times New Roman"/>
              <w:sz w:val="32"/>
            </w:rPr>
            <w:fldChar w:fldCharType="separate"/>
          </w:r>
          <w:r>
            <w:rPr>
              <w:rFonts w:ascii="Times New Roman" w:hAnsi="Times New Roman"/>
              <w:sz w:val="32"/>
            </w:rPr>
            <w:t>- 14 -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_Toc5562 </w:instrText>
          </w:r>
          <w:r>
            <w:rPr>
              <w:rFonts w:ascii="Times New Roman" w:hAnsi="Times New Roman" w:eastAsia="黑体" w:cs="黑体"/>
              <w:sz w:val="32"/>
            </w:rPr>
            <w:fldChar w:fldCharType="separate"/>
          </w:r>
          <w:r>
            <w:rPr>
              <w:rFonts w:hint="eastAsia" w:ascii="Times New Roman" w:hAnsi="Times New Roman" w:eastAsia="楷体_GB2312"/>
              <w:sz w:val="32"/>
              <w:szCs w:val="48"/>
            </w:rPr>
            <w:t>（六）评价流程</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_Toc5562 \h </w:instrText>
          </w:r>
          <w:r>
            <w:rPr>
              <w:rFonts w:ascii="Times New Roman" w:hAnsi="Times New Roman"/>
              <w:sz w:val="32"/>
            </w:rPr>
            <w:fldChar w:fldCharType="separate"/>
          </w:r>
          <w:r>
            <w:rPr>
              <w:rFonts w:ascii="Times New Roman" w:hAnsi="Times New Roman"/>
              <w:sz w:val="32"/>
            </w:rPr>
            <w:t>- 16 -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13"/>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_Toc18678 </w:instrText>
          </w:r>
          <w:r>
            <w:rPr>
              <w:rFonts w:ascii="Times New Roman" w:hAnsi="Times New Roman" w:eastAsia="黑体" w:cs="黑体"/>
              <w:sz w:val="32"/>
            </w:rPr>
            <w:fldChar w:fldCharType="separate"/>
          </w:r>
          <w:r>
            <w:rPr>
              <w:rFonts w:hint="eastAsia" w:ascii="Times New Roman" w:hAnsi="Times New Roman"/>
              <w:sz w:val="32"/>
            </w:rPr>
            <w:t>三、绩效指标分析</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_Toc18678 \h </w:instrText>
          </w:r>
          <w:r>
            <w:rPr>
              <w:rFonts w:ascii="Times New Roman" w:hAnsi="Times New Roman"/>
              <w:sz w:val="32"/>
            </w:rPr>
            <w:fldChar w:fldCharType="separate"/>
          </w:r>
          <w:r>
            <w:rPr>
              <w:rFonts w:ascii="Times New Roman" w:hAnsi="Times New Roman"/>
              <w:sz w:val="32"/>
            </w:rPr>
            <w:t>- 18 -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_Toc17699 </w:instrText>
          </w:r>
          <w:r>
            <w:rPr>
              <w:rFonts w:ascii="Times New Roman" w:hAnsi="Times New Roman" w:eastAsia="黑体" w:cs="黑体"/>
              <w:sz w:val="32"/>
            </w:rPr>
            <w:fldChar w:fldCharType="separate"/>
          </w:r>
          <w:r>
            <w:rPr>
              <w:rFonts w:hint="eastAsia" w:ascii="Times New Roman" w:hAnsi="Times New Roman" w:eastAsia="楷体_GB2312"/>
              <w:sz w:val="32"/>
              <w:szCs w:val="48"/>
            </w:rPr>
            <w:t>（一）绩效评价设计思路</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_Toc17699 \h </w:instrText>
          </w:r>
          <w:r>
            <w:rPr>
              <w:rFonts w:ascii="Times New Roman" w:hAnsi="Times New Roman"/>
              <w:sz w:val="32"/>
            </w:rPr>
            <w:fldChar w:fldCharType="separate"/>
          </w:r>
          <w:r>
            <w:rPr>
              <w:rFonts w:ascii="Times New Roman" w:hAnsi="Times New Roman"/>
              <w:sz w:val="32"/>
            </w:rPr>
            <w:t>- 18 -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_Toc15212 </w:instrText>
          </w:r>
          <w:r>
            <w:rPr>
              <w:rFonts w:ascii="Times New Roman" w:hAnsi="Times New Roman" w:eastAsia="黑体" w:cs="黑体"/>
              <w:sz w:val="32"/>
            </w:rPr>
            <w:fldChar w:fldCharType="separate"/>
          </w:r>
          <w:r>
            <w:rPr>
              <w:rFonts w:hint="eastAsia" w:ascii="Times New Roman" w:hAnsi="Times New Roman" w:eastAsia="楷体_GB2312"/>
              <w:sz w:val="32"/>
              <w:szCs w:val="48"/>
            </w:rPr>
            <w:t>（二）绩效指标分析</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_Toc15212 \h </w:instrText>
          </w:r>
          <w:r>
            <w:rPr>
              <w:rFonts w:ascii="Times New Roman" w:hAnsi="Times New Roman"/>
              <w:sz w:val="32"/>
            </w:rPr>
            <w:fldChar w:fldCharType="separate"/>
          </w:r>
          <w:r>
            <w:rPr>
              <w:rFonts w:ascii="Times New Roman" w:hAnsi="Times New Roman"/>
              <w:sz w:val="32"/>
            </w:rPr>
            <w:t>- 18 -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_Toc21205 </w:instrText>
          </w:r>
          <w:r>
            <w:rPr>
              <w:rFonts w:ascii="Times New Roman" w:hAnsi="Times New Roman" w:eastAsia="黑体" w:cs="黑体"/>
              <w:sz w:val="32"/>
            </w:rPr>
            <w:fldChar w:fldCharType="separate"/>
          </w:r>
          <w:r>
            <w:rPr>
              <w:rFonts w:hint="eastAsia" w:ascii="Times New Roman" w:hAnsi="Times New Roman"/>
              <w:sz w:val="32"/>
            </w:rPr>
            <w:t>（三）指标详细分析</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_Toc21205 \h </w:instrText>
          </w:r>
          <w:r>
            <w:rPr>
              <w:rFonts w:ascii="Times New Roman" w:hAnsi="Times New Roman"/>
              <w:sz w:val="32"/>
            </w:rPr>
            <w:fldChar w:fldCharType="separate"/>
          </w:r>
          <w:r>
            <w:rPr>
              <w:rFonts w:ascii="Times New Roman" w:hAnsi="Times New Roman"/>
              <w:sz w:val="32"/>
            </w:rPr>
            <w:t>- 20 -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13"/>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_Toc11713 </w:instrText>
          </w:r>
          <w:r>
            <w:rPr>
              <w:rFonts w:ascii="Times New Roman" w:hAnsi="Times New Roman" w:eastAsia="黑体" w:cs="黑体"/>
              <w:sz w:val="32"/>
            </w:rPr>
            <w:fldChar w:fldCharType="separate"/>
          </w:r>
          <w:r>
            <w:rPr>
              <w:rFonts w:hint="eastAsia" w:ascii="Times New Roman" w:hAnsi="Times New Roman"/>
              <w:sz w:val="32"/>
            </w:rPr>
            <w:t>四、存在问题</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_Toc11713 \h </w:instrText>
          </w:r>
          <w:r>
            <w:rPr>
              <w:rFonts w:ascii="Times New Roman" w:hAnsi="Times New Roman"/>
              <w:sz w:val="32"/>
            </w:rPr>
            <w:fldChar w:fldCharType="separate"/>
          </w:r>
          <w:r>
            <w:rPr>
              <w:rFonts w:ascii="Times New Roman" w:hAnsi="Times New Roman"/>
              <w:sz w:val="32"/>
            </w:rPr>
            <w:t>- 49 -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_Toc18873 </w:instrText>
          </w:r>
          <w:r>
            <w:rPr>
              <w:rFonts w:ascii="Times New Roman" w:hAnsi="Times New Roman" w:eastAsia="黑体" w:cs="黑体"/>
              <w:sz w:val="32"/>
            </w:rPr>
            <w:fldChar w:fldCharType="separate"/>
          </w:r>
          <w:r>
            <w:rPr>
              <w:rFonts w:hint="eastAsia" w:ascii="Times New Roman" w:hAnsi="Times New Roman"/>
              <w:sz w:val="32"/>
            </w:rPr>
            <w:t>（一）绩效管理工作有待提</w:t>
          </w:r>
          <w:r>
            <w:rPr>
              <w:rFonts w:hint="eastAsia" w:ascii="Times New Roman" w:hAnsi="Times New Roman"/>
              <w:sz w:val="32"/>
              <w:lang w:val="en-US" w:eastAsia="zh-CN"/>
            </w:rPr>
            <w:t>升</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_Toc18873 \h </w:instrText>
          </w:r>
          <w:r>
            <w:rPr>
              <w:rFonts w:ascii="Times New Roman" w:hAnsi="Times New Roman"/>
              <w:sz w:val="32"/>
            </w:rPr>
            <w:fldChar w:fldCharType="separate"/>
          </w:r>
          <w:r>
            <w:rPr>
              <w:rFonts w:ascii="Times New Roman" w:hAnsi="Times New Roman"/>
              <w:sz w:val="32"/>
            </w:rPr>
            <w:t>- 49 -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_Toc32522 </w:instrText>
          </w:r>
          <w:r>
            <w:rPr>
              <w:rFonts w:ascii="Times New Roman" w:hAnsi="Times New Roman" w:eastAsia="黑体" w:cs="黑体"/>
              <w:sz w:val="32"/>
            </w:rPr>
            <w:fldChar w:fldCharType="separate"/>
          </w:r>
          <w:r>
            <w:rPr>
              <w:rFonts w:hint="eastAsia" w:ascii="Times New Roman" w:hAnsi="Times New Roman"/>
              <w:sz w:val="32"/>
            </w:rPr>
            <w:t>（二）</w:t>
          </w:r>
          <w:r>
            <w:rPr>
              <w:rFonts w:hint="eastAsia" w:ascii="Times New Roman" w:hAnsi="Times New Roman"/>
              <w:sz w:val="32"/>
              <w:lang w:val="en-US" w:eastAsia="zh-CN"/>
            </w:rPr>
            <w:t>预算编制与预算资金使用有待规范</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_Toc32522 \h </w:instrText>
          </w:r>
          <w:r>
            <w:rPr>
              <w:rFonts w:ascii="Times New Roman" w:hAnsi="Times New Roman"/>
              <w:sz w:val="32"/>
            </w:rPr>
            <w:fldChar w:fldCharType="separate"/>
          </w:r>
          <w:r>
            <w:rPr>
              <w:rFonts w:ascii="Times New Roman" w:hAnsi="Times New Roman"/>
              <w:sz w:val="32"/>
            </w:rPr>
            <w:t>- 50 -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_Toc21788 </w:instrText>
          </w:r>
          <w:r>
            <w:rPr>
              <w:rFonts w:ascii="Times New Roman" w:hAnsi="Times New Roman" w:eastAsia="黑体" w:cs="黑体"/>
              <w:sz w:val="32"/>
            </w:rPr>
            <w:fldChar w:fldCharType="separate"/>
          </w:r>
          <w:r>
            <w:rPr>
              <w:rFonts w:hint="eastAsia" w:ascii="Times New Roman" w:hAnsi="Times New Roman"/>
              <w:sz w:val="32"/>
            </w:rPr>
            <w:t>（</w:t>
          </w:r>
          <w:r>
            <w:rPr>
              <w:rFonts w:hint="eastAsia" w:ascii="Times New Roman" w:hAnsi="Times New Roman"/>
              <w:sz w:val="32"/>
              <w:lang w:val="en-US" w:eastAsia="zh-CN"/>
            </w:rPr>
            <w:t>三</w:t>
          </w:r>
          <w:r>
            <w:rPr>
              <w:rFonts w:hint="eastAsia" w:ascii="Times New Roman" w:hAnsi="Times New Roman"/>
              <w:sz w:val="32"/>
            </w:rPr>
            <w:t>）</w:t>
          </w:r>
          <w:r>
            <w:rPr>
              <w:rFonts w:hint="eastAsia" w:ascii="Times New Roman" w:hAnsi="Times New Roman"/>
              <w:sz w:val="32"/>
              <w:lang w:val="en-US" w:eastAsia="zh-CN"/>
            </w:rPr>
            <w:t>成本控制措施有待</w:t>
          </w:r>
          <w:r>
            <w:rPr>
              <w:rFonts w:hint="eastAsia" w:ascii="Times New Roman" w:hAnsi="Times New Roman"/>
              <w:sz w:val="32"/>
              <w:highlight w:val="none"/>
              <w:lang w:val="en-US" w:eastAsia="zh-CN"/>
            </w:rPr>
            <w:t>进一步落实</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_Toc21788 \h </w:instrText>
          </w:r>
          <w:r>
            <w:rPr>
              <w:rFonts w:ascii="Times New Roman" w:hAnsi="Times New Roman"/>
              <w:sz w:val="32"/>
            </w:rPr>
            <w:fldChar w:fldCharType="separate"/>
          </w:r>
          <w:r>
            <w:rPr>
              <w:rFonts w:ascii="Times New Roman" w:hAnsi="Times New Roman"/>
              <w:sz w:val="32"/>
            </w:rPr>
            <w:t>- 50 -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_Toc31685 </w:instrText>
          </w:r>
          <w:r>
            <w:rPr>
              <w:rFonts w:ascii="Times New Roman" w:hAnsi="Times New Roman" w:eastAsia="黑体" w:cs="黑体"/>
              <w:sz w:val="32"/>
            </w:rPr>
            <w:fldChar w:fldCharType="separate"/>
          </w:r>
          <w:r>
            <w:rPr>
              <w:rFonts w:hint="eastAsia" w:ascii="Times New Roman" w:hAnsi="Times New Roman"/>
              <w:sz w:val="32"/>
            </w:rPr>
            <w:t>（</w:t>
          </w:r>
          <w:r>
            <w:rPr>
              <w:rFonts w:hint="eastAsia" w:ascii="Times New Roman" w:hAnsi="Times New Roman"/>
              <w:sz w:val="32"/>
              <w:lang w:val="en-US" w:eastAsia="zh-CN"/>
            </w:rPr>
            <w:t>四</w:t>
          </w:r>
          <w:r>
            <w:rPr>
              <w:rFonts w:hint="eastAsia" w:ascii="Times New Roman" w:hAnsi="Times New Roman"/>
              <w:sz w:val="32"/>
            </w:rPr>
            <w:t>）</w:t>
          </w:r>
          <w:r>
            <w:rPr>
              <w:rFonts w:hint="eastAsia" w:ascii="Times New Roman" w:hAnsi="Times New Roman"/>
              <w:sz w:val="32"/>
              <w:highlight w:val="none"/>
              <w:lang w:val="en-US" w:eastAsia="zh-CN"/>
            </w:rPr>
            <w:t>师资队伍建设有待加强</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_Toc31685 \h </w:instrText>
          </w:r>
          <w:r>
            <w:rPr>
              <w:rFonts w:ascii="Times New Roman" w:hAnsi="Times New Roman"/>
              <w:sz w:val="32"/>
            </w:rPr>
            <w:fldChar w:fldCharType="separate"/>
          </w:r>
          <w:r>
            <w:rPr>
              <w:rFonts w:ascii="Times New Roman" w:hAnsi="Times New Roman"/>
              <w:sz w:val="32"/>
            </w:rPr>
            <w:t>- 50 -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13"/>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_Toc11360 </w:instrText>
          </w:r>
          <w:r>
            <w:rPr>
              <w:rFonts w:ascii="Times New Roman" w:hAnsi="Times New Roman" w:eastAsia="黑体" w:cs="黑体"/>
              <w:sz w:val="32"/>
            </w:rPr>
            <w:fldChar w:fldCharType="separate"/>
          </w:r>
          <w:r>
            <w:rPr>
              <w:rFonts w:hint="eastAsia" w:ascii="Times New Roman" w:hAnsi="Times New Roman"/>
              <w:sz w:val="32"/>
            </w:rPr>
            <w:t>五、相关建议</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_Toc11360 \h </w:instrText>
          </w:r>
          <w:r>
            <w:rPr>
              <w:rFonts w:ascii="Times New Roman" w:hAnsi="Times New Roman"/>
              <w:sz w:val="32"/>
            </w:rPr>
            <w:fldChar w:fldCharType="separate"/>
          </w:r>
          <w:r>
            <w:rPr>
              <w:rFonts w:ascii="Times New Roman" w:hAnsi="Times New Roman"/>
              <w:sz w:val="32"/>
            </w:rPr>
            <w:t>- 51 -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_Toc3902 </w:instrText>
          </w:r>
          <w:r>
            <w:rPr>
              <w:rFonts w:ascii="Times New Roman" w:hAnsi="Times New Roman" w:eastAsia="黑体" w:cs="黑体"/>
              <w:sz w:val="32"/>
            </w:rPr>
            <w:fldChar w:fldCharType="separate"/>
          </w:r>
          <w:r>
            <w:rPr>
              <w:rFonts w:hint="eastAsia" w:ascii="Times New Roman" w:hAnsi="Times New Roman"/>
              <w:sz w:val="32"/>
            </w:rPr>
            <w:t>（一）提升绩效工作管理意识</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_Toc3902 \h </w:instrText>
          </w:r>
          <w:r>
            <w:rPr>
              <w:rFonts w:ascii="Times New Roman" w:hAnsi="Times New Roman"/>
              <w:sz w:val="32"/>
            </w:rPr>
            <w:fldChar w:fldCharType="separate"/>
          </w:r>
          <w:r>
            <w:rPr>
              <w:rFonts w:ascii="Times New Roman" w:hAnsi="Times New Roman"/>
              <w:sz w:val="32"/>
            </w:rPr>
            <w:t>- 51 -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_Toc8519 </w:instrText>
          </w:r>
          <w:r>
            <w:rPr>
              <w:rFonts w:ascii="Times New Roman" w:hAnsi="Times New Roman" w:eastAsia="黑体" w:cs="黑体"/>
              <w:sz w:val="32"/>
            </w:rPr>
            <w:fldChar w:fldCharType="separate"/>
          </w:r>
          <w:r>
            <w:rPr>
              <w:rFonts w:hint="eastAsia" w:ascii="Times New Roman" w:hAnsi="Times New Roman"/>
              <w:sz w:val="32"/>
            </w:rPr>
            <w:t>（二）加强预算管理工作规范性</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_Toc8519 \h </w:instrText>
          </w:r>
          <w:r>
            <w:rPr>
              <w:rFonts w:ascii="Times New Roman" w:hAnsi="Times New Roman"/>
              <w:sz w:val="32"/>
            </w:rPr>
            <w:fldChar w:fldCharType="separate"/>
          </w:r>
          <w:r>
            <w:rPr>
              <w:rFonts w:ascii="Times New Roman" w:hAnsi="Times New Roman"/>
              <w:sz w:val="32"/>
            </w:rPr>
            <w:t>- 51 -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_Toc12590 </w:instrText>
          </w:r>
          <w:r>
            <w:rPr>
              <w:rFonts w:ascii="Times New Roman" w:hAnsi="Times New Roman" w:eastAsia="黑体" w:cs="黑体"/>
              <w:sz w:val="32"/>
            </w:rPr>
            <w:fldChar w:fldCharType="separate"/>
          </w:r>
          <w:r>
            <w:rPr>
              <w:rFonts w:hint="eastAsia" w:ascii="Times New Roman" w:hAnsi="Times New Roman"/>
              <w:sz w:val="32"/>
            </w:rPr>
            <w:t>（</w:t>
          </w:r>
          <w:r>
            <w:rPr>
              <w:rFonts w:hint="eastAsia" w:ascii="Times New Roman" w:hAnsi="Times New Roman"/>
              <w:sz w:val="32"/>
              <w:lang w:val="en-US" w:eastAsia="zh-CN"/>
            </w:rPr>
            <w:t>三</w:t>
          </w:r>
          <w:r>
            <w:rPr>
              <w:rFonts w:hint="eastAsia" w:ascii="Times New Roman" w:hAnsi="Times New Roman"/>
              <w:sz w:val="32"/>
            </w:rPr>
            <w:t>）</w:t>
          </w:r>
          <w:r>
            <w:rPr>
              <w:rFonts w:hint="eastAsia" w:ascii="Times New Roman" w:hAnsi="Times New Roman"/>
              <w:sz w:val="32"/>
              <w:highlight w:val="none"/>
              <w:lang w:val="en-US" w:eastAsia="zh-CN"/>
            </w:rPr>
            <w:t>优化</w:t>
          </w:r>
          <w:r>
            <w:rPr>
              <w:rFonts w:hint="eastAsia" w:ascii="Times New Roman" w:hAnsi="Times New Roman"/>
              <w:sz w:val="32"/>
              <w:lang w:val="en-US" w:eastAsia="zh-CN"/>
            </w:rPr>
            <w:t>部门成本控制措施</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_Toc12590 \h </w:instrText>
          </w:r>
          <w:r>
            <w:rPr>
              <w:rFonts w:ascii="Times New Roman" w:hAnsi="Times New Roman"/>
              <w:sz w:val="32"/>
            </w:rPr>
            <w:fldChar w:fldCharType="separate"/>
          </w:r>
          <w:r>
            <w:rPr>
              <w:rFonts w:ascii="Times New Roman" w:hAnsi="Times New Roman"/>
              <w:sz w:val="32"/>
            </w:rPr>
            <w:t>- 52 -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9"/>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rPr>
              <w:rFonts w:ascii="Times New Roman" w:hAnsi="Times New Roman"/>
              <w:sz w:val="32"/>
            </w:rPr>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_Toc3493 </w:instrText>
          </w:r>
          <w:r>
            <w:rPr>
              <w:rFonts w:ascii="Times New Roman" w:hAnsi="Times New Roman" w:eastAsia="黑体" w:cs="黑体"/>
              <w:sz w:val="32"/>
            </w:rPr>
            <w:fldChar w:fldCharType="separate"/>
          </w:r>
          <w:r>
            <w:rPr>
              <w:rFonts w:hint="eastAsia" w:ascii="Times New Roman" w:hAnsi="Times New Roman"/>
              <w:sz w:val="32"/>
            </w:rPr>
            <w:t>（</w:t>
          </w:r>
          <w:r>
            <w:rPr>
              <w:rFonts w:hint="eastAsia" w:ascii="Times New Roman" w:hAnsi="Times New Roman"/>
              <w:sz w:val="32"/>
              <w:lang w:val="en-US" w:eastAsia="zh-CN"/>
            </w:rPr>
            <w:t>四</w:t>
          </w:r>
          <w:r>
            <w:rPr>
              <w:rFonts w:hint="eastAsia" w:ascii="Times New Roman" w:hAnsi="Times New Roman"/>
              <w:sz w:val="32"/>
            </w:rPr>
            <w:t>）</w:t>
          </w:r>
          <w:r>
            <w:rPr>
              <w:rFonts w:hint="eastAsia" w:ascii="Times New Roman" w:hAnsi="Times New Roman"/>
              <w:sz w:val="32"/>
              <w:lang w:val="en-US" w:eastAsia="zh-CN"/>
            </w:rPr>
            <w:t>加强部门师资队伍建设</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_Toc3493 \h </w:instrText>
          </w:r>
          <w:r>
            <w:rPr>
              <w:rFonts w:ascii="Times New Roman" w:hAnsi="Times New Roman"/>
              <w:sz w:val="32"/>
            </w:rPr>
            <w:fldChar w:fldCharType="separate"/>
          </w:r>
          <w:r>
            <w:rPr>
              <w:rFonts w:ascii="Times New Roman" w:hAnsi="Times New Roman"/>
              <w:sz w:val="32"/>
            </w:rPr>
            <w:t>- 52 -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13"/>
            <w:keepNext w:val="0"/>
            <w:keepLines w:val="0"/>
            <w:pageBreakBefore w:val="0"/>
            <w:widowControl w:val="0"/>
            <w:tabs>
              <w:tab w:val="right" w:leader="dot" w:pos="8845"/>
              <w:tab w:val="clear" w:pos="8834"/>
            </w:tabs>
            <w:kinsoku/>
            <w:wordWrap/>
            <w:overflowPunct/>
            <w:topLinePunct w:val="0"/>
            <w:autoSpaceDE/>
            <w:autoSpaceDN/>
            <w:bidi w:val="0"/>
            <w:adjustRightInd/>
            <w:snapToGrid/>
            <w:spacing w:line="560" w:lineRule="exact"/>
            <w:textAlignment w:val="auto"/>
          </w:pPr>
          <w:r>
            <w:rPr>
              <w:rFonts w:ascii="Times New Roman" w:hAnsi="Times New Roman" w:eastAsia="黑体" w:cs="黑体"/>
              <w:color w:val="auto"/>
              <w:sz w:val="32"/>
            </w:rPr>
            <w:fldChar w:fldCharType="begin"/>
          </w:r>
          <w:r>
            <w:rPr>
              <w:rFonts w:ascii="Times New Roman" w:hAnsi="Times New Roman" w:eastAsia="黑体" w:cs="黑体"/>
              <w:sz w:val="32"/>
            </w:rPr>
            <w:instrText xml:space="preserve"> HYPERLINK \l _Toc31023 </w:instrText>
          </w:r>
          <w:r>
            <w:rPr>
              <w:rFonts w:ascii="Times New Roman" w:hAnsi="Times New Roman" w:eastAsia="黑体" w:cs="黑体"/>
              <w:sz w:val="32"/>
            </w:rPr>
            <w:fldChar w:fldCharType="separate"/>
          </w:r>
          <w:r>
            <w:rPr>
              <w:rFonts w:hint="eastAsia" w:ascii="Times New Roman" w:hAnsi="Times New Roman"/>
              <w:sz w:val="32"/>
            </w:rPr>
            <w:t>六、相关附件</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_Toc31023 \h </w:instrText>
          </w:r>
          <w:r>
            <w:rPr>
              <w:rFonts w:ascii="Times New Roman" w:hAnsi="Times New Roman"/>
              <w:sz w:val="32"/>
            </w:rPr>
            <w:fldChar w:fldCharType="separate"/>
          </w:r>
          <w:r>
            <w:rPr>
              <w:rFonts w:ascii="Times New Roman" w:hAnsi="Times New Roman"/>
              <w:sz w:val="32"/>
            </w:rPr>
            <w:t>- 53 -</w:t>
          </w:r>
          <w:r>
            <w:rPr>
              <w:rFonts w:ascii="Times New Roman" w:hAnsi="Times New Roman"/>
              <w:sz w:val="32"/>
            </w:rPr>
            <w:fldChar w:fldCharType="end"/>
          </w:r>
          <w:r>
            <w:rPr>
              <w:rFonts w:ascii="Times New Roman" w:hAnsi="Times New Roman" w:eastAsia="黑体" w:cs="黑体"/>
              <w:color w:val="auto"/>
              <w:sz w:val="32"/>
            </w:rPr>
            <w:fldChar w:fldCharType="end"/>
          </w:r>
        </w:p>
        <w:p>
          <w:pPr>
            <w:pStyle w:val="46"/>
            <w:ind w:firstLine="420"/>
            <w:jc w:val="center"/>
            <w:rPr>
              <w:rFonts w:hint="eastAsia" w:ascii="方正小标宋简体" w:hAnsi="方正小标宋简体" w:eastAsia="方正小标宋简体"/>
              <w:bCs/>
              <w:color w:val="000000" w:themeColor="text1"/>
              <w:kern w:val="44"/>
              <w:sz w:val="44"/>
              <w:szCs w:val="44"/>
              <w14:textFill>
                <w14:solidFill>
                  <w14:schemeClr w14:val="tx1"/>
                </w14:solidFill>
              </w14:textFill>
            </w:rPr>
          </w:pPr>
          <w:r>
            <w:rPr>
              <w:rFonts w:ascii="黑体" w:hAnsi="黑体" w:eastAsia="黑体" w:cs="黑体"/>
              <w:color w:val="auto"/>
            </w:rPr>
            <w:fldChar w:fldCharType="end"/>
          </w:r>
        </w:p>
      </w:sdtContent>
    </w:sdt>
    <w:p>
      <w:pPr>
        <w:widowControl/>
        <w:spacing w:line="240" w:lineRule="auto"/>
        <w:ind w:firstLine="0" w:firstLineChars="0"/>
        <w:rPr>
          <w:rFonts w:hint="eastAsia"/>
          <w:color w:val="000000" w:themeColor="text1"/>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pgNumType w:fmt="numberInDash"/>
          <w:cols w:space="425" w:num="1"/>
          <w:docGrid w:type="lines" w:linePitch="312" w:charSpace="0"/>
        </w:sectPr>
      </w:pPr>
      <w:r>
        <w:rPr>
          <w:rFonts w:ascii="方正小标宋简体" w:hAnsi="方正小标宋简体" w:eastAsia="方正小标宋简体"/>
          <w:bCs/>
          <w:color w:val="000000" w:themeColor="text1"/>
          <w:kern w:val="44"/>
          <w:sz w:val="44"/>
          <w:szCs w:val="44"/>
          <w14:textFill>
            <w14:solidFill>
              <w14:schemeClr w14:val="tx1"/>
            </w14:solidFill>
          </w14:textFill>
        </w:rPr>
        <w:br w:type="page"/>
      </w:r>
      <w:bookmarkStart w:id="0" w:name="_Toc108288181"/>
    </w:p>
    <w:bookmarkEnd w:id="0"/>
    <w:p>
      <w:pPr>
        <w:pStyle w:val="25"/>
        <w:pageBreakBefore w:val="0"/>
        <w:kinsoku/>
        <w:wordWrap/>
        <w:overflowPunct/>
        <w:topLinePunct w:val="0"/>
        <w:autoSpaceDE/>
        <w:autoSpaceDN/>
        <w:bidi w:val="0"/>
        <w:adjustRightInd/>
        <w:snapToGrid/>
        <w:spacing w:line="560" w:lineRule="exact"/>
        <w:ind w:firstLine="640"/>
        <w:textAlignment w:val="auto"/>
      </w:pPr>
      <w:bookmarkStart w:id="1" w:name="_Hlk91875411"/>
      <w:r>
        <w:rPr>
          <w:rFonts w:hint="eastAsia"/>
        </w:rPr>
        <w:t>为加强天津市</w:t>
      </w:r>
      <w:r>
        <w:rPr>
          <w:rFonts w:hint="eastAsia"/>
          <w:lang w:val="en-US" w:eastAsia="zh-CN"/>
        </w:rPr>
        <w:t>和平</w:t>
      </w:r>
      <w:r>
        <w:rPr>
          <w:rFonts w:hint="eastAsia"/>
        </w:rPr>
        <w:t>区财政资金管理，强化支出责任和效率意识，建立科学、合理的财政支出绩效评价管理体系，提高</w:t>
      </w:r>
      <w:r>
        <w:rPr>
          <w:rFonts w:hint="eastAsia"/>
          <w:lang w:val="en-US" w:eastAsia="zh-CN"/>
        </w:rPr>
        <w:t>和平</w:t>
      </w:r>
      <w:r>
        <w:rPr>
          <w:rFonts w:hint="eastAsia"/>
        </w:rPr>
        <w:t>区财政资金的使用效益，根据财政部《财政支出绩效评价管理暂行办法的通知》（财预</w:t>
      </w:r>
      <w:r>
        <w:rPr>
          <w:rFonts w:hint="eastAsia" w:ascii="仿宋" w:hAnsi="仿宋" w:eastAsia="仿宋"/>
        </w:rPr>
        <w:t>〔</w:t>
      </w:r>
      <w:r>
        <w:rPr>
          <w:rFonts w:hint="eastAsia"/>
        </w:rPr>
        <w:t>2011</w:t>
      </w:r>
      <w:r>
        <w:rPr>
          <w:rFonts w:hint="eastAsia" w:ascii="仿宋" w:hAnsi="仿宋" w:eastAsia="仿宋"/>
        </w:rPr>
        <w:t>〕</w:t>
      </w:r>
      <w:r>
        <w:rPr>
          <w:rFonts w:hint="eastAsia"/>
        </w:rPr>
        <w:t>285号）、天津市财政局关于印发《天津市市级部门（单位）整体支出绩效目标管理办法（试行）》的通知（津财预〔2015〕102号）等文件精神，天津安信管理咨询有限公司受天津市</w:t>
      </w:r>
      <w:r>
        <w:rPr>
          <w:rFonts w:hint="eastAsia"/>
          <w:lang w:val="en-US" w:eastAsia="zh-CN"/>
        </w:rPr>
        <w:t>和平</w:t>
      </w:r>
      <w:r>
        <w:rPr>
          <w:rFonts w:hint="eastAsia"/>
        </w:rPr>
        <w:t>区财政局委托，对中共天津市和平区委党校20</w:t>
      </w:r>
      <w:r>
        <w:rPr>
          <w:rFonts w:hint="eastAsia"/>
          <w:lang w:val="en-US" w:eastAsia="zh-CN"/>
        </w:rPr>
        <w:t>23</w:t>
      </w:r>
      <w:r>
        <w:rPr>
          <w:rFonts w:hint="eastAsia"/>
        </w:rPr>
        <w:t>年度部门整体支出绩效进行评价。</w:t>
      </w:r>
    </w:p>
    <w:p>
      <w:pPr>
        <w:pStyle w:val="25"/>
        <w:pageBreakBefore w:val="0"/>
        <w:kinsoku/>
        <w:wordWrap/>
        <w:overflowPunct/>
        <w:topLinePunct w:val="0"/>
        <w:autoSpaceDE/>
        <w:autoSpaceDN/>
        <w:bidi w:val="0"/>
        <w:adjustRightInd/>
        <w:snapToGrid/>
        <w:spacing w:line="560" w:lineRule="exact"/>
        <w:ind w:firstLine="640"/>
        <w:textAlignment w:val="auto"/>
        <w:rPr>
          <w:color w:val="auto"/>
        </w:rPr>
      </w:pPr>
      <w:r>
        <w:rPr>
          <w:rFonts w:hint="eastAsia"/>
        </w:rPr>
        <w:t>本次评价遵循“科学规范、公平公正、分类管理、绩效相关”原则，运用科学合理的绩效评价指标、评价标准和评价方法，对中共天津市和平区委党校20</w:t>
      </w:r>
      <w:r>
        <w:rPr>
          <w:rFonts w:hint="eastAsia"/>
          <w:lang w:val="en-US" w:eastAsia="zh-CN"/>
        </w:rPr>
        <w:t>23</w:t>
      </w:r>
      <w:r>
        <w:rPr>
          <w:rFonts w:hint="eastAsia"/>
        </w:rPr>
        <w:t>年度部门整体支出进行了客观公正的分析。经综合评价，该部门绩效评价得</w:t>
      </w:r>
      <w:r>
        <w:rPr>
          <w:rFonts w:hint="eastAsia"/>
          <w:highlight w:val="none"/>
        </w:rPr>
        <w:t>分</w:t>
      </w:r>
      <w:r>
        <w:rPr>
          <w:rFonts w:hint="eastAsia"/>
          <w:color w:val="auto"/>
          <w:highlight w:val="none"/>
        </w:rPr>
        <w:t>为</w:t>
      </w:r>
      <w:r>
        <w:rPr>
          <w:rFonts w:hint="eastAsia"/>
          <w:color w:val="auto"/>
          <w:highlight w:val="none"/>
          <w:lang w:val="en-US" w:eastAsia="zh-CN"/>
        </w:rPr>
        <w:t>93.17</w:t>
      </w:r>
      <w:r>
        <w:rPr>
          <w:rFonts w:hint="eastAsia"/>
          <w:color w:val="auto"/>
          <w:highlight w:val="none"/>
        </w:rPr>
        <w:t>分</w:t>
      </w:r>
      <w:r>
        <w:rPr>
          <w:rFonts w:hint="eastAsia"/>
          <w:color w:val="auto"/>
          <w:highlight w:val="none"/>
          <w:lang w:eastAsia="zh-CN"/>
        </w:rPr>
        <w:t>，</w:t>
      </w:r>
      <w:r>
        <w:rPr>
          <w:rFonts w:hint="eastAsia"/>
          <w:color w:val="auto"/>
          <w:highlight w:val="none"/>
          <w:lang w:val="en-US" w:eastAsia="zh-CN"/>
        </w:rPr>
        <w:t>评价等级为“优”</w:t>
      </w:r>
      <w:r>
        <w:rPr>
          <w:rFonts w:hint="eastAsia"/>
          <w:color w:val="auto"/>
          <w:highlight w:val="none"/>
        </w:rPr>
        <w:t>。</w:t>
      </w:r>
    </w:p>
    <w:bookmarkEnd w:id="1"/>
    <w:p>
      <w:pPr>
        <w:pStyle w:val="27"/>
        <w:pageBreakBefore w:val="0"/>
        <w:kinsoku/>
        <w:wordWrap/>
        <w:overflowPunct/>
        <w:topLinePunct w:val="0"/>
        <w:autoSpaceDE/>
        <w:autoSpaceDN/>
        <w:bidi w:val="0"/>
        <w:adjustRightInd/>
        <w:snapToGrid/>
        <w:spacing w:line="560" w:lineRule="exact"/>
        <w:textAlignment w:val="auto"/>
      </w:pPr>
      <w:bookmarkStart w:id="2" w:name="_Toc6997"/>
      <w:r>
        <w:rPr>
          <w:rFonts w:hint="eastAsia"/>
        </w:rPr>
        <w:t>一、部门概况</w:t>
      </w:r>
      <w:bookmarkEnd w:id="2"/>
    </w:p>
    <w:p>
      <w:pPr>
        <w:pStyle w:val="29"/>
        <w:pageBreakBefore w:val="0"/>
        <w:kinsoku/>
        <w:wordWrap/>
        <w:overflowPunct/>
        <w:topLinePunct w:val="0"/>
        <w:autoSpaceDE/>
        <w:autoSpaceDN/>
        <w:bidi w:val="0"/>
        <w:adjustRightInd/>
        <w:snapToGrid/>
        <w:spacing w:line="560" w:lineRule="exact"/>
        <w:ind w:firstLine="640"/>
        <w:textAlignment w:val="auto"/>
        <w:rPr>
          <w:rFonts w:hint="eastAsia"/>
        </w:rPr>
      </w:pPr>
      <w:bookmarkStart w:id="3" w:name="_Toc25666"/>
      <w:r>
        <w:rPr>
          <w:rFonts w:hint="eastAsia"/>
        </w:rPr>
        <w:t>（一）基本情况</w:t>
      </w:r>
      <w:bookmarkEnd w:id="3"/>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rPr>
        <w:t>中共天津市</w:t>
      </w:r>
      <w:r>
        <w:rPr>
          <w:rFonts w:hint="eastAsia"/>
          <w:bCs/>
          <w:lang w:val="en-US" w:eastAsia="zh-CN"/>
        </w:rPr>
        <w:t>和平</w:t>
      </w:r>
      <w:r>
        <w:rPr>
          <w:rFonts w:hint="eastAsia"/>
          <w:bCs/>
        </w:rPr>
        <w:t>区委党校（以下简称“</w:t>
      </w:r>
      <w:r>
        <w:rPr>
          <w:rFonts w:hint="eastAsia"/>
          <w:bCs/>
          <w:lang w:val="en-US" w:eastAsia="zh-CN"/>
        </w:rPr>
        <w:t>和平</w:t>
      </w:r>
      <w:r>
        <w:rPr>
          <w:rFonts w:hint="eastAsia"/>
          <w:bCs/>
        </w:rPr>
        <w:t>区委党校”）隶属于天津市</w:t>
      </w:r>
      <w:r>
        <w:rPr>
          <w:rFonts w:hint="eastAsia"/>
          <w:bCs/>
          <w:lang w:val="en-US" w:eastAsia="zh-CN"/>
        </w:rPr>
        <w:t>和平</w:t>
      </w:r>
      <w:r>
        <w:rPr>
          <w:rFonts w:hint="eastAsia"/>
          <w:bCs/>
        </w:rPr>
        <w:t>区人民政府，是区委直属事业单位，为正处级，加挂天津市和平区行政学院、中共天津市和平区委党史研究室牌子</w:t>
      </w:r>
      <w:r>
        <w:rPr>
          <w:rFonts w:hint="eastAsia"/>
          <w:bCs/>
          <w:lang w:eastAsia="zh-CN"/>
        </w:rPr>
        <w:t>，</w:t>
      </w:r>
      <w:r>
        <w:rPr>
          <w:rFonts w:hint="eastAsia"/>
          <w:bCs/>
        </w:rPr>
        <w:t>内设7个职能科室，包括：办公室、教务科、</w:t>
      </w:r>
      <w:r>
        <w:rPr>
          <w:rFonts w:hint="eastAsia"/>
          <w:bCs/>
          <w:lang w:val="en-US" w:eastAsia="zh-CN"/>
        </w:rPr>
        <w:t>培训科、</w:t>
      </w:r>
      <w:r>
        <w:rPr>
          <w:rFonts w:hint="eastAsia"/>
          <w:bCs/>
        </w:rPr>
        <w:t>党史研究科、总务科、</w:t>
      </w:r>
      <w:r>
        <w:rPr>
          <w:rFonts w:hint="eastAsia"/>
          <w:bCs/>
          <w:lang w:val="en-US" w:eastAsia="zh-CN"/>
        </w:rPr>
        <w:t>教研室</w:t>
      </w:r>
      <w:r>
        <w:rPr>
          <w:rFonts w:hint="eastAsia"/>
          <w:bCs/>
        </w:rPr>
        <w:t>、理研资料室。</w:t>
      </w:r>
    </w:p>
    <w:p>
      <w:pPr>
        <w:pStyle w:val="25"/>
        <w:pageBreakBefore w:val="0"/>
        <w:kinsoku/>
        <w:wordWrap/>
        <w:overflowPunct/>
        <w:topLinePunct w:val="0"/>
        <w:autoSpaceDE/>
        <w:autoSpaceDN/>
        <w:bidi w:val="0"/>
        <w:adjustRightInd/>
        <w:snapToGrid/>
        <w:spacing w:line="560" w:lineRule="exact"/>
        <w:ind w:firstLine="640"/>
        <w:textAlignment w:val="auto"/>
        <w:rPr>
          <w:bCs/>
        </w:rPr>
      </w:pPr>
      <w:r>
        <w:rPr>
          <w:rFonts w:hint="eastAsia"/>
          <w:bCs/>
          <w:lang w:val="en-US" w:eastAsia="zh-CN"/>
        </w:rPr>
        <w:t>和平</w:t>
      </w:r>
      <w:r>
        <w:rPr>
          <w:rFonts w:hint="eastAsia"/>
          <w:bCs/>
        </w:rPr>
        <w:t>区委党校参公编制24名</w:t>
      </w:r>
      <w:r>
        <w:rPr>
          <w:rFonts w:hint="eastAsia"/>
          <w:bCs/>
          <w:lang w:eastAsia="zh-CN"/>
        </w:rPr>
        <w:t>，</w:t>
      </w:r>
      <w:r>
        <w:rPr>
          <w:rFonts w:hint="eastAsia"/>
          <w:bCs/>
          <w:lang w:val="en-US" w:eastAsia="zh-CN"/>
        </w:rPr>
        <w:t>实有参公编制在职人员22名</w:t>
      </w:r>
      <w:r>
        <w:rPr>
          <w:rFonts w:hint="eastAsia"/>
          <w:bCs/>
          <w:highlight w:val="none"/>
          <w:lang w:val="en-US" w:eastAsia="zh-CN"/>
        </w:rPr>
        <w:t>，实有6名事业编制在职人员</w:t>
      </w:r>
      <w:r>
        <w:rPr>
          <w:rFonts w:hint="eastAsia"/>
          <w:bCs/>
          <w:highlight w:val="none"/>
        </w:rPr>
        <w:t>。设校长1名，由</w:t>
      </w:r>
      <w:r>
        <w:rPr>
          <w:rFonts w:hint="eastAsia"/>
          <w:bCs/>
        </w:rPr>
        <w:t>区领导同志兼任，副校长3名（其中分管日常工作的副校长1名，正处级），科级领导职数7正5副。</w:t>
      </w:r>
    </w:p>
    <w:p>
      <w:pPr>
        <w:pStyle w:val="29"/>
        <w:pageBreakBefore w:val="0"/>
        <w:kinsoku/>
        <w:wordWrap/>
        <w:overflowPunct/>
        <w:topLinePunct w:val="0"/>
        <w:autoSpaceDE/>
        <w:autoSpaceDN/>
        <w:bidi w:val="0"/>
        <w:adjustRightInd/>
        <w:snapToGrid/>
        <w:spacing w:line="560" w:lineRule="exact"/>
        <w:ind w:firstLine="640"/>
        <w:textAlignment w:val="auto"/>
        <w:rPr>
          <w:rFonts w:hint="eastAsia"/>
        </w:rPr>
      </w:pPr>
      <w:bookmarkStart w:id="4" w:name="_Toc28974"/>
      <w:r>
        <w:rPr>
          <w:rFonts w:hint="eastAsia"/>
        </w:rPr>
        <w:t>（二）主要职责</w:t>
      </w:r>
      <w:bookmarkEnd w:id="4"/>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1.</w:t>
      </w:r>
      <w:r>
        <w:rPr>
          <w:rFonts w:hint="eastAsia"/>
          <w:bCs/>
        </w:rPr>
        <w:t xml:space="preserve">贯彻落实中央、市委、区委有关党校工作的部署要求，针对中国特色社会主义现代化进程中的重大理论和现实问题，开展马克思主义中国化最新成果的理论宣传，开展党的路线、方针、政策的宣传。 </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2.</w:t>
      </w:r>
      <w:r>
        <w:rPr>
          <w:rFonts w:hint="eastAsia"/>
          <w:bCs/>
        </w:rPr>
        <w:t>负责培训党员领导干部、中青年后备干部、党务工作干部、入党积极分子和新发展党员，培养理论干部。</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3.</w:t>
      </w:r>
      <w:r>
        <w:rPr>
          <w:rFonts w:hint="eastAsia"/>
          <w:bCs/>
        </w:rPr>
        <w:t>承办区委、区政府下达的公务员培训、科长培训、处（科）级领导干部任职培训、民主党派干部和统战干部的培训以及各类专业专题研讨班。</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4.</w:t>
      </w:r>
      <w:r>
        <w:rPr>
          <w:rFonts w:hint="eastAsia"/>
          <w:bCs/>
        </w:rPr>
        <w:t>承担区委、区政府下达的科研调研理研任务，围绕经济与社会发展大局、市区重点工作及党建引领、主业主课等课题，开展专项咨政和理论研究。</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5.</w:t>
      </w:r>
      <w:r>
        <w:rPr>
          <w:rFonts w:hint="eastAsia"/>
          <w:bCs/>
        </w:rPr>
        <w:t>组织开展同市内外教育、研究等机构和组织的合作与交流。</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6.</w:t>
      </w:r>
      <w:r>
        <w:rPr>
          <w:rFonts w:hint="eastAsia"/>
          <w:bCs/>
        </w:rPr>
        <w:t>负责地方党史研究工作。</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7.</w:t>
      </w:r>
      <w:r>
        <w:rPr>
          <w:rFonts w:hint="eastAsia"/>
          <w:bCs/>
        </w:rPr>
        <w:t>负责本单位安全生产管理工作。</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8.</w:t>
      </w:r>
      <w:r>
        <w:rPr>
          <w:rFonts w:hint="eastAsia"/>
          <w:bCs/>
        </w:rPr>
        <w:t>负责本单位招商引资工作。</w:t>
      </w:r>
    </w:p>
    <w:p>
      <w:pPr>
        <w:pStyle w:val="25"/>
        <w:pageBreakBefore w:val="0"/>
        <w:kinsoku/>
        <w:wordWrap/>
        <w:overflowPunct/>
        <w:topLinePunct w:val="0"/>
        <w:autoSpaceDE/>
        <w:autoSpaceDN/>
        <w:bidi w:val="0"/>
        <w:adjustRightInd/>
        <w:snapToGrid/>
        <w:spacing w:line="560" w:lineRule="exact"/>
        <w:ind w:firstLine="640"/>
        <w:textAlignment w:val="auto"/>
        <w:rPr>
          <w:rFonts w:hint="eastAsia"/>
          <w:bCs/>
        </w:rPr>
      </w:pPr>
      <w:r>
        <w:rPr>
          <w:rFonts w:hint="eastAsia"/>
          <w:bCs/>
          <w:lang w:val="en-US" w:eastAsia="zh-CN"/>
        </w:rPr>
        <w:t>9.</w:t>
      </w:r>
      <w:r>
        <w:rPr>
          <w:rFonts w:hint="eastAsia"/>
          <w:bCs/>
        </w:rPr>
        <w:t>负责本单位人才队伍建设工作。</w:t>
      </w:r>
    </w:p>
    <w:p>
      <w:pPr>
        <w:pStyle w:val="25"/>
        <w:pageBreakBefore w:val="0"/>
        <w:kinsoku/>
        <w:wordWrap/>
        <w:overflowPunct/>
        <w:topLinePunct w:val="0"/>
        <w:autoSpaceDE/>
        <w:autoSpaceDN/>
        <w:bidi w:val="0"/>
        <w:adjustRightInd/>
        <w:snapToGrid/>
        <w:spacing w:line="560" w:lineRule="exact"/>
        <w:ind w:firstLine="640"/>
        <w:textAlignment w:val="auto"/>
        <w:rPr>
          <w:bCs/>
        </w:rPr>
      </w:pPr>
      <w:r>
        <w:rPr>
          <w:rFonts w:hint="eastAsia"/>
          <w:bCs/>
          <w:lang w:val="en-US" w:eastAsia="zh-CN"/>
        </w:rPr>
        <w:t>10.</w:t>
      </w:r>
      <w:r>
        <w:rPr>
          <w:rFonts w:hint="eastAsia"/>
          <w:bCs/>
        </w:rPr>
        <w:t>承办区委交办的其他事项</w:t>
      </w:r>
    </w:p>
    <w:p>
      <w:pPr>
        <w:pStyle w:val="29"/>
        <w:pageBreakBefore w:val="0"/>
        <w:kinsoku/>
        <w:wordWrap/>
        <w:overflowPunct/>
        <w:topLinePunct w:val="0"/>
        <w:autoSpaceDE/>
        <w:autoSpaceDN/>
        <w:bidi w:val="0"/>
        <w:adjustRightInd/>
        <w:snapToGrid/>
        <w:spacing w:line="560" w:lineRule="exact"/>
        <w:ind w:firstLine="640"/>
        <w:textAlignment w:val="auto"/>
        <w:rPr>
          <w:rFonts w:hint="eastAsia"/>
        </w:rPr>
      </w:pPr>
      <w:bookmarkStart w:id="5" w:name="_Toc14019"/>
      <w:r>
        <w:rPr>
          <w:rFonts w:hint="eastAsia"/>
        </w:rPr>
        <w:t>（三）年度计划</w:t>
      </w:r>
      <w:bookmarkEnd w:id="5"/>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eastAsia="zh-CN"/>
        </w:rPr>
      </w:pPr>
      <w:r>
        <w:rPr>
          <w:rFonts w:hint="eastAsia"/>
          <w:lang w:val="en-US" w:eastAsia="zh-CN"/>
        </w:rPr>
        <w:t>和平</w:t>
      </w:r>
      <w:r>
        <w:rPr>
          <w:rFonts w:hint="eastAsia"/>
        </w:rPr>
        <w:t>区委党校2022年工作计划如下</w:t>
      </w:r>
      <w:r>
        <w:rPr>
          <w:rFonts w:hint="eastAsia"/>
          <w:lang w:eastAsia="zh-CN"/>
        </w:rPr>
        <w:t>：</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1.坚持政治立校，旗帜鲜明讲政治</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（1）</w:t>
      </w:r>
      <w:r>
        <w:rPr>
          <w:rFonts w:hint="default"/>
          <w:lang w:val="en-US" w:eastAsia="zh-CN"/>
        </w:rPr>
        <w:t>深入学习贯彻党的二十大精神。加强党的二十大精神学习教育、宣传宣讲、研究阐释工作。充分发挥党校主渠道主阵地作用，将党的二十大精神融入教学体系，分班次、分层次开展教学培训，推动会议精神进课堂、进头脑。积极开展理论阐释和宣讲活动，推动党的二十大精神进机关、进企事业单位、进社区、进校园、进“两新”组织等，推动党的二十大精神“飞入寻常百姓家”</w:t>
      </w:r>
      <w:r>
        <w:rPr>
          <w:rFonts w:hint="eastAsia"/>
          <w:lang w:val="en-US" w:eastAsia="zh-CN"/>
        </w:rPr>
        <w:t>。</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2）加强人才队伍建设。为教师提高授课质量搭建平台，不断拓宽教师授课渠道，提高教师授课水平，做好新时代的传道、授业、解惑工作。加大对教职工的教育培训力度，拓展培训途径，健全完善专题培训、跟班学习、学术沙龙、开展调研等多种培养锻炼方式。</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2.聚焦主业主课，进一步提高教学培训质量</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1）优化教学工作布局。着眼领导干部培训需求，不断充实教学内容，持续优化课程体系。突出习近平新时代中国特色社会主义思想主课、首课地位，加强理论教育、党性教育、能力培训。重点抓好党的二十大精神、新党章以及市第十二次党代会的贯彻学习，聚焦领导干部能力提升，抓好新时代十年伟大变革、意识形态、总体国家安全观、生态文明建设以及和平区经济社会发展等内容的课程设置。在主体班次课程中，确保党的理论教育和党性教育不低于总课时的70%，习近平新时代中国特色社会主义思想课程的比重不低于总课时的50%。</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2）严格教师备课管理。完善并落实教师讲稿审核、新课试讲、集体备课等制度，凡本校教师所开设的新课程均需经过讲稿审核、集体备课和集中试讲，备课领导小组对课程内容严格审查，以确保新课政治导向正确，符合现实需求，发挥应有作用。严格实行教师集体备课制，定期召开教学研讨会，就课程选定、课程设计、资料筛选、教学方法等方面进行交流研讨，加强教师之间的交流，确保新课观点正确、内容充实、逻辑严密。</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3）积极开展教学评比活动。形成正确的导向和激励作用，调动教师投入党校教学工作的积极性，在“比学赶帮超”的氛围中鼓舞精神，不断提升业务素质。积极推荐教师参加各类型的教学评比活动，加强交流研讨，查漏补缺，补足短板，促进教学内容和方法的改革，帮助教师提升业务水平和综合素质，提高教学质量和办学效果，从而达到以评促教、以评促学、以评促改、教学相长的目的。</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4）持续打造特色精品课。落实“精选课题”“集体备课”“新课试讲”“点评互促”“打磨提升”“五步”方法，升级开发优质课程。以新兴街朝阳里社区、南市街道庆有西里社区、中国北方局旧址三个教学实践基地为依托，拓展教育内容，进一步打磨精彩案例课和现场教学课程。承担全区预防职务犯罪主题纪检“定制课程”备课任务，陆续推出20余门纪检定制特色课程，采取集中讲座、课程巡讲等形式，深入基层开展宣讲。</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5）创新培训方式。坚持集中学习和自主学习相结合、规定动作和自选动作相结合、课堂学习和实践体会相结合，运用研讨式、案例式、模拟式、体验式等互动教学方法的课程比重不低于30%。深化现场教学基地开发利用，拓展教育内容，丰富现场教学形式。深入开展进机关知真情强担当、进基层知民情强能力、进一线知社情强责任的“三进三知三强”的系列教育活动，进一步激发学员热情，提升培训吸引力和感染力。</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6）加强学员管理。做好学员管理和服务保障，加大班级管理的力度，提升服务保障的温度，完善档案材料的精度。把全面从严治党要求、锤炼党性要求等贯穿学员管理全过程，不定期召开班委会、学员座谈会，征求办学意见建议，强化学员日常管理服务。完善评价考核体系，强化学员在校期间的学习管理、组织管理、生活管理。切实加强高素质班主任队伍建设，把政治素质过硬、业务熟练、责任心强的同志充实到班主任队伍中去，严格执行班主任跟班听课、带班管理、轮值等制度，提升班主任履职尽责能力。</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3.加强科研咨政建设，不断提升科研咨政质量水平</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1）提升科研能力水平。高质量完成好各项课题，力争在2022年科研重点课题、天津市社会主义学院专项课题中，实现核心期刊发表论文突破。积极倡导和鼓励教职工及学员参与科研咨政，提高科研水平，服务中心工作，力争发刊和取得领导批示。聚焦党和国家中心工作、党委和政府重大决策部署、社会热点难点问题，结合党校立项课题，配合校领导组织区级科研协作、交流座谈会，发挥区属单位各自优势，促进教学相长，不断提升咨政成果。召开年度科研交流座谈会，交流思想，分享经验，进一步提升党校科研水平。</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2）提高科研成果转化率。进一步促进科研成果向教学专题或教学案例的转化力度，密切科研与教学的联系，实现优势互补，相得益彰，有效形成科研与教学工作的衔接机制。鼓励教师在每年的选课备课计划中，结合培训需求、学员需求、业务能力提升等方面，选取一项个人科研成果转化为课程或在备课中将科研成果以案例等形式囊括到课程内容之中，确保成果转化的实效。</w:t>
      </w:r>
    </w:p>
    <w:p>
      <w:pPr>
        <w:pStyle w:val="25"/>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lang w:val="en-US" w:eastAsia="zh-CN"/>
        </w:rPr>
        <w:t>（3）推进地方党史专题研究。利用红色资源创新党性教育，完成市委党校课题《新时代红色资源在党性教育中的创新运用研究——以天津为例》，公开发表相关文章，真正解决真学、真懂、真信、真用的问题。以全国红色旅游发展规划纲要为指导，遵循旅游产业发展规律，突出传承红色文化，挖掘对当地经济、文化、社会和生态文明建设有现实意义的特色课程，打造解放北路红色现场教学课。</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4）扎实开展党史资料编辑工作。按照市委党校（党史研究室）《关于组织开展〈奋斗的历程〉（2002－2012）编写工作的通知》要求，真实记录党的十六大至党的十八大召开前这一时期，和平区在党的领导下走过的光辉历程和在经济、政治、文化、社会、生态文明建设及党的建设等方面取得的重要成就和宝贵经验，更好地发挥党史资政育人作用，完成《奋斗的历程（2002－2012）》编写任务，为下一步编写中国共产党天津历史（第三卷）及中国共产党和平区历史（第三卷）奠定资料基础。</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4.</w:t>
      </w:r>
      <w:r>
        <w:rPr>
          <w:rFonts w:hint="default"/>
          <w:lang w:val="en-US" w:eastAsia="zh-CN"/>
        </w:rPr>
        <w:t>优化管理服务，不断提升办学治校保障水平</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（1）</w:t>
      </w:r>
      <w:r>
        <w:rPr>
          <w:rFonts w:hint="default"/>
          <w:lang w:val="en-US" w:eastAsia="zh-CN"/>
        </w:rPr>
        <w:t>开展廉政教育。始终坚持从严治校、质量立校，遵循最严格的政治标准、学术标准、教学标准、管理标准，发挥不正之风“净化器”、党性锻炼“大熔炉”、全面从严治党“风向标”的作用。加强光荣传统和优良作风教育，加强政治纪律和政治规矩教育，引导党校教师潜心治学、虔诚问道、悉心育人。以廉政党课、案例警示教育、观看专题片、实地参观、重要节日廉洁提示等多种形式开展党风廉政教育，教育党员干部自觉接受最严格的约束和监督。</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（2）</w:t>
      </w:r>
      <w:r>
        <w:rPr>
          <w:rFonts w:hint="default"/>
          <w:lang w:val="en-US" w:eastAsia="zh-CN"/>
        </w:rPr>
        <w:t>强化财务管理工作。扎实做好预算决算及财务报告编制工作。强化财务内部管理，加强财务信息化建设，推动预算管理工作</w:t>
      </w:r>
      <w:r>
        <w:rPr>
          <w:rFonts w:hint="eastAsia"/>
          <w:lang w:val="en-US" w:eastAsia="zh-CN"/>
        </w:rPr>
        <w:t>提质增效</w:t>
      </w:r>
      <w:r>
        <w:rPr>
          <w:rFonts w:hint="default"/>
          <w:lang w:val="en-US" w:eastAsia="zh-CN"/>
        </w:rPr>
        <w:t>。持续做好经济责任审计整改工作，加强对财务人员的监督管理，扎实做好预算、决算及财务报告编制工作，完善内控管理，不断提升财务管理综合水平。</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（3）</w:t>
      </w:r>
      <w:r>
        <w:rPr>
          <w:rFonts w:hint="default"/>
          <w:lang w:val="en-US" w:eastAsia="zh-CN"/>
        </w:rPr>
        <w:t>加强信息化建设。围绕教学，重点做好信息化基础设施、实训教学系统、网络培训系统和教务教学管理系统建设，努力增强学员信息化应用体验、丰富教学培训手段和拓展教学培训渠道；围绕科研，重点做好科研管理系统建设、数据资源开发和数据服务，为党校智库建设提供信息化支撑；围绕管理，重点做好办公、人事、党建、财务、资产等信息系统建设，提高党校管理效能；围绕服务，重点做好面向学员和教职工的餐饮、健身、网络等各类服务事项信息系统建设，提高服务质量和效率。</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（4）</w:t>
      </w:r>
      <w:r>
        <w:rPr>
          <w:rFonts w:hint="default"/>
          <w:lang w:val="en-US" w:eastAsia="zh-CN"/>
        </w:rPr>
        <w:t>抓好整改落实。按照《关于和平区委党校（行政学院）办学质量评估情况的反馈意见》，认真抓好问题整改落实，补齐发展短板，创新思路，攻坚克难，严格管理，改进作风，争创实绩，发挥好党校干部教育培训主渠道、主阵地作用。始终把办学质量评估工作整改的政治责任扛到底、扛到位，认真履职尽责，主动担当作为，久久为功推进整改落实，以扎实的整改成效推动党校高质量发展。</w:t>
      </w:r>
    </w:p>
    <w:p>
      <w:pPr>
        <w:pStyle w:val="25"/>
        <w:pageBreakBefore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lang w:val="en-US" w:eastAsia="zh-CN"/>
        </w:rPr>
        <w:t>（5）</w:t>
      </w:r>
      <w:r>
        <w:rPr>
          <w:rFonts w:hint="default"/>
          <w:lang w:val="en-US" w:eastAsia="zh-CN"/>
        </w:rPr>
        <w:t>加强安全管理。定期开展安全教育、保密教育、普法教育、科普教育等，普及安全知识，不断提高防范风险能力。严格做好保密工作，深入开展保密整顿行动，持续强化教职工保密意识，严格保密文件管理。进一步规范档案的收集、整理和使用工作，确保档案材料留存完整、归档及时、管理科学、服务高效。</w:t>
      </w:r>
    </w:p>
    <w:p>
      <w:pPr>
        <w:pStyle w:val="29"/>
        <w:pageBreakBefore w:val="0"/>
        <w:kinsoku/>
        <w:wordWrap/>
        <w:overflowPunct/>
        <w:topLinePunct w:val="0"/>
        <w:autoSpaceDE/>
        <w:autoSpaceDN/>
        <w:bidi w:val="0"/>
        <w:adjustRightInd/>
        <w:snapToGrid/>
        <w:spacing w:line="560" w:lineRule="exact"/>
        <w:ind w:firstLine="640"/>
        <w:textAlignment w:val="auto"/>
        <w:rPr>
          <w:rFonts w:hint="eastAsia"/>
        </w:rPr>
      </w:pPr>
      <w:bookmarkStart w:id="6" w:name="_Toc30374"/>
      <w:r>
        <w:rPr>
          <w:rFonts w:hint="eastAsia"/>
        </w:rPr>
        <w:t>（四）部门整体支出情况</w:t>
      </w:r>
      <w:bookmarkEnd w:id="6"/>
    </w:p>
    <w:p>
      <w:pPr>
        <w:pStyle w:val="32"/>
        <w:pageBreakBefore w:val="0"/>
        <w:kinsoku/>
        <w:wordWrap/>
        <w:overflowPunct/>
        <w:topLinePunct w:val="0"/>
        <w:autoSpaceDE/>
        <w:autoSpaceDN/>
        <w:bidi w:val="0"/>
        <w:adjustRightInd/>
        <w:snapToGrid/>
        <w:spacing w:line="560" w:lineRule="exact"/>
        <w:textAlignment w:val="auto"/>
      </w:pPr>
      <w:r>
        <w:rPr>
          <w:rFonts w:hint="eastAsia"/>
        </w:rPr>
        <w:t>表1.</w:t>
      </w:r>
      <w:r>
        <w:t>4</w:t>
      </w:r>
      <w:r>
        <w:rPr>
          <w:rFonts w:hint="eastAsia"/>
        </w:rPr>
        <w:t>.</w:t>
      </w:r>
      <w:r>
        <w:t xml:space="preserve">1 </w:t>
      </w:r>
      <w:r>
        <w:rPr>
          <w:rFonts w:hint="eastAsia"/>
          <w:lang w:val="en-US" w:eastAsia="zh-CN"/>
        </w:rPr>
        <w:t xml:space="preserve"> </w:t>
      </w:r>
      <w:r>
        <w:rPr>
          <w:rFonts w:hint="eastAsia"/>
        </w:rPr>
        <w:t>部门预算支出情况表</w:t>
      </w:r>
    </w:p>
    <w:p>
      <w:pPr>
        <w:pStyle w:val="33"/>
        <w:pageBreakBefore w:val="0"/>
        <w:kinsoku/>
        <w:wordWrap/>
        <w:overflowPunct/>
        <w:topLinePunct w:val="0"/>
        <w:autoSpaceDE/>
        <w:autoSpaceDN/>
        <w:bidi w:val="0"/>
        <w:adjustRightInd/>
        <w:snapToGrid/>
        <w:spacing w:line="560" w:lineRule="exact"/>
        <w:textAlignment w:val="auto"/>
      </w:pPr>
      <w:r>
        <w:rPr>
          <w:rFonts w:hint="eastAsia"/>
          <w:lang w:val="en-US" w:eastAsia="zh-CN"/>
        </w:rPr>
        <w:t xml:space="preserve"> </w:t>
      </w:r>
      <w:r>
        <w:rPr>
          <w:rFonts w:hint="eastAsia"/>
        </w:rPr>
        <w:t>单位：万元</w:t>
      </w:r>
    </w:p>
    <w:tbl>
      <w:tblPr>
        <w:tblStyle w:val="17"/>
        <w:tblW w:w="85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313"/>
        <w:gridCol w:w="1313"/>
        <w:gridCol w:w="1166"/>
        <w:gridCol w:w="1168"/>
        <w:gridCol w:w="1156"/>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blHeader/>
          <w:jc w:val="center"/>
        </w:trPr>
        <w:tc>
          <w:tcPr>
            <w:tcW w:w="1176" w:type="dxa"/>
            <w:shd w:val="clear" w:color="auto" w:fill="auto"/>
            <w:vAlign w:val="center"/>
          </w:tcPr>
          <w:p>
            <w:pPr>
              <w:pStyle w:val="35"/>
            </w:pPr>
            <w:r>
              <w:rPr>
                <w:rFonts w:hint="eastAsia"/>
              </w:rPr>
              <w:t>支出类型</w:t>
            </w:r>
          </w:p>
        </w:tc>
        <w:tc>
          <w:tcPr>
            <w:tcW w:w="1313" w:type="dxa"/>
            <w:vAlign w:val="center"/>
          </w:tcPr>
          <w:p>
            <w:pPr>
              <w:pStyle w:val="35"/>
            </w:pPr>
            <w:r>
              <w:rPr>
                <w:rFonts w:hint="eastAsia" w:cs="宋体"/>
                <w:kern w:val="0"/>
              </w:rPr>
              <w:t>年初预算</w:t>
            </w:r>
          </w:p>
        </w:tc>
        <w:tc>
          <w:tcPr>
            <w:tcW w:w="1313" w:type="dxa"/>
            <w:vAlign w:val="center"/>
          </w:tcPr>
          <w:p>
            <w:pPr>
              <w:pStyle w:val="35"/>
            </w:pPr>
            <w:r>
              <w:rPr>
                <w:rFonts w:hint="eastAsia" w:cs="宋体"/>
                <w:kern w:val="0"/>
              </w:rPr>
              <w:t>调整预算</w:t>
            </w:r>
          </w:p>
        </w:tc>
        <w:tc>
          <w:tcPr>
            <w:tcW w:w="1166" w:type="dxa"/>
            <w:vAlign w:val="center"/>
          </w:tcPr>
          <w:p>
            <w:pPr>
              <w:pStyle w:val="35"/>
            </w:pPr>
            <w:r>
              <w:rPr>
                <w:rFonts w:hint="eastAsia"/>
              </w:rPr>
              <w:t>上年结余</w:t>
            </w:r>
          </w:p>
        </w:tc>
        <w:tc>
          <w:tcPr>
            <w:tcW w:w="1168" w:type="dxa"/>
            <w:vAlign w:val="center"/>
          </w:tcPr>
          <w:p>
            <w:pPr>
              <w:pStyle w:val="35"/>
              <w:rPr>
                <w:rFonts w:cs="宋体"/>
                <w:kern w:val="0"/>
              </w:rPr>
            </w:pPr>
            <w:r>
              <w:rPr>
                <w:rFonts w:hint="eastAsia" w:cs="宋体"/>
                <w:kern w:val="0"/>
              </w:rPr>
              <w:t>收入合计</w:t>
            </w:r>
          </w:p>
        </w:tc>
        <w:tc>
          <w:tcPr>
            <w:tcW w:w="1156" w:type="dxa"/>
            <w:vAlign w:val="center"/>
          </w:tcPr>
          <w:p>
            <w:pPr>
              <w:pStyle w:val="35"/>
              <w:rPr>
                <w:rFonts w:cs="宋体"/>
                <w:kern w:val="0"/>
              </w:rPr>
            </w:pPr>
            <w:r>
              <w:rPr>
                <w:rFonts w:hint="eastAsia" w:cs="宋体"/>
                <w:kern w:val="0"/>
              </w:rPr>
              <w:t>支出合计</w:t>
            </w:r>
          </w:p>
        </w:tc>
        <w:tc>
          <w:tcPr>
            <w:tcW w:w="1262" w:type="dxa"/>
            <w:shd w:val="clear" w:color="auto" w:fill="auto"/>
            <w:vAlign w:val="center"/>
          </w:tcPr>
          <w:p>
            <w:pPr>
              <w:pStyle w:val="35"/>
              <w:rPr>
                <w:rFonts w:cs="宋体"/>
                <w:kern w:val="0"/>
              </w:rPr>
            </w:pPr>
            <w:r>
              <w:rPr>
                <w:rFonts w:hint="eastAsia" w:cs="宋体"/>
                <w:kern w:val="0"/>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76" w:type="dxa"/>
            <w:shd w:val="clear" w:color="auto" w:fill="auto"/>
            <w:vAlign w:val="center"/>
          </w:tcPr>
          <w:p>
            <w:pPr>
              <w:pStyle w:val="37"/>
            </w:pPr>
            <w:r>
              <w:rPr>
                <w:rFonts w:hint="eastAsia"/>
              </w:rPr>
              <w:t>基本支出</w:t>
            </w:r>
          </w:p>
        </w:tc>
        <w:tc>
          <w:tcPr>
            <w:tcW w:w="1313" w:type="dxa"/>
            <w:vAlign w:val="center"/>
          </w:tcPr>
          <w:p>
            <w:pPr>
              <w:pStyle w:val="37"/>
              <w:rPr>
                <w:rFonts w:hint="default" w:eastAsia="宋体"/>
                <w:lang w:val="en-US" w:eastAsia="zh-CN"/>
              </w:rPr>
            </w:pPr>
            <w:r>
              <w:rPr>
                <w:rFonts w:hint="eastAsia"/>
                <w:lang w:val="en-US" w:eastAsia="zh-CN"/>
              </w:rPr>
              <w:t>826.73</w:t>
            </w:r>
          </w:p>
        </w:tc>
        <w:tc>
          <w:tcPr>
            <w:tcW w:w="1313" w:type="dxa"/>
            <w:vAlign w:val="center"/>
          </w:tcPr>
          <w:p>
            <w:pPr>
              <w:pStyle w:val="37"/>
              <w:rPr>
                <w:rFonts w:hint="default" w:eastAsia="宋体"/>
                <w:lang w:val="en-US" w:eastAsia="zh-CN"/>
              </w:rPr>
            </w:pPr>
            <w:r>
              <w:rPr>
                <w:rFonts w:hint="eastAsia"/>
                <w:lang w:val="en-US" w:eastAsia="zh-CN"/>
              </w:rPr>
              <w:t>874.32</w:t>
            </w:r>
          </w:p>
        </w:tc>
        <w:tc>
          <w:tcPr>
            <w:tcW w:w="1166" w:type="dxa"/>
            <w:vAlign w:val="center"/>
          </w:tcPr>
          <w:p>
            <w:pPr>
              <w:pStyle w:val="37"/>
              <w:rPr>
                <w:rFonts w:hint="default" w:eastAsia="宋体"/>
                <w:lang w:val="en-US" w:eastAsia="zh-CN"/>
              </w:rPr>
            </w:pPr>
            <w:r>
              <w:rPr>
                <w:rFonts w:hint="eastAsia"/>
                <w:lang w:val="en-US" w:eastAsia="zh-CN"/>
              </w:rPr>
              <w:t>14.36</w:t>
            </w:r>
          </w:p>
        </w:tc>
        <w:tc>
          <w:tcPr>
            <w:tcW w:w="1168" w:type="dxa"/>
            <w:vAlign w:val="center"/>
          </w:tcPr>
          <w:p>
            <w:pPr>
              <w:pStyle w:val="37"/>
              <w:rPr>
                <w:rFonts w:hint="default" w:eastAsia="宋体"/>
                <w:lang w:val="en-US" w:eastAsia="zh-CN"/>
              </w:rPr>
            </w:pPr>
            <w:r>
              <w:rPr>
                <w:rFonts w:hint="eastAsia"/>
                <w:lang w:val="en-US" w:eastAsia="zh-CN"/>
              </w:rPr>
              <w:t>859.96</w:t>
            </w:r>
          </w:p>
        </w:tc>
        <w:tc>
          <w:tcPr>
            <w:tcW w:w="1156" w:type="dxa"/>
            <w:vAlign w:val="center"/>
          </w:tcPr>
          <w:p>
            <w:pPr>
              <w:pStyle w:val="37"/>
            </w:pPr>
            <w:r>
              <w:rPr>
                <w:rFonts w:hint="eastAsia"/>
                <w:lang w:val="en-US" w:eastAsia="zh-CN"/>
              </w:rPr>
              <w:t>859.96</w:t>
            </w:r>
          </w:p>
        </w:tc>
        <w:tc>
          <w:tcPr>
            <w:tcW w:w="1262" w:type="dxa"/>
            <w:shd w:val="clear" w:color="auto" w:fill="auto"/>
            <w:vAlign w:val="center"/>
          </w:tcPr>
          <w:p>
            <w:pPr>
              <w:pStyle w:val="37"/>
              <w:rPr>
                <w:rFonts w:hint="default" w:eastAsia="宋体"/>
                <w:lang w:val="en-US" w:eastAsia="zh-CN"/>
              </w:rPr>
            </w:pPr>
            <w:r>
              <w:rPr>
                <w:rFonts w:hint="eastAsia"/>
                <w:lang w:val="en-US" w:eastAsia="zh-CN"/>
              </w:rPr>
              <w:t>98.36%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76" w:type="dxa"/>
            <w:shd w:val="clear" w:color="auto" w:fill="auto"/>
            <w:vAlign w:val="center"/>
          </w:tcPr>
          <w:p>
            <w:pPr>
              <w:pStyle w:val="37"/>
            </w:pPr>
            <w:r>
              <w:rPr>
                <w:rFonts w:hint="eastAsia"/>
              </w:rPr>
              <w:t>项目支出</w:t>
            </w:r>
          </w:p>
        </w:tc>
        <w:tc>
          <w:tcPr>
            <w:tcW w:w="1313" w:type="dxa"/>
            <w:vAlign w:val="center"/>
          </w:tcPr>
          <w:p>
            <w:pPr>
              <w:pStyle w:val="37"/>
              <w:rPr>
                <w:rFonts w:hint="default" w:eastAsia="宋体"/>
                <w:lang w:val="en-US" w:eastAsia="zh-CN"/>
              </w:rPr>
            </w:pPr>
            <w:r>
              <w:rPr>
                <w:rFonts w:hint="eastAsia"/>
                <w:lang w:val="en-US" w:eastAsia="zh-CN"/>
              </w:rPr>
              <w:t>70.84</w:t>
            </w:r>
          </w:p>
        </w:tc>
        <w:tc>
          <w:tcPr>
            <w:tcW w:w="1313" w:type="dxa"/>
            <w:vAlign w:val="center"/>
          </w:tcPr>
          <w:p>
            <w:pPr>
              <w:pStyle w:val="37"/>
              <w:rPr>
                <w:rFonts w:hint="default" w:eastAsia="宋体"/>
                <w:lang w:val="en-US" w:eastAsia="zh-CN"/>
              </w:rPr>
            </w:pPr>
            <w:r>
              <w:rPr>
                <w:rFonts w:hint="eastAsia"/>
                <w:lang w:val="en-US" w:eastAsia="zh-CN"/>
              </w:rPr>
              <w:t>73.66</w:t>
            </w:r>
          </w:p>
        </w:tc>
        <w:tc>
          <w:tcPr>
            <w:tcW w:w="1166" w:type="dxa"/>
            <w:vAlign w:val="center"/>
          </w:tcPr>
          <w:p>
            <w:pPr>
              <w:pStyle w:val="37"/>
              <w:rPr>
                <w:rFonts w:hint="default" w:eastAsia="宋体"/>
                <w:lang w:val="en-US" w:eastAsia="zh-CN"/>
              </w:rPr>
            </w:pPr>
            <w:r>
              <w:rPr>
                <w:rFonts w:hint="eastAsia"/>
                <w:lang w:val="en-US" w:eastAsia="zh-CN"/>
              </w:rPr>
              <w:t>0.00</w:t>
            </w:r>
          </w:p>
        </w:tc>
        <w:tc>
          <w:tcPr>
            <w:tcW w:w="1168" w:type="dxa"/>
            <w:vAlign w:val="center"/>
          </w:tcPr>
          <w:p>
            <w:pPr>
              <w:pStyle w:val="37"/>
            </w:pPr>
            <w:r>
              <w:rPr>
                <w:rFonts w:hint="eastAsia"/>
                <w:lang w:val="en-US" w:eastAsia="zh-CN"/>
              </w:rPr>
              <w:t>73.66</w:t>
            </w:r>
          </w:p>
        </w:tc>
        <w:tc>
          <w:tcPr>
            <w:tcW w:w="1156" w:type="dxa"/>
            <w:vAlign w:val="center"/>
          </w:tcPr>
          <w:p>
            <w:pPr>
              <w:pStyle w:val="37"/>
            </w:pPr>
            <w:r>
              <w:rPr>
                <w:rFonts w:hint="eastAsia"/>
                <w:lang w:val="en-US" w:eastAsia="zh-CN"/>
              </w:rPr>
              <w:t>73.66</w:t>
            </w:r>
          </w:p>
        </w:tc>
        <w:tc>
          <w:tcPr>
            <w:tcW w:w="1262" w:type="dxa"/>
            <w:shd w:val="clear" w:color="auto" w:fill="auto"/>
            <w:vAlign w:val="center"/>
          </w:tcPr>
          <w:p>
            <w:pPr>
              <w:pStyle w:val="37"/>
              <w:rPr>
                <w:rFonts w:hint="default" w:eastAsia="宋体"/>
                <w:lang w:val="en-US" w:eastAsia="zh-CN"/>
              </w:rPr>
            </w:pPr>
            <w:r>
              <w:rPr>
                <w:rFonts w:hint="eastAsia"/>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1176" w:type="dxa"/>
            <w:shd w:val="clear" w:color="auto" w:fill="auto"/>
            <w:vAlign w:val="center"/>
          </w:tcPr>
          <w:p>
            <w:pPr>
              <w:pStyle w:val="35"/>
            </w:pPr>
            <w:r>
              <w:rPr>
                <w:rFonts w:hint="eastAsia"/>
              </w:rPr>
              <w:t>合计</w:t>
            </w:r>
          </w:p>
        </w:tc>
        <w:tc>
          <w:tcPr>
            <w:tcW w:w="1313" w:type="dxa"/>
            <w:vAlign w:val="center"/>
          </w:tcPr>
          <w:p>
            <w:pPr>
              <w:pStyle w:val="35"/>
              <w:rPr>
                <w:rFonts w:hint="default" w:eastAsia="宋体" w:cs="Times New Roman"/>
                <w:lang w:val="en-US" w:eastAsia="zh-CN"/>
              </w:rPr>
            </w:pPr>
            <w:r>
              <w:rPr>
                <w:rFonts w:hint="eastAsia" w:cs="Times New Roman"/>
                <w:lang w:val="en-US" w:eastAsia="zh-CN"/>
              </w:rPr>
              <w:t>897.57</w:t>
            </w:r>
          </w:p>
        </w:tc>
        <w:tc>
          <w:tcPr>
            <w:tcW w:w="1313" w:type="dxa"/>
            <w:vAlign w:val="center"/>
          </w:tcPr>
          <w:p>
            <w:pPr>
              <w:pStyle w:val="35"/>
              <w:rPr>
                <w:rFonts w:hint="default" w:eastAsia="宋体" w:cs="Times New Roman"/>
                <w:lang w:val="en-US" w:eastAsia="zh-CN"/>
              </w:rPr>
            </w:pPr>
            <w:r>
              <w:rPr>
                <w:rFonts w:hint="eastAsia" w:cs="Times New Roman"/>
                <w:lang w:val="en-US" w:eastAsia="zh-CN"/>
              </w:rPr>
              <w:t>947.98</w:t>
            </w:r>
          </w:p>
        </w:tc>
        <w:tc>
          <w:tcPr>
            <w:tcW w:w="1166" w:type="dxa"/>
            <w:vAlign w:val="center"/>
          </w:tcPr>
          <w:p>
            <w:pPr>
              <w:pStyle w:val="35"/>
              <w:rPr>
                <w:rFonts w:hint="default" w:eastAsia="宋体" w:cs="Times New Roman"/>
                <w:lang w:val="en-US" w:eastAsia="zh-CN"/>
              </w:rPr>
            </w:pPr>
            <w:r>
              <w:rPr>
                <w:rFonts w:hint="eastAsia" w:cs="Times New Roman"/>
                <w:lang w:val="en-US" w:eastAsia="zh-CN"/>
              </w:rPr>
              <w:t>14.36</w:t>
            </w:r>
          </w:p>
        </w:tc>
        <w:tc>
          <w:tcPr>
            <w:tcW w:w="1168" w:type="dxa"/>
            <w:vAlign w:val="center"/>
          </w:tcPr>
          <w:p>
            <w:pPr>
              <w:pStyle w:val="35"/>
              <w:rPr>
                <w:rFonts w:hint="default" w:eastAsia="宋体" w:cs="Times New Roman"/>
                <w:lang w:val="en-US" w:eastAsia="zh-CN"/>
              </w:rPr>
            </w:pPr>
            <w:r>
              <w:rPr>
                <w:rFonts w:hint="eastAsia" w:cs="Times New Roman"/>
                <w:lang w:val="en-US" w:eastAsia="zh-CN"/>
              </w:rPr>
              <w:t>933.62</w:t>
            </w:r>
          </w:p>
        </w:tc>
        <w:tc>
          <w:tcPr>
            <w:tcW w:w="1156" w:type="dxa"/>
            <w:vAlign w:val="center"/>
          </w:tcPr>
          <w:p>
            <w:pPr>
              <w:pStyle w:val="35"/>
              <w:rPr>
                <w:rFonts w:hint="default" w:eastAsia="宋体" w:cs="Times New Roman"/>
                <w:lang w:val="en-US" w:eastAsia="zh-CN"/>
              </w:rPr>
            </w:pPr>
            <w:r>
              <w:rPr>
                <w:rFonts w:hint="eastAsia" w:cs="Times New Roman"/>
                <w:lang w:val="en-US" w:eastAsia="zh-CN"/>
              </w:rPr>
              <w:t>933.62</w:t>
            </w:r>
          </w:p>
        </w:tc>
        <w:tc>
          <w:tcPr>
            <w:tcW w:w="1262" w:type="dxa"/>
            <w:shd w:val="clear" w:color="auto" w:fill="auto"/>
            <w:vAlign w:val="center"/>
          </w:tcPr>
          <w:p>
            <w:pPr>
              <w:pStyle w:val="35"/>
              <w:rPr>
                <w:rFonts w:hint="default" w:eastAsia="宋体" w:cs="Times New Roman"/>
                <w:lang w:val="en-US" w:eastAsia="zh-CN"/>
              </w:rPr>
            </w:pPr>
            <w:r>
              <w:rPr>
                <w:rFonts w:hint="eastAsia" w:cs="Times New Roman"/>
                <w:lang w:val="en-US" w:eastAsia="zh-CN"/>
              </w:rPr>
              <w:t>98.49%</w:t>
            </w:r>
          </w:p>
        </w:tc>
      </w:tr>
    </w:tbl>
    <w:p>
      <w:pPr>
        <w:pStyle w:val="29"/>
        <w:pageBreakBefore w:val="0"/>
        <w:kinsoku/>
        <w:wordWrap/>
        <w:overflowPunct/>
        <w:topLinePunct w:val="0"/>
        <w:autoSpaceDE/>
        <w:autoSpaceDN/>
        <w:bidi w:val="0"/>
        <w:adjustRightInd/>
        <w:snapToGrid/>
        <w:spacing w:line="560" w:lineRule="exact"/>
        <w:ind w:firstLine="640"/>
        <w:rPr>
          <w:rFonts w:hint="eastAsia"/>
        </w:rPr>
      </w:pPr>
      <w:bookmarkStart w:id="7" w:name="_Toc17413"/>
      <w:r>
        <w:rPr>
          <w:rFonts w:hint="eastAsia"/>
        </w:rPr>
        <w:t>（五）部门整体绩效目标</w:t>
      </w:r>
      <w:bookmarkEnd w:id="7"/>
    </w:p>
    <w:p>
      <w:pPr>
        <w:pStyle w:val="25"/>
        <w:pageBreakBefore w:val="0"/>
        <w:kinsoku/>
        <w:wordWrap/>
        <w:overflowPunct/>
        <w:topLinePunct w:val="0"/>
        <w:autoSpaceDE/>
        <w:autoSpaceDN/>
        <w:bidi w:val="0"/>
        <w:adjustRightInd/>
        <w:snapToGrid/>
        <w:spacing w:line="560" w:lineRule="exact"/>
        <w:ind w:firstLine="640"/>
        <w:rPr>
          <w:rFonts w:hint="eastAsia" w:eastAsia="仿宋_GB2312"/>
          <w:lang w:eastAsia="zh-CN"/>
        </w:rPr>
      </w:pPr>
      <w:r>
        <w:rPr>
          <w:rFonts w:hint="eastAsia"/>
        </w:rPr>
        <w:t>目标1：通过支付人员工资及物业保障等经费，保障机构正常运转</w:t>
      </w:r>
      <w:r>
        <w:rPr>
          <w:rFonts w:hint="eastAsia"/>
          <w:lang w:eastAsia="zh-CN"/>
        </w:rPr>
        <w:t>。</w:t>
      </w:r>
    </w:p>
    <w:p>
      <w:pPr>
        <w:pStyle w:val="25"/>
        <w:pageBreakBefore w:val="0"/>
        <w:kinsoku/>
        <w:wordWrap/>
        <w:overflowPunct/>
        <w:topLinePunct w:val="0"/>
        <w:autoSpaceDE/>
        <w:autoSpaceDN/>
        <w:bidi w:val="0"/>
        <w:adjustRightInd/>
        <w:snapToGrid/>
        <w:spacing w:line="560" w:lineRule="exact"/>
        <w:ind w:firstLine="640"/>
        <w:rPr>
          <w:rFonts w:hint="eastAsia" w:eastAsia="仿宋_GB2312"/>
          <w:lang w:eastAsia="zh-CN"/>
        </w:rPr>
      </w:pPr>
      <w:r>
        <w:rPr>
          <w:rFonts w:hint="eastAsia"/>
        </w:rPr>
        <w:t>目标2：通过做好干部教育培训工作，提升人才队伍建设水平</w:t>
      </w:r>
      <w:r>
        <w:rPr>
          <w:rFonts w:hint="eastAsia"/>
          <w:lang w:eastAsia="zh-CN"/>
        </w:rPr>
        <w:t>。</w:t>
      </w:r>
    </w:p>
    <w:p>
      <w:pPr>
        <w:pStyle w:val="25"/>
        <w:pageBreakBefore w:val="0"/>
        <w:kinsoku/>
        <w:wordWrap/>
        <w:overflowPunct/>
        <w:topLinePunct w:val="0"/>
        <w:autoSpaceDE/>
        <w:autoSpaceDN/>
        <w:bidi w:val="0"/>
        <w:adjustRightInd/>
        <w:snapToGrid/>
        <w:spacing w:line="560" w:lineRule="exact"/>
        <w:ind w:firstLine="640"/>
        <w:rPr>
          <w:rFonts w:hint="eastAsia" w:eastAsia="仿宋_GB2312"/>
          <w:lang w:eastAsia="zh-CN"/>
        </w:rPr>
      </w:pPr>
      <w:r>
        <w:rPr>
          <w:rFonts w:hint="eastAsia"/>
        </w:rPr>
        <w:t>目标</w:t>
      </w:r>
      <w:r>
        <w:rPr>
          <w:rFonts w:hint="eastAsia"/>
          <w:lang w:val="en-US" w:eastAsia="zh-CN"/>
        </w:rPr>
        <w:t>3</w:t>
      </w:r>
      <w:r>
        <w:rPr>
          <w:rFonts w:hint="eastAsia"/>
        </w:rPr>
        <w:t>：通过党史研究、期刊、图书购置、相关课题及调研、革命遗址保护利用工作相关课题及图书出版、党史宣传教育等工作，提升党史工作管理水平</w:t>
      </w:r>
      <w:r>
        <w:rPr>
          <w:rFonts w:hint="eastAsia"/>
          <w:lang w:eastAsia="zh-CN"/>
        </w:rPr>
        <w:t>。</w:t>
      </w:r>
    </w:p>
    <w:p>
      <w:pPr>
        <w:pStyle w:val="27"/>
        <w:pageBreakBefore w:val="0"/>
        <w:kinsoku/>
        <w:wordWrap/>
        <w:overflowPunct/>
        <w:topLinePunct w:val="0"/>
        <w:autoSpaceDE/>
        <w:autoSpaceDN/>
        <w:bidi w:val="0"/>
        <w:adjustRightInd/>
        <w:snapToGrid/>
        <w:spacing w:line="560" w:lineRule="exact"/>
      </w:pPr>
      <w:bookmarkStart w:id="8" w:name="_Toc14338"/>
      <w:r>
        <w:rPr>
          <w:rFonts w:hint="eastAsia"/>
        </w:rPr>
        <w:t>二、绩效评价实施过程</w:t>
      </w:r>
      <w:bookmarkEnd w:id="8"/>
    </w:p>
    <w:p>
      <w:pPr>
        <w:pStyle w:val="48"/>
        <w:pageBreakBefore w:val="0"/>
        <w:kinsoku/>
        <w:wordWrap/>
        <w:overflowPunct/>
        <w:topLinePunct w:val="0"/>
        <w:autoSpaceDE/>
        <w:autoSpaceDN/>
        <w:bidi w:val="0"/>
        <w:adjustRightInd/>
        <w:snapToGrid/>
        <w:spacing w:line="560" w:lineRule="exact"/>
        <w:ind w:firstLine="640"/>
        <w:outlineLvl w:val="2"/>
        <w:rPr>
          <w:rFonts w:hint="eastAsia" w:ascii="楷体_GB2312" w:eastAsia="楷体_GB2312"/>
          <w:b w:val="0"/>
          <w:sz w:val="32"/>
          <w:szCs w:val="48"/>
        </w:rPr>
      </w:pPr>
      <w:bookmarkStart w:id="9" w:name="_Toc91375832"/>
      <w:bookmarkStart w:id="10" w:name="_Toc53326850"/>
      <w:bookmarkStart w:id="11" w:name="_Toc32298"/>
      <w:bookmarkStart w:id="12" w:name="_Toc91375445"/>
      <w:bookmarkStart w:id="13" w:name="_Toc53326851"/>
      <w:r>
        <w:rPr>
          <w:rFonts w:hint="eastAsia" w:ascii="楷体_GB2312" w:eastAsia="楷体_GB2312"/>
          <w:b w:val="0"/>
          <w:sz w:val="32"/>
          <w:szCs w:val="48"/>
        </w:rPr>
        <w:t>（一）评价原则和方法</w:t>
      </w:r>
      <w:bookmarkEnd w:id="9"/>
      <w:bookmarkEnd w:id="10"/>
      <w:bookmarkEnd w:id="11"/>
      <w:bookmarkEnd w:id="12"/>
    </w:p>
    <w:p>
      <w:pPr>
        <w:pStyle w:val="50"/>
        <w:pageBreakBefore w:val="0"/>
        <w:kinsoku/>
        <w:wordWrap/>
        <w:overflowPunct/>
        <w:topLinePunct w:val="0"/>
        <w:autoSpaceDE/>
        <w:autoSpaceDN/>
        <w:bidi w:val="0"/>
        <w:adjustRightInd/>
        <w:snapToGrid/>
        <w:spacing w:line="560" w:lineRule="exact"/>
      </w:pPr>
      <w:r>
        <w:rPr>
          <w:rFonts w:hint="eastAsia"/>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50"/>
        <w:pageBreakBefore w:val="0"/>
        <w:kinsoku/>
        <w:wordWrap/>
        <w:overflowPunct/>
        <w:topLinePunct w:val="0"/>
        <w:autoSpaceDE/>
        <w:autoSpaceDN/>
        <w:bidi w:val="0"/>
        <w:adjustRightInd/>
        <w:snapToGrid/>
        <w:spacing w:line="560" w:lineRule="exact"/>
      </w:pPr>
      <w:r>
        <w:rPr>
          <w:rFonts w:hint="eastAsia"/>
        </w:rPr>
        <w:t>1.指标分析法</w:t>
      </w:r>
    </w:p>
    <w:p>
      <w:pPr>
        <w:pStyle w:val="50"/>
        <w:pageBreakBefore w:val="0"/>
        <w:kinsoku/>
        <w:wordWrap/>
        <w:overflowPunct/>
        <w:topLinePunct w:val="0"/>
        <w:autoSpaceDE/>
        <w:autoSpaceDN/>
        <w:bidi w:val="0"/>
        <w:adjustRightInd/>
        <w:snapToGrid/>
        <w:spacing w:line="560" w:lineRule="exact"/>
      </w:pPr>
      <w:r>
        <w:rPr>
          <w:rFonts w:hint="eastAsia"/>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pPr>
        <w:pStyle w:val="50"/>
        <w:pageBreakBefore w:val="0"/>
        <w:kinsoku/>
        <w:wordWrap/>
        <w:overflowPunct/>
        <w:topLinePunct w:val="0"/>
        <w:autoSpaceDE/>
        <w:autoSpaceDN/>
        <w:bidi w:val="0"/>
        <w:adjustRightInd/>
        <w:snapToGrid/>
        <w:spacing w:line="560" w:lineRule="exact"/>
      </w:pPr>
      <w:r>
        <w:rPr>
          <w:rFonts w:hint="eastAsia"/>
        </w:rPr>
        <w:t>2.比较法</w:t>
      </w:r>
    </w:p>
    <w:p>
      <w:pPr>
        <w:pStyle w:val="50"/>
        <w:pageBreakBefore w:val="0"/>
        <w:kinsoku/>
        <w:wordWrap/>
        <w:overflowPunct/>
        <w:topLinePunct w:val="0"/>
        <w:autoSpaceDE/>
        <w:autoSpaceDN/>
        <w:bidi w:val="0"/>
        <w:adjustRightInd/>
        <w:snapToGrid/>
        <w:spacing w:line="560" w:lineRule="exact"/>
      </w:pPr>
      <w:r>
        <w:rPr>
          <w:rFonts w:hint="eastAsia"/>
        </w:rPr>
        <w:t>通过对预算单位绩效目标与预算单位履职效果、历史数据与当期数据情况、不同部门同类支出的比较，综合分析绩效目标实现程度。</w:t>
      </w:r>
    </w:p>
    <w:p>
      <w:pPr>
        <w:pStyle w:val="50"/>
        <w:pageBreakBefore w:val="0"/>
        <w:kinsoku/>
        <w:wordWrap/>
        <w:overflowPunct/>
        <w:topLinePunct w:val="0"/>
        <w:autoSpaceDE/>
        <w:autoSpaceDN/>
        <w:bidi w:val="0"/>
        <w:adjustRightInd/>
        <w:snapToGrid/>
        <w:spacing w:line="560" w:lineRule="exact"/>
      </w:pPr>
      <w:r>
        <w:rPr>
          <w:rFonts w:hint="eastAsia"/>
        </w:rPr>
        <w:t>3.专家咨询法</w:t>
      </w:r>
    </w:p>
    <w:p>
      <w:pPr>
        <w:pStyle w:val="50"/>
        <w:pageBreakBefore w:val="0"/>
        <w:kinsoku/>
        <w:wordWrap/>
        <w:overflowPunct/>
        <w:topLinePunct w:val="0"/>
        <w:autoSpaceDE/>
        <w:autoSpaceDN/>
        <w:bidi w:val="0"/>
        <w:adjustRightInd/>
        <w:snapToGrid/>
        <w:spacing w:line="560" w:lineRule="exact"/>
      </w:pPr>
      <w:r>
        <w:rPr>
          <w:rFonts w:hint="eastAsia"/>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50"/>
        <w:pageBreakBefore w:val="0"/>
        <w:kinsoku/>
        <w:wordWrap/>
        <w:overflowPunct/>
        <w:topLinePunct w:val="0"/>
        <w:autoSpaceDE/>
        <w:autoSpaceDN/>
        <w:bidi w:val="0"/>
        <w:adjustRightInd/>
        <w:snapToGrid/>
        <w:spacing w:line="560" w:lineRule="exact"/>
      </w:pPr>
      <w:r>
        <w:rPr>
          <w:rFonts w:hint="eastAsia"/>
        </w:rPr>
        <w:t>4.文献法</w:t>
      </w:r>
    </w:p>
    <w:p>
      <w:pPr>
        <w:pStyle w:val="50"/>
        <w:pageBreakBefore w:val="0"/>
        <w:kinsoku/>
        <w:wordWrap/>
        <w:overflowPunct/>
        <w:topLinePunct w:val="0"/>
        <w:autoSpaceDE/>
        <w:autoSpaceDN/>
        <w:bidi w:val="0"/>
        <w:adjustRightInd/>
        <w:snapToGrid/>
        <w:spacing w:line="560" w:lineRule="exact"/>
      </w:pPr>
      <w:r>
        <w:rPr>
          <w:rFonts w:hint="eastAsia"/>
        </w:rPr>
        <w:t>通过收集相关文献，对文献的研究形成对预算单位整体财政支出的产出和效果的科学认识，以达到客观评价的目的。</w:t>
      </w:r>
    </w:p>
    <w:p>
      <w:pPr>
        <w:pStyle w:val="50"/>
        <w:pageBreakBefore w:val="0"/>
        <w:kinsoku/>
        <w:wordWrap/>
        <w:overflowPunct/>
        <w:topLinePunct w:val="0"/>
        <w:autoSpaceDE/>
        <w:autoSpaceDN/>
        <w:bidi w:val="0"/>
        <w:adjustRightInd/>
        <w:snapToGrid/>
        <w:spacing w:line="560" w:lineRule="exact"/>
      </w:pPr>
      <w:r>
        <w:rPr>
          <w:rFonts w:hint="eastAsia"/>
        </w:rPr>
        <w:t>5.社会调查法</w:t>
      </w:r>
    </w:p>
    <w:p>
      <w:pPr>
        <w:pStyle w:val="50"/>
        <w:pageBreakBefore w:val="0"/>
        <w:kinsoku/>
        <w:wordWrap/>
        <w:overflowPunct/>
        <w:topLinePunct w:val="0"/>
        <w:autoSpaceDE/>
        <w:autoSpaceDN/>
        <w:bidi w:val="0"/>
        <w:adjustRightInd/>
        <w:snapToGrid/>
        <w:spacing w:line="560" w:lineRule="exact"/>
        <w:rPr>
          <w:szCs w:val="28"/>
        </w:rPr>
      </w:pPr>
      <w:r>
        <w:rPr>
          <w:rFonts w:hint="eastAsia"/>
        </w:rPr>
        <w:t>通过向公众开展问卷调查、实地访谈取得公众对预算单位财政支出效果的评判，评价绩效目标的实现程度。对于无法直接用评价指标考量其支出效益的，可以选择通过社会调查方式进行评价。</w:t>
      </w:r>
    </w:p>
    <w:p>
      <w:pPr>
        <w:pStyle w:val="48"/>
        <w:pageBreakBefore w:val="0"/>
        <w:kinsoku/>
        <w:wordWrap/>
        <w:overflowPunct/>
        <w:topLinePunct w:val="0"/>
        <w:autoSpaceDE/>
        <w:autoSpaceDN/>
        <w:bidi w:val="0"/>
        <w:adjustRightInd/>
        <w:snapToGrid/>
        <w:spacing w:line="560" w:lineRule="exact"/>
        <w:ind w:firstLine="640"/>
        <w:outlineLvl w:val="2"/>
        <w:rPr>
          <w:rFonts w:hint="eastAsia" w:ascii="楷体_GB2312" w:eastAsia="楷体_GB2312"/>
          <w:b w:val="0"/>
          <w:sz w:val="32"/>
          <w:szCs w:val="48"/>
        </w:rPr>
      </w:pPr>
      <w:bookmarkStart w:id="14" w:name="_Toc25093"/>
      <w:bookmarkStart w:id="15" w:name="_Toc91375446"/>
      <w:bookmarkStart w:id="16" w:name="_Toc91375833"/>
      <w:r>
        <w:rPr>
          <w:rFonts w:hint="eastAsia" w:ascii="楷体_GB2312" w:eastAsia="楷体_GB2312"/>
          <w:b w:val="0"/>
          <w:sz w:val="32"/>
          <w:szCs w:val="48"/>
        </w:rPr>
        <w:t>（二）评价依据</w:t>
      </w:r>
      <w:bookmarkEnd w:id="13"/>
      <w:bookmarkEnd w:id="14"/>
      <w:bookmarkEnd w:id="15"/>
      <w:bookmarkEnd w:id="16"/>
    </w:p>
    <w:p>
      <w:pPr>
        <w:pStyle w:val="50"/>
        <w:pageBreakBefore w:val="0"/>
        <w:kinsoku/>
        <w:wordWrap/>
        <w:overflowPunct/>
        <w:topLinePunct w:val="0"/>
        <w:autoSpaceDE/>
        <w:autoSpaceDN/>
        <w:bidi w:val="0"/>
        <w:adjustRightInd/>
        <w:snapToGrid/>
        <w:spacing w:line="560" w:lineRule="exact"/>
      </w:pPr>
      <w:r>
        <w:rPr>
          <w:rFonts w:hint="eastAsia"/>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pPr>
        <w:pStyle w:val="50"/>
        <w:pageBreakBefore w:val="0"/>
        <w:kinsoku/>
        <w:wordWrap/>
        <w:overflowPunct/>
        <w:topLinePunct w:val="0"/>
        <w:autoSpaceDE/>
        <w:autoSpaceDN/>
        <w:bidi w:val="0"/>
        <w:adjustRightInd/>
        <w:snapToGrid/>
        <w:spacing w:line="560" w:lineRule="exact"/>
        <w:rPr>
          <w:szCs w:val="28"/>
        </w:rPr>
      </w:pPr>
      <w:r>
        <w:rPr>
          <w:rFonts w:hint="eastAsia"/>
        </w:rPr>
        <w:t>本次部门整体支出绩效评价的主要依据与绩效评价相关的政策文件、资金及职能相关的政策文件，具体如下：</w:t>
      </w:r>
    </w:p>
    <w:p>
      <w:pPr>
        <w:pStyle w:val="50"/>
        <w:pageBreakBefore w:val="0"/>
        <w:kinsoku/>
        <w:wordWrap/>
        <w:overflowPunct/>
        <w:topLinePunct w:val="0"/>
        <w:autoSpaceDE/>
        <w:autoSpaceDN/>
        <w:bidi w:val="0"/>
        <w:adjustRightInd/>
        <w:snapToGrid/>
        <w:spacing w:line="560" w:lineRule="exact"/>
      </w:pPr>
      <w:r>
        <w:rPr>
          <w:rFonts w:hint="eastAsia"/>
        </w:rPr>
        <w:t>绩效评价相关政策文件：</w:t>
      </w:r>
    </w:p>
    <w:p>
      <w:pPr>
        <w:pStyle w:val="50"/>
        <w:pageBreakBefore w:val="0"/>
        <w:kinsoku/>
        <w:wordWrap/>
        <w:overflowPunct/>
        <w:topLinePunct w:val="0"/>
        <w:autoSpaceDE/>
        <w:autoSpaceDN/>
        <w:bidi w:val="0"/>
        <w:adjustRightInd/>
        <w:snapToGrid/>
        <w:spacing w:line="560" w:lineRule="exact"/>
      </w:pPr>
      <w:r>
        <w:rPr>
          <w:rFonts w:hint="eastAsia"/>
        </w:rPr>
        <w:t xml:space="preserve">1.《中共中央国务院关于全面实施预算绩效管理的意见》（中发〔2018〕 34号） </w:t>
      </w:r>
    </w:p>
    <w:p>
      <w:pPr>
        <w:pStyle w:val="50"/>
        <w:pageBreakBefore w:val="0"/>
        <w:kinsoku/>
        <w:wordWrap/>
        <w:overflowPunct/>
        <w:topLinePunct w:val="0"/>
        <w:autoSpaceDE/>
        <w:autoSpaceDN/>
        <w:bidi w:val="0"/>
        <w:adjustRightInd/>
        <w:snapToGrid/>
        <w:spacing w:line="560" w:lineRule="exact"/>
      </w:pPr>
      <w:r>
        <w:rPr>
          <w:rFonts w:hint="eastAsia"/>
        </w:rPr>
        <w:t>2.财政部关于贯彻落实《中共中央国务院关于全面实施预算绩效管理的意见》的通知（财预〔2018〕167号）</w:t>
      </w:r>
    </w:p>
    <w:p>
      <w:pPr>
        <w:pStyle w:val="50"/>
        <w:pageBreakBefore w:val="0"/>
        <w:kinsoku/>
        <w:wordWrap/>
        <w:overflowPunct/>
        <w:topLinePunct w:val="0"/>
        <w:autoSpaceDE/>
        <w:autoSpaceDN/>
        <w:bidi w:val="0"/>
        <w:adjustRightInd/>
        <w:snapToGrid/>
        <w:spacing w:line="560" w:lineRule="exact"/>
      </w:pPr>
      <w:r>
        <w:rPr>
          <w:rFonts w:hint="eastAsia"/>
        </w:rPr>
        <w:t>3.财政部关于印发《预算绩效评价共性指标体系框架》的通知（财预〔2013〕53号）</w:t>
      </w:r>
    </w:p>
    <w:p>
      <w:pPr>
        <w:pStyle w:val="50"/>
        <w:pageBreakBefore w:val="0"/>
        <w:kinsoku/>
        <w:wordWrap/>
        <w:overflowPunct/>
        <w:topLinePunct w:val="0"/>
        <w:autoSpaceDE/>
        <w:autoSpaceDN/>
        <w:bidi w:val="0"/>
        <w:adjustRightInd/>
        <w:snapToGrid/>
        <w:spacing w:line="560" w:lineRule="exact"/>
      </w:pPr>
      <w:r>
        <w:rPr>
          <w:rFonts w:hint="eastAsia"/>
        </w:rPr>
        <w:t>4.财政部关于印发《财政支出绩效评价管理暂行办法的通知》（财预〔2011〕285号）</w:t>
      </w:r>
    </w:p>
    <w:p>
      <w:pPr>
        <w:pStyle w:val="50"/>
        <w:pageBreakBefore w:val="0"/>
        <w:kinsoku/>
        <w:wordWrap/>
        <w:overflowPunct/>
        <w:topLinePunct w:val="0"/>
        <w:autoSpaceDE/>
        <w:autoSpaceDN/>
        <w:bidi w:val="0"/>
        <w:adjustRightInd/>
        <w:snapToGrid/>
        <w:spacing w:line="560" w:lineRule="exact"/>
      </w:pPr>
      <w:r>
        <w:rPr>
          <w:rFonts w:hint="eastAsia"/>
        </w:rPr>
        <w:t>5.预算支出绩效评价管理办法（征求意见稿）</w:t>
      </w:r>
    </w:p>
    <w:p>
      <w:pPr>
        <w:pStyle w:val="50"/>
        <w:pageBreakBefore w:val="0"/>
        <w:kinsoku/>
        <w:wordWrap/>
        <w:overflowPunct/>
        <w:topLinePunct w:val="0"/>
        <w:autoSpaceDE/>
        <w:autoSpaceDN/>
        <w:bidi w:val="0"/>
        <w:adjustRightInd/>
        <w:snapToGrid/>
        <w:spacing w:line="560" w:lineRule="exact"/>
      </w:pPr>
      <w:r>
        <w:rPr>
          <w:rFonts w:hint="eastAsia"/>
        </w:rPr>
        <w:t>6.天津市财政局关于印发天津市市级部门（单位）整体支出绩效目标管理办法（试行）的通知（津财预〔2015〕102号）</w:t>
      </w:r>
    </w:p>
    <w:p>
      <w:pPr>
        <w:pStyle w:val="50"/>
        <w:pageBreakBefore w:val="0"/>
        <w:kinsoku/>
        <w:wordWrap/>
        <w:overflowPunct/>
        <w:topLinePunct w:val="0"/>
        <w:autoSpaceDE/>
        <w:autoSpaceDN/>
        <w:bidi w:val="0"/>
        <w:adjustRightInd/>
        <w:snapToGrid/>
        <w:spacing w:line="560" w:lineRule="exact"/>
      </w:pPr>
      <w:r>
        <w:rPr>
          <w:rFonts w:hint="eastAsia"/>
        </w:rPr>
        <w:t>7.天津市财政局关于印发天津市市级部门整体支出绩效评价方案（试行）的通知（津财预〔2015〕81号）</w:t>
      </w:r>
    </w:p>
    <w:p>
      <w:pPr>
        <w:pStyle w:val="50"/>
        <w:pageBreakBefore w:val="0"/>
        <w:kinsoku/>
        <w:wordWrap/>
        <w:overflowPunct/>
        <w:topLinePunct w:val="0"/>
        <w:autoSpaceDE/>
        <w:autoSpaceDN/>
        <w:bidi w:val="0"/>
        <w:adjustRightInd/>
        <w:snapToGrid/>
        <w:spacing w:line="560" w:lineRule="exact"/>
      </w:pPr>
      <w:r>
        <w:rPr>
          <w:rFonts w:hint="eastAsia"/>
        </w:rPr>
        <w:t>8.关于印发《天津市财政支出重点项目绩效评价文书样式》的通知（津财督〔2012〕17号）</w:t>
      </w:r>
    </w:p>
    <w:p>
      <w:pPr>
        <w:pStyle w:val="50"/>
        <w:pageBreakBefore w:val="0"/>
        <w:kinsoku/>
        <w:wordWrap/>
        <w:overflowPunct/>
        <w:topLinePunct w:val="0"/>
        <w:autoSpaceDE/>
        <w:autoSpaceDN/>
        <w:bidi w:val="0"/>
        <w:adjustRightInd/>
        <w:snapToGrid/>
        <w:spacing w:line="560" w:lineRule="exact"/>
      </w:pPr>
      <w:r>
        <w:rPr>
          <w:rFonts w:hint="eastAsia"/>
        </w:rPr>
        <w:t>9.关于印发《天津市财政部门绩效评价工作规程》的通知（津财督〔2012〕8号）</w:t>
      </w:r>
    </w:p>
    <w:p>
      <w:pPr>
        <w:pStyle w:val="50"/>
        <w:pageBreakBefore w:val="0"/>
        <w:kinsoku/>
        <w:wordWrap/>
        <w:overflowPunct/>
        <w:topLinePunct w:val="0"/>
        <w:autoSpaceDE/>
        <w:autoSpaceDN/>
        <w:bidi w:val="0"/>
        <w:adjustRightInd/>
        <w:snapToGrid/>
        <w:spacing w:line="560" w:lineRule="exact"/>
      </w:pPr>
      <w:r>
        <w:rPr>
          <w:rFonts w:hint="eastAsia"/>
        </w:rPr>
        <w:t>10.转发市财政局拟定的天津市财政支出绩效评价管理办法的通知（津政办发〔2012〕2号）</w:t>
      </w:r>
    </w:p>
    <w:p>
      <w:pPr>
        <w:pStyle w:val="50"/>
        <w:pageBreakBefore w:val="0"/>
        <w:kinsoku/>
        <w:wordWrap/>
        <w:overflowPunct/>
        <w:topLinePunct w:val="0"/>
        <w:autoSpaceDE/>
        <w:autoSpaceDN/>
        <w:bidi w:val="0"/>
        <w:adjustRightInd/>
        <w:snapToGrid/>
        <w:spacing w:line="560" w:lineRule="exact"/>
      </w:pPr>
      <w:r>
        <w:rPr>
          <w:rFonts w:hint="eastAsia"/>
        </w:rPr>
        <w:t>绩效评价主要依据文件或资料：</w:t>
      </w:r>
    </w:p>
    <w:p>
      <w:pPr>
        <w:pStyle w:val="50"/>
        <w:pageBreakBefore w:val="0"/>
        <w:kinsoku/>
        <w:wordWrap/>
        <w:overflowPunct/>
        <w:topLinePunct w:val="0"/>
        <w:autoSpaceDE/>
        <w:autoSpaceDN/>
        <w:bidi w:val="0"/>
        <w:adjustRightInd/>
        <w:snapToGrid/>
        <w:spacing w:line="560" w:lineRule="exact"/>
        <w:rPr>
          <w:rFonts w:hint="eastAsia"/>
        </w:rPr>
      </w:pPr>
      <w:r>
        <w:rPr>
          <w:rFonts w:hint="eastAsia"/>
        </w:rPr>
        <w:t>1.中共天津市</w:t>
      </w:r>
      <w:r>
        <w:rPr>
          <w:rFonts w:hint="eastAsia"/>
          <w:lang w:val="en-US" w:eastAsia="zh-CN"/>
        </w:rPr>
        <w:t>和平</w:t>
      </w:r>
      <w:r>
        <w:rPr>
          <w:rFonts w:hint="eastAsia"/>
        </w:rPr>
        <w:t>区委党校三定方案</w:t>
      </w:r>
    </w:p>
    <w:p>
      <w:pPr>
        <w:pStyle w:val="50"/>
        <w:pageBreakBefore w:val="0"/>
        <w:kinsoku/>
        <w:wordWrap/>
        <w:overflowPunct/>
        <w:topLinePunct w:val="0"/>
        <w:autoSpaceDE/>
        <w:autoSpaceDN/>
        <w:bidi w:val="0"/>
        <w:adjustRightInd/>
        <w:snapToGrid/>
        <w:spacing w:line="560" w:lineRule="exact"/>
        <w:rPr>
          <w:rFonts w:hint="eastAsia"/>
        </w:rPr>
      </w:pPr>
      <w:r>
        <w:rPr>
          <w:rFonts w:hint="eastAsia"/>
        </w:rPr>
        <w:t>2.中共天津市</w:t>
      </w:r>
      <w:r>
        <w:rPr>
          <w:rFonts w:hint="eastAsia"/>
          <w:lang w:val="en-US" w:eastAsia="zh-CN"/>
        </w:rPr>
        <w:t>和平</w:t>
      </w:r>
      <w:r>
        <w:rPr>
          <w:rFonts w:hint="eastAsia"/>
        </w:rPr>
        <w:t>区委党校内部控制制度</w:t>
      </w:r>
    </w:p>
    <w:p>
      <w:pPr>
        <w:pStyle w:val="50"/>
        <w:pageBreakBefore w:val="0"/>
        <w:kinsoku/>
        <w:wordWrap/>
        <w:overflowPunct/>
        <w:topLinePunct w:val="0"/>
        <w:autoSpaceDE/>
        <w:autoSpaceDN/>
        <w:bidi w:val="0"/>
        <w:adjustRightInd/>
        <w:snapToGrid/>
        <w:spacing w:line="560" w:lineRule="exact"/>
        <w:rPr>
          <w:rFonts w:hint="eastAsia"/>
        </w:rPr>
      </w:pPr>
      <w:r>
        <w:rPr>
          <w:rFonts w:hint="eastAsia"/>
        </w:rPr>
        <w:t>3.中共天津市</w:t>
      </w:r>
      <w:r>
        <w:rPr>
          <w:rFonts w:hint="eastAsia"/>
          <w:lang w:val="en-US" w:eastAsia="zh-CN"/>
        </w:rPr>
        <w:t>和平</w:t>
      </w:r>
      <w:r>
        <w:rPr>
          <w:rFonts w:hint="eastAsia"/>
        </w:rPr>
        <w:t>区委党校202</w:t>
      </w:r>
      <w:r>
        <w:rPr>
          <w:rFonts w:hint="eastAsia"/>
          <w:lang w:val="en-US" w:eastAsia="zh-CN"/>
        </w:rPr>
        <w:t>3</w:t>
      </w:r>
      <w:r>
        <w:rPr>
          <w:rFonts w:hint="eastAsia"/>
        </w:rPr>
        <w:t>年工作计划</w:t>
      </w:r>
    </w:p>
    <w:p>
      <w:pPr>
        <w:pStyle w:val="50"/>
        <w:pageBreakBefore w:val="0"/>
        <w:kinsoku/>
        <w:wordWrap/>
        <w:overflowPunct/>
        <w:topLinePunct w:val="0"/>
        <w:autoSpaceDE/>
        <w:autoSpaceDN/>
        <w:bidi w:val="0"/>
        <w:adjustRightInd/>
        <w:snapToGrid/>
        <w:spacing w:line="560" w:lineRule="exact"/>
      </w:pPr>
      <w:r>
        <w:rPr>
          <w:rFonts w:hint="eastAsia"/>
        </w:rPr>
        <w:t>4.中共天津市</w:t>
      </w:r>
      <w:r>
        <w:rPr>
          <w:rFonts w:hint="eastAsia"/>
          <w:lang w:val="en-US" w:eastAsia="zh-CN"/>
        </w:rPr>
        <w:t>和平</w:t>
      </w:r>
      <w:r>
        <w:rPr>
          <w:rFonts w:hint="eastAsia"/>
        </w:rPr>
        <w:t>区委党校202</w:t>
      </w:r>
      <w:r>
        <w:rPr>
          <w:rFonts w:hint="eastAsia"/>
          <w:lang w:val="en-US" w:eastAsia="zh-CN"/>
        </w:rPr>
        <w:t>3</w:t>
      </w:r>
      <w:r>
        <w:rPr>
          <w:rFonts w:hint="eastAsia"/>
        </w:rPr>
        <w:t>年工作总结</w:t>
      </w:r>
    </w:p>
    <w:p>
      <w:pPr>
        <w:pStyle w:val="48"/>
        <w:pageBreakBefore w:val="0"/>
        <w:kinsoku/>
        <w:wordWrap/>
        <w:overflowPunct/>
        <w:topLinePunct w:val="0"/>
        <w:autoSpaceDE/>
        <w:autoSpaceDN/>
        <w:bidi w:val="0"/>
        <w:adjustRightInd/>
        <w:snapToGrid/>
        <w:spacing w:line="560" w:lineRule="exact"/>
        <w:ind w:firstLine="640"/>
        <w:jc w:val="both"/>
        <w:outlineLvl w:val="2"/>
        <w:rPr>
          <w:rFonts w:hint="eastAsia" w:ascii="楷体_GB2312" w:eastAsia="楷体_GB2312"/>
          <w:b w:val="0"/>
          <w:sz w:val="32"/>
          <w:szCs w:val="48"/>
        </w:rPr>
      </w:pPr>
      <w:bookmarkStart w:id="17" w:name="_Toc53326852"/>
      <w:bookmarkStart w:id="18" w:name="_Toc91375834"/>
      <w:bookmarkStart w:id="19" w:name="_Toc91375447"/>
      <w:bookmarkStart w:id="20" w:name="_Toc32111"/>
      <w:r>
        <w:rPr>
          <w:rFonts w:hint="eastAsia" w:ascii="楷体_GB2312" w:eastAsia="楷体_GB2312"/>
          <w:b w:val="0"/>
          <w:sz w:val="32"/>
          <w:szCs w:val="48"/>
        </w:rPr>
        <w:t>（三）评价目的</w:t>
      </w:r>
      <w:bookmarkEnd w:id="17"/>
      <w:bookmarkEnd w:id="18"/>
      <w:bookmarkEnd w:id="19"/>
      <w:bookmarkEnd w:id="20"/>
    </w:p>
    <w:p>
      <w:pPr>
        <w:pStyle w:val="50"/>
        <w:pageBreakBefore w:val="0"/>
        <w:kinsoku/>
        <w:wordWrap/>
        <w:overflowPunct/>
        <w:topLinePunct w:val="0"/>
        <w:autoSpaceDE/>
        <w:autoSpaceDN/>
        <w:bidi w:val="0"/>
        <w:adjustRightInd/>
        <w:snapToGrid/>
        <w:spacing w:line="560" w:lineRule="exact"/>
        <w:rPr>
          <w:lang w:val="zh-CN"/>
        </w:rPr>
      </w:pPr>
      <w:r>
        <w:rPr>
          <w:rFonts w:hint="eastAsia"/>
          <w:lang w:val="zh-CN"/>
        </w:rPr>
        <w:t>分析</w:t>
      </w:r>
      <w:r>
        <w:rPr>
          <w:rFonts w:hint="eastAsia"/>
        </w:rPr>
        <w:t>和平区委党校</w:t>
      </w:r>
      <w:r>
        <w:rPr>
          <w:rFonts w:hint="eastAsia"/>
          <w:lang w:val="zh-CN"/>
        </w:rPr>
        <w:t>目标计划完成与履职情况，总结经验做法，找出资金使用和管理的薄弱环节，提出改进意见，提高财政资金的使用效率。同时重点关注：</w:t>
      </w:r>
    </w:p>
    <w:p>
      <w:pPr>
        <w:pStyle w:val="50"/>
        <w:pageBreakBefore w:val="0"/>
        <w:kinsoku/>
        <w:wordWrap/>
        <w:overflowPunct/>
        <w:topLinePunct w:val="0"/>
        <w:autoSpaceDE/>
        <w:autoSpaceDN/>
        <w:bidi w:val="0"/>
        <w:adjustRightInd/>
        <w:snapToGrid/>
        <w:spacing w:line="560" w:lineRule="exact"/>
        <w:rPr>
          <w:lang w:val="zh-CN"/>
        </w:rPr>
      </w:pPr>
      <w:r>
        <w:rPr>
          <w:rFonts w:hint="eastAsia"/>
          <w:lang w:val="zh-CN"/>
        </w:rPr>
        <w:t>第一，关注整体支出中经常性业务活动的预算变动情况，通过资金数据的采集，对变动原因进行了解和分析，判断预算变动的合理性。</w:t>
      </w:r>
    </w:p>
    <w:p>
      <w:pPr>
        <w:pStyle w:val="50"/>
        <w:pageBreakBefore w:val="0"/>
        <w:kinsoku/>
        <w:wordWrap/>
        <w:overflowPunct/>
        <w:topLinePunct w:val="0"/>
        <w:autoSpaceDE/>
        <w:autoSpaceDN/>
        <w:bidi w:val="0"/>
        <w:adjustRightInd/>
        <w:snapToGrid/>
        <w:spacing w:line="560" w:lineRule="exact"/>
        <w:rPr>
          <w:lang w:val="zh-CN"/>
        </w:rPr>
      </w:pPr>
      <w:r>
        <w:rPr>
          <w:rFonts w:hint="eastAsia"/>
          <w:lang w:val="zh-CN"/>
        </w:rPr>
        <w:t>第二，关注整体支出规范性，通过整理相关政策、文献及其他相关标准，结合实际支出使用情况，评价资金使用的规范性；同时关注是否建立健全部门资金使用的相关制度。</w:t>
      </w:r>
    </w:p>
    <w:p>
      <w:pPr>
        <w:pStyle w:val="50"/>
        <w:pageBreakBefore w:val="0"/>
        <w:kinsoku/>
        <w:wordWrap/>
        <w:overflowPunct/>
        <w:topLinePunct w:val="0"/>
        <w:autoSpaceDE/>
        <w:autoSpaceDN/>
        <w:bidi w:val="0"/>
        <w:adjustRightInd/>
        <w:snapToGrid/>
        <w:spacing w:line="560" w:lineRule="exact"/>
        <w:rPr>
          <w:szCs w:val="28"/>
        </w:rPr>
      </w:pPr>
      <w:r>
        <w:rPr>
          <w:rFonts w:hint="eastAsia"/>
          <w:lang w:val="zh-CN"/>
        </w:rPr>
        <w:t>第三，关注履职和产出的实现，评价小组围绕重点职责的履行情况，以及职能的实现程度，主要从工作的整体效果、各项目标的实现程度、社会各界的满意程度等方面来评价</w:t>
      </w:r>
      <w:r>
        <w:rPr>
          <w:rFonts w:hint="eastAsia"/>
        </w:rPr>
        <w:t>和平区委党校</w:t>
      </w:r>
      <w:r>
        <w:rPr>
          <w:rFonts w:hint="eastAsia"/>
          <w:lang w:val="zh-CN"/>
        </w:rPr>
        <w:t>整体职能的履行情况。</w:t>
      </w:r>
    </w:p>
    <w:p>
      <w:pPr>
        <w:pStyle w:val="48"/>
        <w:pageBreakBefore w:val="0"/>
        <w:kinsoku/>
        <w:wordWrap/>
        <w:overflowPunct/>
        <w:topLinePunct w:val="0"/>
        <w:autoSpaceDE/>
        <w:autoSpaceDN/>
        <w:bidi w:val="0"/>
        <w:adjustRightInd/>
        <w:snapToGrid/>
        <w:spacing w:line="560" w:lineRule="exact"/>
        <w:ind w:firstLine="640"/>
        <w:outlineLvl w:val="2"/>
        <w:rPr>
          <w:rFonts w:hint="eastAsia" w:ascii="楷体_GB2312" w:eastAsia="楷体_GB2312"/>
          <w:b w:val="0"/>
          <w:sz w:val="32"/>
          <w:szCs w:val="48"/>
        </w:rPr>
      </w:pPr>
      <w:bookmarkStart w:id="21" w:name="_Toc22641"/>
      <w:bookmarkStart w:id="22" w:name="_Toc91375448"/>
      <w:bookmarkStart w:id="23" w:name="_Toc91375835"/>
      <w:bookmarkStart w:id="24" w:name="_Toc53326853"/>
      <w:r>
        <w:rPr>
          <w:rFonts w:hint="eastAsia" w:ascii="楷体_GB2312" w:eastAsia="楷体_GB2312"/>
          <w:b w:val="0"/>
          <w:sz w:val="32"/>
          <w:szCs w:val="48"/>
        </w:rPr>
        <w:t>（四）评价对象和范围</w:t>
      </w:r>
      <w:bookmarkEnd w:id="21"/>
      <w:bookmarkEnd w:id="22"/>
      <w:bookmarkEnd w:id="23"/>
      <w:bookmarkEnd w:id="24"/>
    </w:p>
    <w:p>
      <w:pPr>
        <w:pStyle w:val="50"/>
        <w:pageBreakBefore w:val="0"/>
        <w:kinsoku/>
        <w:wordWrap/>
        <w:overflowPunct/>
        <w:topLinePunct w:val="0"/>
        <w:autoSpaceDE/>
        <w:autoSpaceDN/>
        <w:bidi w:val="0"/>
        <w:adjustRightInd/>
        <w:snapToGrid/>
        <w:spacing w:line="560" w:lineRule="exact"/>
      </w:pPr>
      <w:r>
        <w:rPr>
          <w:rFonts w:hint="eastAsia"/>
        </w:rPr>
        <w:t>本次评价对象为和平区委党校部门整体支出。绩效评价范围为纳入部门预算管理的资金，从支出类型看包括基本支出和项目支出。</w:t>
      </w:r>
    </w:p>
    <w:p>
      <w:pPr>
        <w:pStyle w:val="50"/>
        <w:pageBreakBefore w:val="0"/>
        <w:kinsoku/>
        <w:wordWrap/>
        <w:overflowPunct/>
        <w:topLinePunct w:val="0"/>
        <w:autoSpaceDE/>
        <w:autoSpaceDN/>
        <w:bidi w:val="0"/>
        <w:adjustRightInd/>
        <w:snapToGrid/>
        <w:spacing w:line="560" w:lineRule="exact"/>
        <w:rPr>
          <w:szCs w:val="28"/>
        </w:rPr>
      </w:pPr>
      <w:r>
        <w:rPr>
          <w:rFonts w:hint="eastAsia"/>
        </w:rPr>
        <w:t>本次评价的评价时段为20</w:t>
      </w:r>
      <w:r>
        <w:rPr>
          <w:rFonts w:hint="eastAsia"/>
          <w:lang w:val="en-US" w:eastAsia="zh-CN"/>
        </w:rPr>
        <w:t>23</w:t>
      </w:r>
      <w:r>
        <w:rPr>
          <w:rFonts w:hint="eastAsia"/>
        </w:rPr>
        <w:t>年度。</w:t>
      </w:r>
    </w:p>
    <w:p>
      <w:pPr>
        <w:pStyle w:val="48"/>
        <w:pageBreakBefore w:val="0"/>
        <w:kinsoku/>
        <w:wordWrap/>
        <w:overflowPunct/>
        <w:topLinePunct w:val="0"/>
        <w:autoSpaceDE/>
        <w:autoSpaceDN/>
        <w:bidi w:val="0"/>
        <w:adjustRightInd/>
        <w:snapToGrid/>
        <w:spacing w:line="560" w:lineRule="exact"/>
        <w:ind w:firstLine="640"/>
        <w:jc w:val="both"/>
        <w:outlineLvl w:val="2"/>
        <w:rPr>
          <w:rFonts w:hint="eastAsia" w:ascii="楷体_GB2312" w:eastAsia="楷体_GB2312"/>
          <w:b w:val="0"/>
          <w:sz w:val="32"/>
          <w:szCs w:val="48"/>
        </w:rPr>
      </w:pPr>
      <w:bookmarkStart w:id="25" w:name="_Toc53326854"/>
      <w:bookmarkStart w:id="26" w:name="_Toc91375449"/>
      <w:bookmarkStart w:id="27" w:name="_Toc31003"/>
      <w:bookmarkStart w:id="28" w:name="_Toc91375836"/>
      <w:r>
        <w:rPr>
          <w:rFonts w:hint="eastAsia" w:ascii="楷体_GB2312" w:eastAsia="楷体_GB2312"/>
          <w:b w:val="0"/>
          <w:sz w:val="32"/>
          <w:szCs w:val="48"/>
        </w:rPr>
        <w:t>（五）评价思路</w:t>
      </w:r>
      <w:bookmarkEnd w:id="25"/>
      <w:bookmarkEnd w:id="26"/>
      <w:bookmarkEnd w:id="27"/>
      <w:bookmarkEnd w:id="28"/>
    </w:p>
    <w:p>
      <w:pPr>
        <w:pStyle w:val="50"/>
        <w:pageBreakBefore w:val="0"/>
        <w:kinsoku/>
        <w:wordWrap/>
        <w:overflowPunct/>
        <w:topLinePunct w:val="0"/>
        <w:autoSpaceDE/>
        <w:autoSpaceDN/>
        <w:bidi w:val="0"/>
        <w:adjustRightInd/>
        <w:snapToGrid/>
        <w:spacing w:line="560" w:lineRule="exact"/>
      </w:pPr>
      <w:bookmarkStart w:id="29" w:name="_Toc53326855"/>
      <w:r>
        <w:rPr>
          <w:rFonts w:hint="eastAsia"/>
        </w:rPr>
        <w:t>1.评价内容及重点</w:t>
      </w:r>
      <w:bookmarkEnd w:id="29"/>
    </w:p>
    <w:p>
      <w:pPr>
        <w:pStyle w:val="50"/>
        <w:pageBreakBefore w:val="0"/>
        <w:kinsoku/>
        <w:wordWrap/>
        <w:overflowPunct/>
        <w:topLinePunct w:val="0"/>
        <w:autoSpaceDE/>
        <w:autoSpaceDN/>
        <w:bidi w:val="0"/>
        <w:adjustRightInd/>
        <w:snapToGrid/>
        <w:spacing w:line="560" w:lineRule="exact"/>
      </w:pPr>
      <w:r>
        <w:rPr>
          <w:rFonts w:hint="eastAsia"/>
        </w:rPr>
        <w:t>整体财政支出绩效评价的实施，从财政资金的预算和执行的角度，考察工作目标、履职、内部管理、运行效率之间的关系。评价重点在以下几个方面：</w:t>
      </w:r>
    </w:p>
    <w:p>
      <w:pPr>
        <w:pStyle w:val="50"/>
        <w:pageBreakBefore w:val="0"/>
        <w:kinsoku/>
        <w:wordWrap/>
        <w:overflowPunct/>
        <w:topLinePunct w:val="0"/>
        <w:autoSpaceDE/>
        <w:autoSpaceDN/>
        <w:bidi w:val="0"/>
        <w:adjustRightInd/>
        <w:snapToGrid/>
        <w:spacing w:line="560" w:lineRule="exact"/>
      </w:pPr>
      <w:r>
        <w:rPr>
          <w:rFonts w:hint="eastAsia"/>
        </w:rPr>
        <w:t>（1）预算单位职能---工作目标---项目安排---预算的匹配关系</w:t>
      </w:r>
    </w:p>
    <w:p>
      <w:pPr>
        <w:pStyle w:val="50"/>
        <w:pageBreakBefore w:val="0"/>
        <w:kinsoku/>
        <w:wordWrap/>
        <w:overflowPunct/>
        <w:topLinePunct w:val="0"/>
        <w:autoSpaceDE/>
        <w:autoSpaceDN/>
        <w:bidi w:val="0"/>
        <w:adjustRightInd/>
        <w:snapToGrid/>
        <w:spacing w:line="560" w:lineRule="exact"/>
      </w:pPr>
      <w:r>
        <w:rPr>
          <w:rFonts w:hint="eastAsia"/>
        </w:rPr>
        <w:t>整体财政支出绩效评价以单位职能和主要职责内容为切入点，评价分析和平区委党校的职能、总体目标、年度工作计划及任务、项目安排及预算之间的关联性和匹配性。</w:t>
      </w:r>
    </w:p>
    <w:p>
      <w:pPr>
        <w:pStyle w:val="50"/>
        <w:pageBreakBefore w:val="0"/>
        <w:kinsoku/>
        <w:wordWrap/>
        <w:overflowPunct/>
        <w:topLinePunct w:val="0"/>
        <w:autoSpaceDE/>
        <w:autoSpaceDN/>
        <w:bidi w:val="0"/>
        <w:adjustRightInd/>
        <w:snapToGrid/>
        <w:spacing w:line="560" w:lineRule="exact"/>
      </w:pPr>
      <w:r>
        <w:rPr>
          <w:rFonts w:hint="eastAsia"/>
        </w:rPr>
        <w:t>（2）预算单位制度保障情况</w:t>
      </w:r>
    </w:p>
    <w:p>
      <w:pPr>
        <w:pStyle w:val="50"/>
        <w:pageBreakBefore w:val="0"/>
        <w:kinsoku/>
        <w:wordWrap/>
        <w:overflowPunct/>
        <w:topLinePunct w:val="0"/>
        <w:autoSpaceDE/>
        <w:autoSpaceDN/>
        <w:bidi w:val="0"/>
        <w:adjustRightInd/>
        <w:snapToGrid/>
        <w:spacing w:line="560" w:lineRule="exact"/>
      </w:pPr>
      <w:r>
        <w:rPr>
          <w:rFonts w:hint="eastAsia"/>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pPr>
        <w:pStyle w:val="50"/>
        <w:pageBreakBefore w:val="0"/>
        <w:kinsoku/>
        <w:wordWrap/>
        <w:overflowPunct/>
        <w:topLinePunct w:val="0"/>
        <w:autoSpaceDE/>
        <w:autoSpaceDN/>
        <w:bidi w:val="0"/>
        <w:adjustRightInd/>
        <w:snapToGrid/>
        <w:spacing w:line="560" w:lineRule="exact"/>
      </w:pPr>
      <w:r>
        <w:rPr>
          <w:rFonts w:hint="eastAsia"/>
        </w:rPr>
        <w:t>（3）预算单位履职的有效性</w:t>
      </w:r>
    </w:p>
    <w:p>
      <w:pPr>
        <w:pStyle w:val="50"/>
        <w:pageBreakBefore w:val="0"/>
        <w:kinsoku/>
        <w:wordWrap/>
        <w:overflowPunct/>
        <w:topLinePunct w:val="0"/>
        <w:autoSpaceDE/>
        <w:autoSpaceDN/>
        <w:bidi w:val="0"/>
        <w:adjustRightInd/>
        <w:snapToGrid/>
        <w:spacing w:line="560" w:lineRule="exact"/>
      </w:pPr>
      <w:r>
        <w:rPr>
          <w:rFonts w:hint="eastAsia"/>
        </w:rPr>
        <w:t>整体财政支出绩效评价要围绕职能履行的有效性，主要评价部门是否履职到位、履职目标是否实现、工作计划是否完成。</w:t>
      </w:r>
    </w:p>
    <w:p>
      <w:pPr>
        <w:pStyle w:val="50"/>
        <w:pageBreakBefore w:val="0"/>
        <w:kinsoku/>
        <w:wordWrap/>
        <w:overflowPunct/>
        <w:topLinePunct w:val="0"/>
        <w:autoSpaceDE/>
        <w:autoSpaceDN/>
        <w:bidi w:val="0"/>
        <w:adjustRightInd/>
        <w:snapToGrid/>
        <w:spacing w:line="560" w:lineRule="exact"/>
      </w:pPr>
      <w:r>
        <w:rPr>
          <w:rFonts w:hint="eastAsia"/>
        </w:rPr>
        <w:t>（4）预算单位资源配置有效性</w:t>
      </w:r>
    </w:p>
    <w:p>
      <w:pPr>
        <w:pStyle w:val="50"/>
        <w:pageBreakBefore w:val="0"/>
        <w:kinsoku/>
        <w:wordWrap/>
        <w:overflowPunct/>
        <w:topLinePunct w:val="0"/>
        <w:autoSpaceDE/>
        <w:autoSpaceDN/>
        <w:bidi w:val="0"/>
        <w:adjustRightInd/>
        <w:snapToGrid/>
        <w:spacing w:line="560" w:lineRule="exact"/>
      </w:pPr>
      <w:r>
        <w:rPr>
          <w:rFonts w:hint="eastAsia"/>
        </w:rPr>
        <w:t>部门的运行以该单位人、财、物为主要资源，为人民提供公共产品和服务，以实现部门的职能。在绩效评价时，需要评估资源配置的数量和结构是否合理，能否有效保障工作计划的完成，确保职能的有效履行。</w:t>
      </w:r>
    </w:p>
    <w:p>
      <w:pPr>
        <w:pStyle w:val="50"/>
        <w:pageBreakBefore w:val="0"/>
        <w:kinsoku/>
        <w:wordWrap/>
        <w:overflowPunct/>
        <w:topLinePunct w:val="0"/>
        <w:autoSpaceDE/>
        <w:autoSpaceDN/>
        <w:bidi w:val="0"/>
        <w:adjustRightInd/>
        <w:snapToGrid/>
        <w:spacing w:line="560" w:lineRule="exact"/>
      </w:pPr>
      <w:bookmarkStart w:id="30" w:name="_Toc53326856"/>
      <w:r>
        <w:rPr>
          <w:rFonts w:hint="eastAsia"/>
        </w:rPr>
        <w:t>2.评价实施路径</w:t>
      </w:r>
      <w:bookmarkEnd w:id="30"/>
    </w:p>
    <w:p>
      <w:pPr>
        <w:pStyle w:val="50"/>
        <w:pageBreakBefore w:val="0"/>
        <w:kinsoku/>
        <w:wordWrap/>
        <w:overflowPunct/>
        <w:topLinePunct w:val="0"/>
        <w:autoSpaceDE/>
        <w:autoSpaceDN/>
        <w:bidi w:val="0"/>
        <w:adjustRightInd/>
        <w:snapToGrid/>
        <w:spacing w:line="560" w:lineRule="exact"/>
      </w:pPr>
      <w:r>
        <w:rPr>
          <w:rFonts w:hint="eastAsia"/>
        </w:rPr>
        <w:t>整体财政支出绩效评价实施路径从整体定位出发，明确部门整体绩效目标，分析履职情况，评估长效机制建设的健全性。</w:t>
      </w:r>
    </w:p>
    <w:p>
      <w:pPr>
        <w:pStyle w:val="50"/>
        <w:pageBreakBefore w:val="0"/>
        <w:kinsoku/>
        <w:wordWrap/>
        <w:overflowPunct/>
        <w:topLinePunct w:val="0"/>
        <w:autoSpaceDE/>
        <w:autoSpaceDN/>
        <w:bidi w:val="0"/>
        <w:adjustRightInd/>
        <w:snapToGrid/>
        <w:spacing w:line="560" w:lineRule="exact"/>
      </w:pPr>
      <w:r>
        <w:rPr>
          <w:rFonts w:hint="eastAsia"/>
        </w:rPr>
        <w:t>（1）明确部门职责及重点工作</w:t>
      </w:r>
    </w:p>
    <w:p>
      <w:pPr>
        <w:pStyle w:val="50"/>
        <w:pageBreakBefore w:val="0"/>
        <w:kinsoku/>
        <w:wordWrap/>
        <w:overflowPunct/>
        <w:topLinePunct w:val="0"/>
        <w:autoSpaceDE/>
        <w:autoSpaceDN/>
        <w:bidi w:val="0"/>
        <w:adjustRightInd/>
        <w:snapToGrid/>
        <w:spacing w:line="560" w:lineRule="exact"/>
      </w:pPr>
      <w:r>
        <w:rPr>
          <w:rFonts w:hint="eastAsia"/>
        </w:rPr>
        <w:t>以部门职能和主要职责为基础，结合战略目标及中长期发展规划、年度工作计划及预算安排等情况，通过和和平区委党校沟通，分析</w:t>
      </w:r>
      <w:r>
        <w:rPr>
          <w:rFonts w:hint="eastAsia"/>
          <w:lang w:val="zh-CN"/>
        </w:rPr>
        <w:t>该部门</w:t>
      </w:r>
      <w:r>
        <w:rPr>
          <w:rFonts w:hint="eastAsia"/>
        </w:rPr>
        <w:t>的主要职责和年度重点工作任务，搜集相关的管理办法、内部控制管理制度和预算资金安排情况等内容。在此基础上，对职能、职责进行重要性排序，对与重要职能、职责紧密相关的工作重点进行分析。</w:t>
      </w:r>
    </w:p>
    <w:p>
      <w:pPr>
        <w:pStyle w:val="50"/>
        <w:pageBreakBefore w:val="0"/>
        <w:kinsoku/>
        <w:wordWrap/>
        <w:overflowPunct/>
        <w:topLinePunct w:val="0"/>
        <w:autoSpaceDE/>
        <w:autoSpaceDN/>
        <w:bidi w:val="0"/>
        <w:adjustRightInd/>
        <w:snapToGrid/>
        <w:spacing w:line="560" w:lineRule="exact"/>
      </w:pPr>
      <w:r>
        <w:rPr>
          <w:rFonts w:hint="eastAsia"/>
        </w:rPr>
        <w:t>（2）明确部门绩效目标</w:t>
      </w:r>
    </w:p>
    <w:p>
      <w:pPr>
        <w:pStyle w:val="50"/>
        <w:pageBreakBefore w:val="0"/>
        <w:kinsoku/>
        <w:wordWrap/>
        <w:overflowPunct/>
        <w:topLinePunct w:val="0"/>
        <w:autoSpaceDE/>
        <w:autoSpaceDN/>
        <w:bidi w:val="0"/>
        <w:adjustRightInd/>
        <w:snapToGrid/>
        <w:spacing w:line="560" w:lineRule="exact"/>
      </w:pPr>
      <w:r>
        <w:rPr>
          <w:rFonts w:hint="eastAsia"/>
        </w:rPr>
        <w:t>部门整体财政支出绩效目标的设定基于本级政府的总体目标与规划的分解，按照“政府目标与规划---部门职能---部门战略目标---年度目标---年度工作计划及任务”的思路，经过梳理、分析、整理，形成部门的年度整体财政支出绩效目标。</w:t>
      </w:r>
    </w:p>
    <w:p>
      <w:pPr>
        <w:pStyle w:val="50"/>
        <w:pageBreakBefore w:val="0"/>
        <w:kinsoku/>
        <w:wordWrap/>
        <w:overflowPunct/>
        <w:topLinePunct w:val="0"/>
        <w:autoSpaceDE/>
        <w:autoSpaceDN/>
        <w:bidi w:val="0"/>
        <w:adjustRightInd/>
        <w:snapToGrid/>
        <w:spacing w:line="560" w:lineRule="exact"/>
      </w:pPr>
      <w:r>
        <w:rPr>
          <w:rFonts w:hint="eastAsia"/>
        </w:rPr>
        <w:t>（3）分析部门履职绩效</w:t>
      </w:r>
    </w:p>
    <w:p>
      <w:pPr>
        <w:pStyle w:val="50"/>
        <w:pageBreakBefore w:val="0"/>
        <w:kinsoku/>
        <w:wordWrap/>
        <w:overflowPunct/>
        <w:topLinePunct w:val="0"/>
        <w:autoSpaceDE/>
        <w:autoSpaceDN/>
        <w:bidi w:val="0"/>
        <w:adjustRightInd/>
        <w:snapToGrid/>
        <w:spacing w:line="560" w:lineRule="exact"/>
      </w:pPr>
      <w:r>
        <w:rPr>
          <w:rFonts w:hint="eastAsia"/>
        </w:rPr>
        <w:t>按照履职的相关材料和实地调研情况，从年度重点工作履行、工作目标实现、服务对象满意度、社会效益、经济效益、生态效益、部门长效管理、人员建设等方面进行分析。</w:t>
      </w:r>
    </w:p>
    <w:p>
      <w:pPr>
        <w:pStyle w:val="50"/>
        <w:pageBreakBefore w:val="0"/>
        <w:kinsoku/>
        <w:wordWrap/>
        <w:overflowPunct/>
        <w:topLinePunct w:val="0"/>
        <w:autoSpaceDE/>
        <w:autoSpaceDN/>
        <w:bidi w:val="0"/>
        <w:adjustRightInd/>
        <w:snapToGrid/>
        <w:spacing w:line="560" w:lineRule="exact"/>
      </w:pPr>
      <w:r>
        <w:rPr>
          <w:rFonts w:hint="eastAsia"/>
        </w:rPr>
        <w:t>收集、整理、总结职能定位和年度工作计划，同时梳理项目预算与基本预算，明确预算与职能的匹配度，客观反映和平区委党校的年度履职情况和达到的产出及效果，对预算安排、完成的工作和履职程度之间的关系进行分析。</w:t>
      </w:r>
    </w:p>
    <w:p>
      <w:pPr>
        <w:pStyle w:val="50"/>
        <w:pageBreakBefore w:val="0"/>
        <w:kinsoku/>
        <w:wordWrap/>
        <w:overflowPunct/>
        <w:topLinePunct w:val="0"/>
        <w:autoSpaceDE/>
        <w:autoSpaceDN/>
        <w:bidi w:val="0"/>
        <w:adjustRightInd/>
        <w:snapToGrid/>
        <w:spacing w:line="560" w:lineRule="exact"/>
      </w:pPr>
      <w:r>
        <w:rPr>
          <w:rFonts w:hint="eastAsia"/>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pPr>
        <w:pStyle w:val="48"/>
        <w:pageBreakBefore w:val="0"/>
        <w:kinsoku/>
        <w:wordWrap/>
        <w:overflowPunct/>
        <w:topLinePunct w:val="0"/>
        <w:autoSpaceDE/>
        <w:autoSpaceDN/>
        <w:bidi w:val="0"/>
        <w:adjustRightInd/>
        <w:snapToGrid/>
        <w:spacing w:line="560" w:lineRule="exact"/>
        <w:ind w:firstLine="640"/>
        <w:jc w:val="both"/>
        <w:outlineLvl w:val="2"/>
        <w:rPr>
          <w:rFonts w:hint="eastAsia" w:ascii="楷体_GB2312" w:eastAsia="楷体_GB2312"/>
          <w:b w:val="0"/>
          <w:sz w:val="32"/>
          <w:szCs w:val="48"/>
        </w:rPr>
      </w:pPr>
      <w:bookmarkStart w:id="31" w:name="_Toc5562"/>
      <w:bookmarkStart w:id="32" w:name="_Toc91375837"/>
      <w:bookmarkStart w:id="33" w:name="_Toc53326857"/>
      <w:bookmarkStart w:id="34" w:name="_Toc91375450"/>
      <w:r>
        <w:rPr>
          <w:rFonts w:hint="eastAsia" w:ascii="楷体_GB2312" w:eastAsia="楷体_GB2312"/>
          <w:b w:val="0"/>
          <w:sz w:val="32"/>
          <w:szCs w:val="48"/>
        </w:rPr>
        <w:t>（六）评价流程</w:t>
      </w:r>
      <w:bookmarkEnd w:id="31"/>
      <w:bookmarkEnd w:id="32"/>
      <w:bookmarkEnd w:id="33"/>
      <w:bookmarkEnd w:id="34"/>
    </w:p>
    <w:p>
      <w:pPr>
        <w:pStyle w:val="50"/>
        <w:pageBreakBefore w:val="0"/>
        <w:kinsoku/>
        <w:wordWrap/>
        <w:overflowPunct/>
        <w:topLinePunct w:val="0"/>
        <w:autoSpaceDE/>
        <w:autoSpaceDN/>
        <w:bidi w:val="0"/>
        <w:adjustRightInd/>
        <w:snapToGrid/>
        <w:spacing w:line="560" w:lineRule="exact"/>
      </w:pPr>
      <w:r>
        <w:rPr>
          <w:rFonts w:hint="eastAsia"/>
        </w:rPr>
        <w:t>评价流程分内部工作部署、评价启动、单位对接、提交方案、资料收集、现场调研、提交报告七个实施阶段，具体如下：</w:t>
      </w:r>
    </w:p>
    <w:p>
      <w:pPr>
        <w:pStyle w:val="50"/>
        <w:pageBreakBefore w:val="0"/>
        <w:kinsoku/>
        <w:wordWrap/>
        <w:overflowPunct/>
        <w:topLinePunct w:val="0"/>
        <w:autoSpaceDE/>
        <w:autoSpaceDN/>
        <w:bidi w:val="0"/>
        <w:adjustRightInd/>
        <w:snapToGrid/>
        <w:spacing w:line="560" w:lineRule="exact"/>
      </w:pPr>
      <w:bookmarkStart w:id="35" w:name="_Toc53326858"/>
      <w:r>
        <w:rPr>
          <w:rFonts w:hint="eastAsia"/>
        </w:rPr>
        <w:t>1.</w:t>
      </w:r>
      <w:bookmarkEnd w:id="35"/>
      <w:r>
        <w:rPr>
          <w:rFonts w:hint="eastAsia"/>
        </w:rPr>
        <w:t>内部工作部署</w:t>
      </w:r>
    </w:p>
    <w:p>
      <w:pPr>
        <w:pStyle w:val="50"/>
        <w:pageBreakBefore w:val="0"/>
        <w:kinsoku/>
        <w:wordWrap/>
        <w:overflowPunct/>
        <w:topLinePunct w:val="0"/>
        <w:autoSpaceDE/>
        <w:autoSpaceDN/>
        <w:bidi w:val="0"/>
        <w:adjustRightInd/>
        <w:snapToGrid/>
        <w:spacing w:line="560" w:lineRule="exact"/>
      </w:pPr>
      <w:r>
        <w:rPr>
          <w:rFonts w:hint="eastAsia"/>
        </w:rPr>
        <w:t>为指导和平区委党校配合做好本次评价工作，天津安信管理咨询有限公司对项目团队人员进行培训，主要包括项目开展要求、流程、重点关注内容等。</w:t>
      </w:r>
    </w:p>
    <w:p>
      <w:pPr>
        <w:pStyle w:val="50"/>
        <w:pageBreakBefore w:val="0"/>
        <w:kinsoku/>
        <w:wordWrap/>
        <w:overflowPunct/>
        <w:topLinePunct w:val="0"/>
        <w:autoSpaceDE/>
        <w:autoSpaceDN/>
        <w:bidi w:val="0"/>
        <w:adjustRightInd/>
        <w:snapToGrid/>
        <w:spacing w:line="560" w:lineRule="exact"/>
      </w:pPr>
      <w:bookmarkStart w:id="36" w:name="_Toc53326859"/>
      <w:r>
        <w:rPr>
          <w:rFonts w:hint="eastAsia"/>
        </w:rPr>
        <w:t>2.评价启动</w:t>
      </w:r>
      <w:bookmarkEnd w:id="36"/>
    </w:p>
    <w:p>
      <w:pPr>
        <w:pStyle w:val="50"/>
        <w:pageBreakBefore w:val="0"/>
        <w:kinsoku/>
        <w:wordWrap/>
        <w:overflowPunct/>
        <w:topLinePunct w:val="0"/>
        <w:autoSpaceDE/>
        <w:autoSpaceDN/>
        <w:bidi w:val="0"/>
        <w:adjustRightInd/>
        <w:snapToGrid/>
        <w:spacing w:line="560" w:lineRule="exact"/>
      </w:pPr>
      <w:r>
        <w:rPr>
          <w:rFonts w:hint="eastAsia"/>
        </w:rPr>
        <w:t>在</w:t>
      </w:r>
      <w:r>
        <w:rPr>
          <w:rFonts w:hint="eastAsia"/>
          <w:lang w:val="en-US" w:eastAsia="zh-CN"/>
        </w:rPr>
        <w:t>天津市和平区</w:t>
      </w:r>
      <w:r>
        <w:rPr>
          <w:rFonts w:hint="eastAsia"/>
        </w:rPr>
        <w:t>财政局安排下，和平区委党校及其他被评价单位召开绩效评价启动会，布置绩效评价工作内容及各阶段工作时间节点要求。</w:t>
      </w:r>
    </w:p>
    <w:p>
      <w:pPr>
        <w:pStyle w:val="50"/>
        <w:pageBreakBefore w:val="0"/>
        <w:kinsoku/>
        <w:wordWrap/>
        <w:overflowPunct/>
        <w:topLinePunct w:val="0"/>
        <w:autoSpaceDE/>
        <w:autoSpaceDN/>
        <w:bidi w:val="0"/>
        <w:adjustRightInd/>
        <w:snapToGrid/>
        <w:spacing w:line="560" w:lineRule="exact"/>
      </w:pPr>
      <w:bookmarkStart w:id="37" w:name="_Toc53326860"/>
      <w:r>
        <w:rPr>
          <w:rFonts w:hint="eastAsia"/>
        </w:rPr>
        <w:t>3.单位对接</w:t>
      </w:r>
      <w:bookmarkEnd w:id="37"/>
    </w:p>
    <w:p>
      <w:pPr>
        <w:pStyle w:val="50"/>
        <w:pageBreakBefore w:val="0"/>
        <w:kinsoku/>
        <w:wordWrap/>
        <w:overflowPunct/>
        <w:topLinePunct w:val="0"/>
        <w:autoSpaceDE/>
        <w:autoSpaceDN/>
        <w:bidi w:val="0"/>
        <w:adjustRightInd/>
        <w:snapToGrid/>
        <w:spacing w:line="560" w:lineRule="exact"/>
      </w:pPr>
      <w:r>
        <w:rPr>
          <w:rFonts w:hint="eastAsia"/>
        </w:rPr>
        <w:t>与和平区委党校进行对接，了解部门职能、20</w:t>
      </w:r>
      <w:r>
        <w:rPr>
          <w:rFonts w:hint="eastAsia"/>
          <w:lang w:val="en-US" w:eastAsia="zh-CN"/>
        </w:rPr>
        <w:t>23</w:t>
      </w:r>
      <w:r>
        <w:rPr>
          <w:rFonts w:hint="eastAsia"/>
        </w:rPr>
        <w:t>年部门预算及决算情况、重点项目及部门整体绩效目标、部门管理制度、部门相关合同、立项文件等依据情况。</w:t>
      </w:r>
    </w:p>
    <w:p>
      <w:pPr>
        <w:pStyle w:val="50"/>
        <w:pageBreakBefore w:val="0"/>
        <w:kinsoku/>
        <w:wordWrap/>
        <w:overflowPunct/>
        <w:topLinePunct w:val="0"/>
        <w:autoSpaceDE/>
        <w:autoSpaceDN/>
        <w:bidi w:val="0"/>
        <w:adjustRightInd/>
        <w:snapToGrid/>
        <w:spacing w:line="560" w:lineRule="exact"/>
      </w:pPr>
      <w:bookmarkStart w:id="38" w:name="_Toc53326861"/>
      <w:r>
        <w:rPr>
          <w:rFonts w:hint="eastAsia"/>
        </w:rPr>
        <w:t>4.提交方案</w:t>
      </w:r>
      <w:bookmarkEnd w:id="38"/>
    </w:p>
    <w:p>
      <w:pPr>
        <w:pStyle w:val="50"/>
        <w:pageBreakBefore w:val="0"/>
        <w:kinsoku/>
        <w:wordWrap/>
        <w:overflowPunct/>
        <w:topLinePunct w:val="0"/>
        <w:autoSpaceDE/>
        <w:autoSpaceDN/>
        <w:bidi w:val="0"/>
        <w:adjustRightInd/>
        <w:snapToGrid/>
        <w:spacing w:line="560" w:lineRule="exact"/>
      </w:pPr>
      <w:r>
        <w:rPr>
          <w:rFonts w:hint="eastAsia"/>
        </w:rPr>
        <w:t>根据单位对接的结果，了解相关部门情况，撰写《</w:t>
      </w:r>
      <w:r>
        <w:rPr>
          <w:rFonts w:hint="eastAsia"/>
          <w:lang w:val="en-US" w:eastAsia="zh-CN"/>
        </w:rPr>
        <w:t>2023</w:t>
      </w:r>
      <w:r>
        <w:rPr>
          <w:rFonts w:hint="eastAsia"/>
          <w:lang w:val="zh-CN"/>
        </w:rPr>
        <w:t>年中共天津市和平区委党校</w:t>
      </w:r>
      <w:r>
        <w:rPr>
          <w:rFonts w:hint="eastAsia"/>
        </w:rPr>
        <w:t>部门整体支出绩效评价实施工作方案》，确认后续绩效评价工作安排及内容。</w:t>
      </w:r>
    </w:p>
    <w:p>
      <w:pPr>
        <w:pStyle w:val="50"/>
        <w:pageBreakBefore w:val="0"/>
        <w:kinsoku/>
        <w:wordWrap/>
        <w:overflowPunct/>
        <w:topLinePunct w:val="0"/>
        <w:autoSpaceDE/>
        <w:autoSpaceDN/>
        <w:bidi w:val="0"/>
        <w:adjustRightInd/>
        <w:snapToGrid/>
        <w:spacing w:line="560" w:lineRule="exact"/>
      </w:pPr>
      <w:bookmarkStart w:id="39" w:name="_Toc53326862"/>
      <w:r>
        <w:rPr>
          <w:rFonts w:hint="eastAsia"/>
        </w:rPr>
        <w:t>5.资料收集</w:t>
      </w:r>
      <w:bookmarkEnd w:id="39"/>
    </w:p>
    <w:p>
      <w:pPr>
        <w:pStyle w:val="50"/>
        <w:pageBreakBefore w:val="0"/>
        <w:kinsoku/>
        <w:wordWrap/>
        <w:overflowPunct/>
        <w:topLinePunct w:val="0"/>
        <w:autoSpaceDE/>
        <w:autoSpaceDN/>
        <w:bidi w:val="0"/>
        <w:adjustRightInd/>
        <w:snapToGrid/>
        <w:spacing w:line="560" w:lineRule="exact"/>
      </w:pPr>
      <w:r>
        <w:rPr>
          <w:rFonts w:hint="eastAsia"/>
        </w:rPr>
        <w:t>根据绩效评价实施方案及指标体系内容，向和平区委党校提供相关资料收集清单，包括基础数据、相关制度及政策文件、202</w:t>
      </w:r>
      <w:r>
        <w:rPr>
          <w:rFonts w:hint="eastAsia"/>
          <w:lang w:val="en-US" w:eastAsia="zh-CN"/>
        </w:rPr>
        <w:t>3</w:t>
      </w:r>
      <w:r>
        <w:rPr>
          <w:rFonts w:hint="eastAsia"/>
        </w:rPr>
        <w:t>年部门预算及决算情况、重点项目工作情况等。</w:t>
      </w:r>
    </w:p>
    <w:p>
      <w:pPr>
        <w:pStyle w:val="50"/>
        <w:pageBreakBefore w:val="0"/>
        <w:kinsoku/>
        <w:wordWrap/>
        <w:overflowPunct/>
        <w:topLinePunct w:val="0"/>
        <w:autoSpaceDE/>
        <w:autoSpaceDN/>
        <w:bidi w:val="0"/>
        <w:adjustRightInd/>
        <w:snapToGrid/>
        <w:spacing w:line="560" w:lineRule="exact"/>
      </w:pPr>
      <w:bookmarkStart w:id="40" w:name="_Toc53326863"/>
      <w:r>
        <w:rPr>
          <w:rFonts w:hint="eastAsia"/>
        </w:rPr>
        <w:t>6.现场调研</w:t>
      </w:r>
      <w:bookmarkEnd w:id="40"/>
    </w:p>
    <w:p>
      <w:pPr>
        <w:pStyle w:val="50"/>
        <w:pageBreakBefore w:val="0"/>
        <w:kinsoku/>
        <w:wordWrap/>
        <w:overflowPunct/>
        <w:topLinePunct w:val="0"/>
        <w:autoSpaceDE/>
        <w:autoSpaceDN/>
        <w:bidi w:val="0"/>
        <w:adjustRightInd/>
        <w:snapToGrid/>
        <w:spacing w:line="560" w:lineRule="exact"/>
      </w:pPr>
      <w:r>
        <w:rPr>
          <w:rFonts w:hint="eastAsia"/>
        </w:rPr>
        <w:t>为进一步验证材料真实性，并对相关访谈、问卷问题进行调研，向和平区委党校现场进行实地核查，并对相关访谈内容进行现场座谈，形成访谈记录。</w:t>
      </w:r>
    </w:p>
    <w:p>
      <w:pPr>
        <w:pStyle w:val="50"/>
        <w:pageBreakBefore w:val="0"/>
        <w:kinsoku/>
        <w:wordWrap/>
        <w:overflowPunct/>
        <w:topLinePunct w:val="0"/>
        <w:autoSpaceDE/>
        <w:autoSpaceDN/>
        <w:bidi w:val="0"/>
        <w:adjustRightInd/>
        <w:snapToGrid/>
        <w:spacing w:line="560" w:lineRule="exact"/>
      </w:pPr>
      <w:bookmarkStart w:id="41" w:name="_Toc53326864"/>
      <w:r>
        <w:rPr>
          <w:rFonts w:hint="eastAsia"/>
        </w:rPr>
        <w:t>7.提交报告</w:t>
      </w:r>
      <w:bookmarkEnd w:id="41"/>
    </w:p>
    <w:p>
      <w:pPr>
        <w:pStyle w:val="50"/>
        <w:pageBreakBefore w:val="0"/>
        <w:kinsoku/>
        <w:wordWrap/>
        <w:overflowPunct/>
        <w:topLinePunct w:val="0"/>
        <w:autoSpaceDE/>
        <w:autoSpaceDN/>
        <w:bidi w:val="0"/>
        <w:adjustRightInd/>
        <w:snapToGrid/>
        <w:spacing w:line="560" w:lineRule="exact"/>
      </w:pPr>
      <w:r>
        <w:rPr>
          <w:rFonts w:hint="eastAsia"/>
        </w:rPr>
        <w:t>（1）撰写报告初稿</w:t>
      </w:r>
    </w:p>
    <w:p>
      <w:pPr>
        <w:pStyle w:val="50"/>
        <w:pageBreakBefore w:val="0"/>
        <w:kinsoku/>
        <w:wordWrap/>
        <w:overflowPunct/>
        <w:topLinePunct w:val="0"/>
        <w:autoSpaceDE/>
        <w:autoSpaceDN/>
        <w:bidi w:val="0"/>
        <w:adjustRightInd/>
        <w:snapToGrid/>
        <w:spacing w:line="560" w:lineRule="exact"/>
      </w:pPr>
      <w:r>
        <w:rPr>
          <w:rFonts w:hint="eastAsia"/>
        </w:rPr>
        <w:t>根据综合评价结果，撰写评价分析报告，报告撰写的内容包括部门基本情况概述、现场评价总体情况、评价指标分析、绩效实施效果和存在问题、具体改进措施及建议等。</w:t>
      </w:r>
    </w:p>
    <w:p>
      <w:pPr>
        <w:pStyle w:val="50"/>
        <w:pageBreakBefore w:val="0"/>
        <w:kinsoku/>
        <w:wordWrap/>
        <w:overflowPunct/>
        <w:topLinePunct w:val="0"/>
        <w:autoSpaceDE/>
        <w:autoSpaceDN/>
        <w:bidi w:val="0"/>
        <w:adjustRightInd/>
        <w:snapToGrid/>
        <w:spacing w:line="560" w:lineRule="exact"/>
      </w:pPr>
      <w:r>
        <w:rPr>
          <w:rFonts w:hint="eastAsia"/>
        </w:rPr>
        <w:t>（2）提交正式报告</w:t>
      </w:r>
    </w:p>
    <w:p>
      <w:pPr>
        <w:pStyle w:val="25"/>
        <w:pageBreakBefore w:val="0"/>
        <w:kinsoku/>
        <w:wordWrap/>
        <w:overflowPunct/>
        <w:topLinePunct w:val="0"/>
        <w:autoSpaceDE/>
        <w:autoSpaceDN/>
        <w:bidi w:val="0"/>
        <w:adjustRightInd/>
        <w:snapToGrid/>
        <w:spacing w:line="560" w:lineRule="exact"/>
        <w:ind w:firstLine="640"/>
      </w:pPr>
      <w:r>
        <w:rPr>
          <w:rFonts w:hint="eastAsia"/>
          <w:lang w:val="en-US" w:eastAsia="zh-CN"/>
        </w:rPr>
        <w:t>天津市和平区</w:t>
      </w:r>
      <w:r>
        <w:rPr>
          <w:rFonts w:hint="eastAsia"/>
        </w:rPr>
        <w:t>财政局组织对《</w:t>
      </w:r>
      <w:r>
        <w:rPr>
          <w:rFonts w:hint="eastAsia"/>
          <w:lang w:val="en-US" w:eastAsia="zh-CN"/>
        </w:rPr>
        <w:t>2023</w:t>
      </w:r>
      <w:r>
        <w:rPr>
          <w:rFonts w:hint="eastAsia"/>
        </w:rPr>
        <w:t>年中共天津市和平区委党校部门整体支出绩效评价报告》进行终审。天津安信管理咨询有限公司根据终审情况修订报告并提交正式报告。</w:t>
      </w:r>
    </w:p>
    <w:p>
      <w:pPr>
        <w:pStyle w:val="27"/>
        <w:pageBreakBefore w:val="0"/>
        <w:kinsoku/>
        <w:wordWrap/>
        <w:overflowPunct/>
        <w:topLinePunct w:val="0"/>
        <w:autoSpaceDE/>
        <w:autoSpaceDN/>
        <w:bidi w:val="0"/>
        <w:adjustRightInd/>
        <w:snapToGrid/>
        <w:spacing w:line="560" w:lineRule="exact"/>
      </w:pPr>
      <w:bookmarkStart w:id="42" w:name="_Toc18678"/>
      <w:r>
        <w:rPr>
          <w:rFonts w:hint="eastAsia"/>
        </w:rPr>
        <w:t>三、绩效指标分析</w:t>
      </w:r>
      <w:bookmarkEnd w:id="42"/>
    </w:p>
    <w:p>
      <w:pPr>
        <w:pStyle w:val="48"/>
        <w:pageBreakBefore w:val="0"/>
        <w:kinsoku/>
        <w:wordWrap/>
        <w:overflowPunct/>
        <w:topLinePunct w:val="0"/>
        <w:autoSpaceDE/>
        <w:autoSpaceDN/>
        <w:bidi w:val="0"/>
        <w:adjustRightInd/>
        <w:snapToGrid/>
        <w:spacing w:line="560" w:lineRule="exact"/>
        <w:ind w:firstLine="640"/>
        <w:jc w:val="both"/>
        <w:outlineLvl w:val="2"/>
        <w:rPr>
          <w:rFonts w:hint="eastAsia" w:ascii="楷体_GB2312" w:eastAsia="楷体_GB2312"/>
          <w:b w:val="0"/>
          <w:sz w:val="32"/>
          <w:szCs w:val="48"/>
        </w:rPr>
      </w:pPr>
      <w:bookmarkStart w:id="43" w:name="_Toc91375839"/>
      <w:bookmarkStart w:id="44" w:name="_Toc91375452"/>
      <w:bookmarkStart w:id="45" w:name="_Toc17699"/>
      <w:bookmarkStart w:id="46" w:name="_Toc53326866"/>
      <w:r>
        <w:rPr>
          <w:rFonts w:hint="eastAsia" w:ascii="楷体_GB2312" w:eastAsia="楷体_GB2312"/>
          <w:b w:val="0"/>
          <w:sz w:val="32"/>
          <w:szCs w:val="48"/>
        </w:rPr>
        <w:t>（一）绩效评价设计思路</w:t>
      </w:r>
      <w:bookmarkEnd w:id="43"/>
      <w:bookmarkEnd w:id="44"/>
      <w:bookmarkEnd w:id="45"/>
      <w:bookmarkEnd w:id="46"/>
    </w:p>
    <w:p>
      <w:pPr>
        <w:pStyle w:val="50"/>
        <w:pageBreakBefore w:val="0"/>
        <w:kinsoku/>
        <w:wordWrap/>
        <w:overflowPunct/>
        <w:topLinePunct w:val="0"/>
        <w:autoSpaceDE/>
        <w:autoSpaceDN/>
        <w:bidi w:val="0"/>
        <w:adjustRightInd/>
        <w:snapToGrid/>
        <w:spacing w:line="560" w:lineRule="exact"/>
      </w:pPr>
      <w:r>
        <w:rPr>
          <w:rFonts w:hint="eastAsia"/>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p>
    <w:p>
      <w:pPr>
        <w:pStyle w:val="48"/>
        <w:pageBreakBefore w:val="0"/>
        <w:kinsoku/>
        <w:wordWrap/>
        <w:overflowPunct/>
        <w:topLinePunct w:val="0"/>
        <w:autoSpaceDE/>
        <w:autoSpaceDN/>
        <w:bidi w:val="0"/>
        <w:adjustRightInd/>
        <w:snapToGrid/>
        <w:spacing w:line="560" w:lineRule="exact"/>
        <w:ind w:firstLine="640"/>
        <w:jc w:val="both"/>
        <w:outlineLvl w:val="2"/>
        <w:rPr>
          <w:rFonts w:hint="eastAsia" w:ascii="楷体_GB2312" w:eastAsia="楷体_GB2312"/>
          <w:b w:val="0"/>
          <w:sz w:val="32"/>
          <w:szCs w:val="48"/>
        </w:rPr>
      </w:pPr>
      <w:bookmarkStart w:id="47" w:name="_Toc15212"/>
      <w:bookmarkStart w:id="48" w:name="_Toc53326867"/>
      <w:bookmarkStart w:id="49" w:name="_Toc91375840"/>
      <w:bookmarkStart w:id="50" w:name="_Toc91375453"/>
      <w:r>
        <w:rPr>
          <w:rFonts w:hint="eastAsia" w:ascii="楷体_GB2312" w:eastAsia="楷体_GB2312"/>
          <w:b w:val="0"/>
          <w:sz w:val="32"/>
          <w:szCs w:val="48"/>
        </w:rPr>
        <w:t>（二）绩效指标分析</w:t>
      </w:r>
      <w:bookmarkEnd w:id="47"/>
      <w:bookmarkEnd w:id="48"/>
      <w:bookmarkEnd w:id="49"/>
      <w:bookmarkEnd w:id="50"/>
    </w:p>
    <w:p>
      <w:pPr>
        <w:pStyle w:val="25"/>
        <w:pageBreakBefore w:val="0"/>
        <w:kinsoku/>
        <w:wordWrap/>
        <w:overflowPunct/>
        <w:topLinePunct w:val="0"/>
        <w:autoSpaceDE/>
        <w:autoSpaceDN/>
        <w:bidi w:val="0"/>
        <w:adjustRightInd/>
        <w:snapToGrid/>
        <w:spacing w:line="560" w:lineRule="exact"/>
        <w:ind w:firstLine="640"/>
        <w:rPr>
          <w:color w:val="auto"/>
        </w:rPr>
      </w:pPr>
      <w:r>
        <w:rPr>
          <w:rFonts w:hint="eastAsia"/>
        </w:rPr>
        <w:t>根据财政部《财政支出绩效评价管理暂行办法的通知》（财预</w:t>
      </w:r>
      <w:r>
        <w:rPr>
          <w:rFonts w:hint="eastAsia"/>
          <w:color w:val="auto"/>
        </w:rPr>
        <w:t>〔2011〕285号）、天津市财政局关于印发《天津市市级部门（单位）整体支出绩效目标管理办法（试行）》的通知（津财预〔2015〕102号）等文件要求，经综合分析与评价，</w:t>
      </w:r>
      <w:r>
        <w:rPr>
          <w:rFonts w:hint="eastAsia"/>
          <w:color w:val="auto"/>
          <w:lang w:val="en-US" w:eastAsia="zh-CN"/>
        </w:rPr>
        <w:t>和平区委党校</w:t>
      </w:r>
      <w:r>
        <w:rPr>
          <w:rFonts w:hint="eastAsia"/>
          <w:color w:val="auto"/>
        </w:rPr>
        <w:t>20</w:t>
      </w:r>
      <w:r>
        <w:rPr>
          <w:rFonts w:hint="eastAsia"/>
          <w:color w:val="auto"/>
          <w:lang w:val="en-US" w:eastAsia="zh-CN"/>
        </w:rPr>
        <w:t>23</w:t>
      </w:r>
      <w:r>
        <w:rPr>
          <w:rFonts w:hint="eastAsia"/>
          <w:color w:val="auto"/>
        </w:rPr>
        <w:t>年度部门整体支出绩效评价综合评分为</w:t>
      </w:r>
      <w:r>
        <w:rPr>
          <w:rFonts w:hint="eastAsia"/>
          <w:color w:val="auto"/>
          <w:highlight w:val="none"/>
          <w:lang w:val="en-US" w:eastAsia="zh-CN"/>
        </w:rPr>
        <w:t>93.17</w:t>
      </w:r>
      <w:r>
        <w:rPr>
          <w:rFonts w:hint="eastAsia"/>
          <w:color w:val="auto"/>
        </w:rPr>
        <w:t>分，其中：部门决策方面得分</w:t>
      </w:r>
      <w:r>
        <w:rPr>
          <w:rFonts w:hint="eastAsia"/>
          <w:color w:val="auto"/>
          <w:highlight w:val="none"/>
          <w:lang w:val="en-US" w:eastAsia="zh-CN"/>
        </w:rPr>
        <w:t>14.3</w:t>
      </w:r>
      <w:r>
        <w:rPr>
          <w:rFonts w:hint="eastAsia"/>
          <w:color w:val="auto"/>
          <w:highlight w:val="none"/>
        </w:rPr>
        <w:t>分</w:t>
      </w:r>
      <w:r>
        <w:rPr>
          <w:rFonts w:hint="eastAsia"/>
          <w:color w:val="auto"/>
        </w:rPr>
        <w:t>，得分率</w:t>
      </w:r>
      <w:r>
        <w:rPr>
          <w:rFonts w:hint="eastAsia"/>
          <w:color w:val="auto"/>
          <w:highlight w:val="none"/>
          <w:lang w:val="en-US" w:eastAsia="zh-CN"/>
        </w:rPr>
        <w:t>95.33</w:t>
      </w:r>
      <w:r>
        <w:rPr>
          <w:rFonts w:hint="eastAsia"/>
          <w:color w:val="auto"/>
          <w:highlight w:val="none"/>
        </w:rPr>
        <w:t>%</w:t>
      </w:r>
      <w:r>
        <w:rPr>
          <w:rFonts w:hint="eastAsia"/>
          <w:color w:val="auto"/>
        </w:rPr>
        <w:t>；管理效率方面得分</w:t>
      </w:r>
      <w:r>
        <w:rPr>
          <w:rFonts w:hint="eastAsia"/>
          <w:color w:val="auto"/>
          <w:highlight w:val="none"/>
          <w:lang w:val="en-US" w:eastAsia="zh-CN"/>
        </w:rPr>
        <w:t>23.37</w:t>
      </w:r>
      <w:r>
        <w:rPr>
          <w:rFonts w:hint="eastAsia"/>
          <w:color w:val="auto"/>
          <w:highlight w:val="none"/>
        </w:rPr>
        <w:t>分</w:t>
      </w:r>
      <w:r>
        <w:rPr>
          <w:rFonts w:hint="eastAsia"/>
          <w:color w:val="auto"/>
        </w:rPr>
        <w:t>，得分率</w:t>
      </w:r>
      <w:r>
        <w:rPr>
          <w:rFonts w:hint="eastAsia"/>
          <w:color w:val="auto"/>
          <w:highlight w:val="none"/>
          <w:lang w:val="en-US" w:eastAsia="zh-CN"/>
        </w:rPr>
        <w:t>93.48</w:t>
      </w:r>
      <w:r>
        <w:rPr>
          <w:rFonts w:hint="eastAsia"/>
          <w:color w:val="auto"/>
          <w:highlight w:val="none"/>
        </w:rPr>
        <w:t>%</w:t>
      </w:r>
      <w:r>
        <w:rPr>
          <w:rFonts w:hint="eastAsia"/>
          <w:color w:val="auto"/>
        </w:rPr>
        <w:t>；履职产出方面得分</w:t>
      </w:r>
      <w:r>
        <w:rPr>
          <w:rFonts w:hint="eastAsia"/>
          <w:color w:val="auto"/>
          <w:highlight w:val="none"/>
          <w:lang w:val="en-US" w:eastAsia="zh-CN"/>
        </w:rPr>
        <w:t>32.5</w:t>
      </w:r>
      <w:r>
        <w:rPr>
          <w:rFonts w:hint="eastAsia"/>
          <w:color w:val="auto"/>
          <w:highlight w:val="none"/>
        </w:rPr>
        <w:t>分</w:t>
      </w:r>
      <w:r>
        <w:rPr>
          <w:rFonts w:hint="eastAsia"/>
          <w:color w:val="auto"/>
        </w:rPr>
        <w:t>，得分率</w:t>
      </w:r>
      <w:r>
        <w:rPr>
          <w:rFonts w:hint="eastAsia"/>
          <w:color w:val="auto"/>
          <w:highlight w:val="none"/>
          <w:lang w:val="en-US" w:eastAsia="zh-CN"/>
        </w:rPr>
        <w:t>95.59</w:t>
      </w:r>
      <w:r>
        <w:rPr>
          <w:rFonts w:hint="eastAsia"/>
          <w:color w:val="auto"/>
          <w:highlight w:val="none"/>
        </w:rPr>
        <w:t>%</w:t>
      </w:r>
      <w:r>
        <w:rPr>
          <w:rFonts w:hint="eastAsia"/>
          <w:color w:val="auto"/>
          <w:lang w:eastAsia="zh-CN"/>
        </w:rPr>
        <w:t>；</w:t>
      </w:r>
      <w:r>
        <w:rPr>
          <w:rFonts w:hint="eastAsia"/>
          <w:color w:val="auto"/>
        </w:rPr>
        <w:t>履职效益方面得分</w:t>
      </w:r>
      <w:r>
        <w:rPr>
          <w:rFonts w:hint="eastAsia"/>
          <w:color w:val="auto"/>
          <w:lang w:val="en-US" w:eastAsia="zh-CN"/>
        </w:rPr>
        <w:t>18</w:t>
      </w:r>
      <w:r>
        <w:rPr>
          <w:rFonts w:hint="eastAsia"/>
          <w:color w:val="auto"/>
        </w:rPr>
        <w:t>分，得分率</w:t>
      </w:r>
      <w:r>
        <w:rPr>
          <w:rFonts w:hint="eastAsia"/>
          <w:color w:val="auto"/>
          <w:lang w:val="en-US" w:eastAsia="zh-CN"/>
        </w:rPr>
        <w:t>85.71</w:t>
      </w:r>
      <w:r>
        <w:rPr>
          <w:rFonts w:hint="eastAsia"/>
          <w:color w:val="auto"/>
        </w:rPr>
        <w:t>%</w:t>
      </w:r>
      <w:r>
        <w:rPr>
          <w:rFonts w:hint="eastAsia"/>
          <w:color w:val="auto"/>
          <w:lang w:eastAsia="zh-CN"/>
        </w:rPr>
        <w:t>；</w:t>
      </w:r>
      <w:r>
        <w:rPr>
          <w:rFonts w:hint="eastAsia"/>
          <w:color w:val="auto"/>
        </w:rPr>
        <w:t>履职满意度方面得分</w:t>
      </w:r>
      <w:r>
        <w:rPr>
          <w:rFonts w:hint="eastAsia"/>
          <w:color w:val="auto"/>
          <w:lang w:val="en-US" w:eastAsia="zh-CN"/>
        </w:rPr>
        <w:t>5</w:t>
      </w:r>
      <w:r>
        <w:rPr>
          <w:rFonts w:hint="eastAsia"/>
          <w:color w:val="auto"/>
        </w:rPr>
        <w:t>分，得分率</w:t>
      </w:r>
      <w:r>
        <w:rPr>
          <w:rFonts w:hint="eastAsia"/>
          <w:color w:val="auto"/>
          <w:lang w:val="en-US" w:eastAsia="zh-CN"/>
        </w:rPr>
        <w:t>100</w:t>
      </w:r>
      <w:r>
        <w:rPr>
          <w:rFonts w:hint="eastAsia"/>
          <w:color w:val="auto"/>
        </w:rPr>
        <w:t>%。二级指标得分率如下表所示。</w:t>
      </w:r>
    </w:p>
    <w:p>
      <w:pPr>
        <w:pStyle w:val="32"/>
        <w:pageBreakBefore w:val="0"/>
        <w:kinsoku/>
        <w:wordWrap/>
        <w:overflowPunct/>
        <w:topLinePunct w:val="0"/>
        <w:autoSpaceDE/>
        <w:autoSpaceDN/>
        <w:bidi w:val="0"/>
        <w:adjustRightInd/>
        <w:snapToGrid/>
        <w:spacing w:line="560" w:lineRule="exact"/>
        <w:rPr>
          <w:color w:val="auto"/>
        </w:rPr>
      </w:pPr>
      <w:r>
        <w:rPr>
          <w:rFonts w:hint="eastAsia"/>
          <w:color w:val="auto"/>
        </w:rPr>
        <w:t>表3.</w:t>
      </w:r>
      <w:r>
        <w:rPr>
          <w:color w:val="auto"/>
        </w:rPr>
        <w:t>2</w:t>
      </w:r>
      <w:r>
        <w:rPr>
          <w:rFonts w:hint="eastAsia"/>
          <w:color w:val="auto"/>
        </w:rPr>
        <w:t>.</w:t>
      </w:r>
      <w:r>
        <w:rPr>
          <w:color w:val="auto"/>
        </w:rPr>
        <w:t xml:space="preserve">1 </w:t>
      </w:r>
      <w:r>
        <w:rPr>
          <w:rFonts w:hint="eastAsia"/>
          <w:color w:val="auto"/>
          <w:lang w:val="en-US" w:eastAsia="zh-CN"/>
        </w:rPr>
        <w:t xml:space="preserve"> </w:t>
      </w:r>
      <w:r>
        <w:rPr>
          <w:rFonts w:hint="eastAsia"/>
          <w:color w:val="auto"/>
        </w:rPr>
        <w:t>二级指标得分率表</w:t>
      </w:r>
    </w:p>
    <w:tbl>
      <w:tblPr>
        <w:tblStyle w:val="1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6"/>
        <w:gridCol w:w="2676"/>
        <w:gridCol w:w="1027"/>
        <w:gridCol w:w="1405"/>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2016" w:type="dxa"/>
            <w:shd w:val="clear" w:color="auto" w:fill="auto"/>
            <w:vAlign w:val="center"/>
          </w:tcPr>
          <w:p>
            <w:pPr>
              <w:pStyle w:val="35"/>
              <w:rPr>
                <w:color w:val="auto"/>
              </w:rPr>
            </w:pPr>
            <w:r>
              <w:rPr>
                <w:rFonts w:hint="eastAsia"/>
                <w:color w:val="auto"/>
              </w:rPr>
              <w:t>一级指标</w:t>
            </w:r>
          </w:p>
        </w:tc>
        <w:tc>
          <w:tcPr>
            <w:tcW w:w="2676" w:type="dxa"/>
            <w:shd w:val="clear" w:color="auto" w:fill="auto"/>
            <w:vAlign w:val="center"/>
          </w:tcPr>
          <w:p>
            <w:pPr>
              <w:pStyle w:val="35"/>
              <w:rPr>
                <w:color w:val="auto"/>
              </w:rPr>
            </w:pPr>
            <w:r>
              <w:rPr>
                <w:rFonts w:hint="eastAsia"/>
                <w:color w:val="auto"/>
              </w:rPr>
              <w:t>二级指标</w:t>
            </w:r>
          </w:p>
        </w:tc>
        <w:tc>
          <w:tcPr>
            <w:tcW w:w="1027" w:type="dxa"/>
            <w:shd w:val="clear" w:color="auto" w:fill="auto"/>
            <w:vAlign w:val="center"/>
          </w:tcPr>
          <w:p>
            <w:pPr>
              <w:pStyle w:val="35"/>
              <w:rPr>
                <w:color w:val="auto"/>
              </w:rPr>
            </w:pPr>
            <w:r>
              <w:rPr>
                <w:rFonts w:hint="eastAsia"/>
                <w:color w:val="auto"/>
              </w:rPr>
              <w:t>分值</w:t>
            </w:r>
          </w:p>
        </w:tc>
        <w:tc>
          <w:tcPr>
            <w:tcW w:w="1405" w:type="dxa"/>
            <w:shd w:val="clear" w:color="auto" w:fill="auto"/>
            <w:vAlign w:val="center"/>
          </w:tcPr>
          <w:p>
            <w:pPr>
              <w:pStyle w:val="35"/>
              <w:rPr>
                <w:color w:val="auto"/>
              </w:rPr>
            </w:pPr>
            <w:r>
              <w:rPr>
                <w:rFonts w:hint="eastAsia"/>
                <w:color w:val="auto"/>
              </w:rPr>
              <w:t>得分</w:t>
            </w:r>
          </w:p>
        </w:tc>
        <w:tc>
          <w:tcPr>
            <w:tcW w:w="1404" w:type="dxa"/>
            <w:vAlign w:val="center"/>
          </w:tcPr>
          <w:p>
            <w:pPr>
              <w:pStyle w:val="35"/>
              <w:rPr>
                <w:color w:val="auto"/>
              </w:rPr>
            </w:pPr>
            <w:r>
              <w:rPr>
                <w:rFonts w:hint="eastAsia"/>
                <w:color w:val="auto"/>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restart"/>
            <w:shd w:val="clear" w:color="auto" w:fill="auto"/>
            <w:vAlign w:val="center"/>
          </w:tcPr>
          <w:p>
            <w:pPr>
              <w:pStyle w:val="37"/>
              <w:rPr>
                <w:color w:val="auto"/>
              </w:rPr>
            </w:pPr>
            <w:r>
              <w:rPr>
                <w:rFonts w:hint="eastAsia"/>
                <w:color w:val="auto"/>
              </w:rPr>
              <w:t>部门决策</w:t>
            </w:r>
            <w:r>
              <w:rPr>
                <w:color w:val="auto"/>
              </w:rPr>
              <w:br w:type="textWrapping"/>
            </w:r>
            <w:r>
              <w:rPr>
                <w:rFonts w:hint="eastAsia"/>
                <w:color w:val="auto"/>
              </w:rPr>
              <w:t>（15分）</w:t>
            </w:r>
          </w:p>
        </w:tc>
        <w:tc>
          <w:tcPr>
            <w:tcW w:w="2676" w:type="dxa"/>
            <w:shd w:val="clear" w:color="auto" w:fill="auto"/>
            <w:vAlign w:val="center"/>
          </w:tcPr>
          <w:p>
            <w:pPr>
              <w:pStyle w:val="37"/>
              <w:rPr>
                <w:color w:val="auto"/>
              </w:rPr>
            </w:pPr>
            <w:r>
              <w:rPr>
                <w:rFonts w:hint="eastAsia"/>
                <w:color w:val="auto"/>
              </w:rPr>
              <w:t>绩效目标</w:t>
            </w:r>
          </w:p>
        </w:tc>
        <w:tc>
          <w:tcPr>
            <w:tcW w:w="1027" w:type="dxa"/>
            <w:shd w:val="clear" w:color="auto" w:fill="auto"/>
            <w:vAlign w:val="center"/>
          </w:tcPr>
          <w:p>
            <w:pPr>
              <w:pStyle w:val="37"/>
              <w:rPr>
                <w:color w:val="auto"/>
              </w:rPr>
            </w:pPr>
            <w:r>
              <w:rPr>
                <w:rFonts w:hint="eastAsia"/>
                <w:color w:val="auto"/>
              </w:rPr>
              <w:t>4</w:t>
            </w:r>
          </w:p>
        </w:tc>
        <w:tc>
          <w:tcPr>
            <w:tcW w:w="1405" w:type="dxa"/>
            <w:shd w:val="clear" w:color="auto" w:fill="auto"/>
            <w:vAlign w:val="center"/>
          </w:tcPr>
          <w:p>
            <w:pPr>
              <w:pStyle w:val="37"/>
              <w:rPr>
                <w:rFonts w:hint="default"/>
                <w:color w:val="auto"/>
                <w:highlight w:val="red"/>
                <w:lang w:val="en-US" w:eastAsia="zh-CN"/>
              </w:rPr>
            </w:pPr>
            <w:r>
              <w:rPr>
                <w:rFonts w:hint="eastAsia"/>
                <w:color w:val="auto"/>
                <w:highlight w:val="none"/>
                <w:lang w:val="en-US" w:eastAsia="zh-CN"/>
              </w:rPr>
              <w:t>3.80</w:t>
            </w:r>
          </w:p>
        </w:tc>
        <w:tc>
          <w:tcPr>
            <w:tcW w:w="1404" w:type="dxa"/>
            <w:vAlign w:val="center"/>
          </w:tcPr>
          <w:p>
            <w:pPr>
              <w:pStyle w:val="37"/>
              <w:rPr>
                <w:rFonts w:hint="eastAsia"/>
                <w:color w:val="auto"/>
                <w:highlight w:val="red"/>
                <w:lang w:val="en-US" w:eastAsia="zh-CN"/>
              </w:rPr>
            </w:pPr>
            <w:r>
              <w:rPr>
                <w:rFonts w:hint="eastAsia"/>
                <w:color w:val="auto"/>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决策依据</w:t>
            </w:r>
          </w:p>
        </w:tc>
        <w:tc>
          <w:tcPr>
            <w:tcW w:w="1027" w:type="dxa"/>
            <w:shd w:val="clear" w:color="auto" w:fill="auto"/>
            <w:vAlign w:val="center"/>
          </w:tcPr>
          <w:p>
            <w:pPr>
              <w:pStyle w:val="37"/>
              <w:rPr>
                <w:rFonts w:hint="eastAsia" w:eastAsia="宋体"/>
                <w:color w:val="auto"/>
                <w:lang w:eastAsia="zh-CN"/>
              </w:rPr>
            </w:pPr>
            <w:r>
              <w:rPr>
                <w:rFonts w:hint="eastAsia"/>
                <w:color w:val="auto"/>
                <w:lang w:val="en-US" w:eastAsia="zh-CN"/>
              </w:rPr>
              <w:t>5</w:t>
            </w:r>
          </w:p>
        </w:tc>
        <w:tc>
          <w:tcPr>
            <w:tcW w:w="1405" w:type="dxa"/>
            <w:shd w:val="clear" w:color="auto" w:fill="auto"/>
            <w:vAlign w:val="center"/>
          </w:tcPr>
          <w:p>
            <w:pPr>
              <w:pStyle w:val="37"/>
              <w:rPr>
                <w:rFonts w:hint="eastAsia"/>
                <w:color w:val="auto"/>
                <w:lang w:val="en-US" w:eastAsia="zh-CN"/>
              </w:rPr>
            </w:pPr>
            <w:r>
              <w:rPr>
                <w:rFonts w:hint="eastAsia"/>
                <w:color w:val="auto"/>
                <w:lang w:val="en-US" w:eastAsia="zh-CN"/>
              </w:rPr>
              <w:t>5</w:t>
            </w:r>
          </w:p>
        </w:tc>
        <w:tc>
          <w:tcPr>
            <w:tcW w:w="1404" w:type="dxa"/>
            <w:vAlign w:val="center"/>
          </w:tcPr>
          <w:p>
            <w:pPr>
              <w:pStyle w:val="37"/>
              <w:rPr>
                <w:rFonts w:hint="eastAsia"/>
                <w:color w:val="auto"/>
                <w:lang w:val="en-US" w:eastAsia="zh-CN"/>
              </w:rPr>
            </w:pPr>
            <w:r>
              <w:rPr>
                <w:rFonts w:hint="eastAsia"/>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rFonts w:hint="eastAsia" w:eastAsia="宋体"/>
                <w:color w:val="auto"/>
                <w:lang w:eastAsia="zh-CN"/>
              </w:rPr>
            </w:pPr>
            <w:r>
              <w:rPr>
                <w:rFonts w:hint="eastAsia"/>
                <w:color w:val="auto"/>
              </w:rPr>
              <w:t>预算</w:t>
            </w:r>
            <w:r>
              <w:rPr>
                <w:rFonts w:hint="eastAsia"/>
                <w:color w:val="auto"/>
                <w:lang w:eastAsia="zh-CN"/>
              </w:rPr>
              <w:t>编制</w:t>
            </w:r>
          </w:p>
        </w:tc>
        <w:tc>
          <w:tcPr>
            <w:tcW w:w="1027" w:type="dxa"/>
            <w:shd w:val="clear" w:color="auto" w:fill="auto"/>
            <w:vAlign w:val="center"/>
          </w:tcPr>
          <w:p>
            <w:pPr>
              <w:pStyle w:val="37"/>
              <w:rPr>
                <w:rFonts w:hint="eastAsia" w:eastAsia="宋体"/>
                <w:color w:val="auto"/>
                <w:lang w:eastAsia="zh-CN"/>
              </w:rPr>
            </w:pPr>
            <w:r>
              <w:rPr>
                <w:rFonts w:hint="eastAsia"/>
                <w:color w:val="auto"/>
                <w:lang w:val="en-US" w:eastAsia="zh-CN"/>
              </w:rPr>
              <w:t>6</w:t>
            </w:r>
          </w:p>
        </w:tc>
        <w:tc>
          <w:tcPr>
            <w:tcW w:w="1405" w:type="dxa"/>
            <w:shd w:val="clear" w:color="auto" w:fill="auto"/>
            <w:vAlign w:val="center"/>
          </w:tcPr>
          <w:p>
            <w:pPr>
              <w:pStyle w:val="37"/>
              <w:rPr>
                <w:rFonts w:hint="default"/>
                <w:color w:val="auto"/>
                <w:lang w:val="en-US" w:eastAsia="zh-CN"/>
              </w:rPr>
            </w:pPr>
            <w:r>
              <w:rPr>
                <w:rFonts w:hint="eastAsia"/>
                <w:color w:val="auto"/>
                <w:lang w:val="en-US" w:eastAsia="zh-CN"/>
              </w:rPr>
              <w:t>5.5</w:t>
            </w:r>
          </w:p>
        </w:tc>
        <w:tc>
          <w:tcPr>
            <w:tcW w:w="1404" w:type="dxa"/>
            <w:vAlign w:val="center"/>
          </w:tcPr>
          <w:p>
            <w:pPr>
              <w:pStyle w:val="37"/>
              <w:rPr>
                <w:rFonts w:hint="eastAsia"/>
                <w:color w:val="auto"/>
                <w:lang w:val="en-US" w:eastAsia="zh-CN"/>
              </w:rPr>
            </w:pPr>
            <w:r>
              <w:rPr>
                <w:rFonts w:hint="eastAsia"/>
                <w:color w:val="auto"/>
                <w:lang w:val="en-US" w:eastAsia="zh-CN"/>
              </w:rPr>
              <w:t>91.67%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restart"/>
            <w:shd w:val="clear" w:color="auto" w:fill="auto"/>
            <w:vAlign w:val="center"/>
          </w:tcPr>
          <w:p>
            <w:pPr>
              <w:pStyle w:val="37"/>
              <w:rPr>
                <w:color w:val="auto"/>
              </w:rPr>
            </w:pPr>
            <w:r>
              <w:rPr>
                <w:rFonts w:hint="eastAsia"/>
                <w:color w:val="auto"/>
              </w:rPr>
              <w:t>管理效率</w:t>
            </w:r>
            <w:r>
              <w:rPr>
                <w:color w:val="auto"/>
              </w:rPr>
              <w:br w:type="textWrapping"/>
            </w:r>
            <w:r>
              <w:rPr>
                <w:rFonts w:hint="eastAsia"/>
                <w:color w:val="auto"/>
              </w:rPr>
              <w:t>（25分）</w:t>
            </w:r>
          </w:p>
        </w:tc>
        <w:tc>
          <w:tcPr>
            <w:tcW w:w="2676" w:type="dxa"/>
            <w:shd w:val="clear" w:color="auto" w:fill="auto"/>
            <w:vAlign w:val="center"/>
          </w:tcPr>
          <w:p>
            <w:pPr>
              <w:pStyle w:val="37"/>
              <w:rPr>
                <w:color w:val="auto"/>
              </w:rPr>
            </w:pPr>
            <w:r>
              <w:rPr>
                <w:rFonts w:hint="eastAsia"/>
                <w:color w:val="auto"/>
              </w:rPr>
              <w:t>预算执行</w:t>
            </w:r>
          </w:p>
        </w:tc>
        <w:tc>
          <w:tcPr>
            <w:tcW w:w="1027" w:type="dxa"/>
            <w:shd w:val="clear" w:color="auto" w:fill="auto"/>
            <w:vAlign w:val="center"/>
          </w:tcPr>
          <w:p>
            <w:pPr>
              <w:pStyle w:val="37"/>
              <w:rPr>
                <w:color w:val="auto"/>
              </w:rPr>
            </w:pPr>
            <w:r>
              <w:rPr>
                <w:rFonts w:hint="eastAsia"/>
                <w:color w:val="auto"/>
              </w:rPr>
              <w:t>8</w:t>
            </w:r>
          </w:p>
        </w:tc>
        <w:tc>
          <w:tcPr>
            <w:tcW w:w="1405" w:type="dxa"/>
            <w:shd w:val="clear" w:color="auto" w:fill="auto"/>
            <w:vAlign w:val="center"/>
          </w:tcPr>
          <w:p>
            <w:pPr>
              <w:pStyle w:val="37"/>
              <w:rPr>
                <w:rFonts w:hint="default"/>
                <w:color w:val="auto"/>
                <w:lang w:val="en-US" w:eastAsia="zh-CN"/>
              </w:rPr>
            </w:pPr>
            <w:r>
              <w:rPr>
                <w:rFonts w:hint="eastAsia"/>
                <w:color w:val="auto"/>
                <w:lang w:val="en-US" w:eastAsia="zh-CN"/>
              </w:rPr>
              <w:t>7.97</w:t>
            </w:r>
          </w:p>
        </w:tc>
        <w:tc>
          <w:tcPr>
            <w:tcW w:w="1404" w:type="dxa"/>
            <w:vAlign w:val="center"/>
          </w:tcPr>
          <w:p>
            <w:pPr>
              <w:pStyle w:val="37"/>
              <w:rPr>
                <w:rFonts w:hint="eastAsia"/>
                <w:color w:val="auto"/>
                <w:lang w:val="en-US" w:eastAsia="zh-CN"/>
              </w:rPr>
            </w:pPr>
            <w:r>
              <w:rPr>
                <w:rFonts w:hint="eastAsia"/>
                <w:color w:val="auto"/>
                <w:lang w:val="en-US" w:eastAsia="zh-CN"/>
              </w:rPr>
              <w:t>99.63%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预算管理</w:t>
            </w:r>
          </w:p>
        </w:tc>
        <w:tc>
          <w:tcPr>
            <w:tcW w:w="1027" w:type="dxa"/>
            <w:shd w:val="clear" w:color="auto" w:fill="auto"/>
            <w:vAlign w:val="center"/>
          </w:tcPr>
          <w:p>
            <w:pPr>
              <w:pStyle w:val="37"/>
              <w:rPr>
                <w:rFonts w:hint="eastAsia" w:eastAsia="宋体"/>
                <w:color w:val="auto"/>
                <w:lang w:eastAsia="zh-CN"/>
              </w:rPr>
            </w:pPr>
            <w:r>
              <w:rPr>
                <w:rFonts w:hint="eastAsia"/>
                <w:color w:val="auto"/>
                <w:lang w:val="en-US" w:eastAsia="zh-CN"/>
              </w:rPr>
              <w:t>5</w:t>
            </w:r>
          </w:p>
        </w:tc>
        <w:tc>
          <w:tcPr>
            <w:tcW w:w="1405" w:type="dxa"/>
            <w:shd w:val="clear" w:color="auto" w:fill="auto"/>
            <w:vAlign w:val="center"/>
          </w:tcPr>
          <w:p>
            <w:pPr>
              <w:pStyle w:val="37"/>
              <w:rPr>
                <w:rFonts w:hint="default"/>
                <w:color w:val="auto"/>
                <w:lang w:val="en-US" w:eastAsia="zh-CN"/>
              </w:rPr>
            </w:pPr>
            <w:r>
              <w:rPr>
                <w:rFonts w:hint="eastAsia"/>
                <w:color w:val="auto"/>
                <w:lang w:val="en-US" w:eastAsia="zh-CN"/>
              </w:rPr>
              <w:t>4.40</w:t>
            </w:r>
          </w:p>
        </w:tc>
        <w:tc>
          <w:tcPr>
            <w:tcW w:w="1404" w:type="dxa"/>
            <w:vAlign w:val="center"/>
          </w:tcPr>
          <w:p>
            <w:pPr>
              <w:pStyle w:val="37"/>
              <w:rPr>
                <w:rFonts w:hint="eastAsia"/>
                <w:color w:val="auto"/>
                <w:lang w:val="en-US" w:eastAsia="zh-CN"/>
              </w:rPr>
            </w:pPr>
            <w:r>
              <w:rPr>
                <w:rFonts w:hint="eastAsia"/>
                <w:color w:val="auto"/>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绩效管理</w:t>
            </w:r>
          </w:p>
        </w:tc>
        <w:tc>
          <w:tcPr>
            <w:tcW w:w="1027" w:type="dxa"/>
            <w:shd w:val="clear" w:color="auto" w:fill="auto"/>
            <w:vAlign w:val="center"/>
          </w:tcPr>
          <w:p>
            <w:pPr>
              <w:pStyle w:val="37"/>
              <w:rPr>
                <w:color w:val="auto"/>
              </w:rPr>
            </w:pPr>
            <w:r>
              <w:rPr>
                <w:rFonts w:hint="eastAsia"/>
                <w:color w:val="auto"/>
              </w:rPr>
              <w:t>4</w:t>
            </w:r>
          </w:p>
        </w:tc>
        <w:tc>
          <w:tcPr>
            <w:tcW w:w="1405" w:type="dxa"/>
            <w:shd w:val="clear" w:color="auto" w:fill="auto"/>
            <w:vAlign w:val="center"/>
          </w:tcPr>
          <w:p>
            <w:pPr>
              <w:pStyle w:val="37"/>
              <w:rPr>
                <w:rFonts w:hint="default"/>
                <w:color w:val="auto"/>
                <w:highlight w:val="red"/>
                <w:lang w:val="en-US" w:eastAsia="zh-CN"/>
              </w:rPr>
            </w:pPr>
            <w:r>
              <w:rPr>
                <w:rFonts w:hint="eastAsia"/>
                <w:color w:val="auto"/>
                <w:highlight w:val="none"/>
                <w:lang w:val="en-US" w:eastAsia="zh-CN"/>
              </w:rPr>
              <w:t>3</w:t>
            </w:r>
          </w:p>
        </w:tc>
        <w:tc>
          <w:tcPr>
            <w:tcW w:w="1404" w:type="dxa"/>
            <w:vAlign w:val="center"/>
          </w:tcPr>
          <w:p>
            <w:pPr>
              <w:pStyle w:val="37"/>
              <w:rPr>
                <w:rFonts w:hint="eastAsia"/>
                <w:color w:val="auto"/>
                <w:highlight w:val="none"/>
                <w:lang w:val="en-US" w:eastAsia="zh-CN"/>
              </w:rPr>
            </w:pPr>
            <w:r>
              <w:rPr>
                <w:rFonts w:hint="eastAsia"/>
                <w:color w:val="auto"/>
                <w:highlight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资产管理</w:t>
            </w:r>
          </w:p>
        </w:tc>
        <w:tc>
          <w:tcPr>
            <w:tcW w:w="1027" w:type="dxa"/>
            <w:shd w:val="clear" w:color="auto" w:fill="auto"/>
            <w:vAlign w:val="center"/>
          </w:tcPr>
          <w:p>
            <w:pPr>
              <w:pStyle w:val="37"/>
              <w:rPr>
                <w:rFonts w:hint="eastAsia" w:eastAsia="宋体"/>
                <w:color w:val="auto"/>
                <w:lang w:eastAsia="zh-CN"/>
              </w:rPr>
            </w:pPr>
            <w:r>
              <w:rPr>
                <w:rFonts w:hint="eastAsia"/>
                <w:color w:val="auto"/>
                <w:lang w:val="en-US" w:eastAsia="zh-CN"/>
              </w:rPr>
              <w:t>8</w:t>
            </w:r>
          </w:p>
        </w:tc>
        <w:tc>
          <w:tcPr>
            <w:tcW w:w="1405" w:type="dxa"/>
            <w:shd w:val="clear" w:color="auto" w:fill="auto"/>
            <w:vAlign w:val="center"/>
          </w:tcPr>
          <w:p>
            <w:pPr>
              <w:pStyle w:val="37"/>
              <w:rPr>
                <w:rFonts w:hint="eastAsia"/>
                <w:color w:val="auto"/>
                <w:lang w:val="en-US" w:eastAsia="zh-CN"/>
              </w:rPr>
            </w:pPr>
            <w:r>
              <w:rPr>
                <w:rFonts w:hint="eastAsia"/>
                <w:color w:val="auto"/>
                <w:lang w:val="en-US" w:eastAsia="zh-CN"/>
              </w:rPr>
              <w:t>8</w:t>
            </w:r>
          </w:p>
        </w:tc>
        <w:tc>
          <w:tcPr>
            <w:tcW w:w="1404" w:type="dxa"/>
            <w:vAlign w:val="center"/>
          </w:tcPr>
          <w:p>
            <w:pPr>
              <w:pStyle w:val="37"/>
              <w:rPr>
                <w:rFonts w:hint="eastAsia"/>
                <w:color w:val="auto"/>
                <w:lang w:val="en-US" w:eastAsia="zh-CN"/>
              </w:rPr>
            </w:pPr>
            <w:r>
              <w:rPr>
                <w:rFonts w:hint="eastAsia"/>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restart"/>
            <w:shd w:val="clear" w:color="auto" w:fill="auto"/>
            <w:vAlign w:val="center"/>
          </w:tcPr>
          <w:p>
            <w:pPr>
              <w:pStyle w:val="37"/>
              <w:rPr>
                <w:color w:val="auto"/>
              </w:rPr>
            </w:pPr>
            <w:r>
              <w:rPr>
                <w:rFonts w:hint="eastAsia"/>
                <w:color w:val="auto"/>
              </w:rPr>
              <w:t>履职产出</w:t>
            </w:r>
            <w:r>
              <w:rPr>
                <w:color w:val="auto"/>
              </w:rPr>
              <w:br w:type="textWrapping"/>
            </w:r>
            <w:r>
              <w:rPr>
                <w:rFonts w:hint="eastAsia"/>
                <w:color w:val="auto"/>
              </w:rPr>
              <w:t>（34分）</w:t>
            </w:r>
          </w:p>
        </w:tc>
        <w:tc>
          <w:tcPr>
            <w:tcW w:w="2676" w:type="dxa"/>
            <w:shd w:val="clear" w:color="auto" w:fill="auto"/>
            <w:vAlign w:val="center"/>
          </w:tcPr>
          <w:p>
            <w:pPr>
              <w:pStyle w:val="37"/>
              <w:rPr>
                <w:color w:val="auto"/>
              </w:rPr>
            </w:pPr>
            <w:r>
              <w:rPr>
                <w:rFonts w:hint="eastAsia"/>
                <w:color w:val="auto"/>
              </w:rPr>
              <w:t>产出数量</w:t>
            </w:r>
          </w:p>
        </w:tc>
        <w:tc>
          <w:tcPr>
            <w:tcW w:w="1027" w:type="dxa"/>
            <w:shd w:val="clear" w:color="auto" w:fill="auto"/>
            <w:vAlign w:val="center"/>
          </w:tcPr>
          <w:p>
            <w:pPr>
              <w:pStyle w:val="37"/>
              <w:rPr>
                <w:color w:val="auto"/>
              </w:rPr>
            </w:pPr>
            <w:r>
              <w:rPr>
                <w:color w:val="auto"/>
              </w:rPr>
              <w:t>12</w:t>
            </w:r>
          </w:p>
        </w:tc>
        <w:tc>
          <w:tcPr>
            <w:tcW w:w="1405" w:type="dxa"/>
            <w:shd w:val="clear" w:color="auto" w:fill="auto"/>
            <w:vAlign w:val="center"/>
          </w:tcPr>
          <w:p>
            <w:pPr>
              <w:pStyle w:val="37"/>
              <w:rPr>
                <w:rFonts w:hint="default"/>
                <w:color w:val="auto"/>
                <w:highlight w:val="none"/>
                <w:lang w:val="en-US" w:eastAsia="zh-CN"/>
              </w:rPr>
            </w:pPr>
            <w:r>
              <w:rPr>
                <w:rFonts w:hint="eastAsia"/>
                <w:color w:val="auto"/>
                <w:highlight w:val="none"/>
                <w:lang w:val="en-US" w:eastAsia="zh-CN"/>
              </w:rPr>
              <w:t>12</w:t>
            </w:r>
          </w:p>
        </w:tc>
        <w:tc>
          <w:tcPr>
            <w:tcW w:w="1404" w:type="dxa"/>
            <w:vAlign w:val="center"/>
          </w:tcPr>
          <w:p>
            <w:pPr>
              <w:pStyle w:val="37"/>
              <w:rPr>
                <w:rFonts w:hint="eastAsia"/>
                <w:color w:val="auto"/>
                <w:highlight w:val="none"/>
                <w:lang w:val="en-US" w:eastAsia="zh-CN"/>
              </w:rPr>
            </w:pPr>
            <w:r>
              <w:rPr>
                <w:rFonts w:hint="eastAsia"/>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产出质量</w:t>
            </w:r>
          </w:p>
        </w:tc>
        <w:tc>
          <w:tcPr>
            <w:tcW w:w="1027" w:type="dxa"/>
            <w:shd w:val="clear" w:color="auto" w:fill="auto"/>
            <w:vAlign w:val="center"/>
          </w:tcPr>
          <w:p>
            <w:pPr>
              <w:pStyle w:val="37"/>
              <w:rPr>
                <w:color w:val="auto"/>
              </w:rPr>
            </w:pPr>
            <w:r>
              <w:rPr>
                <w:color w:val="auto"/>
              </w:rPr>
              <w:t>12</w:t>
            </w:r>
          </w:p>
        </w:tc>
        <w:tc>
          <w:tcPr>
            <w:tcW w:w="1405" w:type="dxa"/>
            <w:shd w:val="clear" w:color="auto" w:fill="auto"/>
            <w:vAlign w:val="center"/>
          </w:tcPr>
          <w:p>
            <w:pPr>
              <w:pStyle w:val="37"/>
              <w:rPr>
                <w:rFonts w:hint="default"/>
                <w:color w:val="auto"/>
                <w:lang w:val="en-US" w:eastAsia="zh-CN"/>
              </w:rPr>
            </w:pPr>
            <w:r>
              <w:rPr>
                <w:rFonts w:hint="eastAsia"/>
                <w:color w:val="auto"/>
                <w:lang w:val="en-US" w:eastAsia="zh-CN"/>
              </w:rPr>
              <w:t>12</w:t>
            </w:r>
          </w:p>
        </w:tc>
        <w:tc>
          <w:tcPr>
            <w:tcW w:w="1404" w:type="dxa"/>
            <w:vAlign w:val="center"/>
          </w:tcPr>
          <w:p>
            <w:pPr>
              <w:pStyle w:val="37"/>
              <w:rPr>
                <w:rFonts w:hint="eastAsia"/>
                <w:color w:val="auto"/>
                <w:lang w:val="en-US" w:eastAsia="zh-CN"/>
              </w:rPr>
            </w:pPr>
            <w:r>
              <w:rPr>
                <w:rFonts w:hint="eastAsia"/>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产出进度</w:t>
            </w:r>
          </w:p>
        </w:tc>
        <w:tc>
          <w:tcPr>
            <w:tcW w:w="1027" w:type="dxa"/>
            <w:shd w:val="clear" w:color="auto" w:fill="auto"/>
            <w:vAlign w:val="center"/>
          </w:tcPr>
          <w:p>
            <w:pPr>
              <w:pStyle w:val="37"/>
              <w:rPr>
                <w:color w:val="auto"/>
              </w:rPr>
            </w:pPr>
            <w:r>
              <w:rPr>
                <w:rFonts w:hint="eastAsia"/>
                <w:color w:val="auto"/>
              </w:rPr>
              <w:t>4</w:t>
            </w:r>
          </w:p>
        </w:tc>
        <w:tc>
          <w:tcPr>
            <w:tcW w:w="1405" w:type="dxa"/>
            <w:shd w:val="clear" w:color="auto" w:fill="auto"/>
            <w:vAlign w:val="center"/>
          </w:tcPr>
          <w:p>
            <w:pPr>
              <w:pStyle w:val="37"/>
              <w:rPr>
                <w:rFonts w:hint="eastAsia"/>
                <w:color w:val="auto"/>
                <w:lang w:val="en-US" w:eastAsia="zh-CN"/>
              </w:rPr>
            </w:pPr>
            <w:r>
              <w:rPr>
                <w:rFonts w:hint="eastAsia"/>
                <w:color w:val="auto"/>
                <w:lang w:val="en-US" w:eastAsia="zh-CN"/>
              </w:rPr>
              <w:t>4</w:t>
            </w:r>
          </w:p>
        </w:tc>
        <w:tc>
          <w:tcPr>
            <w:tcW w:w="1404" w:type="dxa"/>
            <w:vAlign w:val="center"/>
          </w:tcPr>
          <w:p>
            <w:pPr>
              <w:pStyle w:val="37"/>
              <w:rPr>
                <w:rFonts w:hint="eastAsia"/>
                <w:color w:val="auto"/>
                <w:lang w:val="en-US" w:eastAsia="zh-CN"/>
              </w:rPr>
            </w:pPr>
            <w:r>
              <w:rPr>
                <w:rFonts w:hint="eastAsia"/>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vMerge w:val="continue"/>
            <w:vAlign w:val="center"/>
          </w:tcPr>
          <w:p>
            <w:pPr>
              <w:pStyle w:val="37"/>
              <w:rPr>
                <w:color w:val="auto"/>
              </w:rPr>
            </w:pPr>
          </w:p>
        </w:tc>
        <w:tc>
          <w:tcPr>
            <w:tcW w:w="2676" w:type="dxa"/>
            <w:shd w:val="clear" w:color="auto" w:fill="auto"/>
            <w:vAlign w:val="center"/>
          </w:tcPr>
          <w:p>
            <w:pPr>
              <w:pStyle w:val="37"/>
              <w:rPr>
                <w:color w:val="auto"/>
              </w:rPr>
            </w:pPr>
            <w:r>
              <w:rPr>
                <w:rFonts w:hint="eastAsia"/>
                <w:color w:val="auto"/>
              </w:rPr>
              <w:t>产出成本</w:t>
            </w:r>
          </w:p>
        </w:tc>
        <w:tc>
          <w:tcPr>
            <w:tcW w:w="1027" w:type="dxa"/>
            <w:shd w:val="clear" w:color="auto" w:fill="auto"/>
            <w:vAlign w:val="center"/>
          </w:tcPr>
          <w:p>
            <w:pPr>
              <w:pStyle w:val="37"/>
              <w:rPr>
                <w:rFonts w:hint="eastAsia" w:eastAsia="宋体"/>
                <w:color w:val="auto"/>
                <w:lang w:eastAsia="zh-CN"/>
              </w:rPr>
            </w:pPr>
            <w:r>
              <w:rPr>
                <w:rFonts w:hint="eastAsia"/>
                <w:color w:val="auto"/>
                <w:lang w:val="en-US" w:eastAsia="zh-CN"/>
              </w:rPr>
              <w:t>6</w:t>
            </w:r>
          </w:p>
        </w:tc>
        <w:tc>
          <w:tcPr>
            <w:tcW w:w="1405" w:type="dxa"/>
            <w:shd w:val="clear" w:color="auto" w:fill="auto"/>
            <w:vAlign w:val="center"/>
          </w:tcPr>
          <w:p>
            <w:pPr>
              <w:pStyle w:val="37"/>
              <w:rPr>
                <w:rFonts w:hint="default"/>
                <w:color w:val="auto"/>
                <w:highlight w:val="none"/>
                <w:lang w:val="en-US" w:eastAsia="zh-CN"/>
              </w:rPr>
            </w:pPr>
            <w:r>
              <w:rPr>
                <w:rFonts w:hint="eastAsia"/>
                <w:color w:val="auto"/>
                <w:highlight w:val="none"/>
                <w:lang w:val="en-US" w:eastAsia="zh-CN"/>
              </w:rPr>
              <w:t>4.50</w:t>
            </w:r>
          </w:p>
        </w:tc>
        <w:tc>
          <w:tcPr>
            <w:tcW w:w="1404" w:type="dxa"/>
            <w:vAlign w:val="center"/>
          </w:tcPr>
          <w:p>
            <w:pPr>
              <w:pStyle w:val="37"/>
              <w:rPr>
                <w:rFonts w:hint="eastAsia"/>
                <w:color w:val="auto"/>
                <w:highlight w:val="none"/>
                <w:lang w:val="en-US" w:eastAsia="zh-CN"/>
              </w:rPr>
            </w:pPr>
            <w:r>
              <w:rPr>
                <w:rFonts w:hint="eastAsia"/>
                <w:color w:val="auto"/>
                <w:highlight w:val="no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shd w:val="clear" w:color="auto" w:fill="auto"/>
            <w:vAlign w:val="center"/>
          </w:tcPr>
          <w:p>
            <w:pPr>
              <w:pStyle w:val="37"/>
              <w:rPr>
                <w:color w:val="auto"/>
              </w:rPr>
            </w:pPr>
            <w:r>
              <w:rPr>
                <w:rFonts w:hint="eastAsia"/>
                <w:color w:val="auto"/>
              </w:rPr>
              <w:t>履职效益</w:t>
            </w:r>
            <w:r>
              <w:rPr>
                <w:rFonts w:hint="eastAsia"/>
                <w:color w:val="auto"/>
              </w:rPr>
              <w:br w:type="textWrapping"/>
            </w:r>
            <w:r>
              <w:rPr>
                <w:rFonts w:hint="eastAsia"/>
                <w:color w:val="auto"/>
              </w:rPr>
              <w:t>（2</w:t>
            </w:r>
            <w:r>
              <w:rPr>
                <w:rFonts w:hint="eastAsia"/>
                <w:color w:val="auto"/>
                <w:lang w:val="en-US" w:eastAsia="zh-CN"/>
              </w:rPr>
              <w:t>1</w:t>
            </w:r>
            <w:r>
              <w:rPr>
                <w:rFonts w:hint="eastAsia"/>
                <w:color w:val="auto"/>
              </w:rPr>
              <w:t>分）</w:t>
            </w:r>
          </w:p>
        </w:tc>
        <w:tc>
          <w:tcPr>
            <w:tcW w:w="2676" w:type="dxa"/>
            <w:shd w:val="clear" w:color="auto" w:fill="auto"/>
            <w:vAlign w:val="center"/>
          </w:tcPr>
          <w:p>
            <w:pPr>
              <w:pStyle w:val="37"/>
              <w:rPr>
                <w:rFonts w:hint="default" w:eastAsia="宋体"/>
                <w:color w:val="auto"/>
                <w:lang w:val="en-US" w:eastAsia="zh-CN"/>
              </w:rPr>
            </w:pPr>
            <w:r>
              <w:rPr>
                <w:rFonts w:hint="eastAsia"/>
                <w:color w:val="auto"/>
                <w:lang w:val="en-US" w:eastAsia="zh-CN"/>
              </w:rPr>
              <w:t>社会效益</w:t>
            </w:r>
          </w:p>
        </w:tc>
        <w:tc>
          <w:tcPr>
            <w:tcW w:w="1027" w:type="dxa"/>
            <w:shd w:val="clear" w:color="auto" w:fill="auto"/>
            <w:vAlign w:val="center"/>
          </w:tcPr>
          <w:p>
            <w:pPr>
              <w:pStyle w:val="37"/>
              <w:rPr>
                <w:rFonts w:hint="eastAsia" w:eastAsia="宋体"/>
                <w:color w:val="auto"/>
                <w:lang w:eastAsia="zh-CN"/>
              </w:rPr>
            </w:pPr>
            <w:r>
              <w:rPr>
                <w:rFonts w:hint="eastAsia"/>
                <w:color w:val="auto"/>
              </w:rPr>
              <w:t>2</w:t>
            </w:r>
            <w:r>
              <w:rPr>
                <w:rFonts w:hint="eastAsia"/>
                <w:color w:val="auto"/>
                <w:lang w:val="en-US" w:eastAsia="zh-CN"/>
              </w:rPr>
              <w:t>1</w:t>
            </w:r>
          </w:p>
        </w:tc>
        <w:tc>
          <w:tcPr>
            <w:tcW w:w="1405" w:type="dxa"/>
            <w:shd w:val="clear" w:color="auto" w:fill="auto"/>
            <w:vAlign w:val="center"/>
          </w:tcPr>
          <w:p>
            <w:pPr>
              <w:pStyle w:val="37"/>
              <w:rPr>
                <w:rFonts w:hint="default"/>
                <w:color w:val="auto"/>
                <w:lang w:val="en-US" w:eastAsia="zh-CN"/>
              </w:rPr>
            </w:pPr>
            <w:r>
              <w:rPr>
                <w:rFonts w:hint="eastAsia"/>
                <w:color w:val="auto"/>
                <w:lang w:val="en-US" w:eastAsia="zh-CN"/>
              </w:rPr>
              <w:t>18</w:t>
            </w:r>
          </w:p>
        </w:tc>
        <w:tc>
          <w:tcPr>
            <w:tcW w:w="1404" w:type="dxa"/>
            <w:vAlign w:val="center"/>
          </w:tcPr>
          <w:p>
            <w:pPr>
              <w:pStyle w:val="37"/>
              <w:rPr>
                <w:rFonts w:hint="eastAsia"/>
                <w:color w:val="auto"/>
                <w:lang w:val="en-US" w:eastAsia="zh-CN"/>
              </w:rPr>
            </w:pPr>
            <w:r>
              <w:rPr>
                <w:rFonts w:hint="eastAsia"/>
                <w:color w:val="auto"/>
                <w:lang w:val="en-US" w:eastAsia="zh-CN"/>
              </w:rPr>
              <w:t>85.71%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016" w:type="dxa"/>
            <w:shd w:val="clear" w:color="auto" w:fill="auto"/>
            <w:vAlign w:val="center"/>
          </w:tcPr>
          <w:p>
            <w:pPr>
              <w:pStyle w:val="37"/>
              <w:rPr>
                <w:rFonts w:hint="eastAsia" w:eastAsia="宋体"/>
                <w:color w:val="auto"/>
                <w:lang w:eastAsia="zh-CN"/>
              </w:rPr>
            </w:pPr>
            <w:r>
              <w:rPr>
                <w:rFonts w:hint="eastAsia"/>
                <w:color w:val="auto"/>
              </w:rPr>
              <w:t>履职满意度</w:t>
            </w:r>
            <w:r>
              <w:rPr>
                <w:color w:val="auto"/>
              </w:rPr>
              <w:br w:type="textWrapping"/>
            </w:r>
            <w:r>
              <w:rPr>
                <w:rFonts w:hint="eastAsia"/>
                <w:color w:val="auto"/>
                <w:lang w:eastAsia="zh-CN"/>
              </w:rPr>
              <w:t>（</w:t>
            </w:r>
            <w:r>
              <w:rPr>
                <w:rFonts w:hint="eastAsia"/>
                <w:color w:val="auto"/>
                <w:lang w:val="en-US" w:eastAsia="zh-CN"/>
              </w:rPr>
              <w:t>5</w:t>
            </w:r>
            <w:r>
              <w:rPr>
                <w:rFonts w:hint="eastAsia"/>
                <w:color w:val="auto"/>
              </w:rPr>
              <w:t>分</w:t>
            </w:r>
            <w:r>
              <w:rPr>
                <w:rFonts w:hint="eastAsia"/>
                <w:color w:val="auto"/>
                <w:lang w:eastAsia="zh-CN"/>
              </w:rPr>
              <w:t>）</w:t>
            </w:r>
          </w:p>
        </w:tc>
        <w:tc>
          <w:tcPr>
            <w:tcW w:w="2676" w:type="dxa"/>
            <w:shd w:val="clear" w:color="auto" w:fill="auto"/>
            <w:vAlign w:val="center"/>
          </w:tcPr>
          <w:p>
            <w:pPr>
              <w:pStyle w:val="37"/>
              <w:rPr>
                <w:color w:val="auto"/>
              </w:rPr>
            </w:pPr>
            <w:r>
              <w:rPr>
                <w:rFonts w:hint="eastAsia"/>
                <w:color w:val="auto"/>
              </w:rPr>
              <w:t>服务对象满意度</w:t>
            </w:r>
          </w:p>
        </w:tc>
        <w:tc>
          <w:tcPr>
            <w:tcW w:w="1027" w:type="dxa"/>
            <w:shd w:val="clear" w:color="auto" w:fill="auto"/>
            <w:vAlign w:val="center"/>
          </w:tcPr>
          <w:p>
            <w:pPr>
              <w:pStyle w:val="37"/>
              <w:rPr>
                <w:rFonts w:hint="eastAsia" w:eastAsia="宋体"/>
                <w:color w:val="auto"/>
                <w:lang w:eastAsia="zh-CN"/>
              </w:rPr>
            </w:pPr>
            <w:r>
              <w:rPr>
                <w:rFonts w:hint="eastAsia"/>
                <w:color w:val="auto"/>
                <w:lang w:val="en-US" w:eastAsia="zh-CN"/>
              </w:rPr>
              <w:t>5</w:t>
            </w:r>
          </w:p>
        </w:tc>
        <w:tc>
          <w:tcPr>
            <w:tcW w:w="1405" w:type="dxa"/>
            <w:shd w:val="clear" w:color="auto" w:fill="auto"/>
            <w:vAlign w:val="center"/>
          </w:tcPr>
          <w:p>
            <w:pPr>
              <w:pStyle w:val="37"/>
              <w:rPr>
                <w:rFonts w:hint="eastAsia"/>
                <w:color w:val="auto"/>
                <w:lang w:val="en-US" w:eastAsia="zh-CN"/>
              </w:rPr>
            </w:pPr>
            <w:r>
              <w:rPr>
                <w:rFonts w:hint="eastAsia"/>
                <w:color w:val="auto"/>
                <w:lang w:val="en-US" w:eastAsia="zh-CN"/>
              </w:rPr>
              <w:t>5</w:t>
            </w:r>
          </w:p>
        </w:tc>
        <w:tc>
          <w:tcPr>
            <w:tcW w:w="1404" w:type="dxa"/>
            <w:vAlign w:val="center"/>
          </w:tcPr>
          <w:p>
            <w:pPr>
              <w:pStyle w:val="37"/>
              <w:rPr>
                <w:rFonts w:hint="eastAsia"/>
                <w:color w:val="auto"/>
                <w:lang w:val="en-US" w:eastAsia="zh-CN"/>
              </w:rPr>
            </w:pPr>
            <w:r>
              <w:rPr>
                <w:rFonts w:hint="eastAsia"/>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4692" w:type="dxa"/>
            <w:gridSpan w:val="2"/>
            <w:shd w:val="clear" w:color="auto" w:fill="auto"/>
            <w:vAlign w:val="center"/>
          </w:tcPr>
          <w:p>
            <w:pPr>
              <w:pStyle w:val="37"/>
              <w:rPr>
                <w:b/>
                <w:bCs/>
                <w:color w:val="auto"/>
              </w:rPr>
            </w:pPr>
            <w:r>
              <w:rPr>
                <w:rFonts w:hint="eastAsia"/>
                <w:b/>
                <w:bCs/>
                <w:color w:val="auto"/>
              </w:rPr>
              <w:t>合计</w:t>
            </w:r>
          </w:p>
        </w:tc>
        <w:tc>
          <w:tcPr>
            <w:tcW w:w="1027" w:type="dxa"/>
            <w:shd w:val="clear" w:color="auto" w:fill="auto"/>
            <w:vAlign w:val="center"/>
          </w:tcPr>
          <w:p>
            <w:pPr>
              <w:pStyle w:val="37"/>
              <w:rPr>
                <w:b/>
                <w:bCs/>
                <w:color w:val="auto"/>
              </w:rPr>
            </w:pPr>
            <w:r>
              <w:rPr>
                <w:rFonts w:hint="eastAsia"/>
                <w:b/>
                <w:bCs/>
                <w:color w:val="auto"/>
              </w:rPr>
              <w:t>100</w:t>
            </w:r>
          </w:p>
        </w:tc>
        <w:tc>
          <w:tcPr>
            <w:tcW w:w="1405" w:type="dxa"/>
            <w:shd w:val="clear" w:color="auto" w:fill="auto"/>
            <w:vAlign w:val="center"/>
          </w:tcPr>
          <w:p>
            <w:pPr>
              <w:pStyle w:val="37"/>
              <w:rPr>
                <w:rFonts w:hint="default"/>
                <w:b/>
                <w:bCs/>
                <w:color w:val="auto"/>
                <w:highlight w:val="none"/>
                <w:lang w:val="en-US" w:eastAsia="zh-CN"/>
              </w:rPr>
            </w:pPr>
            <w:r>
              <w:rPr>
                <w:rFonts w:hint="eastAsia"/>
                <w:b/>
                <w:bCs/>
                <w:color w:val="auto"/>
                <w:highlight w:val="none"/>
                <w:lang w:val="en-US" w:eastAsia="zh-CN"/>
              </w:rPr>
              <w:t>93.17</w:t>
            </w:r>
          </w:p>
        </w:tc>
        <w:tc>
          <w:tcPr>
            <w:tcW w:w="1404" w:type="dxa"/>
            <w:vAlign w:val="center"/>
          </w:tcPr>
          <w:p>
            <w:pPr>
              <w:pStyle w:val="37"/>
              <w:rPr>
                <w:rFonts w:hint="default"/>
                <w:b/>
                <w:bCs/>
                <w:color w:val="auto"/>
                <w:highlight w:val="none"/>
                <w:lang w:val="en-US" w:eastAsia="zh-CN"/>
              </w:rPr>
            </w:pPr>
            <w:r>
              <w:rPr>
                <w:rFonts w:hint="eastAsia"/>
                <w:b/>
                <w:bCs/>
                <w:color w:val="auto"/>
                <w:highlight w:val="none"/>
                <w:lang w:val="en-US" w:eastAsia="zh-CN"/>
              </w:rPr>
              <w:t>93.17%</w:t>
            </w:r>
          </w:p>
        </w:tc>
      </w:tr>
    </w:tbl>
    <w:p>
      <w:pPr>
        <w:pStyle w:val="25"/>
        <w:pageBreakBefore w:val="0"/>
        <w:kinsoku/>
        <w:wordWrap/>
        <w:overflowPunct/>
        <w:topLinePunct w:val="0"/>
        <w:autoSpaceDE/>
        <w:autoSpaceDN/>
        <w:bidi w:val="0"/>
        <w:adjustRightInd/>
        <w:snapToGrid/>
        <w:spacing w:line="560" w:lineRule="exact"/>
        <w:ind w:firstLine="640"/>
        <w:textAlignment w:val="auto"/>
        <w:rPr>
          <w:rFonts w:hint="default" w:eastAsia="仿宋_GB2312"/>
          <w:color w:val="auto"/>
          <w:lang w:val="en-US" w:eastAsia="zh-CN"/>
        </w:rPr>
      </w:pPr>
      <w:r>
        <w:rPr>
          <w:rFonts w:hint="eastAsia"/>
          <w:color w:val="auto"/>
        </w:rPr>
        <w:t>根据上述结果，</w:t>
      </w:r>
      <w:r>
        <w:rPr>
          <w:rFonts w:hint="eastAsia"/>
          <w:color w:val="auto"/>
          <w:lang w:val="en-US" w:eastAsia="zh-CN"/>
        </w:rPr>
        <w:t>和平区委党校</w:t>
      </w:r>
      <w:r>
        <w:rPr>
          <w:rFonts w:hint="eastAsia"/>
          <w:color w:val="auto"/>
        </w:rPr>
        <w:t>整体部门支出绩效情况</w:t>
      </w:r>
      <w:r>
        <w:rPr>
          <w:rFonts w:hint="eastAsia"/>
          <w:color w:val="auto"/>
          <w:lang w:val="en-US" w:eastAsia="zh-CN"/>
        </w:rPr>
        <w:t>良好</w:t>
      </w:r>
      <w:r>
        <w:rPr>
          <w:rFonts w:hint="eastAsia"/>
          <w:color w:val="auto"/>
        </w:rPr>
        <w:t>，其中：决策方面，绩效目标与部门职责的相符、</w:t>
      </w:r>
      <w:r>
        <w:rPr>
          <w:rFonts w:hint="eastAsia"/>
          <w:color w:val="auto"/>
          <w:lang w:val="en-US" w:eastAsia="zh-CN"/>
        </w:rPr>
        <w:t>与</w:t>
      </w:r>
      <w:r>
        <w:rPr>
          <w:rFonts w:hint="eastAsia"/>
          <w:color w:val="auto"/>
        </w:rPr>
        <w:t>年度任务对应</w:t>
      </w:r>
      <w:r>
        <w:rPr>
          <w:rFonts w:hint="eastAsia"/>
          <w:color w:val="auto"/>
          <w:lang w:eastAsia="zh-CN"/>
        </w:rPr>
        <w:t>，</w:t>
      </w:r>
      <w:r>
        <w:rPr>
          <w:rFonts w:hint="eastAsia"/>
          <w:color w:val="auto"/>
        </w:rPr>
        <w:t>部门年度工作计划科学，重大支出政策合理规范，</w:t>
      </w:r>
      <w:r>
        <w:rPr>
          <w:rFonts w:hint="eastAsia"/>
          <w:color w:val="auto"/>
          <w:lang w:val="en-US" w:eastAsia="zh-CN"/>
        </w:rPr>
        <w:t>决策与管理制度规范</w:t>
      </w:r>
      <w:r>
        <w:rPr>
          <w:rFonts w:hint="eastAsia"/>
          <w:color w:val="auto"/>
        </w:rPr>
        <w:t>；管理效率方面，</w:t>
      </w:r>
      <w:r>
        <w:rPr>
          <w:rFonts w:hint="eastAsia"/>
          <w:color w:val="auto"/>
          <w:lang w:val="en-US" w:eastAsia="zh-CN"/>
        </w:rPr>
        <w:t>部门测算细化、客观、准确，</w:t>
      </w:r>
      <w:r>
        <w:rPr>
          <w:rFonts w:hint="eastAsia"/>
          <w:color w:val="auto"/>
        </w:rPr>
        <w:t>预算执行率高，</w:t>
      </w:r>
      <w:r>
        <w:rPr>
          <w:rFonts w:hint="eastAsia"/>
          <w:color w:val="auto"/>
          <w:lang w:val="en-US" w:eastAsia="zh-CN"/>
        </w:rPr>
        <w:t>预算调整幅度小，</w:t>
      </w:r>
      <w:r>
        <w:rPr>
          <w:rFonts w:hint="eastAsia"/>
          <w:color w:val="auto"/>
        </w:rPr>
        <w:t>在职人员、公用经费与“三公经费”控制情况良好，</w:t>
      </w:r>
      <w:r>
        <w:rPr>
          <w:rFonts w:hint="eastAsia"/>
          <w:color w:val="auto"/>
          <w:lang w:val="en-US" w:eastAsia="zh-CN"/>
        </w:rPr>
        <w:t>预决算公开完整及时，绩效目标、自评工作开展规范，资产管理规范</w:t>
      </w:r>
      <w:r>
        <w:rPr>
          <w:rFonts w:hint="eastAsia"/>
          <w:color w:val="auto"/>
        </w:rPr>
        <w:t>；履职产出方面，部门</w:t>
      </w:r>
      <w:r>
        <w:rPr>
          <w:rFonts w:hint="eastAsia"/>
          <w:color w:val="auto"/>
          <w:lang w:val="en-US" w:eastAsia="zh-CN"/>
        </w:rPr>
        <w:t>教育培训工作、</w:t>
      </w:r>
      <w:r>
        <w:rPr>
          <w:rFonts w:hint="eastAsia"/>
          <w:color w:val="auto"/>
        </w:rPr>
        <w:t>外出宣讲工作与理论研究工</w:t>
      </w:r>
      <w:r>
        <w:rPr>
          <w:rFonts w:hint="eastAsia"/>
        </w:rPr>
        <w:t>作完成情况良好，</w:t>
      </w:r>
      <w:r>
        <w:rPr>
          <w:rFonts w:hint="eastAsia"/>
          <w:lang w:val="en-US" w:eastAsia="zh-CN"/>
        </w:rPr>
        <w:t>基本</w:t>
      </w:r>
      <w:r>
        <w:rPr>
          <w:rFonts w:hint="eastAsia"/>
        </w:rPr>
        <w:t>与年度工作计划内容相符，工作完成及时；履职效益方面，</w:t>
      </w:r>
      <w:r>
        <w:rPr>
          <w:rFonts w:hint="eastAsia"/>
          <w:lang w:val="en-US" w:eastAsia="zh-CN"/>
        </w:rPr>
        <w:t>参加培训学员能力得到了一定程度提升，宣讲思想传播广泛，理论研究成果显著</w:t>
      </w:r>
      <w:r>
        <w:rPr>
          <w:rFonts w:hint="eastAsia"/>
        </w:rPr>
        <w:t>；履职满意度方面</w:t>
      </w:r>
      <w:r>
        <w:rPr>
          <w:rFonts w:hint="eastAsia"/>
          <w:lang w:val="en-US" w:eastAsia="zh-CN"/>
        </w:rPr>
        <w:t>参加培训学员</w:t>
      </w:r>
      <w:r>
        <w:rPr>
          <w:rFonts w:hint="eastAsia"/>
        </w:rPr>
        <w:t>与参加宣讲活动人员均对本年度工作开展成效表示认可</w:t>
      </w:r>
      <w:r>
        <w:rPr>
          <w:rFonts w:hint="eastAsia"/>
          <w:lang w:eastAsia="zh-CN"/>
        </w:rPr>
        <w:t>。</w:t>
      </w:r>
      <w:r>
        <w:rPr>
          <w:rFonts w:hint="eastAsia"/>
          <w:lang w:val="en-US" w:eastAsia="zh-CN"/>
        </w:rPr>
        <w:t>但部门在绩效指标细化</w:t>
      </w:r>
      <w:r>
        <w:rPr>
          <w:rFonts w:hint="eastAsia"/>
          <w:color w:val="auto"/>
          <w:lang w:val="en-US" w:eastAsia="zh-CN"/>
        </w:rPr>
        <w:t>程度不足、结转结余资金未纳入年初预算、部分账务处理不规范、未建立绩效指标体系、</w:t>
      </w:r>
      <w:r>
        <w:rPr>
          <w:rFonts w:hint="eastAsia"/>
          <w:color w:val="auto"/>
          <w:highlight w:val="none"/>
          <w:lang w:val="en-US" w:eastAsia="zh-CN"/>
        </w:rPr>
        <w:t>部门成本未能得到有效控制</w:t>
      </w:r>
      <w:r>
        <w:rPr>
          <w:rFonts w:hint="eastAsia"/>
          <w:color w:val="auto"/>
          <w:lang w:val="en-US" w:eastAsia="zh-CN"/>
        </w:rPr>
        <w:t>等问题，</w:t>
      </w:r>
      <w:r>
        <w:rPr>
          <w:rFonts w:hint="eastAsia"/>
          <w:color w:val="auto"/>
          <w:highlight w:val="none"/>
          <w:lang w:val="en-US" w:eastAsia="zh-CN"/>
        </w:rPr>
        <w:t>同时部门履职方面因授课教师与专职班主任不足，</w:t>
      </w:r>
      <w:r>
        <w:rPr>
          <w:rFonts w:hint="eastAsia"/>
          <w:color w:val="auto"/>
          <w:lang w:val="en-US" w:eastAsia="zh-CN"/>
        </w:rPr>
        <w:t>一定程度影响教育培训效果。</w:t>
      </w:r>
    </w:p>
    <w:p>
      <w:pPr>
        <w:pStyle w:val="29"/>
        <w:pageBreakBefore w:val="0"/>
        <w:kinsoku/>
        <w:wordWrap/>
        <w:overflowPunct/>
        <w:topLinePunct w:val="0"/>
        <w:autoSpaceDE/>
        <w:autoSpaceDN/>
        <w:bidi w:val="0"/>
        <w:adjustRightInd/>
        <w:snapToGrid/>
        <w:spacing w:line="560" w:lineRule="exact"/>
        <w:ind w:firstLine="640"/>
        <w:textAlignment w:val="auto"/>
        <w:rPr>
          <w:rFonts w:hint="eastAsia"/>
          <w:color w:val="auto"/>
        </w:rPr>
      </w:pPr>
      <w:bookmarkStart w:id="51" w:name="_Toc53326868"/>
      <w:bookmarkStart w:id="52" w:name="_Toc21205"/>
      <w:bookmarkStart w:id="53" w:name="_Toc91375841"/>
      <w:bookmarkStart w:id="54" w:name="_Toc91375454"/>
      <w:r>
        <w:rPr>
          <w:rFonts w:hint="eastAsia"/>
          <w:color w:val="auto"/>
        </w:rPr>
        <w:t>（三）指标详细分析</w:t>
      </w:r>
      <w:bookmarkEnd w:id="51"/>
      <w:bookmarkEnd w:id="52"/>
      <w:bookmarkEnd w:id="53"/>
      <w:bookmarkEnd w:id="54"/>
    </w:p>
    <w:p>
      <w:pPr>
        <w:pStyle w:val="25"/>
        <w:pageBreakBefore w:val="0"/>
        <w:kinsoku/>
        <w:wordWrap/>
        <w:overflowPunct/>
        <w:topLinePunct w:val="0"/>
        <w:autoSpaceDE/>
        <w:autoSpaceDN/>
        <w:bidi w:val="0"/>
        <w:adjustRightInd/>
        <w:snapToGrid/>
        <w:spacing w:line="560" w:lineRule="exact"/>
        <w:ind w:firstLine="640"/>
        <w:textAlignment w:val="auto"/>
      </w:pPr>
      <w:r>
        <w:rPr>
          <w:rFonts w:hint="eastAsia"/>
        </w:rPr>
        <w:t>1</w:t>
      </w:r>
      <w:r>
        <w:t>.</w:t>
      </w:r>
      <w:r>
        <w:rPr>
          <w:rFonts w:hint="eastAsia"/>
        </w:rPr>
        <w:t>部门决策</w:t>
      </w:r>
    </w:p>
    <w:p>
      <w:pPr>
        <w:pStyle w:val="25"/>
        <w:pageBreakBefore w:val="0"/>
        <w:kinsoku/>
        <w:wordWrap/>
        <w:overflowPunct/>
        <w:topLinePunct w:val="0"/>
        <w:autoSpaceDE/>
        <w:autoSpaceDN/>
        <w:bidi w:val="0"/>
        <w:adjustRightInd/>
        <w:snapToGrid/>
        <w:spacing w:line="560" w:lineRule="exact"/>
        <w:ind w:firstLine="640"/>
        <w:textAlignment w:val="auto"/>
      </w:pPr>
      <w:r>
        <w:rPr>
          <w:rFonts w:hint="eastAsia"/>
        </w:rPr>
        <w:t>（1）绩效目标</w:t>
      </w:r>
    </w:p>
    <w:p>
      <w:pPr>
        <w:pStyle w:val="25"/>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①绩效目标与部门职责的相符性、年度任务对应性：分值1分，得</w:t>
      </w:r>
      <w:r>
        <w:rPr>
          <w:rFonts w:hint="eastAsia"/>
          <w:highlight w:val="none"/>
        </w:rPr>
        <w:t>分</w:t>
      </w:r>
      <w:r>
        <w:rPr>
          <w:rFonts w:hint="eastAsia"/>
          <w:highlight w:val="none"/>
          <w:lang w:val="en-US" w:eastAsia="zh-CN"/>
        </w:rPr>
        <w:t>1</w:t>
      </w:r>
      <w:r>
        <w:rPr>
          <w:rFonts w:hint="eastAsia"/>
          <w:highlight w:val="none"/>
        </w:rPr>
        <w:t>分，得分率</w:t>
      </w:r>
      <w:r>
        <w:rPr>
          <w:rFonts w:hint="eastAsia"/>
          <w:highlight w:val="none"/>
          <w:lang w:val="en-US" w:eastAsia="zh-CN"/>
        </w:rPr>
        <w:t>100</w:t>
      </w:r>
      <w:r>
        <w:rPr>
          <w:rFonts w:hint="eastAsia"/>
          <w:highlight w:val="none"/>
        </w:rPr>
        <w:t>%。根</w:t>
      </w:r>
      <w:r>
        <w:rPr>
          <w:rFonts w:hint="eastAsia"/>
        </w:rPr>
        <w:t>据部门所提供202</w:t>
      </w:r>
      <w:r>
        <w:rPr>
          <w:rFonts w:hint="eastAsia"/>
          <w:lang w:val="en-US" w:eastAsia="zh-CN"/>
        </w:rPr>
        <w:t>3</w:t>
      </w:r>
      <w:r>
        <w:rPr>
          <w:rFonts w:hint="eastAsia"/>
        </w:rPr>
        <w:t>年度整体支出绩效目标表、部门三定方案与年度工作计划进行评分，主要针对部门整体绩效目标年度主要任务是否符合国家法律法规、国民经济、社会发展总体规划及部门职责，年度总体绩效目标制定内容是否与年度主要任务内容相匹配等方面进行评价。</w:t>
      </w:r>
    </w:p>
    <w:p>
      <w:pPr>
        <w:pStyle w:val="25"/>
        <w:pageBreakBefore w:val="0"/>
        <w:kinsoku/>
        <w:wordWrap/>
        <w:overflowPunct/>
        <w:topLinePunct w:val="0"/>
        <w:autoSpaceDE/>
        <w:autoSpaceDN/>
        <w:bidi w:val="0"/>
        <w:adjustRightInd/>
        <w:snapToGrid/>
        <w:spacing w:line="560" w:lineRule="exact"/>
        <w:ind w:firstLine="640"/>
        <w:textAlignment w:val="auto"/>
        <w:rPr>
          <w:rFonts w:hint="eastAsia" w:eastAsia="仿宋_GB2312"/>
          <w:lang w:eastAsia="zh-CN"/>
        </w:rPr>
      </w:pPr>
      <w:r>
        <w:rPr>
          <w:rFonts w:hint="eastAsia"/>
        </w:rPr>
        <w:t>和平区委党校2023年共设置了</w:t>
      </w:r>
      <w:r>
        <w:rPr>
          <w:rFonts w:hint="eastAsia"/>
          <w:lang w:val="en-US" w:eastAsia="zh-CN"/>
        </w:rPr>
        <w:t>3</w:t>
      </w:r>
      <w:r>
        <w:rPr>
          <w:rFonts w:hint="eastAsia"/>
        </w:rPr>
        <w:t>项年度主要任务，分别为“及时支付人员工资及物业保障经费等，保障机构正常运转”“开展干部教育培训教育等活动”</w:t>
      </w:r>
      <w:r>
        <w:rPr>
          <w:rFonts w:hint="eastAsia"/>
          <w:lang w:val="en-US" w:eastAsia="zh-CN"/>
        </w:rPr>
        <w:t>和</w:t>
      </w:r>
      <w:r>
        <w:rPr>
          <w:rFonts w:hint="eastAsia"/>
        </w:rPr>
        <w:t>“开展党史研究、期刊、图书购置、相关课题及调研等工作”，年度主要任务符合国家法律法规、国民经济、社会发展总体规划</w:t>
      </w:r>
      <w:r>
        <w:rPr>
          <w:rFonts w:hint="eastAsia"/>
          <w:lang w:eastAsia="zh-CN"/>
        </w:rPr>
        <w:t>，</w:t>
      </w:r>
      <w:r>
        <w:rPr>
          <w:rFonts w:hint="eastAsia"/>
          <w:lang w:val="en-US" w:eastAsia="zh-CN"/>
        </w:rPr>
        <w:t>与和平区委党校“承办区委、区政府下达的公务员培训、科长培训、处（科）级领导干部任职培训、民主党派干部和统战干部的培训以及各类专业专题研讨班”“承担区委、区政府下达的科研调研理研任务”“负责地方党史研究工作”等</w:t>
      </w:r>
      <w:r>
        <w:rPr>
          <w:rFonts w:hint="eastAsia"/>
        </w:rPr>
        <w:t>部门职责</w:t>
      </w:r>
      <w:r>
        <w:rPr>
          <w:rFonts w:hint="eastAsia"/>
          <w:lang w:val="en-US" w:eastAsia="zh-CN"/>
        </w:rPr>
        <w:t>相匹配</w:t>
      </w:r>
      <w:r>
        <w:rPr>
          <w:rFonts w:hint="eastAsia"/>
        </w:rPr>
        <w:t>。和平区委党校2023年共设置</w:t>
      </w:r>
      <w:r>
        <w:rPr>
          <w:rFonts w:hint="eastAsia"/>
          <w:lang w:val="en-US" w:eastAsia="zh-CN"/>
        </w:rPr>
        <w:t>3</w:t>
      </w:r>
      <w:r>
        <w:rPr>
          <w:rFonts w:hint="eastAsia"/>
        </w:rPr>
        <w:t>项年度总体绩效目标，分别为“通过支付人员工资及物业保障等经费，保障机构正常运转”“通过做好干部教育培训工作，提升人才队伍建设水平”</w:t>
      </w:r>
      <w:r>
        <w:rPr>
          <w:rFonts w:hint="eastAsia"/>
          <w:lang w:val="en-US" w:eastAsia="zh-CN"/>
        </w:rPr>
        <w:t>和</w:t>
      </w:r>
      <w:r>
        <w:rPr>
          <w:rFonts w:hint="eastAsia"/>
        </w:rPr>
        <w:t>“通过党史研究、期刊、图书购置、相关课题及调研、革命遗址保护利用工作相关课题及图书出版、党史宣传教育等工作，提升党史工作管理水平”，与主要任务内容对应匹配</w:t>
      </w:r>
      <w:r>
        <w:rPr>
          <w:rFonts w:hint="eastAsia"/>
          <w:lang w:eastAsia="zh-CN"/>
        </w:rPr>
        <w:t>。</w:t>
      </w:r>
    </w:p>
    <w:p>
      <w:pPr>
        <w:pStyle w:val="25"/>
        <w:pageBreakBefore w:val="0"/>
        <w:kinsoku/>
        <w:wordWrap/>
        <w:overflowPunct/>
        <w:topLinePunct w:val="0"/>
        <w:autoSpaceDE/>
        <w:autoSpaceDN/>
        <w:bidi w:val="0"/>
        <w:adjustRightInd/>
        <w:snapToGrid/>
        <w:spacing w:line="560" w:lineRule="exact"/>
        <w:ind w:firstLine="640"/>
        <w:textAlignment w:val="auto"/>
        <w:rPr>
          <w:rFonts w:hint="eastAsia" w:eastAsia="仿宋_GB2312"/>
          <w:lang w:eastAsia="zh-CN"/>
        </w:rPr>
      </w:pPr>
      <w:r>
        <w:rPr>
          <w:rFonts w:hint="eastAsia"/>
        </w:rPr>
        <w:t>②绩效指标清晰量化程度：分值1分，得分</w:t>
      </w:r>
      <w:r>
        <w:rPr>
          <w:rFonts w:hint="eastAsia"/>
          <w:lang w:val="en-US" w:eastAsia="zh-CN"/>
        </w:rPr>
        <w:t>0.8</w:t>
      </w:r>
      <w:r>
        <w:rPr>
          <w:rFonts w:hint="eastAsia"/>
        </w:rPr>
        <w:t>分，得分率</w:t>
      </w:r>
      <w:r>
        <w:rPr>
          <w:rFonts w:hint="eastAsia"/>
          <w:lang w:val="en-US" w:eastAsia="zh-CN"/>
        </w:rPr>
        <w:t>80</w:t>
      </w:r>
      <w:r>
        <w:rPr>
          <w:rFonts w:hint="eastAsia"/>
        </w:rPr>
        <w:t>%。根据部门所提供2023年度整体支出绩效目标表进行评分，主要针对部门整体支出绩效目标年度绩效指标是否通过清晰、可衡量的指标值予以体现等方面进行评价</w:t>
      </w:r>
      <w:r>
        <w:rPr>
          <w:rFonts w:hint="eastAsia"/>
          <w:lang w:eastAsia="zh-CN"/>
        </w:rPr>
        <w:t>。</w:t>
      </w:r>
    </w:p>
    <w:p>
      <w:pPr>
        <w:pStyle w:val="25"/>
        <w:pageBreakBefore w:val="0"/>
        <w:kinsoku/>
        <w:wordWrap/>
        <w:overflowPunct/>
        <w:topLinePunct w:val="0"/>
        <w:autoSpaceDE/>
        <w:autoSpaceDN/>
        <w:bidi w:val="0"/>
        <w:adjustRightInd/>
        <w:snapToGrid/>
        <w:spacing w:line="560" w:lineRule="exact"/>
        <w:ind w:firstLine="640"/>
        <w:textAlignment w:val="auto"/>
        <w:rPr>
          <w:rFonts w:hint="eastAsia" w:eastAsia="仿宋_GB2312"/>
          <w:lang w:eastAsia="zh-CN"/>
        </w:rPr>
      </w:pPr>
      <w:r>
        <w:rPr>
          <w:rFonts w:hint="eastAsia"/>
        </w:rPr>
        <w:t>和平区委党校共设置</w:t>
      </w:r>
      <w:r>
        <w:rPr>
          <w:rFonts w:hint="eastAsia"/>
          <w:lang w:val="en-US" w:eastAsia="zh-CN"/>
        </w:rPr>
        <w:t>17</w:t>
      </w:r>
      <w:r>
        <w:rPr>
          <w:rFonts w:hint="eastAsia"/>
        </w:rPr>
        <w:t>条产出指标、</w:t>
      </w:r>
      <w:r>
        <w:rPr>
          <w:rFonts w:hint="eastAsia"/>
          <w:lang w:val="en-US" w:eastAsia="zh-CN"/>
        </w:rPr>
        <w:t>3</w:t>
      </w:r>
      <w:r>
        <w:rPr>
          <w:rFonts w:hint="eastAsia"/>
        </w:rPr>
        <w:t>条效益指标、</w:t>
      </w:r>
      <w:r>
        <w:rPr>
          <w:rFonts w:hint="eastAsia"/>
          <w:lang w:val="en-US" w:eastAsia="zh-CN"/>
        </w:rPr>
        <w:t>2</w:t>
      </w:r>
      <w:r>
        <w:rPr>
          <w:rFonts w:hint="eastAsia"/>
        </w:rPr>
        <w:t>条满意度指标，具体三级指标名称及指标值如下表所示</w:t>
      </w:r>
      <w:r>
        <w:rPr>
          <w:rFonts w:hint="eastAsia"/>
          <w:lang w:eastAsia="zh-CN"/>
        </w:rPr>
        <w:t>。</w:t>
      </w:r>
    </w:p>
    <w:p>
      <w:pPr>
        <w:pStyle w:val="32"/>
        <w:pageBreakBefore w:val="0"/>
        <w:kinsoku/>
        <w:wordWrap/>
        <w:overflowPunct/>
        <w:topLinePunct w:val="0"/>
        <w:autoSpaceDE/>
        <w:autoSpaceDN/>
        <w:bidi w:val="0"/>
        <w:adjustRightInd/>
        <w:snapToGrid/>
        <w:spacing w:line="560" w:lineRule="exact"/>
        <w:textAlignment w:val="auto"/>
      </w:pPr>
      <w:r>
        <w:rPr>
          <w:rFonts w:hint="eastAsia"/>
        </w:rPr>
        <w:t>表3.</w:t>
      </w:r>
      <w:r>
        <w:t>3</w:t>
      </w:r>
      <w:r>
        <w:rPr>
          <w:rFonts w:hint="eastAsia"/>
        </w:rPr>
        <w:t>.</w:t>
      </w:r>
      <w:r>
        <w:t xml:space="preserve">1.1.2 </w:t>
      </w:r>
      <w:r>
        <w:rPr>
          <w:rFonts w:hint="eastAsia"/>
          <w:lang w:val="en-US" w:eastAsia="zh-CN"/>
        </w:rPr>
        <w:t xml:space="preserve"> </w:t>
      </w:r>
      <w:r>
        <w:rPr>
          <w:rFonts w:hint="eastAsia"/>
        </w:rPr>
        <w:t>年度绩效指标信息表</w:t>
      </w:r>
    </w:p>
    <w:tbl>
      <w:tblPr>
        <w:tblStyle w:val="17"/>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2"/>
        <w:gridCol w:w="1733"/>
        <w:gridCol w:w="3713"/>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1012" w:type="dxa"/>
            <w:shd w:val="clear" w:color="auto" w:fill="auto"/>
            <w:vAlign w:val="center"/>
          </w:tcPr>
          <w:p>
            <w:pPr>
              <w:pStyle w:val="35"/>
            </w:pPr>
            <w:r>
              <w:rPr>
                <w:rFonts w:hint="eastAsia"/>
              </w:rPr>
              <w:t>一级</w:t>
            </w:r>
          </w:p>
          <w:p>
            <w:pPr>
              <w:pStyle w:val="35"/>
            </w:pPr>
            <w:r>
              <w:rPr>
                <w:rFonts w:hint="eastAsia"/>
              </w:rPr>
              <w:t>指标</w:t>
            </w:r>
          </w:p>
        </w:tc>
        <w:tc>
          <w:tcPr>
            <w:tcW w:w="1733" w:type="dxa"/>
            <w:shd w:val="clear" w:color="auto" w:fill="auto"/>
            <w:vAlign w:val="center"/>
          </w:tcPr>
          <w:p>
            <w:pPr>
              <w:pStyle w:val="35"/>
            </w:pPr>
            <w:r>
              <w:rPr>
                <w:rFonts w:hint="eastAsia"/>
              </w:rPr>
              <w:t>二级指标</w:t>
            </w:r>
          </w:p>
        </w:tc>
        <w:tc>
          <w:tcPr>
            <w:tcW w:w="3713" w:type="dxa"/>
            <w:shd w:val="clear" w:color="auto" w:fill="auto"/>
            <w:vAlign w:val="center"/>
          </w:tcPr>
          <w:p>
            <w:pPr>
              <w:pStyle w:val="35"/>
            </w:pPr>
            <w:r>
              <w:rPr>
                <w:rFonts w:hint="eastAsia"/>
              </w:rPr>
              <w:t>三级指标</w:t>
            </w:r>
          </w:p>
        </w:tc>
        <w:tc>
          <w:tcPr>
            <w:tcW w:w="2070" w:type="dxa"/>
            <w:shd w:val="clear" w:color="auto" w:fill="auto"/>
            <w:vAlign w:val="center"/>
          </w:tcPr>
          <w:p>
            <w:pPr>
              <w:pStyle w:val="35"/>
            </w:pPr>
            <w:r>
              <w:rPr>
                <w:rFonts w:hint="eastAsia"/>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1012" w:type="dxa"/>
            <w:vMerge w:val="restart"/>
            <w:shd w:val="clear" w:color="auto" w:fill="auto"/>
            <w:vAlign w:val="center"/>
          </w:tcPr>
          <w:p>
            <w:pPr>
              <w:pStyle w:val="37"/>
            </w:pPr>
            <w:r>
              <w:rPr>
                <w:rFonts w:hint="eastAsia"/>
              </w:rPr>
              <w:t>产出</w:t>
            </w:r>
          </w:p>
          <w:p>
            <w:pPr>
              <w:pStyle w:val="37"/>
            </w:pPr>
            <w:r>
              <w:rPr>
                <w:rFonts w:hint="eastAsia"/>
              </w:rPr>
              <w:t>指标</w:t>
            </w:r>
          </w:p>
        </w:tc>
        <w:tc>
          <w:tcPr>
            <w:tcW w:w="1733" w:type="dxa"/>
            <w:vMerge w:val="restart"/>
            <w:shd w:val="clear" w:color="auto" w:fill="auto"/>
            <w:vAlign w:val="center"/>
          </w:tcPr>
          <w:p>
            <w:pPr>
              <w:pStyle w:val="37"/>
            </w:pPr>
            <w:r>
              <w:rPr>
                <w:rFonts w:hint="eastAsia"/>
              </w:rPr>
              <w:t>数量指标</w:t>
            </w: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教职工人数</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≥29人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物业管理办公用房面积</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=3013.14平方米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培训人数</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≥1800人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培训班次</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≥27个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完成党史研究调研报告数量</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012" w:type="dxa"/>
            <w:vMerge w:val="continue"/>
            <w:shd w:val="clear" w:color="auto" w:fill="auto"/>
            <w:vAlign w:val="center"/>
          </w:tcPr>
          <w:p>
            <w:pPr>
              <w:pStyle w:val="37"/>
            </w:pPr>
          </w:p>
        </w:tc>
        <w:tc>
          <w:tcPr>
            <w:tcW w:w="1733" w:type="dxa"/>
            <w:vMerge w:val="restart"/>
            <w:shd w:val="clear" w:color="auto" w:fill="auto"/>
            <w:vAlign w:val="center"/>
          </w:tcPr>
          <w:p>
            <w:pPr>
              <w:pStyle w:val="37"/>
              <w:rPr>
                <w:rFonts w:hint="default" w:eastAsia="宋体"/>
                <w:lang w:val="en-US" w:eastAsia="zh-CN"/>
              </w:rPr>
            </w:pPr>
            <w:r>
              <w:rPr>
                <w:rFonts w:hint="eastAsia"/>
                <w:lang w:val="en-US" w:eastAsia="zh-CN"/>
              </w:rPr>
              <w:t>质量指标</w:t>
            </w: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人员经费保障率</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物业保障达标率</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培训人员覆盖率</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党史研究成果评审合格率</w:t>
            </w:r>
          </w:p>
        </w:tc>
        <w:tc>
          <w:tcPr>
            <w:tcW w:w="2070" w:type="dxa"/>
            <w:shd w:val="clear" w:color="auto" w:fill="auto"/>
            <w:vAlign w:val="center"/>
          </w:tcPr>
          <w:p>
            <w:pPr>
              <w:pStyle w:val="37"/>
              <w:rPr>
                <w:rFonts w:hint="eastAsia" w:ascii="Times New Roman" w:hAnsi="Times New Roman"/>
                <w:lang w:val="en-US" w:eastAsia="zh-CN"/>
              </w:rPr>
            </w:pPr>
            <w:r>
              <w:rPr>
                <w:rFonts w:hint="eastAsia" w:ascii="Times New Roman" w:hAnsi="Times New Roman"/>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1012" w:type="dxa"/>
            <w:vMerge w:val="continue"/>
            <w:shd w:val="clear" w:color="auto" w:fill="auto"/>
            <w:vAlign w:val="center"/>
          </w:tcPr>
          <w:p>
            <w:pPr>
              <w:pStyle w:val="37"/>
            </w:pPr>
          </w:p>
        </w:tc>
        <w:tc>
          <w:tcPr>
            <w:tcW w:w="1733" w:type="dxa"/>
            <w:vMerge w:val="restart"/>
            <w:shd w:val="clear" w:color="auto" w:fill="auto"/>
            <w:vAlign w:val="center"/>
          </w:tcPr>
          <w:p>
            <w:pPr>
              <w:pStyle w:val="37"/>
            </w:pPr>
            <w:r>
              <w:rPr>
                <w:rFonts w:hint="eastAsia"/>
              </w:rPr>
              <w:t>时效指标</w:t>
            </w: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保障机构运转及时率</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物业经费使用周期</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培训计划按期完成率</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研究成果按时结题率</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restart"/>
            <w:shd w:val="clear" w:color="auto" w:fill="auto"/>
            <w:vAlign w:val="center"/>
          </w:tcPr>
          <w:p>
            <w:pPr>
              <w:pStyle w:val="37"/>
            </w:pPr>
            <w:r>
              <w:rPr>
                <w:rFonts w:hint="eastAsia"/>
              </w:rPr>
              <w:t>成本指标</w:t>
            </w: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保障机构运转经费</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≤826.8万元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rPr>
                <w:rFonts w:hint="eastAsia"/>
              </w:rPr>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物业保障经费</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≤50.8万元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rPr>
                <w:rFonts w:hint="eastAsia"/>
              </w:rPr>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干部教育培训经费</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≤19.5万元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rPr>
                <w:rFonts w:hint="eastAsia"/>
              </w:rPr>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党史工作专项经费</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≤0.5万元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restart"/>
            <w:shd w:val="clear" w:color="auto" w:fill="auto"/>
            <w:vAlign w:val="center"/>
          </w:tcPr>
          <w:p>
            <w:pPr>
              <w:pStyle w:val="37"/>
            </w:pPr>
            <w:r>
              <w:rPr>
                <w:rFonts w:hint="eastAsia"/>
              </w:rPr>
              <w:t>效益</w:t>
            </w:r>
          </w:p>
          <w:p>
            <w:pPr>
              <w:pStyle w:val="37"/>
            </w:pPr>
            <w:r>
              <w:rPr>
                <w:rFonts w:hint="eastAsia"/>
              </w:rPr>
              <w:t>指标</w:t>
            </w:r>
          </w:p>
        </w:tc>
        <w:tc>
          <w:tcPr>
            <w:tcW w:w="1733" w:type="dxa"/>
            <w:vMerge w:val="restart"/>
            <w:shd w:val="clear" w:color="auto" w:fill="auto"/>
            <w:vAlign w:val="center"/>
          </w:tcPr>
          <w:p>
            <w:pPr>
              <w:pStyle w:val="37"/>
            </w:pPr>
            <w:r>
              <w:rPr>
                <w:rFonts w:hint="eastAsia"/>
              </w:rPr>
              <w:t>社会效益指标</w:t>
            </w: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提升办学环境质量</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提升人才队伍建设水平</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党史研究成果刊发次数</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restart"/>
            <w:shd w:val="clear" w:color="auto" w:fill="auto"/>
            <w:vAlign w:val="center"/>
          </w:tcPr>
          <w:p>
            <w:pPr>
              <w:pStyle w:val="37"/>
            </w:pPr>
            <w:r>
              <w:rPr>
                <w:rFonts w:hint="eastAsia"/>
              </w:rPr>
              <w:t>满意度</w:t>
            </w:r>
          </w:p>
          <w:p>
            <w:pPr>
              <w:pStyle w:val="37"/>
            </w:pPr>
            <w:r>
              <w:rPr>
                <w:rFonts w:hint="eastAsia"/>
              </w:rPr>
              <w:t>指标</w:t>
            </w:r>
          </w:p>
        </w:tc>
        <w:tc>
          <w:tcPr>
            <w:tcW w:w="1733" w:type="dxa"/>
            <w:vMerge w:val="restart"/>
            <w:shd w:val="clear" w:color="auto" w:fill="auto"/>
            <w:vAlign w:val="center"/>
          </w:tcPr>
          <w:p>
            <w:pPr>
              <w:pStyle w:val="37"/>
            </w:pPr>
            <w:r>
              <w:rPr>
                <w:rFonts w:hint="eastAsia"/>
              </w:rPr>
              <w:t>服务满意度</w:t>
            </w:r>
          </w:p>
          <w:p>
            <w:pPr>
              <w:pStyle w:val="37"/>
            </w:pPr>
            <w:r>
              <w:rPr>
                <w:rFonts w:hint="eastAsia"/>
              </w:rPr>
              <w:t>指标</w:t>
            </w: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培训人员满意度</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012" w:type="dxa"/>
            <w:vMerge w:val="continue"/>
            <w:shd w:val="clear" w:color="auto" w:fill="auto"/>
            <w:vAlign w:val="center"/>
          </w:tcPr>
          <w:p>
            <w:pPr>
              <w:pStyle w:val="37"/>
            </w:pPr>
          </w:p>
        </w:tc>
        <w:tc>
          <w:tcPr>
            <w:tcW w:w="1733" w:type="dxa"/>
            <w:vMerge w:val="continue"/>
            <w:shd w:val="clear" w:color="auto" w:fill="auto"/>
            <w:vAlign w:val="center"/>
          </w:tcPr>
          <w:p>
            <w:pPr>
              <w:pStyle w:val="37"/>
            </w:pPr>
          </w:p>
        </w:tc>
        <w:tc>
          <w:tcPr>
            <w:tcW w:w="3713"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教职工满意度</w:t>
            </w:r>
          </w:p>
        </w:tc>
        <w:tc>
          <w:tcPr>
            <w:tcW w:w="2070" w:type="dxa"/>
            <w:shd w:val="clear" w:color="auto" w:fill="auto"/>
            <w:vAlign w:val="center"/>
          </w:tcPr>
          <w:p>
            <w:pPr>
              <w:pStyle w:val="37"/>
              <w:ind w:firstLine="0" w:firstLineChars="0"/>
              <w:rPr>
                <w:rFonts w:hint="eastAsia" w:ascii="Times New Roman" w:hAnsi="Times New Roman"/>
                <w:lang w:val="en-US" w:eastAsia="zh-CN"/>
              </w:rPr>
            </w:pPr>
            <w:r>
              <w:rPr>
                <w:rFonts w:hint="eastAsia" w:ascii="Times New Roman" w:hAnsi="Times New Roman"/>
                <w:lang w:val="en-US" w:eastAsia="zh-CN"/>
              </w:rPr>
              <w:t>≥95%</w:t>
            </w:r>
          </w:p>
        </w:tc>
      </w:tr>
    </w:tbl>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color w:val="auto"/>
          <w:highlight w:val="none"/>
        </w:rPr>
      </w:pPr>
      <w:r>
        <w:rPr>
          <w:rFonts w:hint="eastAsia"/>
          <w:highlight w:val="none"/>
        </w:rPr>
        <w:t>根据上表所示相关信息，部门所设定年度绩效指标</w:t>
      </w:r>
      <w:r>
        <w:rPr>
          <w:rFonts w:hint="eastAsia"/>
          <w:highlight w:val="none"/>
          <w:lang w:val="en-US" w:eastAsia="zh-CN"/>
        </w:rPr>
        <w:t>清晰，具备可衡量性，但针对绩效目标“通过党史研究、期刊、图书购置、相关课题及调研、革命遗址保护利用工作相关课题及图书出版、党史宣传教育等工作，提升党史工作管理水平”仅设置党史研究相关指标，未针对党史宣传教育等内容设置对应绩效指标，绩效指</w:t>
      </w:r>
      <w:r>
        <w:rPr>
          <w:rFonts w:hint="eastAsia"/>
          <w:color w:val="auto"/>
          <w:highlight w:val="none"/>
          <w:lang w:val="en-US" w:eastAsia="zh-CN"/>
        </w:rPr>
        <w:t>标细化程度有待进一步提升</w:t>
      </w:r>
      <w:r>
        <w:rPr>
          <w:rFonts w:hint="eastAsia"/>
          <w:color w:val="auto"/>
          <w:highlight w:val="none"/>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color w:val="auto"/>
        </w:rPr>
      </w:pPr>
      <w:r>
        <w:rPr>
          <w:rFonts w:hint="eastAsia"/>
          <w:color w:val="auto"/>
        </w:rPr>
        <w:t>③绩效目标与预算资金匹配性：分值</w:t>
      </w:r>
      <w:r>
        <w:rPr>
          <w:color w:val="auto"/>
        </w:rPr>
        <w:t>2</w:t>
      </w:r>
      <w:r>
        <w:rPr>
          <w:rFonts w:hint="eastAsia"/>
          <w:color w:val="auto"/>
        </w:rPr>
        <w:t>分，得分</w:t>
      </w:r>
      <w:r>
        <w:rPr>
          <w:rFonts w:hint="eastAsia"/>
          <w:color w:val="auto"/>
          <w:highlight w:val="none"/>
          <w:lang w:val="en-US" w:eastAsia="zh-CN"/>
        </w:rPr>
        <w:t>2</w:t>
      </w:r>
      <w:r>
        <w:rPr>
          <w:rFonts w:hint="eastAsia"/>
          <w:color w:val="auto"/>
        </w:rPr>
        <w:t>分，得分率</w:t>
      </w:r>
      <w:r>
        <w:rPr>
          <w:rFonts w:hint="eastAsia"/>
          <w:color w:val="auto"/>
          <w:highlight w:val="none"/>
          <w:lang w:val="en-US" w:eastAsia="zh-CN"/>
        </w:rPr>
        <w:t>100</w:t>
      </w:r>
      <w:r>
        <w:rPr>
          <w:rFonts w:hint="eastAsia"/>
          <w:color w:val="auto"/>
        </w:rPr>
        <w:t>%。根据部门所提供202</w:t>
      </w:r>
      <w:r>
        <w:rPr>
          <w:rFonts w:hint="eastAsia"/>
          <w:color w:val="auto"/>
          <w:lang w:val="en-US" w:eastAsia="zh-CN"/>
        </w:rPr>
        <w:t>3</w:t>
      </w:r>
      <w:r>
        <w:rPr>
          <w:rFonts w:hint="eastAsia"/>
          <w:color w:val="auto"/>
        </w:rPr>
        <w:t>年度整体支出绩效目标表、部门预算批复文件进行评分，主要针对部门整体支出绩效目标表中的填报资金是否与人大批复的部门预算相匹配、是否满足部门整体工作任务的完成等方面进行评价。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color w:val="auto"/>
        </w:rPr>
      </w:pPr>
      <w:r>
        <w:rPr>
          <w:rFonts w:hint="eastAsia"/>
          <w:color w:val="auto"/>
        </w:rPr>
        <w:t>根据和平区委党校部门预算公开表数据显示，2023年部门年初预算批复资金为</w:t>
      </w:r>
      <w:r>
        <w:rPr>
          <w:rFonts w:hint="eastAsia"/>
          <w:color w:val="auto"/>
          <w:lang w:val="en-US" w:eastAsia="zh-CN"/>
        </w:rPr>
        <w:t>897.57</w:t>
      </w:r>
      <w:r>
        <w:rPr>
          <w:rFonts w:hint="eastAsia"/>
          <w:color w:val="auto"/>
        </w:rPr>
        <w:t>万元，其中安排基本支出826.73万元，项目支出70.84万元。部门整体支出绩效目标表填报预算为</w:t>
      </w:r>
      <w:r>
        <w:rPr>
          <w:rFonts w:hint="eastAsia"/>
          <w:color w:val="auto"/>
          <w:lang w:val="en-US" w:eastAsia="zh-CN"/>
        </w:rPr>
        <w:t>897.57</w:t>
      </w:r>
      <w:r>
        <w:rPr>
          <w:rFonts w:hint="eastAsia"/>
          <w:color w:val="auto"/>
        </w:rPr>
        <w:t>万元，</w:t>
      </w:r>
      <w:r>
        <w:rPr>
          <w:rFonts w:hint="eastAsia"/>
          <w:color w:val="auto"/>
          <w:highlight w:val="none"/>
        </w:rPr>
        <w:t>其中安排基本支出826.73万元，项目支出70.84万元</w:t>
      </w:r>
      <w:r>
        <w:rPr>
          <w:rFonts w:hint="eastAsia"/>
          <w:color w:val="auto"/>
        </w:rPr>
        <w:t>，部门整体支出绩效目标中填报</w:t>
      </w:r>
      <w:r>
        <w:rPr>
          <w:rFonts w:hint="eastAsia"/>
          <w:color w:val="auto"/>
          <w:lang w:val="en-US" w:eastAsia="zh-CN"/>
        </w:rPr>
        <w:t>总</w:t>
      </w:r>
      <w:r>
        <w:rPr>
          <w:rFonts w:hint="eastAsia"/>
          <w:color w:val="auto"/>
        </w:rPr>
        <w:t>资金与人大批复的部门预算资金</w:t>
      </w:r>
      <w:r>
        <w:rPr>
          <w:rFonts w:hint="eastAsia"/>
          <w:color w:val="auto"/>
          <w:lang w:val="en-US" w:eastAsia="zh-CN"/>
        </w:rPr>
        <w:t>匹配</w:t>
      </w:r>
      <w:r>
        <w:rPr>
          <w:rFonts w:hint="eastAsia"/>
          <w:color w:val="auto"/>
        </w:rPr>
        <w:t>，</w:t>
      </w:r>
      <w:r>
        <w:rPr>
          <w:rFonts w:hint="eastAsia"/>
          <w:color w:val="auto"/>
          <w:lang w:val="en-US" w:eastAsia="zh-CN"/>
        </w:rPr>
        <w:t>能够</w:t>
      </w:r>
      <w:r>
        <w:rPr>
          <w:rFonts w:hint="eastAsia"/>
          <w:color w:val="auto"/>
        </w:rPr>
        <w:t>满足部门整体工作任务的完成。</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（2）决策依据</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①部门年度工作计划科学性：分值</w:t>
      </w:r>
      <w:r>
        <w:t>1</w:t>
      </w:r>
      <w:r>
        <w:rPr>
          <w:rFonts w:hint="eastAsia"/>
        </w:rPr>
        <w:t>分，得分</w:t>
      </w:r>
      <w:r>
        <w:rPr>
          <w:rFonts w:hint="eastAsia"/>
          <w:lang w:val="en-US" w:eastAsia="zh-CN"/>
        </w:rPr>
        <w:t>1</w:t>
      </w:r>
      <w:r>
        <w:rPr>
          <w:rFonts w:hint="eastAsia"/>
        </w:rPr>
        <w:t>分，得分率</w:t>
      </w:r>
      <w:r>
        <w:rPr>
          <w:rFonts w:hint="eastAsia"/>
          <w:lang w:val="en-US" w:eastAsia="zh-CN"/>
        </w:rPr>
        <w:t>100</w:t>
      </w:r>
      <w:r>
        <w:rPr>
          <w:rFonts w:hint="eastAsia"/>
        </w:rPr>
        <w:t>%。根据部门所提供部门年度工作计划、部门三定方案进行评分，主要针对部门工作计划中制定的各项内容是否符合国家法律法规、国民经济发展规划和相关政策，是否与部门职责范围相符，属于部门履职所需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2023年主要工作计划为“聚焦主业主课，进一步提高教学培训质量；加强科研咨政建设，不断提升科研咨政质量水平；优化管理服务，不断提升办学治校保障水平”，符合国家法律法规、国民经济发展规划和相关政策，部门计划内容涵盖部门“培训工作”“开展调查研究、理论交流”“负责地方党史研究工作”等主要履职，属于部门履职所需，部门年度工作计划科学性较高。</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②重大支出政策的合理性规范性：分值</w:t>
      </w:r>
      <w:r>
        <w:t>2</w:t>
      </w:r>
      <w:r>
        <w:rPr>
          <w:rFonts w:hint="eastAsia"/>
        </w:rPr>
        <w:t>分，得分</w:t>
      </w:r>
      <w:r>
        <w:rPr>
          <w:rFonts w:hint="eastAsia"/>
          <w:lang w:val="en-US" w:eastAsia="zh-CN"/>
        </w:rPr>
        <w:t>2</w:t>
      </w:r>
      <w:r>
        <w:rPr>
          <w:rFonts w:hint="eastAsia"/>
        </w:rPr>
        <w:t>分，得分率</w:t>
      </w:r>
      <w:r>
        <w:rPr>
          <w:rFonts w:hint="eastAsia"/>
          <w:lang w:val="en-US" w:eastAsia="zh-CN"/>
        </w:rPr>
        <w:t>100</w:t>
      </w:r>
      <w:r>
        <w:rPr>
          <w:rFonts w:hint="eastAsia"/>
        </w:rPr>
        <w:t>%。根据部门申请财政资金的重大政策和项目的文件依据进行评分，主要针对部门申请财政资金的重大政策和项目的文件依据是否存在补助、奖励、使用方向与部门内外部政策存在重叠交叉，是否符合社会现实需求，是否存在严重滞后情况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和平区委党校在重大资金使用方面，按照内控制度流程申请资金，资金及时支付，不存在补助、奖励、使用方向与部门内外部政策重叠交叉及项目申请财政资金文件依据时效性严重滞后情况，符合社会现实需求。综上所述，部门重大支出政策的合理性规范性较高。</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highlight w:val="none"/>
          <w:lang w:eastAsia="zh-CN"/>
        </w:rPr>
      </w:pPr>
      <w:r>
        <w:rPr>
          <w:rFonts w:hint="eastAsia"/>
          <w:highlight w:val="none"/>
          <w:lang w:val="en-US" w:eastAsia="zh-CN"/>
        </w:rPr>
        <w:t>③</w:t>
      </w:r>
      <w:r>
        <w:rPr>
          <w:rFonts w:hint="eastAsia"/>
          <w:highlight w:val="none"/>
        </w:rPr>
        <w:t>决策和管理制度规范性：分值</w:t>
      </w:r>
      <w:r>
        <w:rPr>
          <w:highlight w:val="none"/>
        </w:rPr>
        <w:t>2</w:t>
      </w:r>
      <w:r>
        <w:rPr>
          <w:rFonts w:hint="eastAsia"/>
          <w:highlight w:val="none"/>
        </w:rPr>
        <w:t>分，得分</w:t>
      </w:r>
      <w:r>
        <w:rPr>
          <w:rFonts w:hint="eastAsia"/>
          <w:highlight w:val="none"/>
          <w:lang w:val="en-US" w:eastAsia="zh-CN"/>
        </w:rPr>
        <w:t>2</w:t>
      </w:r>
      <w:r>
        <w:rPr>
          <w:rFonts w:hint="eastAsia"/>
          <w:highlight w:val="none"/>
        </w:rPr>
        <w:t>分，得分率</w:t>
      </w:r>
      <w:r>
        <w:rPr>
          <w:rFonts w:hint="eastAsia"/>
          <w:highlight w:val="none"/>
          <w:lang w:val="en-US" w:eastAsia="zh-CN"/>
        </w:rPr>
        <w:t>100</w:t>
      </w:r>
      <w:r>
        <w:rPr>
          <w:rFonts w:hint="eastAsia"/>
          <w:highlight w:val="none"/>
        </w:rPr>
        <w:t>%。根据部门所提供内部控制管理制度、手册进行评分，主要针对部门财务和预算管理制度是否规范、完整，资产管理制度是否规范、完整，财会监督、政府采购、预算执行、资金收支、重大项目支出申请等方面的决策制度机制是否规范、完整等方面进行评价</w:t>
      </w:r>
      <w:r>
        <w:rPr>
          <w:rFonts w:hint="eastAsia"/>
          <w:highlight w:val="none"/>
          <w:lang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eastAsia="仿宋_GB2312"/>
          <w:highlight w:val="none"/>
          <w:lang w:eastAsia="zh-CN"/>
        </w:rPr>
      </w:pPr>
      <w:r>
        <w:rPr>
          <w:rFonts w:hint="eastAsia"/>
          <w:highlight w:val="none"/>
        </w:rPr>
        <w:t>部门</w:t>
      </w:r>
      <w:r>
        <w:rPr>
          <w:rFonts w:hint="eastAsia"/>
          <w:highlight w:val="none"/>
          <w:lang w:val="en-US" w:eastAsia="zh-CN"/>
        </w:rPr>
        <w:t>于2022年中共天津市委党校下发《关于和平区委党校（行政学院）办学质量评估情况的反馈意见》后修订完善单位内控制度，</w:t>
      </w:r>
      <w:r>
        <w:rPr>
          <w:rFonts w:hint="eastAsia"/>
          <w:highlight w:val="none"/>
        </w:rPr>
        <w:t>已建立涵盖预算、收支、采购、合同、资产、建设项目六大经济业务内控管理制度，</w:t>
      </w:r>
      <w:r>
        <w:rPr>
          <w:rFonts w:hint="eastAsia"/>
          <w:highlight w:val="none"/>
          <w:lang w:val="en-US" w:eastAsia="zh-CN"/>
        </w:rPr>
        <w:t>风险控制流程图与业务控制节点清晰，</w:t>
      </w:r>
      <w:r>
        <w:rPr>
          <w:rFonts w:hint="eastAsia"/>
          <w:highlight w:val="none"/>
        </w:rPr>
        <w:t>政府采购、预算执行、资金收支、重大项目支出申请等方面的决策制度机制规范、完整</w:t>
      </w:r>
      <w:r>
        <w:rPr>
          <w:rFonts w:hint="eastAsia"/>
          <w:highlight w:val="none"/>
          <w:lang w:eastAsia="zh-CN"/>
        </w:rPr>
        <w:t>，</w:t>
      </w:r>
      <w:r>
        <w:rPr>
          <w:rFonts w:hint="eastAsia"/>
          <w:highlight w:val="none"/>
        </w:rPr>
        <w:t>条文内容符合现行国家法律法规和相关制度</w:t>
      </w:r>
      <w:r>
        <w:rPr>
          <w:rFonts w:hint="eastAsia"/>
          <w:highlight w:val="none"/>
          <w:lang w:eastAsia="zh-CN"/>
        </w:rPr>
        <w:t>。</w:t>
      </w:r>
      <w:r>
        <w:rPr>
          <w:rFonts w:hint="eastAsia"/>
          <w:highlight w:val="none"/>
        </w:rPr>
        <w:t>综上所述，</w:t>
      </w:r>
      <w:r>
        <w:rPr>
          <w:rFonts w:hint="eastAsia"/>
          <w:highlight w:val="none"/>
          <w:lang w:val="en-US" w:eastAsia="zh-CN"/>
        </w:rPr>
        <w:t>部门</w:t>
      </w:r>
      <w:r>
        <w:rPr>
          <w:rFonts w:hint="eastAsia"/>
          <w:highlight w:val="none"/>
        </w:rPr>
        <w:t>决策和管理制度规范</w:t>
      </w:r>
      <w:r>
        <w:rPr>
          <w:rFonts w:hint="eastAsia"/>
          <w:highlight w:val="none"/>
          <w:lang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eastAsia="仿宋_GB2312"/>
          <w:color w:val="auto"/>
          <w:highlight w:val="none"/>
          <w:lang w:val="en-US" w:eastAsia="zh-CN"/>
        </w:rPr>
      </w:pPr>
      <w:r>
        <w:rPr>
          <w:rFonts w:hint="eastAsia"/>
          <w:highlight w:val="none"/>
        </w:rPr>
        <w:t>（3）预算</w:t>
      </w:r>
      <w:r>
        <w:rPr>
          <w:rFonts w:hint="eastAsia"/>
          <w:highlight w:val="none"/>
          <w:lang w:val="en-US" w:eastAsia="zh-CN"/>
        </w:rPr>
        <w:t>编制</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color w:val="auto"/>
          <w:highlight w:val="none"/>
        </w:rPr>
        <w:t>①</w:t>
      </w:r>
      <w:r>
        <w:rPr>
          <w:rFonts w:hint="eastAsia"/>
          <w:color w:val="auto"/>
          <w:highlight w:val="none"/>
          <w:lang w:val="en-US" w:eastAsia="zh-CN"/>
        </w:rPr>
        <w:t>预算编制完整性</w:t>
      </w:r>
      <w:r>
        <w:rPr>
          <w:rFonts w:hint="eastAsia"/>
          <w:color w:val="auto"/>
          <w:highlight w:val="none"/>
        </w:rPr>
        <w:t>：分值</w:t>
      </w:r>
      <w:r>
        <w:rPr>
          <w:rFonts w:hint="eastAsia"/>
          <w:color w:val="auto"/>
          <w:highlight w:val="none"/>
          <w:lang w:val="en-US" w:eastAsia="zh-CN"/>
        </w:rPr>
        <w:t>3</w:t>
      </w:r>
      <w:r>
        <w:rPr>
          <w:rFonts w:hint="eastAsia"/>
          <w:color w:val="auto"/>
          <w:highlight w:val="none"/>
        </w:rPr>
        <w:t>分，得分</w:t>
      </w:r>
      <w:r>
        <w:rPr>
          <w:rFonts w:hint="eastAsia"/>
          <w:color w:val="auto"/>
          <w:highlight w:val="none"/>
          <w:lang w:val="en-US" w:eastAsia="zh-CN"/>
        </w:rPr>
        <w:t>2.5</w:t>
      </w:r>
      <w:r>
        <w:rPr>
          <w:rFonts w:hint="eastAsia"/>
          <w:color w:val="auto"/>
          <w:highlight w:val="none"/>
        </w:rPr>
        <w:t>分，得分率</w:t>
      </w:r>
      <w:r>
        <w:rPr>
          <w:rFonts w:hint="eastAsia"/>
          <w:color w:val="auto"/>
          <w:highlight w:val="none"/>
          <w:lang w:val="en-US" w:eastAsia="zh-CN"/>
        </w:rPr>
        <w:t>83.33</w:t>
      </w:r>
      <w:r>
        <w:rPr>
          <w:rFonts w:hint="eastAsia"/>
          <w:color w:val="auto"/>
          <w:highlight w:val="none"/>
        </w:rPr>
        <w:t>%。</w:t>
      </w:r>
      <w:r>
        <w:rPr>
          <w:rFonts w:hint="eastAsia"/>
          <w:color w:val="auto"/>
        </w:rPr>
        <w:t>根据部门所提供预算编报流程业务文件、三重一大会议纪要进行评分，主要针对部门是否将依法依规取得的各类收入纳入年初预算</w:t>
      </w:r>
      <w:r>
        <w:rPr>
          <w:rFonts w:hint="eastAsia"/>
          <w:color w:val="auto"/>
          <w:lang w:eastAsia="zh-CN"/>
        </w:rPr>
        <w:t>，结转结余资金预算编制</w:t>
      </w:r>
      <w:r>
        <w:rPr>
          <w:rFonts w:hint="eastAsia"/>
          <w:color w:val="auto"/>
          <w:lang w:val="en-US" w:eastAsia="zh-CN"/>
        </w:rPr>
        <w:t>是否</w:t>
      </w:r>
      <w:r>
        <w:rPr>
          <w:rFonts w:hint="eastAsia"/>
          <w:color w:val="auto"/>
          <w:lang w:eastAsia="zh-CN"/>
        </w:rPr>
        <w:t>准确，是否按照财政部门规定的程序进行预算编报，预算编报、分配方案是否经“三重一大”等程序决策</w:t>
      </w:r>
      <w:r>
        <w:rPr>
          <w:rFonts w:hint="eastAsia"/>
          <w:color w:val="auto"/>
          <w:lang w:val="en-US" w:eastAsia="zh-CN"/>
        </w:rPr>
        <w:t>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w:t>
      </w:r>
      <w:r>
        <w:rPr>
          <w:rFonts w:hint="eastAsia"/>
          <w:lang w:val="en-US" w:eastAsia="zh-CN"/>
        </w:rPr>
        <w:t>纳入年初预算的收入种类为一般公共预算收入，与部门决算收入种类一致，部门已将依法依规取得的各类收入全部纳入年初预算，</w:t>
      </w:r>
      <w:r>
        <w:rPr>
          <w:rFonts w:hint="eastAsia"/>
        </w:rPr>
        <w:t>按照财政部门规定的两上两下预算编制程序开展预算编报工作，预算编报、分配方案等工作经</w:t>
      </w:r>
      <w:r>
        <w:rPr>
          <w:rFonts w:hint="eastAsia"/>
          <w:lang w:val="en-US" w:eastAsia="zh-CN"/>
        </w:rPr>
        <w:t>校委会集体审议</w:t>
      </w:r>
      <w:r>
        <w:rPr>
          <w:rFonts w:hint="eastAsia"/>
        </w:rPr>
        <w:t>决策，符合部门“三重一大”事项集体决策制度，</w:t>
      </w:r>
      <w:r>
        <w:rPr>
          <w:rFonts w:hint="eastAsia"/>
          <w:lang w:val="en-US" w:eastAsia="zh-CN"/>
        </w:rPr>
        <w:t>但部门未将上年结转结余资金纳入2023年预算，预算编制完整性有待加强</w:t>
      </w:r>
      <w:r>
        <w:rPr>
          <w:rFonts w:hint="eastAsia"/>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highlight w:val="none"/>
          <w:lang w:eastAsia="zh-CN"/>
        </w:rPr>
      </w:pPr>
      <w:r>
        <w:rPr>
          <w:rFonts w:hint="eastAsia"/>
          <w:highlight w:val="none"/>
        </w:rPr>
        <w:t>②测算细化、客观、准确程度：分值</w:t>
      </w:r>
      <w:r>
        <w:rPr>
          <w:rFonts w:hint="eastAsia"/>
          <w:highlight w:val="none"/>
          <w:lang w:val="en-US" w:eastAsia="zh-CN"/>
        </w:rPr>
        <w:t>3</w:t>
      </w:r>
      <w:r>
        <w:rPr>
          <w:rFonts w:hint="eastAsia"/>
          <w:highlight w:val="none"/>
        </w:rPr>
        <w:t>分，得分</w:t>
      </w:r>
      <w:r>
        <w:rPr>
          <w:rFonts w:hint="eastAsia"/>
          <w:highlight w:val="none"/>
          <w:lang w:val="en-US" w:eastAsia="zh-CN"/>
        </w:rPr>
        <w:t>3</w:t>
      </w:r>
      <w:r>
        <w:rPr>
          <w:rFonts w:hint="eastAsia"/>
          <w:highlight w:val="none"/>
        </w:rPr>
        <w:t>分，得分率</w:t>
      </w:r>
      <w:r>
        <w:rPr>
          <w:rFonts w:hint="eastAsia"/>
          <w:highlight w:val="none"/>
          <w:lang w:val="en-US" w:eastAsia="zh-CN"/>
        </w:rPr>
        <w:t>100</w:t>
      </w:r>
      <w:r>
        <w:rPr>
          <w:rFonts w:hint="eastAsia"/>
          <w:highlight w:val="none"/>
        </w:rPr>
        <w:t>%。根据部门所提供预算测算工作记录、测算依据与测算明细进行评分，主要针对部门预算测算数据是否符合客观需求，与历史数据、相关行业</w:t>
      </w:r>
      <w:r>
        <w:rPr>
          <w:rFonts w:hint="eastAsia"/>
          <w:highlight w:val="none"/>
          <w:lang w:val="en-US" w:eastAsia="zh-CN"/>
        </w:rPr>
        <w:t>数据</w:t>
      </w:r>
      <w:r>
        <w:rPr>
          <w:rFonts w:hint="eastAsia"/>
          <w:highlight w:val="none"/>
        </w:rPr>
        <w:t>具有可比性</w:t>
      </w:r>
      <w:r>
        <w:rPr>
          <w:rFonts w:hint="eastAsia"/>
          <w:highlight w:val="none"/>
          <w:lang w:eastAsia="zh-CN"/>
        </w:rPr>
        <w:t>，是否有合规佐证依据，预算测算内容是否符合相关政策文件规定</w:t>
      </w:r>
      <w:r>
        <w:rPr>
          <w:rFonts w:hint="eastAsia"/>
          <w:lang w:eastAsia="zh-CN"/>
        </w:rPr>
        <w:t>和相关行业、领域管理标准，使用部门自行制定支出标准的，是否符合上级管理部门的标准或社会事实支出水平，测算内容是否存在重复测算政策规定内相同内容，预算是否按照项目内容人力、商品和服务、资本性等各类支出分别测算成本</w:t>
      </w:r>
      <w:r>
        <w:rPr>
          <w:rFonts w:hint="eastAsia"/>
          <w:highlight w:val="none"/>
        </w:rPr>
        <w:t>等方面进行评价</w:t>
      </w:r>
      <w:r>
        <w:rPr>
          <w:rFonts w:hint="eastAsia"/>
          <w:highlight w:val="none"/>
          <w:lang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highlight w:val="none"/>
          <w:lang w:eastAsia="zh-CN"/>
        </w:rPr>
      </w:pPr>
      <w:r>
        <w:rPr>
          <w:rFonts w:hint="eastAsia"/>
          <w:highlight w:val="none"/>
          <w:lang w:eastAsia="zh-CN"/>
        </w:rPr>
        <w:t>2023年和平区委党校部门预算测算</w:t>
      </w:r>
      <w:r>
        <w:rPr>
          <w:rFonts w:hint="eastAsia"/>
          <w:highlight w:val="none"/>
          <w:lang w:val="en-US" w:eastAsia="zh-CN"/>
        </w:rPr>
        <w:t>分为基本支出与项目支出，</w:t>
      </w:r>
      <w:r>
        <w:rPr>
          <w:rFonts w:hint="eastAsia"/>
          <w:highlight w:val="none"/>
          <w:lang w:eastAsia="zh-CN"/>
        </w:rPr>
        <w:t>依照部门实有在职、离退休人员数、核定人员经费保障标准、运转保障刚性支出事项测算基本支出预算，根据年度工作计划安排，按照人力、商品和服务等各类支出口径测算项目支出预算，</w:t>
      </w:r>
      <w:r>
        <w:rPr>
          <w:rFonts w:hint="eastAsia"/>
          <w:highlight w:val="none"/>
          <w:lang w:val="en-US" w:eastAsia="zh-CN"/>
        </w:rPr>
        <w:t>物业费项目、教育培训经费项目与党史工作专项经费项目均为经常性项目，测算数据与历史数据具有可比性，其中教育培训经费项目依据《中国共产党党校工作条例》《2018—2022年和平区干部教育培训实施意见》等文件测算，党史工作专项经费测算符合市委党校相关要求，</w:t>
      </w:r>
      <w:r>
        <w:rPr>
          <w:rFonts w:hint="eastAsia"/>
          <w:highlight w:val="none"/>
          <w:lang w:eastAsia="zh-CN"/>
        </w:rPr>
        <w:t>不存在重复测算事项，</w:t>
      </w:r>
      <w:r>
        <w:rPr>
          <w:rFonts w:hint="eastAsia"/>
          <w:highlight w:val="none"/>
          <w:lang w:val="en-US" w:eastAsia="zh-CN"/>
        </w:rPr>
        <w:t>各项测算记录保存完整</w:t>
      </w:r>
      <w:r>
        <w:rPr>
          <w:rFonts w:hint="eastAsia"/>
          <w:highlight w:val="none"/>
          <w:lang w:eastAsia="zh-CN"/>
        </w:rPr>
        <w:t>。综上所述，</w:t>
      </w:r>
      <w:r>
        <w:rPr>
          <w:rFonts w:hint="eastAsia"/>
          <w:highlight w:val="none"/>
          <w:lang w:val="en-US" w:eastAsia="zh-CN"/>
        </w:rPr>
        <w:t>部门</w:t>
      </w:r>
      <w:r>
        <w:rPr>
          <w:rFonts w:hint="eastAsia"/>
          <w:highlight w:val="none"/>
          <w:lang w:eastAsia="zh-CN"/>
        </w:rPr>
        <w:t>测算细化、客观、准确程度</w:t>
      </w:r>
      <w:r>
        <w:rPr>
          <w:rFonts w:hint="eastAsia"/>
          <w:highlight w:val="none"/>
          <w:lang w:val="en-US" w:eastAsia="zh-CN"/>
        </w:rPr>
        <w:t>良好</w:t>
      </w:r>
      <w:r>
        <w:rPr>
          <w:rFonts w:hint="eastAsia"/>
          <w:highlight w:val="none"/>
          <w:lang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2.管理效率</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（1）预算执行</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①在职人员控制率：分值</w:t>
      </w:r>
      <w:r>
        <w:t>1</w:t>
      </w:r>
      <w:r>
        <w:rPr>
          <w:rFonts w:hint="eastAsia"/>
        </w:rPr>
        <w:t>分，得分</w:t>
      </w:r>
      <w:r>
        <w:rPr>
          <w:rFonts w:hint="eastAsia"/>
          <w:lang w:val="en-US" w:eastAsia="zh-CN"/>
        </w:rPr>
        <w:t>1</w:t>
      </w:r>
      <w:r>
        <w:rPr>
          <w:rFonts w:hint="eastAsia"/>
        </w:rPr>
        <w:t>分，得分率</w:t>
      </w:r>
      <w:r>
        <w:rPr>
          <w:rFonts w:hint="eastAsia"/>
          <w:lang w:val="en-US" w:eastAsia="zh-CN"/>
        </w:rPr>
        <w:t>100</w:t>
      </w:r>
      <w:r>
        <w:rPr>
          <w:rFonts w:hint="eastAsia"/>
        </w:rPr>
        <w:t>%。根据部门所提供部门三定方案、部门决算表进行评分，主要针对部门实有在职人员数是否在部门三定方案核定编制数范围内进行评价。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和平区委党校2023年实有在职人员</w:t>
      </w:r>
      <w:r>
        <w:rPr>
          <w:rFonts w:hint="eastAsia"/>
          <w:lang w:val="en-US" w:eastAsia="zh-CN"/>
        </w:rPr>
        <w:t>28名</w:t>
      </w:r>
      <w:r>
        <w:rPr>
          <w:rFonts w:hint="eastAsia"/>
        </w:rPr>
        <w:t>，</w:t>
      </w:r>
      <w:r>
        <w:rPr>
          <w:rFonts w:hint="eastAsia"/>
          <w:lang w:val="en-US" w:eastAsia="zh-CN"/>
        </w:rPr>
        <w:t>其中参公编制人员22名，事业编制人员6名，</w:t>
      </w:r>
      <w:r>
        <w:rPr>
          <w:rFonts w:hint="eastAsia"/>
        </w:rPr>
        <w:t>三定方案核定</w:t>
      </w:r>
      <w:r>
        <w:rPr>
          <w:rFonts w:hint="eastAsia"/>
          <w:lang w:val="en-US" w:eastAsia="zh-CN"/>
        </w:rPr>
        <w:t>编制数为61名，其中参公编制</w:t>
      </w:r>
      <w:r>
        <w:rPr>
          <w:rFonts w:hint="eastAsia"/>
        </w:rPr>
        <w:t>数为</w:t>
      </w:r>
      <w:r>
        <w:rPr>
          <w:rFonts w:hint="eastAsia"/>
          <w:highlight w:val="none"/>
          <w:lang w:val="en-US" w:eastAsia="zh-CN"/>
        </w:rPr>
        <w:t>24名</w:t>
      </w:r>
      <w:r>
        <w:rPr>
          <w:rFonts w:hint="eastAsia"/>
          <w:highlight w:val="none"/>
        </w:rPr>
        <w:t>，</w:t>
      </w:r>
      <w:r>
        <w:rPr>
          <w:rFonts w:hint="eastAsia"/>
          <w:highlight w:val="none"/>
          <w:lang w:val="en-US" w:eastAsia="zh-CN"/>
        </w:rPr>
        <w:t>事业编制数为37名，</w:t>
      </w:r>
      <w:r>
        <w:rPr>
          <w:rFonts w:hint="eastAsia"/>
          <w:highlight w:val="none"/>
        </w:rPr>
        <w:t>在</w:t>
      </w:r>
      <w:r>
        <w:rPr>
          <w:rFonts w:hint="eastAsia"/>
        </w:rPr>
        <w:t>职人员控制率为</w:t>
      </w:r>
      <w:r>
        <w:rPr>
          <w:rFonts w:hint="eastAsia"/>
          <w:lang w:val="en-US" w:eastAsia="zh-CN"/>
        </w:rPr>
        <w:t>45.90</w:t>
      </w:r>
      <w:r>
        <w:rPr>
          <w:rFonts w:hint="eastAsia"/>
        </w:rPr>
        <w:t>%。综上所述，部门在职人员控制情况良好。</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②预算执行率：分值</w:t>
      </w:r>
      <w:r>
        <w:t>2</w:t>
      </w:r>
      <w:r>
        <w:rPr>
          <w:rFonts w:hint="eastAsia"/>
        </w:rPr>
        <w:t>分，得分</w:t>
      </w:r>
      <w:r>
        <w:rPr>
          <w:rFonts w:hint="eastAsia"/>
          <w:lang w:val="en-US" w:eastAsia="zh-CN"/>
        </w:rPr>
        <w:t>1.97</w:t>
      </w:r>
      <w:r>
        <w:rPr>
          <w:rFonts w:hint="eastAsia"/>
        </w:rPr>
        <w:t>分，得分率</w:t>
      </w:r>
      <w:r>
        <w:rPr>
          <w:rFonts w:hint="eastAsia"/>
          <w:lang w:val="en-US" w:eastAsia="zh-CN"/>
        </w:rPr>
        <w:t>98.5</w:t>
      </w:r>
      <w:r>
        <w:rPr>
          <w:rFonts w:hint="eastAsia"/>
        </w:rPr>
        <w:t>%。根据部门所提供年初预算批复、调整预算批复、预算执行情况表与部门决算公开表进行评分，主要针对部门全年预算资金是否按照计划执行进行评价。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2023年度调整后部门预算数为947.98万元，其中：基本支出为874.32万元、项目支出全年预算为73.66万元；实际支出数为933.62万元，其中：基本支出859.96万元、项目支出73.66万元；预算执行率为98.49%，其中：基本支出预算执行率为98.36%、项目支出预算执行率为100%。综上所述，部门预算执行情况良好。</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③预算调整率：分值</w:t>
      </w:r>
      <w:r>
        <w:t>2</w:t>
      </w:r>
      <w:r>
        <w:rPr>
          <w:rFonts w:hint="eastAsia"/>
        </w:rPr>
        <w:t>分，得分</w:t>
      </w:r>
      <w:r>
        <w:rPr>
          <w:rFonts w:hint="eastAsia"/>
          <w:lang w:val="en-US" w:eastAsia="zh-CN"/>
        </w:rPr>
        <w:t>2</w:t>
      </w:r>
      <w:r>
        <w:rPr>
          <w:rFonts w:hint="eastAsia"/>
        </w:rPr>
        <w:t>分，得分率</w:t>
      </w:r>
      <w:r>
        <w:rPr>
          <w:rFonts w:hint="eastAsia"/>
          <w:lang w:val="en-US" w:eastAsia="zh-CN"/>
        </w:rPr>
        <w:t>100</w:t>
      </w:r>
      <w:r>
        <w:rPr>
          <w:rFonts w:hint="eastAsia"/>
        </w:rPr>
        <w:t>%。根据部门所提供年初预算批复、调整预算批复文件进行评分，主要针对部门预算的调整程度进行评价。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2023年度部门年初预算批复数为897.57万元，其中：基本支出预算为826.73万元、项目支出预算为70.84万元；年度决算调整预算数为947.98万元，其中：基本支出为874.32万元、项目支出为73.66万元；预算金额调增</w:t>
      </w:r>
      <w:r>
        <w:rPr>
          <w:rFonts w:hint="eastAsia"/>
          <w:lang w:val="en-US" w:eastAsia="zh-CN"/>
        </w:rPr>
        <w:t>50.41</w:t>
      </w:r>
      <w:r>
        <w:rPr>
          <w:rFonts w:hint="eastAsia"/>
        </w:rPr>
        <w:t>万元，预算调整率为-</w:t>
      </w:r>
      <w:r>
        <w:rPr>
          <w:rFonts w:hint="eastAsia"/>
          <w:lang w:val="en-US" w:eastAsia="zh-CN"/>
        </w:rPr>
        <w:t>5.62</w:t>
      </w:r>
      <w:r>
        <w:rPr>
          <w:rFonts w:hint="eastAsia"/>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④公用经费控制率：分值</w:t>
      </w:r>
      <w:r>
        <w:t>2</w:t>
      </w:r>
      <w:r>
        <w:rPr>
          <w:rFonts w:hint="eastAsia"/>
        </w:rPr>
        <w:t>分，得分</w:t>
      </w:r>
      <w:r>
        <w:rPr>
          <w:rFonts w:hint="eastAsia"/>
          <w:lang w:val="en-US" w:eastAsia="zh-CN"/>
        </w:rPr>
        <w:t>2</w:t>
      </w:r>
      <w:r>
        <w:rPr>
          <w:rFonts w:hint="eastAsia"/>
        </w:rPr>
        <w:t>分，得分率</w:t>
      </w:r>
      <w:r>
        <w:rPr>
          <w:rFonts w:hint="eastAsia"/>
          <w:lang w:val="en-US" w:eastAsia="zh-CN"/>
        </w:rPr>
        <w:t>100</w:t>
      </w:r>
      <w:r>
        <w:rPr>
          <w:rFonts w:hint="eastAsia"/>
        </w:rPr>
        <w:t>%。根据部门所提供部门预算公开表、部门决算公开表进行评分，主要针对部门对机构运转成本实际控制程度进行评价。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和平区委党校2023年预算安排公用经费总额为</w:t>
      </w:r>
      <w:r>
        <w:rPr>
          <w:rFonts w:hint="eastAsia"/>
          <w:lang w:val="en-US" w:eastAsia="zh-CN"/>
        </w:rPr>
        <w:t>47.36</w:t>
      </w:r>
      <w:r>
        <w:rPr>
          <w:rFonts w:hint="eastAsia"/>
        </w:rPr>
        <w:t>万元，公用经费实际支出</w:t>
      </w:r>
      <w:r>
        <w:rPr>
          <w:rFonts w:hint="eastAsia"/>
          <w:lang w:val="en-US" w:eastAsia="zh-CN"/>
        </w:rPr>
        <w:t>45.42</w:t>
      </w:r>
      <w:r>
        <w:rPr>
          <w:rFonts w:hint="eastAsia"/>
        </w:rPr>
        <w:t>万元，公用经费控制率为</w:t>
      </w:r>
      <w:r>
        <w:rPr>
          <w:rFonts w:hint="eastAsia"/>
          <w:lang w:val="en-US" w:eastAsia="zh-CN"/>
        </w:rPr>
        <w:t>95.90</w:t>
      </w:r>
      <w:r>
        <w:rPr>
          <w:rFonts w:hint="eastAsia"/>
        </w:rPr>
        <w:t>%，部门有效落实区委区政府严把支出关口真过紧日子相关要求，压减非必要一般性支出，公用经费支出控制情况良好。</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highlight w:val="none"/>
        </w:rPr>
      </w:pPr>
      <w:r>
        <w:rPr>
          <w:rFonts w:hint="eastAsia"/>
        </w:rPr>
        <w:t>⑤“三公”经费控制率：分值</w:t>
      </w:r>
      <w:r>
        <w:t>1</w:t>
      </w:r>
      <w:r>
        <w:rPr>
          <w:rFonts w:hint="eastAsia"/>
        </w:rPr>
        <w:t>分，得分</w:t>
      </w:r>
      <w:r>
        <w:rPr>
          <w:rFonts w:hint="eastAsia"/>
          <w:lang w:val="en-US" w:eastAsia="zh-CN"/>
        </w:rPr>
        <w:t>1</w:t>
      </w:r>
      <w:r>
        <w:rPr>
          <w:rFonts w:hint="eastAsia"/>
        </w:rPr>
        <w:t>分，得分率</w:t>
      </w:r>
      <w:r>
        <w:rPr>
          <w:rFonts w:hint="eastAsia"/>
          <w:lang w:val="en-US" w:eastAsia="zh-CN"/>
        </w:rPr>
        <w:t>100</w:t>
      </w:r>
      <w:r>
        <w:rPr>
          <w:rFonts w:hint="eastAsia"/>
        </w:rPr>
        <w:t>%。</w:t>
      </w:r>
      <w:r>
        <w:rPr>
          <w:rFonts w:hint="eastAsia"/>
          <w:highlight w:val="none"/>
        </w:rPr>
        <w:t>根据部门所提供部门预算公开表、部门决算公开表进行评分，主要针对部门三公经费实际支出控制程度进行评价。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highlight w:val="none"/>
        </w:rPr>
        <w:t>和平区委党校202</w:t>
      </w:r>
      <w:r>
        <w:rPr>
          <w:rFonts w:hint="eastAsia"/>
          <w:highlight w:val="none"/>
          <w:lang w:val="en-US" w:eastAsia="zh-CN"/>
        </w:rPr>
        <w:t>3</w:t>
      </w:r>
      <w:r>
        <w:rPr>
          <w:rFonts w:hint="eastAsia"/>
          <w:highlight w:val="none"/>
        </w:rPr>
        <w:t>年</w:t>
      </w:r>
      <w:r>
        <w:rPr>
          <w:rFonts w:hint="eastAsia"/>
          <w:highlight w:val="none"/>
          <w:lang w:val="en-US" w:eastAsia="zh-CN"/>
        </w:rPr>
        <w:t>无</w:t>
      </w:r>
      <w:r>
        <w:rPr>
          <w:rFonts w:hint="eastAsia"/>
          <w:highlight w:val="none"/>
        </w:rPr>
        <w:t>“三公”经费预算安排，</w:t>
      </w:r>
      <w:r>
        <w:rPr>
          <w:rFonts w:hint="eastAsia"/>
          <w:highlight w:val="none"/>
          <w:lang w:val="en-US" w:eastAsia="zh-CN"/>
        </w:rPr>
        <w:t>无</w:t>
      </w:r>
      <w:r>
        <w:rPr>
          <w:rFonts w:hint="eastAsia"/>
          <w:highlight w:val="none"/>
        </w:rPr>
        <w:t>“三公”经费支出。综上所述，部门“三公”经费支出控制情况良好</w:t>
      </w:r>
      <w:r>
        <w:rPr>
          <w:rFonts w:hint="eastAsia"/>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（2）预算管理</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w:t>
      </w:r>
      <w:r>
        <w:rPr>
          <w:rFonts w:hint="eastAsia"/>
          <w:highlight w:val="none"/>
        </w:rPr>
        <w:t>资金使用合规性：分值</w:t>
      </w:r>
      <w:r>
        <w:rPr>
          <w:rFonts w:hint="eastAsia"/>
          <w:highlight w:val="none"/>
          <w:lang w:val="en-US" w:eastAsia="zh-CN"/>
        </w:rPr>
        <w:t>3</w:t>
      </w:r>
      <w:r>
        <w:rPr>
          <w:rFonts w:hint="eastAsia"/>
          <w:highlight w:val="none"/>
        </w:rPr>
        <w:t>分，得分</w:t>
      </w:r>
      <w:r>
        <w:rPr>
          <w:rFonts w:hint="eastAsia"/>
          <w:highlight w:val="none"/>
          <w:lang w:val="en-US" w:eastAsia="zh-CN"/>
        </w:rPr>
        <w:t>2.4</w:t>
      </w:r>
      <w:r>
        <w:rPr>
          <w:rFonts w:hint="eastAsia"/>
          <w:highlight w:val="none"/>
        </w:rPr>
        <w:t>分，得</w:t>
      </w:r>
      <w:r>
        <w:rPr>
          <w:rFonts w:hint="eastAsia"/>
        </w:rPr>
        <w:t>分率</w:t>
      </w:r>
      <w:r>
        <w:rPr>
          <w:rFonts w:hint="eastAsia"/>
          <w:lang w:val="en-US" w:eastAsia="zh-CN"/>
        </w:rPr>
        <w:t>80</w:t>
      </w:r>
      <w:r>
        <w:rPr>
          <w:rFonts w:hint="eastAsia"/>
        </w:rPr>
        <w:t>%。根据部门所提供财务管理制度、资金使用申请与审批单据进行评分，主要针对部门资金使用是否符合国家财经法规和财务管理制度以及有关专项资金管理办法的规定，资金拨付是否有完整的审批程序和手续、是否符合部门预算批复或调整预算批复规定的用途，部门预算是否经过部门决策机构审议通过，是否存在资金截留、挤占、挪用、虚列支出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经</w:t>
      </w:r>
      <w:r>
        <w:rPr>
          <w:rFonts w:hint="eastAsia"/>
          <w:lang w:val="en-US" w:eastAsia="zh-CN"/>
        </w:rPr>
        <w:t>评价</w:t>
      </w:r>
      <w:r>
        <w:rPr>
          <w:rFonts w:hint="eastAsia"/>
        </w:rPr>
        <w:t>组抽查单位财务账结果显示，2023年和平区委党校严格按照资金规范制度执行财务管理流程，所提供凭证及请款单据完整，财务记账符合国家财经法规和财务管理制度规定；各项资金拨付有完整的审批程序和手续，项目资金重大支出事项均经单位领导集体审议，拨付用途与部门预算批复、调整预算批复规定一致，各项支出有完整的请款申请与资金审批单据，单据根据各单位财务管理制度经由相关经办人、部门负责人、分管财务领导以及单位领导等人员签字确认；各项资金不存在资金截留、挤占、挪用、虚列支出；资金使用涉及政采、公务卡结算事项均符合相关程序流程与支付规定。</w:t>
      </w:r>
      <w:r>
        <w:rPr>
          <w:rFonts w:hint="eastAsia"/>
          <w:lang w:val="en-US" w:eastAsia="zh-CN"/>
        </w:rPr>
        <w:t>但在抽查单位记账凭证时发现存在部分账务处理不规范的问题，如在建工程确认为固定资产时冲减明细科目有误，导致在建工程—设备投资余额为负数。</w:t>
      </w:r>
      <w:r>
        <w:rPr>
          <w:rFonts w:hint="eastAsia"/>
        </w:rPr>
        <w:t>综上所述，部门资金使用合规</w:t>
      </w:r>
      <w:r>
        <w:rPr>
          <w:rFonts w:hint="eastAsia"/>
          <w:lang w:eastAsia="zh-CN"/>
        </w:rPr>
        <w:t>，</w:t>
      </w:r>
      <w:r>
        <w:rPr>
          <w:rFonts w:hint="eastAsia"/>
          <w:lang w:val="en-US" w:eastAsia="zh-CN"/>
        </w:rPr>
        <w:t>但账务处理规范性有待加强</w:t>
      </w:r>
      <w:r>
        <w:rPr>
          <w:rFonts w:hint="eastAsia"/>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②预决算公</w:t>
      </w:r>
      <w:r>
        <w:rPr>
          <w:rFonts w:hint="eastAsia"/>
          <w:highlight w:val="none"/>
        </w:rPr>
        <w:t>开情况：分值</w:t>
      </w:r>
      <w:r>
        <w:rPr>
          <w:rFonts w:hint="eastAsia"/>
          <w:highlight w:val="none"/>
          <w:lang w:val="en-US" w:eastAsia="zh-CN"/>
        </w:rPr>
        <w:t>2</w:t>
      </w:r>
      <w:r>
        <w:rPr>
          <w:rFonts w:hint="eastAsia"/>
          <w:highlight w:val="none"/>
        </w:rPr>
        <w:t>分，得分</w:t>
      </w:r>
      <w:r>
        <w:rPr>
          <w:rFonts w:hint="eastAsia"/>
          <w:highlight w:val="none"/>
          <w:lang w:val="en-US" w:eastAsia="zh-CN"/>
        </w:rPr>
        <w:t>2</w:t>
      </w:r>
      <w:r>
        <w:rPr>
          <w:rFonts w:hint="eastAsia"/>
          <w:highlight w:val="none"/>
        </w:rPr>
        <w:t>分，得分率</w:t>
      </w:r>
      <w:r>
        <w:rPr>
          <w:rFonts w:hint="eastAsia"/>
          <w:highlight w:val="none"/>
          <w:lang w:val="en-US" w:eastAsia="zh-CN"/>
        </w:rPr>
        <w:t>100</w:t>
      </w:r>
      <w:r>
        <w:rPr>
          <w:rFonts w:hint="eastAsia"/>
          <w:highlight w:val="none"/>
        </w:rPr>
        <w:t>%。</w:t>
      </w:r>
      <w:r>
        <w:rPr>
          <w:rFonts w:hint="eastAsia"/>
          <w:lang w:val="en-US" w:eastAsia="zh-CN"/>
        </w:rPr>
        <w:t>根</w:t>
      </w:r>
      <w:r>
        <w:rPr>
          <w:rFonts w:hint="eastAsia"/>
        </w:rPr>
        <w:t>据部门预决算公开情况进行评分，主要针对部门是否按照政府信息公开有关规定及时公开预决算信息，公开内容是否完整、真实等方面进行评价。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lang w:val="en-US" w:eastAsia="zh-CN"/>
        </w:rPr>
        <w:t>和平</w:t>
      </w:r>
      <w:r>
        <w:rPr>
          <w:rFonts w:hint="eastAsia"/>
        </w:rPr>
        <w:t>区委党校按照区财政部门关于202</w:t>
      </w:r>
      <w:r>
        <w:rPr>
          <w:rFonts w:hint="eastAsia"/>
          <w:lang w:val="en-US" w:eastAsia="zh-CN"/>
        </w:rPr>
        <w:t>3</w:t>
      </w:r>
      <w:r>
        <w:rPr>
          <w:rFonts w:hint="eastAsia"/>
        </w:rPr>
        <w:t>年部门预决算公开工作部署要求，已分别于202</w:t>
      </w:r>
      <w:r>
        <w:rPr>
          <w:rFonts w:hint="eastAsia"/>
          <w:lang w:val="en-US" w:eastAsia="zh-CN"/>
        </w:rPr>
        <w:t>3</w:t>
      </w:r>
      <w:r>
        <w:rPr>
          <w:rFonts w:hint="eastAsia"/>
        </w:rPr>
        <w:t>年</w:t>
      </w:r>
      <w:r>
        <w:rPr>
          <w:rFonts w:hint="eastAsia"/>
          <w:lang w:val="en-US" w:eastAsia="zh-CN"/>
        </w:rPr>
        <w:t>2</w:t>
      </w:r>
      <w:r>
        <w:rPr>
          <w:rFonts w:hint="eastAsia"/>
        </w:rPr>
        <w:t>月</w:t>
      </w:r>
      <w:r>
        <w:rPr>
          <w:rFonts w:hint="eastAsia"/>
          <w:lang w:val="en-US" w:eastAsia="zh-CN"/>
        </w:rPr>
        <w:t>7</w:t>
      </w:r>
      <w:r>
        <w:rPr>
          <w:rFonts w:hint="eastAsia"/>
        </w:rPr>
        <w:t>日、202</w:t>
      </w:r>
      <w:r>
        <w:rPr>
          <w:rFonts w:hint="eastAsia"/>
          <w:lang w:val="en-US" w:eastAsia="zh-CN"/>
        </w:rPr>
        <w:t>4</w:t>
      </w:r>
      <w:r>
        <w:rPr>
          <w:rFonts w:hint="eastAsia"/>
        </w:rPr>
        <w:t>年</w:t>
      </w:r>
      <w:r>
        <w:rPr>
          <w:rFonts w:hint="eastAsia"/>
          <w:lang w:val="en-US" w:eastAsia="zh-CN"/>
        </w:rPr>
        <w:t>8</w:t>
      </w:r>
      <w:r>
        <w:rPr>
          <w:rFonts w:hint="eastAsia"/>
        </w:rPr>
        <w:t>月</w:t>
      </w:r>
      <w:r>
        <w:rPr>
          <w:rFonts w:hint="eastAsia"/>
          <w:lang w:val="en-US" w:eastAsia="zh-CN"/>
        </w:rPr>
        <w:t>2</w:t>
      </w:r>
      <w:r>
        <w:rPr>
          <w:rFonts w:hint="eastAsia"/>
        </w:rPr>
        <w:t>日在天津市</w:t>
      </w:r>
      <w:r>
        <w:rPr>
          <w:rFonts w:hint="eastAsia"/>
          <w:lang w:val="en-US" w:eastAsia="zh-CN"/>
        </w:rPr>
        <w:t>和平</w:t>
      </w:r>
      <w:r>
        <w:rPr>
          <w:rFonts w:hint="eastAsia"/>
        </w:rPr>
        <w:t>区政务网财政预决算公开专栏完成部门预决算公开工作。部门预决算公开内容均已通过区财政部门审核，具有完整真实性。综上所述，部门预决算公开透明度较高。</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w:t>
      </w:r>
      <w:r>
        <w:t>3</w:t>
      </w:r>
      <w:r>
        <w:rPr>
          <w:rFonts w:hint="eastAsia"/>
        </w:rPr>
        <w:t>）绩效管理</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①绩效管理机构和</w:t>
      </w:r>
      <w:r>
        <w:rPr>
          <w:rFonts w:hint="eastAsia"/>
          <w:color w:val="auto"/>
        </w:rPr>
        <w:t>制度建设情况：分值</w:t>
      </w:r>
      <w:r>
        <w:rPr>
          <w:color w:val="auto"/>
        </w:rPr>
        <w:t>1</w:t>
      </w:r>
      <w:r>
        <w:rPr>
          <w:rFonts w:hint="eastAsia"/>
          <w:color w:val="auto"/>
        </w:rPr>
        <w:t>分，得分</w:t>
      </w:r>
      <w:r>
        <w:rPr>
          <w:rFonts w:hint="eastAsia"/>
          <w:color w:val="auto"/>
          <w:highlight w:val="none"/>
          <w:lang w:val="en-US" w:eastAsia="zh-CN"/>
        </w:rPr>
        <w:t>1</w:t>
      </w:r>
      <w:r>
        <w:rPr>
          <w:rFonts w:hint="eastAsia"/>
          <w:color w:val="auto"/>
        </w:rPr>
        <w:t>分，得分率</w:t>
      </w:r>
      <w:r>
        <w:rPr>
          <w:rFonts w:hint="eastAsia"/>
          <w:color w:val="auto"/>
          <w:highlight w:val="none"/>
          <w:lang w:val="en-US" w:eastAsia="zh-CN"/>
        </w:rPr>
        <w:t>100</w:t>
      </w:r>
      <w:r>
        <w:rPr>
          <w:rFonts w:hint="eastAsia"/>
          <w:color w:val="auto"/>
        </w:rPr>
        <w:t>%。根据部门所提供本部门绩效管理机构人员信息及全过程预算绩效管理相关制度建立情况进行评分，主要针对部门是否成立绩效管理领导小组、是否指定相关业务部门和专人负责绩效管理工作，</w:t>
      </w:r>
      <w:r>
        <w:rPr>
          <w:rFonts w:hint="eastAsia"/>
        </w:rPr>
        <w:t>是否建立涉及事前绩效评估、绩效目标设置、绩效执行监控、绩效事后评价等全过程预算绩效管理制度进行评价。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eastAsia="仿宋_GB2312"/>
          <w:color w:val="auto"/>
          <w:lang w:val="en-US" w:eastAsia="zh-CN"/>
        </w:rPr>
      </w:pPr>
      <w:r>
        <w:rPr>
          <w:rFonts w:hint="eastAsia"/>
          <w:lang w:val="en-US" w:eastAsia="zh-CN"/>
        </w:rPr>
        <w:t>和平区委党校按照津和财〔2020〕61号、津和财〔2020〕62号、津和财〔2020〕63号、津和财〔2020〕64号、津和财〔2020〕65号、津和财〔2020〕66号的文件要求，结合部门工作实际制定了部</w:t>
      </w:r>
      <w:r>
        <w:rPr>
          <w:rFonts w:hint="eastAsia"/>
          <w:color w:val="auto"/>
          <w:lang w:val="en-US" w:eastAsia="zh-CN"/>
        </w:rPr>
        <w:t>门预算绩效管理制度，覆盖了</w:t>
      </w:r>
      <w:r>
        <w:rPr>
          <w:rFonts w:hint="eastAsia"/>
          <w:color w:val="auto"/>
        </w:rPr>
        <w:t>事前绩效评估、绩效目标设置、绩效执行监控、绩效事后评价等全过程预算绩效</w:t>
      </w:r>
      <w:r>
        <w:rPr>
          <w:rFonts w:hint="eastAsia"/>
          <w:color w:val="auto"/>
          <w:lang w:val="en-US" w:eastAsia="zh-CN"/>
        </w:rPr>
        <w:t>管理工作，</w:t>
      </w:r>
      <w:r>
        <w:rPr>
          <w:rFonts w:hint="eastAsia"/>
          <w:color w:val="auto"/>
          <w:highlight w:val="none"/>
          <w:lang w:val="en-US" w:eastAsia="zh-CN"/>
        </w:rPr>
        <w:t>由办公室负责绩效管理工作，</w:t>
      </w:r>
      <w:r>
        <w:rPr>
          <w:rFonts w:hint="eastAsia"/>
          <w:color w:val="auto"/>
          <w:highlight w:val="none"/>
        </w:rPr>
        <w:t>绩效管理机构和制度</w:t>
      </w:r>
      <w:r>
        <w:rPr>
          <w:rFonts w:hint="eastAsia"/>
          <w:color w:val="auto"/>
          <w:highlight w:val="none"/>
          <w:lang w:val="en-US" w:eastAsia="zh-CN"/>
        </w:rPr>
        <w:t>健全</w:t>
      </w:r>
      <w:r>
        <w:rPr>
          <w:rFonts w:hint="eastAsia"/>
          <w:color w:val="auto"/>
          <w:lang w:val="en-US"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highlight w:val="none"/>
        </w:rPr>
      </w:pPr>
      <w:r>
        <w:rPr>
          <w:rFonts w:hint="eastAsia"/>
          <w:color w:val="auto"/>
        </w:rPr>
        <w:t>②绩效指标体系健全性：分值</w:t>
      </w:r>
      <w:r>
        <w:rPr>
          <w:color w:val="auto"/>
        </w:rPr>
        <w:t>1</w:t>
      </w:r>
      <w:r>
        <w:rPr>
          <w:rFonts w:hint="eastAsia"/>
          <w:color w:val="auto"/>
        </w:rPr>
        <w:t>分，得分</w:t>
      </w:r>
      <w:r>
        <w:rPr>
          <w:rFonts w:hint="eastAsia"/>
          <w:color w:val="auto"/>
          <w:lang w:val="en-US" w:eastAsia="zh-CN"/>
        </w:rPr>
        <w:t>0</w:t>
      </w:r>
      <w:r>
        <w:rPr>
          <w:rFonts w:hint="eastAsia"/>
          <w:color w:val="auto"/>
        </w:rPr>
        <w:t>分，得分率</w:t>
      </w:r>
      <w:r>
        <w:rPr>
          <w:rFonts w:hint="eastAsia"/>
          <w:color w:val="auto"/>
          <w:lang w:val="en-US" w:eastAsia="zh-CN"/>
        </w:rPr>
        <w:t>0</w:t>
      </w:r>
      <w:r>
        <w:rPr>
          <w:rFonts w:hint="eastAsia"/>
          <w:color w:val="auto"/>
        </w:rPr>
        <w:t>%。</w:t>
      </w:r>
      <w:r>
        <w:rPr>
          <w:rFonts w:hint="eastAsia"/>
          <w:color w:val="auto"/>
          <w:highlight w:val="none"/>
        </w:rPr>
        <w:t>根据部门所提供本部门绩效管理指标库建设工作完成情况进行评分，主要针对部门是否建立完善的指标体系，是否依据已建立的指标体系开展绩效目</w:t>
      </w:r>
      <w:r>
        <w:rPr>
          <w:rFonts w:hint="eastAsia"/>
          <w:highlight w:val="none"/>
        </w:rPr>
        <w:t>标编报工作等方面进行评价。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截至本次绩效评价基准日，</w:t>
      </w:r>
      <w:r>
        <w:rPr>
          <w:rFonts w:hint="eastAsia"/>
          <w:highlight w:val="none"/>
        </w:rPr>
        <w:t>和平区委党校</w:t>
      </w:r>
      <w:r>
        <w:rPr>
          <w:rFonts w:hint="eastAsia"/>
          <w:highlight w:val="none"/>
          <w:lang w:val="en-US" w:eastAsia="zh-CN"/>
        </w:rPr>
        <w:t>尚未建立本部门绩效管理指标体系</w:t>
      </w:r>
      <w:r>
        <w:rPr>
          <w:rFonts w:hint="eastAsia"/>
          <w:highlight w:val="none"/>
        </w:rPr>
        <w:t>，</w:t>
      </w:r>
      <w:r>
        <w:rPr>
          <w:rFonts w:hint="eastAsia"/>
          <w:highlight w:val="none"/>
          <w:lang w:val="en-US" w:eastAsia="zh-CN"/>
        </w:rPr>
        <w:t>无法根据</w:t>
      </w:r>
      <w:r>
        <w:rPr>
          <w:rFonts w:hint="eastAsia"/>
          <w:highlight w:val="none"/>
        </w:rPr>
        <w:t>指标体系开展绩效目标编报工作。综上所述，部门绩效指标体系健全性有待提高</w:t>
      </w:r>
      <w:r>
        <w:rPr>
          <w:rFonts w:hint="eastAsia"/>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③绩效目标工作开展情况：分值</w:t>
      </w:r>
      <w:r>
        <w:t>1</w:t>
      </w:r>
      <w:r>
        <w:rPr>
          <w:rFonts w:hint="eastAsia"/>
        </w:rPr>
        <w:t>分，得分</w:t>
      </w:r>
      <w:r>
        <w:rPr>
          <w:rFonts w:hint="eastAsia"/>
          <w:lang w:val="en-US" w:eastAsia="zh-CN"/>
        </w:rPr>
        <w:t>1</w:t>
      </w:r>
      <w:r>
        <w:rPr>
          <w:rFonts w:hint="eastAsia"/>
        </w:rPr>
        <w:t>分，得分率</w:t>
      </w:r>
      <w:r>
        <w:rPr>
          <w:rFonts w:hint="eastAsia"/>
          <w:lang w:val="en-US" w:eastAsia="zh-CN"/>
        </w:rPr>
        <w:t>100</w:t>
      </w:r>
      <w:r>
        <w:rPr>
          <w:rFonts w:hint="eastAsia"/>
        </w:rPr>
        <w:t>%。根据部门所提供本部门202</w:t>
      </w:r>
      <w:r>
        <w:rPr>
          <w:rFonts w:hint="eastAsia"/>
          <w:lang w:val="en-US" w:eastAsia="zh-CN"/>
        </w:rPr>
        <w:t>3</w:t>
      </w:r>
      <w:r>
        <w:rPr>
          <w:rFonts w:hint="eastAsia"/>
        </w:rPr>
        <w:t>年度绩效目标编报工作完成情况进行评分，主要针对部门是否在规定时间内完成部门整体绩效目标和项目绩效目标的制定编报工作并及时公开等方面进行评价。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和平区委党校已按照区财政部门要求在规定时间内完成部门整体绩效目标和项目绩效目标编报工作，并于202</w:t>
      </w:r>
      <w:r>
        <w:rPr>
          <w:rFonts w:hint="eastAsia"/>
          <w:lang w:val="en-US" w:eastAsia="zh-CN"/>
        </w:rPr>
        <w:t>3</w:t>
      </w:r>
      <w:r>
        <w:rPr>
          <w:rFonts w:hint="eastAsia"/>
        </w:rPr>
        <w:t>年</w:t>
      </w:r>
      <w:r>
        <w:rPr>
          <w:rFonts w:hint="eastAsia"/>
          <w:lang w:val="en-US" w:eastAsia="zh-CN"/>
        </w:rPr>
        <w:t>2</w:t>
      </w:r>
      <w:r>
        <w:rPr>
          <w:rFonts w:hint="eastAsia"/>
        </w:rPr>
        <w:t>月</w:t>
      </w:r>
      <w:r>
        <w:rPr>
          <w:rFonts w:hint="eastAsia"/>
          <w:lang w:val="en-US" w:eastAsia="zh-CN"/>
        </w:rPr>
        <w:t>7</w:t>
      </w:r>
      <w:r>
        <w:rPr>
          <w:rFonts w:hint="eastAsia"/>
        </w:rPr>
        <w:t>日在天津市</w:t>
      </w:r>
      <w:r>
        <w:rPr>
          <w:rFonts w:hint="eastAsia"/>
          <w:lang w:val="en-US" w:eastAsia="zh-CN"/>
        </w:rPr>
        <w:t>和平</w:t>
      </w:r>
      <w:r>
        <w:rPr>
          <w:rFonts w:hint="eastAsia"/>
        </w:rPr>
        <w:t>区政务网财政预决算专栏完成绩效目标公开工作。综上所述，部门绩效目标工作完成情况良好。</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④绩效评价工作开展情况：分值</w:t>
      </w:r>
      <w:r>
        <w:t>1</w:t>
      </w:r>
      <w:r>
        <w:rPr>
          <w:rFonts w:hint="eastAsia"/>
        </w:rPr>
        <w:t>分，得分</w:t>
      </w:r>
      <w:r>
        <w:rPr>
          <w:rFonts w:hint="eastAsia"/>
          <w:lang w:val="en-US" w:eastAsia="zh-CN"/>
        </w:rPr>
        <w:t>1</w:t>
      </w:r>
      <w:r>
        <w:rPr>
          <w:rFonts w:hint="eastAsia"/>
        </w:rPr>
        <w:t>分，得分率</w:t>
      </w:r>
      <w:r>
        <w:rPr>
          <w:rFonts w:hint="eastAsia"/>
          <w:lang w:val="en-US" w:eastAsia="zh-CN"/>
        </w:rPr>
        <w:t>100</w:t>
      </w:r>
      <w:r>
        <w:rPr>
          <w:rFonts w:hint="eastAsia"/>
        </w:rPr>
        <w:t>%。根据部门所提供本部门202</w:t>
      </w:r>
      <w:r>
        <w:rPr>
          <w:rFonts w:hint="eastAsia"/>
          <w:lang w:val="en-US" w:eastAsia="zh-CN"/>
        </w:rPr>
        <w:t>3</w:t>
      </w:r>
      <w:r>
        <w:rPr>
          <w:rFonts w:hint="eastAsia"/>
        </w:rPr>
        <w:t>年度整体支出绩效自评表、自评报告，项目支出绩效自评表、自评报告编报工作完成情况进行评分，主要针对部门是否按照区财政部门要求开展并完成部门整体支出绩效与项目支出绩效自评工作进行评价。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和平区委党校已按照区财政部门要求开展并完成202</w:t>
      </w:r>
      <w:r>
        <w:rPr>
          <w:rFonts w:hint="eastAsia"/>
          <w:lang w:val="en-US" w:eastAsia="zh-CN"/>
        </w:rPr>
        <w:t>3</w:t>
      </w:r>
      <w:r>
        <w:rPr>
          <w:rFonts w:hint="eastAsia"/>
        </w:rPr>
        <w:t>年度本部门项目支出绩效自评表</w:t>
      </w:r>
      <w:r>
        <w:rPr>
          <w:rFonts w:hint="eastAsia"/>
          <w:lang w:val="en-US" w:eastAsia="zh-CN"/>
        </w:rPr>
        <w:t>和</w:t>
      </w:r>
      <w:r>
        <w:rPr>
          <w:rFonts w:hint="eastAsia"/>
        </w:rPr>
        <w:t>部门整体支出绩效自评表编制工作，自评工作材料已通过区财政部门审核。综上所述，部门绩效评价工作完成情况</w:t>
      </w:r>
      <w:r>
        <w:rPr>
          <w:rFonts w:hint="eastAsia"/>
          <w:lang w:val="en-US" w:eastAsia="zh-CN"/>
        </w:rPr>
        <w:t>良好</w:t>
      </w:r>
      <w:r>
        <w:rPr>
          <w:rFonts w:hint="eastAsia"/>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w:t>
      </w:r>
      <w:r>
        <w:t>4</w:t>
      </w:r>
      <w:r>
        <w:rPr>
          <w:rFonts w:hint="eastAsia"/>
        </w:rPr>
        <w:t>）资产管理</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①资产管理规范性：分值</w:t>
      </w:r>
      <w:r>
        <w:t>2</w:t>
      </w:r>
      <w:r>
        <w:rPr>
          <w:rFonts w:hint="eastAsia"/>
        </w:rPr>
        <w:t>分</w:t>
      </w:r>
      <w:r>
        <w:rPr>
          <w:rFonts w:hint="eastAsia"/>
          <w:highlight w:val="none"/>
        </w:rPr>
        <w:t>，得分</w:t>
      </w:r>
      <w:r>
        <w:rPr>
          <w:rFonts w:hint="eastAsia"/>
          <w:highlight w:val="none"/>
          <w:lang w:val="en-US" w:eastAsia="zh-CN"/>
        </w:rPr>
        <w:t>2</w:t>
      </w:r>
      <w:r>
        <w:rPr>
          <w:rFonts w:hint="eastAsia"/>
          <w:highlight w:val="none"/>
        </w:rPr>
        <w:t>分，得分率</w:t>
      </w:r>
      <w:r>
        <w:rPr>
          <w:rFonts w:hint="eastAsia"/>
          <w:highlight w:val="none"/>
          <w:lang w:val="en-US" w:eastAsia="zh-CN"/>
        </w:rPr>
        <w:t>100</w:t>
      </w:r>
      <w:r>
        <w:rPr>
          <w:rFonts w:hint="eastAsia"/>
          <w:highlight w:val="none"/>
        </w:rPr>
        <w:t>%。</w:t>
      </w:r>
      <w:r>
        <w:rPr>
          <w:rFonts w:hint="eastAsia"/>
          <w:lang w:val="en-US" w:eastAsia="zh-CN"/>
        </w:rPr>
        <w:t>根</w:t>
      </w:r>
      <w:r>
        <w:rPr>
          <w:rFonts w:hint="eastAsia"/>
        </w:rPr>
        <w:t>据部门所提供本部门2023年度行政事业性国有资产报表、行政事业单位国有资产处置申报表、核准处置资产清单进行评分，主要针对资产保存是否完整，是否定期对固定资产进行清查，资产配置是否合理，资产使用和处置是否规范，是否做到账实相符等方面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和平区委党校部门现有资产保存状态完好，定期开展固定资产盘点清查工作，未发生因管理不当导致严重资产损失和丢失的问题；资产配置与资产使用严格遵照配置标准与“谁使用、谁负责”原则，不存在超标准配置资产与擅自出租、出借资产的行为</w:t>
      </w:r>
      <w:r>
        <w:rPr>
          <w:rFonts w:hint="eastAsia"/>
          <w:highlight w:val="none"/>
        </w:rPr>
        <w:t>，</w:t>
      </w:r>
      <w:r>
        <w:rPr>
          <w:rFonts w:hint="eastAsia"/>
          <w:highlight w:val="none"/>
          <w:lang w:val="en-US" w:eastAsia="zh-CN"/>
        </w:rPr>
        <w:t>2023</w:t>
      </w:r>
      <w:r>
        <w:rPr>
          <w:rFonts w:hint="eastAsia"/>
          <w:highlight w:val="none"/>
        </w:rPr>
        <w:t>年</w:t>
      </w:r>
      <w:r>
        <w:rPr>
          <w:rFonts w:hint="eastAsia"/>
          <w:highlight w:val="none"/>
          <w:lang w:val="en-US" w:eastAsia="zh-CN"/>
        </w:rPr>
        <w:t>处置资产23.29万元，</w:t>
      </w:r>
      <w:r>
        <w:rPr>
          <w:rFonts w:hint="eastAsia"/>
          <w:highlight w:val="none"/>
        </w:rPr>
        <w:t>所处置资产均经区财政部门审批，审批要件齐全；资产实</w:t>
      </w:r>
      <w:r>
        <w:rPr>
          <w:rFonts w:hint="eastAsia"/>
        </w:rPr>
        <w:t>物与资产实物账数据账实相符，资产实物账与资产财务账数据账账相符。综上所述，部门资产管理规范性较高。</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②固定资产利用率：分值</w:t>
      </w:r>
      <w:r>
        <w:t>3</w:t>
      </w:r>
      <w:r>
        <w:rPr>
          <w:rFonts w:hint="eastAsia"/>
        </w:rPr>
        <w:t>分，得分</w:t>
      </w:r>
      <w:r>
        <w:rPr>
          <w:rFonts w:hint="eastAsia"/>
          <w:lang w:val="en-US" w:eastAsia="zh-CN"/>
        </w:rPr>
        <w:t>3</w:t>
      </w:r>
      <w:r>
        <w:rPr>
          <w:rFonts w:hint="eastAsia"/>
        </w:rPr>
        <w:t>分，得分率</w:t>
      </w:r>
      <w:r>
        <w:rPr>
          <w:rFonts w:hint="eastAsia"/>
          <w:lang w:val="en-US" w:eastAsia="zh-CN"/>
        </w:rPr>
        <w:t>100</w:t>
      </w:r>
      <w:r>
        <w:rPr>
          <w:rFonts w:hint="eastAsia"/>
        </w:rPr>
        <w:t>%。根据部门所提供本部门2</w:t>
      </w:r>
      <w:r>
        <w:t>02</w:t>
      </w:r>
      <w:r>
        <w:rPr>
          <w:rFonts w:hint="eastAsia"/>
          <w:lang w:val="en-US" w:eastAsia="zh-CN"/>
        </w:rPr>
        <w:t>3</w:t>
      </w:r>
      <w:r>
        <w:rPr>
          <w:rFonts w:hint="eastAsia"/>
        </w:rPr>
        <w:t>年度</w:t>
      </w:r>
      <w:r>
        <w:t>行政事业性国有资产</w:t>
      </w:r>
      <w:r>
        <w:rPr>
          <w:rFonts w:hint="eastAsia"/>
        </w:rPr>
        <w:t>报表进行评分，主要针对部门实际在用固定资产总额与所有固定资产总额对比情况进行评价。</w:t>
      </w:r>
    </w:p>
    <w:p>
      <w:pPr>
        <w:pStyle w:val="25"/>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rPr>
      </w:pPr>
      <w:r>
        <w:rPr>
          <w:rFonts w:hint="eastAsia"/>
        </w:rPr>
        <w:t>和平区委党校202</w:t>
      </w:r>
      <w:r>
        <w:rPr>
          <w:rFonts w:hint="eastAsia"/>
          <w:lang w:val="en-US" w:eastAsia="zh-CN"/>
        </w:rPr>
        <w:t>3</w:t>
      </w:r>
      <w:r>
        <w:rPr>
          <w:rFonts w:hint="eastAsia"/>
        </w:rPr>
        <w:t>年度</w:t>
      </w:r>
      <w:r>
        <w:rPr>
          <w:rFonts w:hint="eastAsia"/>
          <w:lang w:val="en-US" w:eastAsia="zh-CN"/>
        </w:rPr>
        <w:t>期末实有</w:t>
      </w:r>
      <w:r>
        <w:rPr>
          <w:rFonts w:hint="eastAsia"/>
        </w:rPr>
        <w:t>固定资产总额为</w:t>
      </w:r>
      <w:r>
        <w:rPr>
          <w:rFonts w:hint="eastAsia"/>
          <w:lang w:val="en-US" w:eastAsia="zh-CN"/>
        </w:rPr>
        <w:t>358</w:t>
      </w:r>
      <w:r>
        <w:rPr>
          <w:rFonts w:hint="eastAsia"/>
        </w:rPr>
        <w:t>万元，在用固定资产总额为</w:t>
      </w:r>
      <w:r>
        <w:rPr>
          <w:rFonts w:hint="eastAsia"/>
          <w:lang w:val="en-US" w:eastAsia="zh-CN"/>
        </w:rPr>
        <w:t>358万</w:t>
      </w:r>
      <w:r>
        <w:rPr>
          <w:rFonts w:hint="eastAsia"/>
        </w:rPr>
        <w:t>元，</w:t>
      </w:r>
      <w:r>
        <w:rPr>
          <w:rFonts w:hint="eastAsia"/>
          <w:lang w:val="en-US" w:eastAsia="zh-CN"/>
        </w:rPr>
        <w:t>无</w:t>
      </w:r>
      <w:r>
        <w:rPr>
          <w:rFonts w:hint="eastAsia"/>
        </w:rPr>
        <w:t>出租出借</w:t>
      </w:r>
      <w:r>
        <w:rPr>
          <w:rFonts w:hint="eastAsia"/>
          <w:lang w:eastAsia="zh-CN"/>
        </w:rPr>
        <w:t>、</w:t>
      </w:r>
      <w:r>
        <w:rPr>
          <w:rFonts w:hint="eastAsia"/>
        </w:rPr>
        <w:t>闲置</w:t>
      </w:r>
      <w:r>
        <w:rPr>
          <w:rFonts w:hint="eastAsia"/>
          <w:lang w:eastAsia="zh-CN"/>
        </w:rPr>
        <w:t>、</w:t>
      </w:r>
      <w:r>
        <w:rPr>
          <w:rFonts w:hint="eastAsia"/>
        </w:rPr>
        <w:t>待处置固定资产</w:t>
      </w:r>
      <w:r>
        <w:rPr>
          <w:rFonts w:hint="eastAsia"/>
          <w:lang w:eastAsia="zh-CN"/>
        </w:rPr>
        <w:t>，</w:t>
      </w:r>
      <w:r>
        <w:rPr>
          <w:rFonts w:hint="eastAsia"/>
          <w:lang w:val="en-US" w:eastAsia="zh-CN"/>
        </w:rPr>
        <w:t>具体</w:t>
      </w:r>
      <w:r>
        <w:rPr>
          <w:rFonts w:hint="eastAsia"/>
        </w:rPr>
        <w:t>固定资产利用情况</w:t>
      </w:r>
      <w:r>
        <w:rPr>
          <w:rFonts w:hint="eastAsia"/>
          <w:lang w:val="en-US" w:eastAsia="zh-CN"/>
        </w:rPr>
        <w:t>见表</w:t>
      </w:r>
      <w:r>
        <w:t>3</w:t>
      </w:r>
      <w:r>
        <w:rPr>
          <w:rFonts w:hint="eastAsia"/>
        </w:rPr>
        <w:t>.</w:t>
      </w:r>
      <w:r>
        <w:t>3</w:t>
      </w:r>
      <w:r>
        <w:rPr>
          <w:rFonts w:hint="eastAsia"/>
        </w:rPr>
        <w:t>.</w:t>
      </w:r>
      <w:r>
        <w:t>2.4.2</w:t>
      </w:r>
      <w:r>
        <w:rPr>
          <w:rFonts w:hint="eastAsia"/>
          <w:lang w:eastAsia="zh-CN"/>
        </w:rPr>
        <w:t>。</w:t>
      </w:r>
      <w:r>
        <w:rPr>
          <w:rFonts w:hint="eastAsia"/>
        </w:rPr>
        <w:t>依据公式计算，固定资产利用率为</w:t>
      </w:r>
      <w:r>
        <w:rPr>
          <w:rFonts w:hint="eastAsia"/>
          <w:lang w:val="en-US" w:eastAsia="zh-CN"/>
        </w:rPr>
        <w:t>100</w:t>
      </w:r>
      <w:r>
        <w:t>%</w:t>
      </w:r>
      <w:r>
        <w:rPr>
          <w:rFonts w:hint="eastAsia"/>
          <w:highlight w:val="none"/>
          <w:lang w:val="en-US" w:eastAsia="zh-CN"/>
        </w:rPr>
        <w:t>。</w:t>
      </w:r>
      <w:r>
        <w:rPr>
          <w:rFonts w:hint="eastAsia"/>
          <w:highlight w:val="none"/>
        </w:rPr>
        <w:t>综</w:t>
      </w:r>
      <w:r>
        <w:rPr>
          <w:rFonts w:hint="eastAsia"/>
        </w:rPr>
        <w:t>上所述，部门固定资产利用</w:t>
      </w:r>
      <w:r>
        <w:rPr>
          <w:rFonts w:hint="eastAsia"/>
          <w:lang w:val="en-US" w:eastAsia="zh-CN"/>
        </w:rPr>
        <w:t>情况良好</w:t>
      </w:r>
      <w:r>
        <w:rPr>
          <w:rFonts w:hint="eastAsia"/>
        </w:rPr>
        <w:t>。</w:t>
      </w:r>
    </w:p>
    <w:p>
      <w:pPr>
        <w:pStyle w:val="32"/>
        <w:keepNext w:val="0"/>
        <w:keepLines w:val="0"/>
        <w:pageBreakBefore w:val="0"/>
        <w:kinsoku/>
        <w:wordWrap/>
        <w:overflowPunct/>
        <w:topLinePunct w:val="0"/>
        <w:autoSpaceDE/>
        <w:autoSpaceDN/>
        <w:bidi w:val="0"/>
        <w:adjustRightInd/>
        <w:snapToGrid/>
        <w:spacing w:line="560" w:lineRule="exact"/>
        <w:textAlignment w:val="auto"/>
      </w:pPr>
      <w:r>
        <w:rPr>
          <w:rFonts w:hint="eastAsia"/>
        </w:rPr>
        <w:t>表</w:t>
      </w:r>
      <w:r>
        <w:t>3</w:t>
      </w:r>
      <w:r>
        <w:rPr>
          <w:rFonts w:hint="eastAsia"/>
        </w:rPr>
        <w:t>.</w:t>
      </w:r>
      <w:r>
        <w:t>3</w:t>
      </w:r>
      <w:r>
        <w:rPr>
          <w:rFonts w:hint="eastAsia"/>
        </w:rPr>
        <w:t>.</w:t>
      </w:r>
      <w:r>
        <w:t xml:space="preserve">2.4.2 </w:t>
      </w:r>
      <w:r>
        <w:rPr>
          <w:rFonts w:hint="eastAsia"/>
          <w:lang w:val="en-US" w:eastAsia="zh-CN"/>
        </w:rPr>
        <w:t xml:space="preserve"> </w:t>
      </w:r>
      <w:r>
        <w:rPr>
          <w:rFonts w:hint="eastAsia"/>
        </w:rPr>
        <w:t>固定资产利用情况表</w:t>
      </w:r>
    </w:p>
    <w:p>
      <w:pPr>
        <w:pStyle w:val="33"/>
        <w:keepNext w:val="0"/>
        <w:keepLines w:val="0"/>
        <w:pageBreakBefore w:val="0"/>
        <w:kinsoku/>
        <w:wordWrap/>
        <w:overflowPunct/>
        <w:topLinePunct w:val="0"/>
        <w:autoSpaceDE/>
        <w:autoSpaceDN/>
        <w:bidi w:val="0"/>
        <w:adjustRightInd/>
        <w:snapToGrid/>
        <w:spacing w:line="560" w:lineRule="exact"/>
        <w:textAlignment w:val="auto"/>
      </w:pPr>
      <w:r>
        <w:rPr>
          <w:rFonts w:hint="eastAsia"/>
        </w:rPr>
        <w:t>单位：万元</w:t>
      </w:r>
    </w:p>
    <w:tbl>
      <w:tblPr>
        <w:tblStyle w:val="17"/>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136"/>
        <w:gridCol w:w="1136"/>
        <w:gridCol w:w="1278"/>
        <w:gridCol w:w="1137"/>
        <w:gridCol w:w="1278"/>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blHeader/>
        </w:trPr>
        <w:tc>
          <w:tcPr>
            <w:tcW w:w="1559" w:type="dxa"/>
            <w:shd w:val="clear" w:color="auto" w:fill="auto"/>
            <w:vAlign w:val="center"/>
          </w:tcPr>
          <w:p>
            <w:pPr>
              <w:pStyle w:val="35"/>
            </w:pPr>
            <w:r>
              <w:rPr>
                <w:rFonts w:hint="eastAsia"/>
              </w:rPr>
              <w:t>资产类别</w:t>
            </w:r>
          </w:p>
        </w:tc>
        <w:tc>
          <w:tcPr>
            <w:tcW w:w="1136" w:type="dxa"/>
            <w:vAlign w:val="center"/>
          </w:tcPr>
          <w:p>
            <w:pPr>
              <w:pStyle w:val="35"/>
              <w:rPr>
                <w:rFonts w:cs="宋体"/>
                <w:kern w:val="0"/>
              </w:rPr>
            </w:pPr>
            <w:r>
              <w:rPr>
                <w:rFonts w:hint="eastAsia" w:cs="宋体"/>
                <w:kern w:val="0"/>
              </w:rPr>
              <w:t>实有资产总额</w:t>
            </w:r>
          </w:p>
        </w:tc>
        <w:tc>
          <w:tcPr>
            <w:tcW w:w="1136" w:type="dxa"/>
            <w:vAlign w:val="center"/>
          </w:tcPr>
          <w:p>
            <w:pPr>
              <w:pStyle w:val="35"/>
              <w:rPr>
                <w:rFonts w:cs="宋体"/>
                <w:kern w:val="0"/>
              </w:rPr>
            </w:pPr>
            <w:r>
              <w:rPr>
                <w:rFonts w:hint="eastAsia" w:cs="宋体"/>
                <w:kern w:val="0"/>
              </w:rPr>
              <w:t>在用资产总额</w:t>
            </w:r>
          </w:p>
        </w:tc>
        <w:tc>
          <w:tcPr>
            <w:tcW w:w="1278" w:type="dxa"/>
            <w:vAlign w:val="center"/>
          </w:tcPr>
          <w:p>
            <w:pPr>
              <w:pStyle w:val="35"/>
              <w:rPr>
                <w:rFonts w:cs="宋体"/>
                <w:kern w:val="0"/>
              </w:rPr>
            </w:pPr>
            <w:r>
              <w:rPr>
                <w:rFonts w:hint="eastAsia" w:cs="宋体"/>
                <w:kern w:val="0"/>
              </w:rPr>
              <w:t>出租、出借</w:t>
            </w:r>
          </w:p>
          <w:p>
            <w:pPr>
              <w:pStyle w:val="35"/>
              <w:rPr>
                <w:rFonts w:cs="宋体"/>
                <w:kern w:val="0"/>
              </w:rPr>
            </w:pPr>
            <w:r>
              <w:rPr>
                <w:rFonts w:hint="eastAsia" w:cs="宋体"/>
                <w:kern w:val="0"/>
              </w:rPr>
              <w:t>资产总额</w:t>
            </w:r>
          </w:p>
        </w:tc>
        <w:tc>
          <w:tcPr>
            <w:tcW w:w="1137" w:type="dxa"/>
            <w:vAlign w:val="center"/>
          </w:tcPr>
          <w:p>
            <w:pPr>
              <w:pStyle w:val="35"/>
              <w:rPr>
                <w:rFonts w:cs="宋体"/>
                <w:kern w:val="0"/>
              </w:rPr>
            </w:pPr>
            <w:r>
              <w:rPr>
                <w:rFonts w:hint="eastAsia" w:cs="宋体"/>
                <w:kern w:val="0"/>
              </w:rPr>
              <w:t>闲置资产总额</w:t>
            </w:r>
          </w:p>
        </w:tc>
        <w:tc>
          <w:tcPr>
            <w:tcW w:w="1278" w:type="dxa"/>
            <w:vAlign w:val="center"/>
          </w:tcPr>
          <w:p>
            <w:pPr>
              <w:pStyle w:val="35"/>
              <w:rPr>
                <w:rFonts w:cs="宋体"/>
                <w:kern w:val="0"/>
              </w:rPr>
            </w:pPr>
            <w:r>
              <w:rPr>
                <w:rFonts w:hint="eastAsia" w:cs="宋体"/>
                <w:kern w:val="0"/>
              </w:rPr>
              <w:t>待处置资产总额</w:t>
            </w:r>
          </w:p>
        </w:tc>
        <w:tc>
          <w:tcPr>
            <w:tcW w:w="1004" w:type="dxa"/>
            <w:shd w:val="clear" w:color="auto" w:fill="auto"/>
            <w:vAlign w:val="center"/>
          </w:tcPr>
          <w:p>
            <w:pPr>
              <w:pStyle w:val="35"/>
              <w:rPr>
                <w:rFonts w:cs="宋体"/>
                <w:kern w:val="0"/>
              </w:rPr>
            </w:pPr>
            <w:r>
              <w:rPr>
                <w:rFonts w:hint="eastAsia" w:cs="宋体"/>
                <w:kern w:val="0"/>
              </w:rPr>
              <w:t>利用率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1559" w:type="dxa"/>
            <w:shd w:val="clear" w:color="auto" w:fill="auto"/>
            <w:vAlign w:val="center"/>
          </w:tcPr>
          <w:p>
            <w:pPr>
              <w:pStyle w:val="37"/>
            </w:pPr>
            <w:r>
              <w:rPr>
                <w:rFonts w:hint="eastAsia"/>
              </w:rPr>
              <w:t>房屋和构筑物</w:t>
            </w:r>
          </w:p>
        </w:tc>
        <w:tc>
          <w:tcPr>
            <w:tcW w:w="1136" w:type="dxa"/>
            <w:vAlign w:val="center"/>
          </w:tcPr>
          <w:p>
            <w:pPr>
              <w:pStyle w:val="37"/>
              <w:ind w:firstLine="0" w:firstLineChars="0"/>
              <w:rPr>
                <w:rFonts w:hint="default" w:eastAsia="宋体"/>
                <w:b w:val="0"/>
                <w:bCs w:val="0"/>
                <w:lang w:val="en-US" w:eastAsia="zh-CN"/>
              </w:rPr>
            </w:pPr>
            <w:r>
              <w:rPr>
                <w:rFonts w:hint="eastAsia"/>
                <w:b w:val="0"/>
                <w:bCs w:val="0"/>
              </w:rPr>
              <w:t>0</w:t>
            </w:r>
            <w:r>
              <w:rPr>
                <w:b w:val="0"/>
                <w:bCs w:val="0"/>
              </w:rPr>
              <w:t>.00</w:t>
            </w:r>
          </w:p>
        </w:tc>
        <w:tc>
          <w:tcPr>
            <w:tcW w:w="1136" w:type="dxa"/>
            <w:vAlign w:val="center"/>
          </w:tcPr>
          <w:p>
            <w:pPr>
              <w:pStyle w:val="37"/>
              <w:ind w:firstLine="0" w:firstLineChars="0"/>
              <w:rPr>
                <w:rFonts w:hint="default"/>
                <w:b w:val="0"/>
                <w:bCs w:val="0"/>
                <w:lang w:val="en-US"/>
              </w:rPr>
            </w:pPr>
            <w:r>
              <w:rPr>
                <w:rFonts w:hint="eastAsia"/>
                <w:b w:val="0"/>
                <w:bCs w:val="0"/>
              </w:rPr>
              <w:t>0</w:t>
            </w:r>
            <w:r>
              <w:rPr>
                <w:b w:val="0"/>
                <w:bCs w:val="0"/>
              </w:rPr>
              <w:t>.00</w:t>
            </w:r>
          </w:p>
        </w:tc>
        <w:tc>
          <w:tcPr>
            <w:tcW w:w="1278" w:type="dxa"/>
            <w:vAlign w:val="center"/>
          </w:tcPr>
          <w:p>
            <w:pPr>
              <w:pStyle w:val="37"/>
              <w:ind w:firstLine="0" w:firstLineChars="0"/>
              <w:rPr>
                <w:b w:val="0"/>
                <w:bCs w:val="0"/>
              </w:rPr>
            </w:pPr>
            <w:r>
              <w:rPr>
                <w:rFonts w:hint="eastAsia"/>
                <w:b w:val="0"/>
                <w:bCs w:val="0"/>
              </w:rPr>
              <w:t>0</w:t>
            </w:r>
            <w:r>
              <w:rPr>
                <w:b w:val="0"/>
                <w:bCs w:val="0"/>
              </w:rPr>
              <w:t>.00</w:t>
            </w:r>
          </w:p>
        </w:tc>
        <w:tc>
          <w:tcPr>
            <w:tcW w:w="1137" w:type="dxa"/>
            <w:vAlign w:val="center"/>
          </w:tcPr>
          <w:p>
            <w:pPr>
              <w:pStyle w:val="37"/>
              <w:ind w:firstLine="0" w:firstLineChars="0"/>
              <w:rPr>
                <w:b w:val="0"/>
                <w:bCs w:val="0"/>
              </w:rPr>
            </w:pPr>
            <w:r>
              <w:rPr>
                <w:rFonts w:hint="eastAsia"/>
                <w:b w:val="0"/>
                <w:bCs w:val="0"/>
              </w:rPr>
              <w:t>0</w:t>
            </w:r>
            <w:r>
              <w:rPr>
                <w:b w:val="0"/>
                <w:bCs w:val="0"/>
              </w:rPr>
              <w:t>.00</w:t>
            </w:r>
          </w:p>
        </w:tc>
        <w:tc>
          <w:tcPr>
            <w:tcW w:w="1278" w:type="dxa"/>
            <w:vAlign w:val="center"/>
          </w:tcPr>
          <w:p>
            <w:pPr>
              <w:pStyle w:val="37"/>
              <w:ind w:firstLine="0" w:firstLineChars="0"/>
              <w:rPr>
                <w:rFonts w:hint="default" w:eastAsia="宋体"/>
                <w:b w:val="0"/>
                <w:bCs w:val="0"/>
                <w:lang w:val="en-US" w:eastAsia="zh-CN"/>
              </w:rPr>
            </w:pPr>
            <w:r>
              <w:rPr>
                <w:rFonts w:hint="eastAsia"/>
                <w:b w:val="0"/>
                <w:bCs w:val="0"/>
              </w:rPr>
              <w:t>0</w:t>
            </w:r>
            <w:r>
              <w:rPr>
                <w:b w:val="0"/>
                <w:bCs w:val="0"/>
              </w:rPr>
              <w:t>.00</w:t>
            </w:r>
          </w:p>
        </w:tc>
        <w:tc>
          <w:tcPr>
            <w:tcW w:w="1004" w:type="dxa"/>
            <w:shd w:val="clear" w:color="auto" w:fill="auto"/>
            <w:vAlign w:val="center"/>
          </w:tcPr>
          <w:p>
            <w:pPr>
              <w:pStyle w:val="37"/>
              <w:rPr>
                <w:b w:val="0"/>
                <w:bCs w:val="0"/>
              </w:rPr>
            </w:pPr>
            <w:r>
              <w:rPr>
                <w:rFonts w:hint="eastAsia"/>
                <w:b w:val="0"/>
                <w:bCs w:val="0"/>
              </w:rPr>
              <w:t>0</w:t>
            </w:r>
            <w:r>
              <w:rPr>
                <w:rFonts w:hint="eastAsia"/>
                <w:b w:val="0"/>
                <w:bCs w:val="0"/>
                <w:lang w:val="en-US" w:eastAsia="zh-CN"/>
              </w:rPr>
              <w:t>.00</w:t>
            </w:r>
            <w:r>
              <w:rPr>
                <w:b w:val="0"/>
                <w:bCs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559" w:type="dxa"/>
            <w:shd w:val="clear" w:color="auto" w:fill="auto"/>
            <w:vAlign w:val="center"/>
          </w:tcPr>
          <w:p>
            <w:pPr>
              <w:pStyle w:val="37"/>
            </w:pPr>
            <w:r>
              <w:rPr>
                <w:rFonts w:hint="eastAsia"/>
              </w:rPr>
              <w:t>设备</w:t>
            </w:r>
          </w:p>
        </w:tc>
        <w:tc>
          <w:tcPr>
            <w:tcW w:w="1136" w:type="dxa"/>
            <w:vAlign w:val="center"/>
          </w:tcPr>
          <w:p>
            <w:pPr>
              <w:pStyle w:val="37"/>
              <w:rPr>
                <w:rFonts w:hint="default" w:eastAsia="宋体"/>
                <w:b w:val="0"/>
                <w:bCs w:val="0"/>
                <w:lang w:val="en-US" w:eastAsia="zh-CN"/>
              </w:rPr>
            </w:pPr>
            <w:r>
              <w:rPr>
                <w:rFonts w:hint="eastAsia"/>
                <w:b w:val="0"/>
                <w:bCs w:val="0"/>
                <w:lang w:val="en-US" w:eastAsia="zh-CN"/>
              </w:rPr>
              <w:t>272.01</w:t>
            </w:r>
          </w:p>
        </w:tc>
        <w:tc>
          <w:tcPr>
            <w:tcW w:w="1136" w:type="dxa"/>
            <w:vAlign w:val="center"/>
          </w:tcPr>
          <w:p>
            <w:pPr>
              <w:pStyle w:val="37"/>
              <w:rPr>
                <w:rFonts w:hint="default" w:eastAsia="宋体"/>
                <w:b w:val="0"/>
                <w:bCs w:val="0"/>
                <w:lang w:val="en-US" w:eastAsia="zh-CN"/>
              </w:rPr>
            </w:pPr>
            <w:r>
              <w:rPr>
                <w:rFonts w:hint="eastAsia"/>
                <w:b w:val="0"/>
                <w:bCs w:val="0"/>
                <w:lang w:val="en-US" w:eastAsia="zh-CN"/>
              </w:rPr>
              <w:t>272.01</w:t>
            </w:r>
          </w:p>
        </w:tc>
        <w:tc>
          <w:tcPr>
            <w:tcW w:w="1278" w:type="dxa"/>
            <w:vAlign w:val="center"/>
          </w:tcPr>
          <w:p>
            <w:pPr>
              <w:pStyle w:val="37"/>
              <w:rPr>
                <w:b w:val="0"/>
                <w:bCs w:val="0"/>
              </w:rPr>
            </w:pPr>
            <w:r>
              <w:rPr>
                <w:rFonts w:hint="eastAsia"/>
                <w:b w:val="0"/>
                <w:bCs w:val="0"/>
              </w:rPr>
              <w:t>0</w:t>
            </w:r>
            <w:r>
              <w:rPr>
                <w:b w:val="0"/>
                <w:bCs w:val="0"/>
              </w:rPr>
              <w:t>.00</w:t>
            </w:r>
          </w:p>
        </w:tc>
        <w:tc>
          <w:tcPr>
            <w:tcW w:w="1137" w:type="dxa"/>
            <w:vAlign w:val="center"/>
          </w:tcPr>
          <w:p>
            <w:pPr>
              <w:pStyle w:val="37"/>
              <w:ind w:firstLine="0" w:firstLineChars="0"/>
              <w:rPr>
                <w:rFonts w:hint="default" w:eastAsia="宋体"/>
                <w:b w:val="0"/>
                <w:bCs w:val="0"/>
                <w:lang w:val="en-US" w:eastAsia="zh-CN"/>
              </w:rPr>
            </w:pPr>
            <w:r>
              <w:rPr>
                <w:rFonts w:hint="eastAsia"/>
                <w:b w:val="0"/>
                <w:bCs w:val="0"/>
              </w:rPr>
              <w:t>0</w:t>
            </w:r>
            <w:r>
              <w:rPr>
                <w:b w:val="0"/>
                <w:bCs w:val="0"/>
              </w:rPr>
              <w:t>.00</w:t>
            </w:r>
          </w:p>
        </w:tc>
        <w:tc>
          <w:tcPr>
            <w:tcW w:w="1278" w:type="dxa"/>
            <w:vAlign w:val="center"/>
          </w:tcPr>
          <w:p>
            <w:pPr>
              <w:pStyle w:val="37"/>
              <w:ind w:firstLine="0" w:firstLineChars="0"/>
              <w:rPr>
                <w:rFonts w:hint="default" w:eastAsia="宋体"/>
                <w:b w:val="0"/>
                <w:bCs w:val="0"/>
                <w:lang w:val="en-US" w:eastAsia="zh-CN"/>
              </w:rPr>
            </w:pPr>
            <w:r>
              <w:rPr>
                <w:rFonts w:hint="eastAsia"/>
                <w:b w:val="0"/>
                <w:bCs w:val="0"/>
              </w:rPr>
              <w:t>0</w:t>
            </w:r>
            <w:r>
              <w:rPr>
                <w:b w:val="0"/>
                <w:bCs w:val="0"/>
              </w:rPr>
              <w:t>.00</w:t>
            </w:r>
          </w:p>
        </w:tc>
        <w:tc>
          <w:tcPr>
            <w:tcW w:w="1004" w:type="dxa"/>
            <w:shd w:val="clear" w:color="auto" w:fill="auto"/>
            <w:vAlign w:val="center"/>
          </w:tcPr>
          <w:p>
            <w:pPr>
              <w:pStyle w:val="37"/>
              <w:rPr>
                <w:b w:val="0"/>
                <w:bCs w:val="0"/>
              </w:rPr>
            </w:pPr>
            <w:r>
              <w:rPr>
                <w:rFonts w:hint="eastAsia"/>
                <w:b w:val="0"/>
                <w:bCs w:val="0"/>
                <w:lang w:val="en-US" w:eastAsia="zh-CN"/>
              </w:rPr>
              <w:t>100.00</w:t>
            </w:r>
            <w:r>
              <w:rPr>
                <w:b w:val="0"/>
                <w:bCs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1559" w:type="dxa"/>
            <w:shd w:val="clear" w:color="auto" w:fill="auto"/>
            <w:vAlign w:val="center"/>
          </w:tcPr>
          <w:p>
            <w:pPr>
              <w:pStyle w:val="37"/>
            </w:pPr>
            <w:r>
              <w:rPr>
                <w:rFonts w:hint="eastAsia"/>
              </w:rPr>
              <w:t>文物和陈列品</w:t>
            </w:r>
          </w:p>
        </w:tc>
        <w:tc>
          <w:tcPr>
            <w:tcW w:w="1136" w:type="dxa"/>
            <w:vAlign w:val="center"/>
          </w:tcPr>
          <w:p>
            <w:pPr>
              <w:pStyle w:val="37"/>
              <w:rPr>
                <w:b w:val="0"/>
                <w:bCs w:val="0"/>
              </w:rPr>
            </w:pPr>
            <w:r>
              <w:rPr>
                <w:rFonts w:hint="eastAsia"/>
                <w:b w:val="0"/>
                <w:bCs w:val="0"/>
              </w:rPr>
              <w:t>0</w:t>
            </w:r>
            <w:r>
              <w:rPr>
                <w:b w:val="0"/>
                <w:bCs w:val="0"/>
              </w:rPr>
              <w:t>.00</w:t>
            </w:r>
          </w:p>
        </w:tc>
        <w:tc>
          <w:tcPr>
            <w:tcW w:w="1136" w:type="dxa"/>
            <w:vAlign w:val="center"/>
          </w:tcPr>
          <w:p>
            <w:pPr>
              <w:pStyle w:val="37"/>
              <w:rPr>
                <w:b w:val="0"/>
                <w:bCs w:val="0"/>
              </w:rPr>
            </w:pPr>
            <w:r>
              <w:rPr>
                <w:rFonts w:hint="eastAsia"/>
                <w:b w:val="0"/>
                <w:bCs w:val="0"/>
              </w:rPr>
              <w:t>0</w:t>
            </w:r>
            <w:r>
              <w:rPr>
                <w:b w:val="0"/>
                <w:bCs w:val="0"/>
              </w:rPr>
              <w:t>.00</w:t>
            </w:r>
          </w:p>
        </w:tc>
        <w:tc>
          <w:tcPr>
            <w:tcW w:w="1278" w:type="dxa"/>
            <w:vAlign w:val="center"/>
          </w:tcPr>
          <w:p>
            <w:pPr>
              <w:pStyle w:val="37"/>
              <w:rPr>
                <w:b w:val="0"/>
                <w:bCs w:val="0"/>
              </w:rPr>
            </w:pPr>
            <w:r>
              <w:rPr>
                <w:rFonts w:hint="eastAsia"/>
                <w:b w:val="0"/>
                <w:bCs w:val="0"/>
              </w:rPr>
              <w:t>0</w:t>
            </w:r>
            <w:r>
              <w:rPr>
                <w:b w:val="0"/>
                <w:bCs w:val="0"/>
              </w:rPr>
              <w:t>.00</w:t>
            </w:r>
          </w:p>
        </w:tc>
        <w:tc>
          <w:tcPr>
            <w:tcW w:w="1137" w:type="dxa"/>
            <w:vAlign w:val="center"/>
          </w:tcPr>
          <w:p>
            <w:pPr>
              <w:pStyle w:val="37"/>
              <w:ind w:firstLine="0" w:firstLineChars="0"/>
              <w:rPr>
                <w:b w:val="0"/>
                <w:bCs w:val="0"/>
              </w:rPr>
            </w:pPr>
            <w:r>
              <w:rPr>
                <w:rFonts w:hint="eastAsia"/>
                <w:b w:val="0"/>
                <w:bCs w:val="0"/>
              </w:rPr>
              <w:t>0</w:t>
            </w:r>
            <w:r>
              <w:rPr>
                <w:b w:val="0"/>
                <w:bCs w:val="0"/>
              </w:rPr>
              <w:t>.00</w:t>
            </w:r>
          </w:p>
        </w:tc>
        <w:tc>
          <w:tcPr>
            <w:tcW w:w="1278" w:type="dxa"/>
            <w:vAlign w:val="center"/>
          </w:tcPr>
          <w:p>
            <w:pPr>
              <w:pStyle w:val="37"/>
              <w:ind w:firstLine="0" w:firstLineChars="0"/>
              <w:rPr>
                <w:b w:val="0"/>
                <w:bCs w:val="0"/>
              </w:rPr>
            </w:pPr>
            <w:r>
              <w:rPr>
                <w:rFonts w:hint="eastAsia"/>
                <w:b w:val="0"/>
                <w:bCs w:val="0"/>
              </w:rPr>
              <w:t>0</w:t>
            </w:r>
            <w:r>
              <w:rPr>
                <w:b w:val="0"/>
                <w:bCs w:val="0"/>
              </w:rPr>
              <w:t>.00</w:t>
            </w:r>
          </w:p>
        </w:tc>
        <w:tc>
          <w:tcPr>
            <w:tcW w:w="1004" w:type="dxa"/>
            <w:shd w:val="clear" w:color="auto" w:fill="auto"/>
            <w:vAlign w:val="center"/>
          </w:tcPr>
          <w:p>
            <w:pPr>
              <w:pStyle w:val="37"/>
              <w:rPr>
                <w:b w:val="0"/>
                <w:bCs w:val="0"/>
              </w:rPr>
            </w:pPr>
            <w:r>
              <w:rPr>
                <w:rFonts w:hint="eastAsia"/>
                <w:b w:val="0"/>
                <w:bCs w:val="0"/>
              </w:rPr>
              <w:t>0</w:t>
            </w:r>
            <w:r>
              <w:rPr>
                <w:rFonts w:hint="eastAsia"/>
                <w:b w:val="0"/>
                <w:bCs w:val="0"/>
                <w:lang w:val="en-US" w:eastAsia="zh-CN"/>
              </w:rPr>
              <w:t>.00</w:t>
            </w:r>
            <w:r>
              <w:rPr>
                <w:b w:val="0"/>
                <w:bCs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559" w:type="dxa"/>
            <w:shd w:val="clear" w:color="auto" w:fill="auto"/>
            <w:vAlign w:val="center"/>
          </w:tcPr>
          <w:p>
            <w:pPr>
              <w:pStyle w:val="37"/>
            </w:pPr>
            <w:r>
              <w:rPr>
                <w:rFonts w:hint="eastAsia"/>
              </w:rPr>
              <w:t>图书档案</w:t>
            </w:r>
          </w:p>
        </w:tc>
        <w:tc>
          <w:tcPr>
            <w:tcW w:w="1136" w:type="dxa"/>
            <w:vAlign w:val="center"/>
          </w:tcPr>
          <w:p>
            <w:pPr>
              <w:pStyle w:val="37"/>
              <w:rPr>
                <w:rFonts w:hint="default" w:eastAsia="宋体"/>
                <w:b w:val="0"/>
                <w:bCs w:val="0"/>
                <w:lang w:val="en-US" w:eastAsia="zh-CN"/>
              </w:rPr>
            </w:pPr>
            <w:r>
              <w:rPr>
                <w:rFonts w:hint="eastAsia"/>
                <w:b w:val="0"/>
                <w:bCs w:val="0"/>
                <w:lang w:val="en-US" w:eastAsia="zh-CN"/>
              </w:rPr>
              <w:t>7.03</w:t>
            </w:r>
          </w:p>
        </w:tc>
        <w:tc>
          <w:tcPr>
            <w:tcW w:w="1136" w:type="dxa"/>
            <w:vAlign w:val="center"/>
          </w:tcPr>
          <w:p>
            <w:pPr>
              <w:pStyle w:val="37"/>
              <w:rPr>
                <w:b w:val="0"/>
                <w:bCs w:val="0"/>
              </w:rPr>
            </w:pPr>
            <w:r>
              <w:rPr>
                <w:rFonts w:hint="eastAsia"/>
                <w:b w:val="0"/>
                <w:bCs w:val="0"/>
                <w:lang w:val="en-US" w:eastAsia="zh-CN"/>
              </w:rPr>
              <w:t>7.03</w:t>
            </w:r>
          </w:p>
        </w:tc>
        <w:tc>
          <w:tcPr>
            <w:tcW w:w="1278" w:type="dxa"/>
            <w:vAlign w:val="center"/>
          </w:tcPr>
          <w:p>
            <w:pPr>
              <w:pStyle w:val="37"/>
              <w:rPr>
                <w:b w:val="0"/>
                <w:bCs w:val="0"/>
              </w:rPr>
            </w:pPr>
            <w:r>
              <w:rPr>
                <w:rFonts w:hint="eastAsia"/>
                <w:b w:val="0"/>
                <w:bCs w:val="0"/>
              </w:rPr>
              <w:t>0</w:t>
            </w:r>
            <w:r>
              <w:rPr>
                <w:b w:val="0"/>
                <w:bCs w:val="0"/>
              </w:rPr>
              <w:t>.00</w:t>
            </w:r>
          </w:p>
        </w:tc>
        <w:tc>
          <w:tcPr>
            <w:tcW w:w="1137" w:type="dxa"/>
            <w:vAlign w:val="center"/>
          </w:tcPr>
          <w:p>
            <w:pPr>
              <w:pStyle w:val="37"/>
              <w:ind w:firstLine="0" w:firstLineChars="0"/>
              <w:rPr>
                <w:b w:val="0"/>
                <w:bCs w:val="0"/>
              </w:rPr>
            </w:pPr>
            <w:r>
              <w:rPr>
                <w:rFonts w:hint="eastAsia"/>
                <w:b w:val="0"/>
                <w:bCs w:val="0"/>
              </w:rPr>
              <w:t>0</w:t>
            </w:r>
            <w:r>
              <w:rPr>
                <w:b w:val="0"/>
                <w:bCs w:val="0"/>
              </w:rPr>
              <w:t>.00</w:t>
            </w:r>
          </w:p>
        </w:tc>
        <w:tc>
          <w:tcPr>
            <w:tcW w:w="1278" w:type="dxa"/>
            <w:vAlign w:val="center"/>
          </w:tcPr>
          <w:p>
            <w:pPr>
              <w:pStyle w:val="37"/>
              <w:ind w:firstLine="0" w:firstLineChars="0"/>
              <w:rPr>
                <w:rFonts w:hint="default" w:eastAsia="宋体"/>
                <w:b w:val="0"/>
                <w:bCs w:val="0"/>
                <w:lang w:val="en-US" w:eastAsia="zh-CN"/>
              </w:rPr>
            </w:pPr>
            <w:r>
              <w:rPr>
                <w:rFonts w:hint="eastAsia"/>
                <w:b w:val="0"/>
                <w:bCs w:val="0"/>
              </w:rPr>
              <w:t>0</w:t>
            </w:r>
            <w:r>
              <w:rPr>
                <w:b w:val="0"/>
                <w:bCs w:val="0"/>
              </w:rPr>
              <w:t>.00</w:t>
            </w:r>
          </w:p>
        </w:tc>
        <w:tc>
          <w:tcPr>
            <w:tcW w:w="1004" w:type="dxa"/>
            <w:shd w:val="clear" w:color="auto" w:fill="auto"/>
            <w:vAlign w:val="center"/>
          </w:tcPr>
          <w:p>
            <w:pPr>
              <w:pStyle w:val="37"/>
              <w:rPr>
                <w:b w:val="0"/>
                <w:bCs w:val="0"/>
              </w:rPr>
            </w:pPr>
            <w:r>
              <w:rPr>
                <w:rFonts w:hint="eastAsia"/>
                <w:b w:val="0"/>
                <w:bCs w:val="0"/>
                <w:lang w:val="en-US" w:eastAsia="zh-CN"/>
              </w:rPr>
              <w:t>100.00</w:t>
            </w:r>
            <w:r>
              <w:rPr>
                <w:b w:val="0"/>
                <w:bCs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59" w:type="dxa"/>
            <w:shd w:val="clear" w:color="auto" w:fill="auto"/>
            <w:vAlign w:val="center"/>
          </w:tcPr>
          <w:p>
            <w:pPr>
              <w:pStyle w:val="37"/>
            </w:pPr>
            <w:r>
              <w:rPr>
                <w:rFonts w:hint="eastAsia"/>
              </w:rPr>
              <w:t>家具和用具</w:t>
            </w:r>
          </w:p>
        </w:tc>
        <w:tc>
          <w:tcPr>
            <w:tcW w:w="1136" w:type="dxa"/>
            <w:vAlign w:val="center"/>
          </w:tcPr>
          <w:p>
            <w:pPr>
              <w:pStyle w:val="37"/>
              <w:rPr>
                <w:rFonts w:hint="default" w:eastAsia="宋体"/>
                <w:b w:val="0"/>
                <w:bCs w:val="0"/>
                <w:lang w:val="en-US" w:eastAsia="zh-CN"/>
              </w:rPr>
            </w:pPr>
            <w:r>
              <w:rPr>
                <w:rFonts w:hint="eastAsia"/>
                <w:b w:val="0"/>
                <w:bCs w:val="0"/>
                <w:lang w:val="en-US" w:eastAsia="zh-CN"/>
              </w:rPr>
              <w:t>78.96</w:t>
            </w:r>
          </w:p>
        </w:tc>
        <w:tc>
          <w:tcPr>
            <w:tcW w:w="1136" w:type="dxa"/>
            <w:vAlign w:val="center"/>
          </w:tcPr>
          <w:p>
            <w:pPr>
              <w:pStyle w:val="37"/>
              <w:rPr>
                <w:rFonts w:hint="default" w:eastAsia="宋体"/>
                <w:b w:val="0"/>
                <w:bCs w:val="0"/>
                <w:lang w:val="en-US" w:eastAsia="zh-CN"/>
              </w:rPr>
            </w:pPr>
            <w:r>
              <w:rPr>
                <w:rFonts w:hint="eastAsia"/>
                <w:b w:val="0"/>
                <w:bCs w:val="0"/>
                <w:lang w:val="en-US" w:eastAsia="zh-CN"/>
              </w:rPr>
              <w:t>78.96</w:t>
            </w:r>
          </w:p>
        </w:tc>
        <w:tc>
          <w:tcPr>
            <w:tcW w:w="1278" w:type="dxa"/>
            <w:vAlign w:val="center"/>
          </w:tcPr>
          <w:p>
            <w:pPr>
              <w:pStyle w:val="37"/>
              <w:rPr>
                <w:b w:val="0"/>
                <w:bCs w:val="0"/>
              </w:rPr>
            </w:pPr>
            <w:r>
              <w:rPr>
                <w:rFonts w:hint="eastAsia"/>
                <w:b w:val="0"/>
                <w:bCs w:val="0"/>
              </w:rPr>
              <w:t>0</w:t>
            </w:r>
            <w:r>
              <w:rPr>
                <w:b w:val="0"/>
                <w:bCs w:val="0"/>
              </w:rPr>
              <w:t>.00</w:t>
            </w:r>
          </w:p>
        </w:tc>
        <w:tc>
          <w:tcPr>
            <w:tcW w:w="1137" w:type="dxa"/>
            <w:vAlign w:val="center"/>
          </w:tcPr>
          <w:p>
            <w:pPr>
              <w:pStyle w:val="37"/>
              <w:ind w:firstLine="0" w:firstLineChars="0"/>
              <w:rPr>
                <w:b w:val="0"/>
                <w:bCs w:val="0"/>
              </w:rPr>
            </w:pPr>
            <w:r>
              <w:rPr>
                <w:rFonts w:hint="eastAsia"/>
                <w:b w:val="0"/>
                <w:bCs w:val="0"/>
              </w:rPr>
              <w:t>0</w:t>
            </w:r>
            <w:r>
              <w:rPr>
                <w:b w:val="0"/>
                <w:bCs w:val="0"/>
              </w:rPr>
              <w:t>.00</w:t>
            </w:r>
          </w:p>
        </w:tc>
        <w:tc>
          <w:tcPr>
            <w:tcW w:w="1278" w:type="dxa"/>
            <w:vAlign w:val="center"/>
          </w:tcPr>
          <w:p>
            <w:pPr>
              <w:pStyle w:val="37"/>
              <w:ind w:firstLine="0" w:firstLineChars="0"/>
              <w:rPr>
                <w:rFonts w:hint="default" w:eastAsia="宋体"/>
                <w:b w:val="0"/>
                <w:bCs w:val="0"/>
                <w:lang w:val="en-US" w:eastAsia="zh-CN"/>
              </w:rPr>
            </w:pPr>
            <w:r>
              <w:rPr>
                <w:rFonts w:hint="eastAsia"/>
                <w:b w:val="0"/>
                <w:bCs w:val="0"/>
              </w:rPr>
              <w:t>0</w:t>
            </w:r>
            <w:r>
              <w:rPr>
                <w:b w:val="0"/>
                <w:bCs w:val="0"/>
              </w:rPr>
              <w:t>.00</w:t>
            </w:r>
          </w:p>
        </w:tc>
        <w:tc>
          <w:tcPr>
            <w:tcW w:w="1004" w:type="dxa"/>
            <w:shd w:val="clear" w:color="auto" w:fill="auto"/>
            <w:vAlign w:val="center"/>
          </w:tcPr>
          <w:p>
            <w:pPr>
              <w:pStyle w:val="37"/>
              <w:ind w:firstLine="0" w:firstLineChars="0"/>
              <w:rPr>
                <w:b w:val="0"/>
                <w:bCs w:val="0"/>
              </w:rPr>
            </w:pPr>
            <w:r>
              <w:rPr>
                <w:rFonts w:hint="eastAsia"/>
                <w:b w:val="0"/>
                <w:bCs w:val="0"/>
                <w:lang w:val="en-US" w:eastAsia="zh-CN"/>
              </w:rPr>
              <w:t>100.00</w:t>
            </w:r>
            <w:r>
              <w:rPr>
                <w:b w:val="0"/>
                <w:bCs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59" w:type="dxa"/>
            <w:shd w:val="clear" w:color="auto" w:fill="auto"/>
            <w:vAlign w:val="center"/>
          </w:tcPr>
          <w:p>
            <w:pPr>
              <w:pStyle w:val="37"/>
            </w:pPr>
            <w:r>
              <w:rPr>
                <w:rFonts w:hint="eastAsia"/>
              </w:rPr>
              <w:t>特种动植物</w:t>
            </w:r>
          </w:p>
        </w:tc>
        <w:tc>
          <w:tcPr>
            <w:tcW w:w="1136" w:type="dxa"/>
            <w:vAlign w:val="center"/>
          </w:tcPr>
          <w:p>
            <w:pPr>
              <w:pStyle w:val="37"/>
              <w:rPr>
                <w:rFonts w:hint="default" w:eastAsia="宋体"/>
                <w:b w:val="0"/>
                <w:bCs w:val="0"/>
                <w:lang w:val="en-US" w:eastAsia="zh-CN"/>
              </w:rPr>
            </w:pPr>
            <w:r>
              <w:rPr>
                <w:rFonts w:hint="eastAsia"/>
                <w:b w:val="0"/>
                <w:bCs w:val="0"/>
                <w:lang w:val="en-US" w:eastAsia="zh-CN"/>
              </w:rPr>
              <w:t>0.00</w:t>
            </w:r>
          </w:p>
        </w:tc>
        <w:tc>
          <w:tcPr>
            <w:tcW w:w="1136" w:type="dxa"/>
            <w:vAlign w:val="center"/>
          </w:tcPr>
          <w:p>
            <w:pPr>
              <w:pStyle w:val="37"/>
              <w:rPr>
                <w:rFonts w:hint="default" w:eastAsia="宋体"/>
                <w:b w:val="0"/>
                <w:bCs w:val="0"/>
                <w:lang w:val="en-US" w:eastAsia="zh-CN"/>
              </w:rPr>
            </w:pPr>
            <w:r>
              <w:rPr>
                <w:rFonts w:hint="eastAsia"/>
                <w:b w:val="0"/>
                <w:bCs w:val="0"/>
                <w:lang w:val="en-US" w:eastAsia="zh-CN"/>
              </w:rPr>
              <w:t>0.00</w:t>
            </w:r>
          </w:p>
        </w:tc>
        <w:tc>
          <w:tcPr>
            <w:tcW w:w="1278" w:type="dxa"/>
            <w:vAlign w:val="center"/>
          </w:tcPr>
          <w:p>
            <w:pPr>
              <w:pStyle w:val="37"/>
              <w:rPr>
                <w:b w:val="0"/>
                <w:bCs w:val="0"/>
              </w:rPr>
            </w:pPr>
            <w:r>
              <w:rPr>
                <w:rFonts w:hint="eastAsia"/>
                <w:b w:val="0"/>
                <w:bCs w:val="0"/>
              </w:rPr>
              <w:t>0</w:t>
            </w:r>
            <w:r>
              <w:rPr>
                <w:b w:val="0"/>
                <w:bCs w:val="0"/>
              </w:rPr>
              <w:t>.00</w:t>
            </w:r>
          </w:p>
        </w:tc>
        <w:tc>
          <w:tcPr>
            <w:tcW w:w="1137" w:type="dxa"/>
            <w:vAlign w:val="center"/>
          </w:tcPr>
          <w:p>
            <w:pPr>
              <w:pStyle w:val="37"/>
              <w:ind w:firstLine="0" w:firstLineChars="0"/>
              <w:rPr>
                <w:b w:val="0"/>
                <w:bCs w:val="0"/>
              </w:rPr>
            </w:pPr>
            <w:r>
              <w:rPr>
                <w:rFonts w:hint="eastAsia"/>
                <w:b w:val="0"/>
                <w:bCs w:val="0"/>
              </w:rPr>
              <w:t>0</w:t>
            </w:r>
            <w:r>
              <w:rPr>
                <w:b w:val="0"/>
                <w:bCs w:val="0"/>
              </w:rPr>
              <w:t>.00</w:t>
            </w:r>
          </w:p>
        </w:tc>
        <w:tc>
          <w:tcPr>
            <w:tcW w:w="1278" w:type="dxa"/>
            <w:vAlign w:val="center"/>
          </w:tcPr>
          <w:p>
            <w:pPr>
              <w:pStyle w:val="37"/>
              <w:ind w:firstLine="0" w:firstLineChars="0"/>
              <w:rPr>
                <w:b w:val="0"/>
                <w:bCs w:val="0"/>
              </w:rPr>
            </w:pPr>
            <w:r>
              <w:rPr>
                <w:rFonts w:hint="eastAsia"/>
                <w:b w:val="0"/>
                <w:bCs w:val="0"/>
              </w:rPr>
              <w:t>0</w:t>
            </w:r>
            <w:r>
              <w:rPr>
                <w:b w:val="0"/>
                <w:bCs w:val="0"/>
              </w:rPr>
              <w:t>.00</w:t>
            </w:r>
          </w:p>
        </w:tc>
        <w:tc>
          <w:tcPr>
            <w:tcW w:w="1004" w:type="dxa"/>
            <w:shd w:val="clear" w:color="auto" w:fill="auto"/>
            <w:vAlign w:val="center"/>
          </w:tcPr>
          <w:p>
            <w:pPr>
              <w:pStyle w:val="37"/>
              <w:rPr>
                <w:b w:val="0"/>
                <w:bCs w:val="0"/>
              </w:rPr>
            </w:pPr>
            <w:r>
              <w:rPr>
                <w:rFonts w:hint="eastAsia"/>
                <w:b w:val="0"/>
                <w:bCs w:val="0"/>
                <w:lang w:val="en-US" w:eastAsia="zh-CN"/>
              </w:rPr>
              <w:t>0.00</w:t>
            </w:r>
            <w:r>
              <w:rPr>
                <w:b w:val="0"/>
                <w:bCs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1559" w:type="dxa"/>
            <w:shd w:val="clear" w:color="auto" w:fill="auto"/>
            <w:vAlign w:val="center"/>
          </w:tcPr>
          <w:p>
            <w:pPr>
              <w:pStyle w:val="37"/>
              <w:rPr>
                <w:b/>
                <w:bCs/>
              </w:rPr>
            </w:pPr>
            <w:r>
              <w:rPr>
                <w:rFonts w:hint="eastAsia"/>
                <w:b/>
                <w:bCs/>
              </w:rPr>
              <w:t>合计</w:t>
            </w:r>
          </w:p>
        </w:tc>
        <w:tc>
          <w:tcPr>
            <w:tcW w:w="1136" w:type="dxa"/>
            <w:vAlign w:val="center"/>
          </w:tcPr>
          <w:p>
            <w:pPr>
              <w:pStyle w:val="37"/>
              <w:ind w:firstLine="0" w:firstLineChars="0"/>
              <w:rPr>
                <w:rFonts w:hint="default" w:eastAsia="宋体"/>
                <w:b/>
                <w:bCs/>
                <w:lang w:val="en-US" w:eastAsia="zh-CN"/>
              </w:rPr>
            </w:pPr>
            <w:r>
              <w:rPr>
                <w:rFonts w:hint="eastAsia"/>
                <w:b/>
                <w:bCs/>
                <w:lang w:val="en-US" w:eastAsia="zh-CN"/>
              </w:rPr>
              <w:t>358</w:t>
            </w:r>
            <w:r>
              <w:rPr>
                <w:b/>
                <w:bCs/>
              </w:rPr>
              <w:t>.00</w:t>
            </w:r>
          </w:p>
        </w:tc>
        <w:tc>
          <w:tcPr>
            <w:tcW w:w="1136" w:type="dxa"/>
            <w:vAlign w:val="center"/>
          </w:tcPr>
          <w:p>
            <w:pPr>
              <w:pStyle w:val="37"/>
              <w:ind w:firstLine="0" w:firstLineChars="0"/>
              <w:rPr>
                <w:rFonts w:hint="default" w:eastAsia="宋体"/>
                <w:b/>
                <w:bCs/>
                <w:lang w:val="en-US" w:eastAsia="zh-CN"/>
              </w:rPr>
            </w:pPr>
            <w:r>
              <w:rPr>
                <w:rFonts w:hint="eastAsia"/>
                <w:b/>
                <w:bCs/>
                <w:lang w:val="en-US" w:eastAsia="zh-CN"/>
              </w:rPr>
              <w:t>358</w:t>
            </w:r>
            <w:r>
              <w:rPr>
                <w:b/>
                <w:bCs/>
              </w:rPr>
              <w:t>.00</w:t>
            </w:r>
          </w:p>
        </w:tc>
        <w:tc>
          <w:tcPr>
            <w:tcW w:w="1278" w:type="dxa"/>
            <w:vAlign w:val="center"/>
          </w:tcPr>
          <w:p>
            <w:pPr>
              <w:pStyle w:val="37"/>
              <w:ind w:firstLine="0" w:firstLineChars="0"/>
              <w:rPr>
                <w:b/>
                <w:bCs/>
              </w:rPr>
            </w:pPr>
            <w:r>
              <w:rPr>
                <w:rFonts w:hint="eastAsia"/>
                <w:b/>
                <w:bCs/>
              </w:rPr>
              <w:t>0</w:t>
            </w:r>
            <w:r>
              <w:rPr>
                <w:b/>
                <w:bCs/>
              </w:rPr>
              <w:t>.00</w:t>
            </w:r>
          </w:p>
        </w:tc>
        <w:tc>
          <w:tcPr>
            <w:tcW w:w="1137" w:type="dxa"/>
            <w:vAlign w:val="center"/>
          </w:tcPr>
          <w:p>
            <w:pPr>
              <w:pStyle w:val="37"/>
              <w:ind w:firstLine="0" w:firstLineChars="0"/>
              <w:rPr>
                <w:rFonts w:hint="default" w:eastAsia="宋体"/>
                <w:b/>
                <w:bCs/>
                <w:lang w:val="en-US" w:eastAsia="zh-CN"/>
              </w:rPr>
            </w:pPr>
            <w:r>
              <w:rPr>
                <w:rFonts w:hint="eastAsia"/>
                <w:b/>
                <w:bCs/>
              </w:rPr>
              <w:t>0</w:t>
            </w:r>
            <w:r>
              <w:rPr>
                <w:b/>
                <w:bCs/>
              </w:rPr>
              <w:t>.00</w:t>
            </w:r>
          </w:p>
        </w:tc>
        <w:tc>
          <w:tcPr>
            <w:tcW w:w="1278" w:type="dxa"/>
            <w:vAlign w:val="center"/>
          </w:tcPr>
          <w:p>
            <w:pPr>
              <w:pStyle w:val="37"/>
              <w:ind w:firstLine="0" w:firstLineChars="0"/>
              <w:rPr>
                <w:rFonts w:hint="default" w:eastAsia="宋体"/>
                <w:b/>
                <w:bCs/>
                <w:lang w:val="en-US" w:eastAsia="zh-CN"/>
              </w:rPr>
            </w:pPr>
            <w:r>
              <w:rPr>
                <w:rFonts w:hint="eastAsia"/>
                <w:b/>
                <w:bCs/>
              </w:rPr>
              <w:t>0</w:t>
            </w:r>
            <w:r>
              <w:rPr>
                <w:b/>
                <w:bCs/>
              </w:rPr>
              <w:t>.00</w:t>
            </w:r>
          </w:p>
        </w:tc>
        <w:tc>
          <w:tcPr>
            <w:tcW w:w="1004" w:type="dxa"/>
            <w:shd w:val="clear" w:color="auto" w:fill="auto"/>
            <w:vAlign w:val="center"/>
          </w:tcPr>
          <w:p>
            <w:pPr>
              <w:pStyle w:val="37"/>
              <w:ind w:firstLine="0" w:firstLineChars="0"/>
              <w:rPr>
                <w:b/>
                <w:bCs/>
              </w:rPr>
            </w:pPr>
            <w:r>
              <w:rPr>
                <w:rFonts w:hint="eastAsia"/>
                <w:b/>
                <w:bCs/>
                <w:lang w:val="en-US" w:eastAsia="zh-CN"/>
              </w:rPr>
              <w:t>100.00</w:t>
            </w:r>
            <w:r>
              <w:rPr>
                <w:b/>
                <w:bCs/>
              </w:rPr>
              <w:t>%</w:t>
            </w:r>
          </w:p>
        </w:tc>
      </w:tr>
    </w:tbl>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eastAsia="仿宋_GB2312"/>
          <w:highlight w:val="yellow"/>
          <w:lang w:eastAsia="zh-CN"/>
        </w:rPr>
      </w:pPr>
      <w:r>
        <w:rPr>
          <w:rFonts w:hint="eastAsia"/>
          <w:highlight w:val="none"/>
          <w:lang w:val="en-US" w:eastAsia="zh-CN"/>
        </w:rPr>
        <w:t>③资产盘活工作成效：</w:t>
      </w:r>
      <w:r>
        <w:rPr>
          <w:rFonts w:hint="eastAsia"/>
          <w:highlight w:val="none"/>
        </w:rPr>
        <w:t>分值</w:t>
      </w:r>
      <w:r>
        <w:rPr>
          <w:highlight w:val="none"/>
        </w:rPr>
        <w:t>3</w:t>
      </w:r>
      <w:r>
        <w:rPr>
          <w:rFonts w:hint="eastAsia"/>
          <w:highlight w:val="none"/>
        </w:rPr>
        <w:t>分，得分</w:t>
      </w:r>
      <w:r>
        <w:rPr>
          <w:rFonts w:hint="eastAsia"/>
          <w:highlight w:val="none"/>
          <w:lang w:val="en-US" w:eastAsia="zh-CN"/>
        </w:rPr>
        <w:t>3</w:t>
      </w:r>
      <w:r>
        <w:rPr>
          <w:rFonts w:hint="eastAsia"/>
          <w:highlight w:val="none"/>
        </w:rPr>
        <w:t>分，得分率</w:t>
      </w:r>
      <w:r>
        <w:rPr>
          <w:rFonts w:hint="eastAsia"/>
          <w:highlight w:val="none"/>
          <w:lang w:val="en-US" w:eastAsia="zh-CN"/>
        </w:rPr>
        <w:t>100</w:t>
      </w:r>
      <w:r>
        <w:rPr>
          <w:rFonts w:hint="eastAsia"/>
          <w:highlight w:val="none"/>
        </w:rPr>
        <w:t>%。根据部门所提供本部门2</w:t>
      </w:r>
      <w:r>
        <w:rPr>
          <w:highlight w:val="none"/>
        </w:rPr>
        <w:t>02</w:t>
      </w:r>
      <w:r>
        <w:rPr>
          <w:rFonts w:hint="eastAsia"/>
          <w:highlight w:val="none"/>
          <w:lang w:val="en-US" w:eastAsia="zh-CN"/>
        </w:rPr>
        <w:t>3</w:t>
      </w:r>
      <w:r>
        <w:rPr>
          <w:rFonts w:hint="eastAsia"/>
          <w:highlight w:val="none"/>
        </w:rPr>
        <w:t>年度</w:t>
      </w:r>
      <w:r>
        <w:rPr>
          <w:rFonts w:hint="eastAsia"/>
          <w:highlight w:val="none"/>
          <w:lang w:val="en-US" w:eastAsia="zh-CN"/>
        </w:rPr>
        <w:t>资产盘活目标、</w:t>
      </w:r>
      <w:r>
        <w:rPr>
          <w:highlight w:val="none"/>
        </w:rPr>
        <w:t>行政事业性国有资产</w:t>
      </w:r>
      <w:r>
        <w:rPr>
          <w:rFonts w:hint="eastAsia"/>
          <w:highlight w:val="none"/>
        </w:rPr>
        <w:t>报表进行评分，主要针对部门</w:t>
      </w:r>
      <w:r>
        <w:rPr>
          <w:rFonts w:hint="eastAsia"/>
          <w:highlight w:val="none"/>
          <w:lang w:val="en-US" w:eastAsia="zh-CN"/>
        </w:rPr>
        <w:t>是否</w:t>
      </w:r>
      <w:r>
        <w:rPr>
          <w:rFonts w:hint="eastAsia"/>
          <w:highlight w:val="none"/>
        </w:rPr>
        <w:t>设置资产盘活目标并如期实现</w:t>
      </w:r>
      <w:r>
        <w:rPr>
          <w:rFonts w:hint="eastAsia"/>
          <w:highlight w:val="none"/>
          <w:lang w:eastAsia="zh-CN"/>
        </w:rPr>
        <w:t>，</w:t>
      </w:r>
      <w:r>
        <w:rPr>
          <w:rFonts w:hint="eastAsia"/>
          <w:highlight w:val="none"/>
          <w:lang w:val="en-US" w:eastAsia="zh-CN"/>
        </w:rPr>
        <w:t>是否按要求处理资产处置收入等方面</w:t>
      </w:r>
      <w:r>
        <w:rPr>
          <w:rFonts w:hint="eastAsia"/>
          <w:highlight w:val="none"/>
        </w:rPr>
        <w:t>进行评价</w:t>
      </w:r>
      <w:r>
        <w:rPr>
          <w:rFonts w:hint="eastAsia"/>
          <w:highlight w:val="none"/>
          <w:lang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default" w:eastAsia="仿宋_GB2312"/>
          <w:lang w:val="en-US" w:eastAsia="zh-CN"/>
        </w:rPr>
      </w:pPr>
      <w:r>
        <w:rPr>
          <w:rFonts w:hint="eastAsia"/>
          <w:lang w:val="en-US" w:eastAsia="zh-CN"/>
        </w:rPr>
        <w:t>根据和平区委党校2023年</w:t>
      </w:r>
      <w:r>
        <w:rPr>
          <w:highlight w:val="none"/>
        </w:rPr>
        <w:t>行政事业性国有资产</w:t>
      </w:r>
      <w:r>
        <w:rPr>
          <w:rFonts w:hint="eastAsia"/>
          <w:highlight w:val="none"/>
        </w:rPr>
        <w:t>报表</w:t>
      </w:r>
      <w:r>
        <w:rPr>
          <w:rFonts w:hint="eastAsia"/>
          <w:highlight w:val="none"/>
          <w:lang w:eastAsia="zh-CN"/>
        </w:rPr>
        <w:t>、</w:t>
      </w:r>
      <w:r>
        <w:rPr>
          <w:rFonts w:hint="eastAsia"/>
          <w:highlight w:val="none"/>
          <w:lang w:val="en-US" w:eastAsia="zh-CN"/>
        </w:rPr>
        <w:t>资产明细账显示，部门2023年固定资产利用率为100%，资产利用情况良好，无须设置资产盘活目标；2023年报废处置23.29万元的设备，未产生资产处置收入，无须进行相关处理。</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3</w:t>
      </w:r>
      <w:r>
        <w:t>.</w:t>
      </w:r>
      <w:r>
        <w:rPr>
          <w:rFonts w:hint="eastAsia"/>
        </w:rPr>
        <w:t>履职产出</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pPr>
      <w:r>
        <w:rPr>
          <w:rFonts w:hint="eastAsia"/>
        </w:rPr>
        <w:t>（</w:t>
      </w:r>
      <w:r>
        <w:t>1</w:t>
      </w:r>
      <w:r>
        <w:rPr>
          <w:rFonts w:hint="eastAsia"/>
        </w:rPr>
        <w:t>）产出数量</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w:t>
      </w:r>
      <w:r>
        <w:rPr>
          <w:rFonts w:hint="eastAsia"/>
          <w:lang w:val="en-US" w:eastAsia="zh-CN"/>
        </w:rPr>
        <w:t>教育</w:t>
      </w:r>
      <w:r>
        <w:rPr>
          <w:rFonts w:hint="eastAsia"/>
        </w:rPr>
        <w:t>培训工作完成情</w:t>
      </w:r>
      <w:r>
        <w:rPr>
          <w:rFonts w:hint="eastAsia"/>
          <w:color w:val="auto"/>
        </w:rPr>
        <w:t>况</w:t>
      </w:r>
      <w:r>
        <w:rPr>
          <w:rFonts w:hint="eastAsia"/>
          <w:color w:val="auto"/>
          <w:highlight w:val="none"/>
        </w:rPr>
        <w:t>：分值4分，得分</w:t>
      </w:r>
      <w:r>
        <w:rPr>
          <w:rFonts w:hint="eastAsia"/>
          <w:color w:val="auto"/>
          <w:highlight w:val="none"/>
          <w:lang w:val="en-US" w:eastAsia="zh-CN"/>
        </w:rPr>
        <w:t>4</w:t>
      </w:r>
      <w:r>
        <w:rPr>
          <w:rFonts w:hint="eastAsia"/>
          <w:color w:val="auto"/>
          <w:highlight w:val="none"/>
        </w:rPr>
        <w:t>分，得分率</w:t>
      </w:r>
      <w:r>
        <w:rPr>
          <w:rFonts w:hint="eastAsia"/>
          <w:color w:val="auto"/>
          <w:highlight w:val="none"/>
          <w:lang w:val="en-US" w:eastAsia="zh-CN"/>
        </w:rPr>
        <w:t>100</w:t>
      </w:r>
      <w:r>
        <w:rPr>
          <w:rFonts w:hint="eastAsia"/>
          <w:color w:val="auto"/>
          <w:highlight w:val="none"/>
        </w:rPr>
        <w:t>%。根据现场调研反馈结果及部门所提供年度工作计划、年度工作总结等资料进行评</w:t>
      </w:r>
      <w:r>
        <w:rPr>
          <w:rFonts w:hint="eastAsia"/>
          <w:color w:val="auto"/>
        </w:rPr>
        <w:t>分，主要针对</w:t>
      </w:r>
      <w:r>
        <w:rPr>
          <w:rFonts w:hint="eastAsia"/>
          <w:color w:val="auto"/>
          <w:lang w:val="en-US" w:eastAsia="zh-CN"/>
        </w:rPr>
        <w:t>主体班干部教育培训工作、主体班党员教育</w:t>
      </w:r>
      <w:r>
        <w:rPr>
          <w:rFonts w:hint="eastAsia"/>
          <w:lang w:val="en-US" w:eastAsia="zh-CN"/>
        </w:rPr>
        <w:t>培训工作和非主体班教育</w:t>
      </w:r>
      <w:r>
        <w:rPr>
          <w:rFonts w:hint="eastAsia"/>
        </w:rPr>
        <w:t>培训工作完成情况进行评价。</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color w:val="auto"/>
          <w:lang w:eastAsia="zh-CN"/>
        </w:rPr>
      </w:pPr>
      <w:r>
        <w:rPr>
          <w:rFonts w:hint="eastAsia"/>
          <w:lang w:val="en-US" w:eastAsia="zh-CN"/>
        </w:rPr>
        <w:t>主体班干部教育培训工作方面，</w:t>
      </w:r>
      <w:r>
        <w:rPr>
          <w:rFonts w:hint="eastAsia"/>
        </w:rPr>
        <w:t>202</w:t>
      </w:r>
      <w:r>
        <w:rPr>
          <w:rFonts w:hint="eastAsia"/>
          <w:lang w:val="en-US" w:eastAsia="zh-CN"/>
        </w:rPr>
        <w:t>3</w:t>
      </w:r>
      <w:r>
        <w:rPr>
          <w:rFonts w:hint="eastAsia"/>
        </w:rPr>
        <w:t>年</w:t>
      </w:r>
      <w:r>
        <w:rPr>
          <w:rFonts w:hint="eastAsia"/>
          <w:lang w:val="en-US" w:eastAsia="zh-CN"/>
        </w:rPr>
        <w:t>和平</w:t>
      </w:r>
      <w:r>
        <w:rPr>
          <w:rFonts w:hint="eastAsia"/>
        </w:rPr>
        <w:t>区委党校按照市委和区委要求</w:t>
      </w:r>
      <w:r>
        <w:rPr>
          <w:rFonts w:hint="eastAsia"/>
          <w:lang w:eastAsia="zh-CN"/>
        </w:rPr>
        <w:t>，参照市委组织部、市委党校调训计划，</w:t>
      </w:r>
      <w:r>
        <w:rPr>
          <w:rFonts w:hint="eastAsia"/>
          <w:lang w:val="en-US" w:eastAsia="zh-CN"/>
        </w:rPr>
        <w:t>结合</w:t>
      </w:r>
      <w:r>
        <w:rPr>
          <w:rFonts w:hint="eastAsia"/>
        </w:rPr>
        <w:t>本区实际需求</w:t>
      </w:r>
      <w:r>
        <w:rPr>
          <w:rFonts w:hint="eastAsia"/>
          <w:lang w:val="en-US" w:eastAsia="zh-CN"/>
        </w:rPr>
        <w:t>制定了干部教育培训方案，计划</w:t>
      </w:r>
      <w:r>
        <w:rPr>
          <w:rFonts w:hint="eastAsia"/>
        </w:rPr>
        <w:t>开展</w:t>
      </w:r>
      <w:r>
        <w:rPr>
          <w:rFonts w:hint="eastAsia"/>
          <w:lang w:val="en-US" w:eastAsia="zh-CN"/>
        </w:rPr>
        <w:t>4类24期主体班干部教育培训，包括：理论教育和党性教育培训班10期、专业化能力培训班8期、公务员培训班3期以及对口支援培训和行业培训班3期。实际开展主体班干部教育培训24期，分别</w:t>
      </w:r>
      <w:r>
        <w:rPr>
          <w:rFonts w:hint="eastAsia"/>
          <w:color w:val="auto"/>
          <w:lang w:val="en-US" w:eastAsia="zh-CN"/>
        </w:rPr>
        <w:t>为理论教育和党性教育培训班10期、专业化能力培训班8期、公务员培训班3期以及对口支援培训和行业培训班3期。</w:t>
      </w:r>
      <w:r>
        <w:rPr>
          <w:rFonts w:hint="eastAsia"/>
          <w:color w:val="auto"/>
          <w:highlight w:val="none"/>
          <w:lang w:val="en-US" w:eastAsia="zh-CN"/>
        </w:rPr>
        <w:t>在理论教育和党性教育培训班中，中青年干部培训将原定培训方案分为2期举办，总培训体量未发生变化，处级干部进修班根据上级部门的需求与统筹安排调整为1期，应开展主体班干部教育培训仍为24期</w:t>
      </w:r>
      <w:r>
        <w:rPr>
          <w:rFonts w:hint="eastAsia"/>
          <w:color w:val="auto"/>
          <w:highlight w:val="none"/>
          <w:lang w:eastAsia="zh-CN"/>
        </w:rPr>
        <w:t>，</w:t>
      </w:r>
      <w:r>
        <w:rPr>
          <w:rFonts w:hint="eastAsia"/>
          <w:color w:val="auto"/>
          <w:highlight w:val="none"/>
          <w:lang w:val="en-US" w:eastAsia="zh-CN"/>
        </w:rPr>
        <w:t>主体班干部教育培训工作</w:t>
      </w:r>
      <w:r>
        <w:rPr>
          <w:rFonts w:hint="eastAsia"/>
          <w:color w:val="auto"/>
          <w:highlight w:val="none"/>
        </w:rPr>
        <w:t>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主体班党员培训工作方面，和平区委党校2023年共开展12期主体班党员培训，培训对象覆盖“两新”组织党组织书记、入党积极分子</w:t>
      </w:r>
      <w:r>
        <w:rPr>
          <w:rFonts w:hint="eastAsia"/>
          <w:highlight w:val="none"/>
          <w:lang w:val="en-US" w:eastAsia="zh-CN"/>
        </w:rPr>
        <w:t>、发展对象、新党员，与培训计划一致，</w:t>
      </w:r>
      <w:r>
        <w:rPr>
          <w:rFonts w:hint="eastAsia"/>
          <w:lang w:val="en-US" w:eastAsia="zh-CN"/>
        </w:rPr>
        <w:t>主体班党员教育培训工作</w:t>
      </w:r>
      <w:r>
        <w:rPr>
          <w:rFonts w:hint="eastAsia"/>
        </w:rPr>
        <w:t>完成率为</w:t>
      </w:r>
      <w:r>
        <w:rPr>
          <w:rFonts w:hint="eastAsia"/>
          <w:lang w:val="en-US" w:eastAsia="zh-CN"/>
        </w:rPr>
        <w:t>100</w:t>
      </w:r>
      <w:r>
        <w:rPr>
          <w:rFonts w:hint="eastAsia"/>
        </w:rPr>
        <w:t>%</w:t>
      </w:r>
      <w:r>
        <w:rPr>
          <w:rFonts w:hint="eastAsia"/>
          <w:highlight w:val="none"/>
          <w:lang w:val="en-US" w:eastAsia="zh-CN"/>
        </w:rPr>
        <w:t>。</w:t>
      </w:r>
      <w:r>
        <w:rPr>
          <w:rFonts w:hint="eastAsia"/>
          <w:lang w:val="en-US" w:eastAsia="zh-CN"/>
        </w:rPr>
        <w:t>非主体班教育</w:t>
      </w:r>
      <w:r>
        <w:rPr>
          <w:rFonts w:hint="eastAsia"/>
        </w:rPr>
        <w:t>培训工作</w:t>
      </w:r>
      <w:r>
        <w:rPr>
          <w:rFonts w:hint="eastAsia"/>
          <w:lang w:val="en-US" w:eastAsia="zh-CN"/>
        </w:rPr>
        <w:t>方面，</w:t>
      </w:r>
      <w:r>
        <w:rPr>
          <w:rFonts w:hint="eastAsia"/>
          <w:highlight w:val="none"/>
          <w:lang w:val="en-US" w:eastAsia="zh-CN"/>
        </w:rPr>
        <w:t>和平区委党校2023年共开展15期</w:t>
      </w:r>
      <w:r>
        <w:rPr>
          <w:rFonts w:hint="eastAsia"/>
          <w:lang w:val="en-US" w:eastAsia="zh-CN"/>
        </w:rPr>
        <w:t>非主体班教育</w:t>
      </w:r>
      <w:r>
        <w:rPr>
          <w:rFonts w:hint="eastAsia"/>
        </w:rPr>
        <w:t>培训</w:t>
      </w:r>
      <w:r>
        <w:rPr>
          <w:rFonts w:hint="eastAsia"/>
          <w:lang w:eastAsia="zh-CN"/>
        </w:rPr>
        <w:t>，</w:t>
      </w:r>
      <w:r>
        <w:rPr>
          <w:rFonts w:hint="eastAsia"/>
          <w:lang w:val="en-US" w:eastAsia="zh-CN"/>
        </w:rPr>
        <w:t>完成了</w:t>
      </w:r>
      <w:r>
        <w:rPr>
          <w:rFonts w:hint="eastAsia"/>
          <w:lang w:eastAsia="zh-CN"/>
        </w:rPr>
        <w:t>各地各级党政部门、企事</w:t>
      </w:r>
      <w:r>
        <w:rPr>
          <w:rFonts w:hint="eastAsia"/>
          <w:color w:val="auto"/>
          <w:lang w:eastAsia="zh-CN"/>
        </w:rPr>
        <w:t>业单位、“两新”组织</w:t>
      </w:r>
      <w:r>
        <w:rPr>
          <w:rFonts w:hint="eastAsia"/>
          <w:color w:val="auto"/>
          <w:lang w:val="en-US" w:eastAsia="zh-CN"/>
        </w:rPr>
        <w:t>的全部委托任务，非主体班教育培训工作</w:t>
      </w:r>
      <w:r>
        <w:rPr>
          <w:rFonts w:hint="eastAsia"/>
          <w:color w:val="auto"/>
        </w:rPr>
        <w:t>完成率为</w:t>
      </w:r>
      <w:r>
        <w:rPr>
          <w:rFonts w:hint="eastAsia"/>
          <w:color w:val="auto"/>
          <w:lang w:val="en-US" w:eastAsia="zh-CN"/>
        </w:rPr>
        <w:t>100</w:t>
      </w:r>
      <w:r>
        <w:rPr>
          <w:rFonts w:hint="eastAsia"/>
          <w:color w:val="auto"/>
        </w:rPr>
        <w:t>%</w:t>
      </w:r>
      <w:r>
        <w:rPr>
          <w:rFonts w:hint="eastAsia"/>
          <w:color w:val="auto"/>
          <w:lang w:eastAsia="zh-CN"/>
        </w:rPr>
        <w:t>。</w:t>
      </w:r>
    </w:p>
    <w:p>
      <w:pPr>
        <w:pStyle w:val="25"/>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eastAsia="仿宋_GB2312"/>
          <w:color w:val="auto"/>
          <w:highlight w:val="none"/>
          <w:lang w:val="en-US" w:eastAsia="zh-CN"/>
        </w:rPr>
      </w:pPr>
      <w:r>
        <w:rPr>
          <w:rFonts w:hint="eastAsia"/>
          <w:color w:val="auto"/>
          <w:lang w:val="en-US" w:eastAsia="zh-CN"/>
        </w:rPr>
        <w:t>综上所述</w:t>
      </w:r>
      <w:r>
        <w:rPr>
          <w:rFonts w:hint="eastAsia"/>
          <w:color w:val="auto"/>
          <w:highlight w:val="none"/>
          <w:lang w:val="en-US" w:eastAsia="zh-CN"/>
        </w:rPr>
        <w:t>，</w:t>
      </w:r>
      <w:r>
        <w:rPr>
          <w:rFonts w:hint="eastAsia"/>
          <w:color w:val="auto"/>
          <w:highlight w:val="none"/>
        </w:rPr>
        <w:t>本年</w:t>
      </w:r>
      <w:r>
        <w:rPr>
          <w:rFonts w:hint="eastAsia"/>
          <w:color w:val="auto"/>
          <w:highlight w:val="none"/>
          <w:lang w:val="en-US" w:eastAsia="zh-CN"/>
        </w:rPr>
        <w:t>教育培训</w:t>
      </w:r>
      <w:r>
        <w:rPr>
          <w:rFonts w:hint="eastAsia"/>
          <w:color w:val="auto"/>
          <w:highlight w:val="none"/>
        </w:rPr>
        <w:t>工作均已按既定工作计划开展并完成</w:t>
      </w:r>
      <w:r>
        <w:rPr>
          <w:rFonts w:hint="eastAsia"/>
          <w:color w:val="auto"/>
          <w:highlight w:val="none"/>
          <w:lang w:eastAsia="zh-CN"/>
        </w:rPr>
        <w:t>，</w:t>
      </w:r>
      <w:r>
        <w:rPr>
          <w:rFonts w:hint="eastAsia"/>
          <w:color w:val="auto"/>
          <w:highlight w:val="none"/>
        </w:rPr>
        <w:t>具体</w:t>
      </w:r>
      <w:r>
        <w:rPr>
          <w:rFonts w:hint="eastAsia"/>
          <w:color w:val="auto"/>
          <w:highlight w:val="none"/>
          <w:lang w:val="en-US" w:eastAsia="zh-CN"/>
        </w:rPr>
        <w:t>教育培训工作开展</w:t>
      </w:r>
      <w:r>
        <w:rPr>
          <w:rFonts w:hint="eastAsia"/>
          <w:color w:val="auto"/>
          <w:highlight w:val="none"/>
        </w:rPr>
        <w:t>情况见图3.3.3.1.1</w:t>
      </w:r>
      <w:r>
        <w:rPr>
          <w:rFonts w:hint="eastAsia"/>
          <w:color w:val="auto"/>
          <w:highlight w:val="none"/>
          <w:lang w:eastAsia="zh-CN"/>
        </w:rPr>
        <w:t>。</w:t>
      </w:r>
    </w:p>
    <w:p>
      <w:pPr>
        <w:pStyle w:val="32"/>
        <w:keepNext w:val="0"/>
        <w:keepLines w:val="0"/>
        <w:pageBreakBefore w:val="0"/>
        <w:kinsoku/>
        <w:wordWrap/>
        <w:overflowPunct/>
        <w:topLinePunct w:val="0"/>
        <w:autoSpaceDE/>
        <w:autoSpaceDN/>
        <w:bidi w:val="0"/>
        <w:adjustRightInd/>
        <w:snapToGrid/>
        <w:spacing w:line="560" w:lineRule="exact"/>
        <w:textAlignment w:val="auto"/>
      </w:pPr>
      <w:r>
        <w:rPr>
          <w:rFonts w:hint="eastAsia"/>
        </w:rPr>
        <w:t>表</w:t>
      </w:r>
      <w:r>
        <w:rPr>
          <w:rFonts w:hint="eastAsia"/>
          <w:lang w:val="en-US" w:eastAsia="zh-CN"/>
        </w:rPr>
        <w:t>3.3.3.1.1</w:t>
      </w:r>
      <w:r>
        <w:t xml:space="preserve"> </w:t>
      </w:r>
      <w:r>
        <w:rPr>
          <w:rFonts w:hint="eastAsia"/>
          <w:lang w:val="en-US" w:eastAsia="zh-CN"/>
        </w:rPr>
        <w:t>教育培训工作任务开展情况</w:t>
      </w:r>
      <w:r>
        <w:rPr>
          <w:rFonts w:hint="eastAsia"/>
        </w:rPr>
        <w:t>表</w:t>
      </w:r>
    </w:p>
    <w:p>
      <w:pPr>
        <w:pStyle w:val="33"/>
        <w:keepNext w:val="0"/>
        <w:keepLines w:val="0"/>
        <w:pageBreakBefore w:val="0"/>
        <w:kinsoku/>
        <w:wordWrap/>
        <w:overflowPunct/>
        <w:topLinePunct w:val="0"/>
        <w:autoSpaceDE/>
        <w:autoSpaceDN/>
        <w:bidi w:val="0"/>
        <w:adjustRightInd/>
        <w:snapToGrid/>
        <w:spacing w:line="560" w:lineRule="exact"/>
        <w:textAlignment w:val="auto"/>
        <w:rPr>
          <w:rFonts w:hint="eastAsia" w:eastAsia="宋体"/>
          <w:lang w:eastAsia="zh-CN"/>
        </w:rPr>
      </w:pPr>
      <w:r>
        <w:rPr>
          <w:rFonts w:hint="eastAsia"/>
        </w:rPr>
        <w:t>单位：</w:t>
      </w:r>
      <w:r>
        <w:rPr>
          <w:rFonts w:hint="eastAsia"/>
          <w:lang w:val="en-US" w:eastAsia="zh-CN"/>
        </w:rPr>
        <w:t>期</w:t>
      </w:r>
    </w:p>
    <w:tbl>
      <w:tblPr>
        <w:tblStyle w:val="17"/>
        <w:tblW w:w="8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4079"/>
        <w:gridCol w:w="1014"/>
        <w:gridCol w:w="1014"/>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blHeader/>
        </w:trPr>
        <w:tc>
          <w:tcPr>
            <w:tcW w:w="1370" w:type="dxa"/>
            <w:shd w:val="clear" w:color="auto" w:fill="auto"/>
            <w:vAlign w:val="center"/>
          </w:tcPr>
          <w:p>
            <w:pPr>
              <w:pStyle w:val="35"/>
            </w:pPr>
            <w:r>
              <w:rPr>
                <w:rFonts w:hint="eastAsia"/>
              </w:rPr>
              <w:t>类别</w:t>
            </w:r>
          </w:p>
        </w:tc>
        <w:tc>
          <w:tcPr>
            <w:tcW w:w="4079" w:type="dxa"/>
            <w:vAlign w:val="center"/>
          </w:tcPr>
          <w:p>
            <w:pPr>
              <w:pStyle w:val="35"/>
              <w:rPr>
                <w:rFonts w:hint="default" w:eastAsia="宋体" w:cs="宋体"/>
                <w:kern w:val="0"/>
                <w:lang w:val="en-US" w:eastAsia="zh-CN"/>
              </w:rPr>
            </w:pPr>
            <w:r>
              <w:rPr>
                <w:rFonts w:hint="eastAsia" w:cs="宋体"/>
                <w:kern w:val="0"/>
                <w:lang w:val="en-US" w:eastAsia="zh-CN"/>
              </w:rPr>
              <w:t>培训内容</w:t>
            </w:r>
          </w:p>
        </w:tc>
        <w:tc>
          <w:tcPr>
            <w:tcW w:w="1014" w:type="dxa"/>
            <w:vAlign w:val="center"/>
          </w:tcPr>
          <w:p>
            <w:pPr>
              <w:pStyle w:val="35"/>
              <w:rPr>
                <w:rFonts w:hint="default" w:eastAsia="宋体" w:cs="宋体"/>
                <w:kern w:val="0"/>
                <w:lang w:val="en-US" w:eastAsia="zh-CN"/>
              </w:rPr>
            </w:pPr>
            <w:r>
              <w:rPr>
                <w:rFonts w:hint="eastAsia" w:cs="宋体"/>
                <w:kern w:val="0"/>
                <w:lang w:val="en-US" w:eastAsia="zh-CN"/>
              </w:rPr>
              <w:t>计划开展期数</w:t>
            </w:r>
          </w:p>
        </w:tc>
        <w:tc>
          <w:tcPr>
            <w:tcW w:w="1014" w:type="dxa"/>
            <w:vAlign w:val="center"/>
          </w:tcPr>
          <w:p>
            <w:pPr>
              <w:pStyle w:val="35"/>
              <w:rPr>
                <w:rFonts w:hint="default" w:eastAsia="宋体" w:cs="宋体"/>
                <w:kern w:val="0"/>
                <w:lang w:val="en-US" w:eastAsia="zh-CN"/>
              </w:rPr>
            </w:pPr>
            <w:r>
              <w:rPr>
                <w:rFonts w:hint="eastAsia" w:cs="宋体"/>
                <w:kern w:val="0"/>
                <w:lang w:val="en-US" w:eastAsia="zh-CN"/>
              </w:rPr>
              <w:t>实际开展期数</w:t>
            </w:r>
          </w:p>
        </w:tc>
        <w:tc>
          <w:tcPr>
            <w:tcW w:w="1200" w:type="dxa"/>
            <w:vAlign w:val="center"/>
          </w:tcPr>
          <w:p>
            <w:pPr>
              <w:pStyle w:val="35"/>
              <w:rPr>
                <w:rFonts w:hint="default" w:eastAsia="宋体" w:cs="宋体"/>
                <w:kern w:val="0"/>
                <w:lang w:val="en-US" w:eastAsia="zh-CN"/>
              </w:rPr>
            </w:pPr>
            <w:r>
              <w:rPr>
                <w:rFonts w:hint="eastAsia" w:cs="宋体"/>
                <w:kern w:val="0"/>
                <w:lang w:val="en-US" w:eastAsia="zh-CN"/>
              </w:rPr>
              <w:t>培训工作完成率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1370" w:type="dxa"/>
            <w:vMerge w:val="restart"/>
            <w:shd w:val="clear" w:color="auto" w:fill="auto"/>
            <w:vAlign w:val="center"/>
          </w:tcPr>
          <w:p>
            <w:pPr>
              <w:pStyle w:val="37"/>
              <w:rPr>
                <w:rFonts w:hint="default" w:eastAsia="宋体"/>
                <w:lang w:val="en-US" w:eastAsia="zh-CN"/>
              </w:rPr>
            </w:pPr>
            <w:r>
              <w:rPr>
                <w:rFonts w:hint="eastAsia"/>
                <w:lang w:val="en-US" w:eastAsia="zh-CN"/>
              </w:rPr>
              <w:t>主体班干部教育培训</w:t>
            </w:r>
          </w:p>
        </w:tc>
        <w:tc>
          <w:tcPr>
            <w:tcW w:w="4079" w:type="dxa"/>
            <w:vAlign w:val="center"/>
          </w:tcPr>
          <w:p>
            <w:pPr>
              <w:pStyle w:val="37"/>
              <w:rPr>
                <w:rFonts w:hint="default"/>
                <w:color w:val="auto"/>
                <w:lang w:val="en-US" w:eastAsia="zh-CN"/>
              </w:rPr>
            </w:pPr>
            <w:r>
              <w:rPr>
                <w:rFonts w:hint="eastAsia"/>
                <w:color w:val="auto"/>
                <w:lang w:val="en-US" w:eastAsia="zh-CN"/>
              </w:rPr>
              <w:t>处级进修班</w:t>
            </w:r>
          </w:p>
        </w:tc>
        <w:tc>
          <w:tcPr>
            <w:tcW w:w="1014" w:type="dxa"/>
            <w:vAlign w:val="center"/>
          </w:tcPr>
          <w:p>
            <w:pPr>
              <w:pStyle w:val="37"/>
              <w:rPr>
                <w:rFonts w:hint="eastAsia"/>
                <w:color w:val="auto"/>
                <w:lang w:val="en-US" w:eastAsia="zh-CN"/>
              </w:rPr>
            </w:pPr>
            <w:r>
              <w:rPr>
                <w:rFonts w:hint="eastAsia"/>
                <w:color w:val="auto"/>
                <w:highlight w:val="none"/>
                <w:lang w:val="en-US" w:eastAsia="zh-CN"/>
              </w:rPr>
              <w:t>1</w:t>
            </w:r>
          </w:p>
        </w:tc>
        <w:tc>
          <w:tcPr>
            <w:tcW w:w="1014" w:type="dxa"/>
            <w:vAlign w:val="center"/>
          </w:tcPr>
          <w:p>
            <w:pPr>
              <w:pStyle w:val="37"/>
              <w:ind w:firstLine="0" w:firstLineChars="0"/>
              <w:rPr>
                <w:rFonts w:hint="default"/>
                <w:b w:val="0"/>
                <w:bCs w:val="0"/>
                <w:color w:val="auto"/>
                <w:lang w:val="en-US" w:eastAsia="zh-CN"/>
              </w:rPr>
            </w:pPr>
            <w:r>
              <w:rPr>
                <w:rFonts w:hint="eastAsia"/>
                <w:b w:val="0"/>
                <w:bCs w:val="0"/>
                <w:color w:val="auto"/>
                <w:lang w:val="en-US" w:eastAsia="zh-CN"/>
              </w:rPr>
              <w:t>1</w:t>
            </w:r>
          </w:p>
        </w:tc>
        <w:tc>
          <w:tcPr>
            <w:tcW w:w="1200" w:type="dxa"/>
            <w:vAlign w:val="center"/>
          </w:tcPr>
          <w:p>
            <w:pPr>
              <w:pStyle w:val="37"/>
              <w:rPr>
                <w:rFonts w:hint="default" w:eastAsia="宋体"/>
                <w:b w:val="0"/>
                <w:bCs w:val="0"/>
                <w:color w:val="auto"/>
                <w:highlight w:val="none"/>
                <w:lang w:val="en-US" w:eastAsia="zh-CN"/>
              </w:rPr>
            </w:pPr>
            <w:r>
              <w:rPr>
                <w:rFonts w:hint="eastAsia"/>
                <w:b w:val="0"/>
                <w:bCs w:val="0"/>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370" w:type="dxa"/>
            <w:vMerge w:val="continue"/>
            <w:shd w:val="clear" w:color="auto" w:fill="auto"/>
            <w:vAlign w:val="center"/>
          </w:tcPr>
          <w:p>
            <w:pPr>
              <w:pStyle w:val="37"/>
            </w:pPr>
          </w:p>
        </w:tc>
        <w:tc>
          <w:tcPr>
            <w:tcW w:w="4079" w:type="dxa"/>
            <w:vAlign w:val="center"/>
          </w:tcPr>
          <w:p>
            <w:pPr>
              <w:pStyle w:val="37"/>
              <w:rPr>
                <w:rFonts w:hint="default"/>
                <w:color w:val="auto"/>
                <w:lang w:val="en-US" w:eastAsia="zh-CN"/>
              </w:rPr>
            </w:pPr>
            <w:r>
              <w:rPr>
                <w:rFonts w:hint="eastAsia"/>
                <w:color w:val="auto"/>
                <w:lang w:val="en-US" w:eastAsia="zh-CN"/>
              </w:rPr>
              <w:t>党性教育培训</w:t>
            </w:r>
          </w:p>
        </w:tc>
        <w:tc>
          <w:tcPr>
            <w:tcW w:w="1014" w:type="dxa"/>
            <w:vAlign w:val="center"/>
          </w:tcPr>
          <w:p>
            <w:pPr>
              <w:pStyle w:val="37"/>
              <w:rPr>
                <w:rFonts w:hint="default"/>
                <w:color w:val="auto"/>
                <w:lang w:val="en-US" w:eastAsia="zh-CN"/>
              </w:rPr>
            </w:pPr>
            <w:r>
              <w:rPr>
                <w:rFonts w:hint="eastAsia"/>
                <w:color w:val="auto"/>
                <w:lang w:val="en-US" w:eastAsia="zh-CN"/>
              </w:rPr>
              <w:t>2</w:t>
            </w:r>
          </w:p>
        </w:tc>
        <w:tc>
          <w:tcPr>
            <w:tcW w:w="1014" w:type="dxa"/>
            <w:vAlign w:val="center"/>
          </w:tcPr>
          <w:p>
            <w:pPr>
              <w:pStyle w:val="37"/>
              <w:ind w:firstLine="0" w:firstLineChars="0"/>
              <w:rPr>
                <w:rFonts w:hint="eastAsia" w:eastAsia="宋体"/>
                <w:b w:val="0"/>
                <w:bCs w:val="0"/>
                <w:color w:val="auto"/>
                <w:lang w:eastAsia="zh-CN"/>
              </w:rPr>
            </w:pPr>
            <w:r>
              <w:rPr>
                <w:rFonts w:hint="eastAsia"/>
                <w:color w:val="auto"/>
                <w:lang w:val="en-US" w:eastAsia="zh-CN"/>
              </w:rPr>
              <w:t>2</w:t>
            </w:r>
          </w:p>
        </w:tc>
        <w:tc>
          <w:tcPr>
            <w:tcW w:w="1200" w:type="dxa"/>
            <w:vAlign w:val="center"/>
          </w:tcPr>
          <w:p>
            <w:pPr>
              <w:pStyle w:val="37"/>
              <w:rPr>
                <w:rFonts w:hint="default" w:eastAsia="宋体"/>
                <w:b w:val="0"/>
                <w:bCs w:val="0"/>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370" w:type="dxa"/>
            <w:vMerge w:val="continue"/>
            <w:shd w:val="clear" w:color="auto" w:fill="auto"/>
            <w:vAlign w:val="center"/>
          </w:tcPr>
          <w:p>
            <w:pPr>
              <w:pStyle w:val="37"/>
            </w:pPr>
          </w:p>
        </w:tc>
        <w:tc>
          <w:tcPr>
            <w:tcW w:w="4079" w:type="dxa"/>
            <w:vAlign w:val="center"/>
          </w:tcPr>
          <w:p>
            <w:pPr>
              <w:pStyle w:val="37"/>
              <w:rPr>
                <w:rFonts w:hint="default"/>
                <w:color w:val="auto"/>
                <w:lang w:val="en-US" w:eastAsia="zh-CN"/>
              </w:rPr>
            </w:pPr>
            <w:r>
              <w:rPr>
                <w:rFonts w:hint="eastAsia"/>
                <w:color w:val="auto"/>
                <w:lang w:val="en-US" w:eastAsia="zh-CN"/>
              </w:rPr>
              <w:t>学习贯彻党的二十大精神专题集中轮训班</w:t>
            </w:r>
          </w:p>
        </w:tc>
        <w:tc>
          <w:tcPr>
            <w:tcW w:w="1014" w:type="dxa"/>
            <w:vAlign w:val="center"/>
          </w:tcPr>
          <w:p>
            <w:pPr>
              <w:pStyle w:val="37"/>
              <w:rPr>
                <w:rFonts w:hint="eastAsia"/>
                <w:color w:val="auto"/>
                <w:lang w:val="en-US" w:eastAsia="zh-CN"/>
              </w:rPr>
            </w:pPr>
            <w:r>
              <w:rPr>
                <w:rFonts w:hint="eastAsia"/>
                <w:color w:val="auto"/>
                <w:lang w:val="en-US" w:eastAsia="zh-CN"/>
              </w:rPr>
              <w:t>5</w:t>
            </w:r>
          </w:p>
        </w:tc>
        <w:tc>
          <w:tcPr>
            <w:tcW w:w="1014" w:type="dxa"/>
            <w:vAlign w:val="center"/>
          </w:tcPr>
          <w:p>
            <w:pPr>
              <w:pStyle w:val="37"/>
              <w:ind w:firstLine="0" w:firstLineChars="0"/>
              <w:rPr>
                <w:rFonts w:hint="eastAsia" w:eastAsia="宋体"/>
                <w:b w:val="0"/>
                <w:bCs w:val="0"/>
                <w:color w:val="auto"/>
                <w:lang w:eastAsia="zh-CN"/>
              </w:rPr>
            </w:pPr>
            <w:r>
              <w:rPr>
                <w:rFonts w:hint="eastAsia"/>
                <w:color w:val="auto"/>
                <w:lang w:val="en-US" w:eastAsia="zh-CN"/>
              </w:rPr>
              <w:t>5</w:t>
            </w:r>
          </w:p>
        </w:tc>
        <w:tc>
          <w:tcPr>
            <w:tcW w:w="1200" w:type="dxa"/>
            <w:vAlign w:val="center"/>
          </w:tcPr>
          <w:p>
            <w:pPr>
              <w:pStyle w:val="37"/>
              <w:ind w:firstLine="0" w:firstLineChars="0"/>
              <w:rPr>
                <w:b w:val="0"/>
                <w:bCs w:val="0"/>
                <w:color w:val="auto"/>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370" w:type="dxa"/>
            <w:vMerge w:val="continue"/>
            <w:shd w:val="clear" w:color="auto" w:fill="auto"/>
            <w:vAlign w:val="center"/>
          </w:tcPr>
          <w:p>
            <w:pPr>
              <w:pStyle w:val="37"/>
            </w:pPr>
          </w:p>
        </w:tc>
        <w:tc>
          <w:tcPr>
            <w:tcW w:w="4079" w:type="dxa"/>
            <w:vAlign w:val="center"/>
          </w:tcPr>
          <w:p>
            <w:pPr>
              <w:pStyle w:val="37"/>
              <w:rPr>
                <w:rFonts w:hint="default"/>
                <w:color w:val="auto"/>
                <w:lang w:val="en-US" w:eastAsia="zh-CN"/>
              </w:rPr>
            </w:pPr>
            <w:r>
              <w:rPr>
                <w:rFonts w:hint="eastAsia"/>
                <w:color w:val="auto"/>
                <w:lang w:val="en-US" w:eastAsia="zh-CN"/>
              </w:rPr>
              <w:t>中青年干部培训班</w:t>
            </w:r>
          </w:p>
        </w:tc>
        <w:tc>
          <w:tcPr>
            <w:tcW w:w="1014" w:type="dxa"/>
            <w:vAlign w:val="center"/>
          </w:tcPr>
          <w:p>
            <w:pPr>
              <w:pStyle w:val="37"/>
              <w:rPr>
                <w:rFonts w:hint="default"/>
                <w:color w:val="auto"/>
                <w:lang w:val="en-US" w:eastAsia="zh-CN"/>
              </w:rPr>
            </w:pPr>
            <w:r>
              <w:rPr>
                <w:rFonts w:hint="eastAsia"/>
                <w:color w:val="auto"/>
                <w:lang w:val="en-US" w:eastAsia="zh-CN"/>
              </w:rPr>
              <w:t>2</w:t>
            </w:r>
          </w:p>
        </w:tc>
        <w:tc>
          <w:tcPr>
            <w:tcW w:w="1014" w:type="dxa"/>
            <w:vAlign w:val="center"/>
          </w:tcPr>
          <w:p>
            <w:pPr>
              <w:pStyle w:val="37"/>
              <w:ind w:firstLine="0" w:firstLineChars="0"/>
              <w:rPr>
                <w:rFonts w:hint="eastAsia" w:eastAsia="宋体"/>
                <w:b w:val="0"/>
                <w:bCs w:val="0"/>
                <w:color w:val="auto"/>
                <w:lang w:eastAsia="zh-CN"/>
              </w:rPr>
            </w:pPr>
            <w:r>
              <w:rPr>
                <w:rFonts w:hint="eastAsia"/>
                <w:color w:val="auto"/>
                <w:lang w:val="en-US" w:eastAsia="zh-CN"/>
              </w:rPr>
              <w:t>2</w:t>
            </w:r>
          </w:p>
        </w:tc>
        <w:tc>
          <w:tcPr>
            <w:tcW w:w="1200" w:type="dxa"/>
            <w:vAlign w:val="center"/>
          </w:tcPr>
          <w:p>
            <w:pPr>
              <w:pStyle w:val="37"/>
              <w:ind w:firstLine="0" w:firstLineChars="0"/>
              <w:rPr>
                <w:b w:val="0"/>
                <w:bCs w:val="0"/>
                <w:color w:val="auto"/>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370" w:type="dxa"/>
            <w:vMerge w:val="continue"/>
            <w:shd w:val="clear" w:color="auto" w:fill="auto"/>
            <w:vAlign w:val="center"/>
          </w:tcPr>
          <w:p>
            <w:pPr>
              <w:pStyle w:val="37"/>
            </w:pPr>
          </w:p>
        </w:tc>
        <w:tc>
          <w:tcPr>
            <w:tcW w:w="4079" w:type="dxa"/>
            <w:vAlign w:val="center"/>
          </w:tcPr>
          <w:p>
            <w:pPr>
              <w:pStyle w:val="37"/>
              <w:rPr>
                <w:rFonts w:hint="default"/>
                <w:color w:val="auto"/>
                <w:lang w:val="en-US" w:eastAsia="zh-CN"/>
              </w:rPr>
            </w:pPr>
            <w:r>
              <w:rPr>
                <w:rFonts w:hint="eastAsia"/>
                <w:color w:val="auto"/>
                <w:lang w:val="en-US" w:eastAsia="zh-CN"/>
              </w:rPr>
              <w:t>和平区领导干部专业化能力暨和平区纪检监察专项工作学习教育阶段专题培训班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vAlign w:val="center"/>
          </w:tcPr>
          <w:p>
            <w:pPr>
              <w:pStyle w:val="37"/>
              <w:ind w:firstLine="0" w:firstLineChars="0"/>
              <w:rPr>
                <w:rFonts w:hint="eastAsia" w:eastAsia="宋体"/>
                <w:b w:val="0"/>
                <w:bCs w:val="0"/>
                <w:color w:val="auto"/>
                <w:lang w:eastAsia="zh-CN"/>
              </w:rPr>
            </w:pPr>
            <w:r>
              <w:rPr>
                <w:rFonts w:hint="eastAsia"/>
                <w:color w:val="auto"/>
                <w:lang w:val="en-US" w:eastAsia="zh-CN"/>
              </w:rPr>
              <w:t>1</w:t>
            </w:r>
          </w:p>
        </w:tc>
        <w:tc>
          <w:tcPr>
            <w:tcW w:w="1200" w:type="dxa"/>
            <w:vAlign w:val="center"/>
          </w:tcPr>
          <w:p>
            <w:pPr>
              <w:pStyle w:val="37"/>
              <w:ind w:firstLine="0" w:firstLineChars="0"/>
              <w:rPr>
                <w:rFonts w:hint="default" w:eastAsia="宋体"/>
                <w:b w:val="0"/>
                <w:bCs w:val="0"/>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pPr>
          </w:p>
        </w:tc>
        <w:tc>
          <w:tcPr>
            <w:tcW w:w="4079" w:type="dxa"/>
            <w:vAlign w:val="center"/>
          </w:tcPr>
          <w:p>
            <w:pPr>
              <w:pStyle w:val="37"/>
              <w:rPr>
                <w:rFonts w:hint="default"/>
                <w:color w:val="auto"/>
                <w:lang w:val="en-US" w:eastAsia="zh-CN"/>
              </w:rPr>
            </w:pPr>
            <w:r>
              <w:rPr>
                <w:rFonts w:hint="eastAsia"/>
                <w:color w:val="auto"/>
                <w:lang w:val="en-US" w:eastAsia="zh-CN"/>
              </w:rPr>
              <w:t>和平区推进法治政府建设专题研讨班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vAlign w:val="center"/>
          </w:tcPr>
          <w:p>
            <w:pPr>
              <w:pStyle w:val="37"/>
              <w:ind w:firstLine="0" w:firstLineChars="0"/>
              <w:rPr>
                <w:rFonts w:hint="eastAsia" w:eastAsia="宋体"/>
                <w:color w:val="auto"/>
                <w:lang w:eastAsia="zh-CN"/>
              </w:rPr>
            </w:pPr>
            <w:r>
              <w:rPr>
                <w:rFonts w:hint="eastAsia"/>
                <w:color w:val="auto"/>
                <w:lang w:val="en-US" w:eastAsia="zh-CN"/>
              </w:rPr>
              <w:t>1</w:t>
            </w:r>
          </w:p>
        </w:tc>
        <w:tc>
          <w:tcPr>
            <w:tcW w:w="1200" w:type="dxa"/>
            <w:vAlign w:val="center"/>
          </w:tcPr>
          <w:p>
            <w:pPr>
              <w:pStyle w:val="37"/>
              <w:ind w:firstLine="0" w:firstLineChars="0"/>
              <w:rPr>
                <w:rFonts w:hint="default" w:eastAsia="宋体"/>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加快构建“3255”现代都市型产业体系——推进京津冀协同发展专题研讨班</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ind w:firstLine="0" w:firstLineChars="0"/>
              <w:rPr>
                <w:rFonts w:hint="eastAsia" w:eastAsia="宋体"/>
                <w:lang w:val="en-US" w:eastAsia="zh-CN"/>
              </w:rPr>
            </w:pPr>
            <w:r>
              <w:rPr>
                <w:rFonts w:hint="eastAsia"/>
                <w:lang w:val="en-US" w:eastAsia="zh-CN"/>
              </w:rPr>
              <w:t>1</w:t>
            </w:r>
          </w:p>
        </w:tc>
        <w:tc>
          <w:tcPr>
            <w:tcW w:w="1200" w:type="dxa"/>
            <w:vAlign w:val="center"/>
          </w:tcPr>
          <w:p>
            <w:pPr>
              <w:pStyle w:val="37"/>
              <w:ind w:firstLine="0" w:firstLineChars="0"/>
              <w:rPr>
                <w:rFonts w:hint="default"/>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加快构建“3255”现代都市型产业体系——科技创新驱动专题研讨班</w:t>
            </w:r>
          </w:p>
        </w:tc>
        <w:tc>
          <w:tcPr>
            <w:tcW w:w="1014" w:type="dxa"/>
            <w:vAlign w:val="center"/>
          </w:tcPr>
          <w:p>
            <w:pPr>
              <w:pStyle w:val="37"/>
              <w:rPr>
                <w:rFonts w:hint="eastAsia"/>
                <w:lang w:val="en-US" w:eastAsia="zh-CN"/>
              </w:rPr>
            </w:pPr>
            <w:r>
              <w:rPr>
                <w:rFonts w:hint="eastAsia"/>
                <w:lang w:val="en-US" w:eastAsia="zh-CN"/>
              </w:rPr>
              <w:t>1</w:t>
            </w:r>
          </w:p>
        </w:tc>
        <w:tc>
          <w:tcPr>
            <w:tcW w:w="1014" w:type="dxa"/>
            <w:vAlign w:val="center"/>
          </w:tcPr>
          <w:p>
            <w:pPr>
              <w:pStyle w:val="37"/>
              <w:ind w:firstLine="0" w:firstLineChars="0"/>
              <w:rPr>
                <w:rFonts w:hint="eastAsia"/>
                <w:lang w:val="en-US" w:eastAsia="zh-CN"/>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和平区党建引领基层治理专题研讨班</w:t>
            </w:r>
          </w:p>
        </w:tc>
        <w:tc>
          <w:tcPr>
            <w:tcW w:w="1014" w:type="dxa"/>
            <w:vAlign w:val="center"/>
          </w:tcPr>
          <w:p>
            <w:pPr>
              <w:pStyle w:val="37"/>
              <w:rPr>
                <w:rFonts w:hint="eastAsia"/>
                <w:lang w:val="en-US" w:eastAsia="zh-CN"/>
              </w:rPr>
            </w:pPr>
            <w:r>
              <w:rPr>
                <w:rFonts w:hint="eastAsia"/>
                <w:lang w:val="en-US" w:eastAsia="zh-CN"/>
              </w:rPr>
              <w:t>1</w:t>
            </w:r>
          </w:p>
        </w:tc>
        <w:tc>
          <w:tcPr>
            <w:tcW w:w="1014" w:type="dxa"/>
            <w:vAlign w:val="center"/>
          </w:tcPr>
          <w:p>
            <w:pPr>
              <w:pStyle w:val="37"/>
              <w:ind w:firstLine="0" w:firstLineChars="0"/>
              <w:rPr>
                <w:rFonts w:hint="eastAsia"/>
                <w:lang w:val="en-US" w:eastAsia="zh-CN"/>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加快构建“3255”现代都市型产业体系——加快建设国际消费中心城市标志区专题研讨班</w:t>
            </w:r>
          </w:p>
        </w:tc>
        <w:tc>
          <w:tcPr>
            <w:tcW w:w="1014" w:type="dxa"/>
            <w:vAlign w:val="center"/>
          </w:tcPr>
          <w:p>
            <w:pPr>
              <w:pStyle w:val="37"/>
              <w:rPr>
                <w:rFonts w:hint="eastAsia"/>
                <w:lang w:val="en-US" w:eastAsia="zh-CN"/>
              </w:rPr>
            </w:pPr>
            <w:r>
              <w:rPr>
                <w:rFonts w:hint="eastAsia"/>
                <w:lang w:val="en-US" w:eastAsia="zh-CN"/>
              </w:rPr>
              <w:t>1</w:t>
            </w:r>
          </w:p>
        </w:tc>
        <w:tc>
          <w:tcPr>
            <w:tcW w:w="1014" w:type="dxa"/>
            <w:vAlign w:val="center"/>
          </w:tcPr>
          <w:p>
            <w:pPr>
              <w:pStyle w:val="37"/>
              <w:ind w:firstLine="0" w:firstLineChars="0"/>
              <w:rPr>
                <w:rFonts w:hint="eastAsia"/>
                <w:lang w:val="en-US" w:eastAsia="zh-CN"/>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加快构建“3255”现代都市型产业体系——深化“大服务大招商”行动专题研讨班</w:t>
            </w:r>
          </w:p>
        </w:tc>
        <w:tc>
          <w:tcPr>
            <w:tcW w:w="1014" w:type="dxa"/>
            <w:vAlign w:val="center"/>
          </w:tcPr>
          <w:p>
            <w:pPr>
              <w:pStyle w:val="37"/>
              <w:rPr>
                <w:rFonts w:hint="eastAsia"/>
                <w:lang w:val="en-US" w:eastAsia="zh-CN"/>
              </w:rPr>
            </w:pPr>
            <w:r>
              <w:rPr>
                <w:rFonts w:hint="eastAsia"/>
                <w:lang w:val="en-US" w:eastAsia="zh-CN"/>
              </w:rPr>
              <w:t>1</w:t>
            </w:r>
          </w:p>
        </w:tc>
        <w:tc>
          <w:tcPr>
            <w:tcW w:w="1014" w:type="dxa"/>
            <w:vAlign w:val="center"/>
          </w:tcPr>
          <w:p>
            <w:pPr>
              <w:pStyle w:val="37"/>
              <w:ind w:firstLine="0" w:firstLineChars="0"/>
              <w:rPr>
                <w:rFonts w:hint="eastAsia"/>
                <w:lang w:val="en-US" w:eastAsia="zh-CN"/>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加快构建“3255”现代都市型产业体系——中心城区更新提升专题研讨班</w:t>
            </w:r>
          </w:p>
        </w:tc>
        <w:tc>
          <w:tcPr>
            <w:tcW w:w="1014" w:type="dxa"/>
            <w:vAlign w:val="center"/>
          </w:tcPr>
          <w:p>
            <w:pPr>
              <w:pStyle w:val="37"/>
              <w:rPr>
                <w:rFonts w:hint="eastAsia"/>
                <w:lang w:val="en-US" w:eastAsia="zh-CN"/>
              </w:rPr>
            </w:pPr>
            <w:r>
              <w:rPr>
                <w:rFonts w:hint="eastAsia"/>
                <w:lang w:val="en-US" w:eastAsia="zh-CN"/>
              </w:rPr>
              <w:t>1</w:t>
            </w:r>
          </w:p>
        </w:tc>
        <w:tc>
          <w:tcPr>
            <w:tcW w:w="1014" w:type="dxa"/>
            <w:vAlign w:val="center"/>
          </w:tcPr>
          <w:p>
            <w:pPr>
              <w:pStyle w:val="37"/>
              <w:ind w:firstLine="0" w:firstLineChars="0"/>
              <w:rPr>
                <w:rFonts w:hint="eastAsia"/>
                <w:lang w:val="en-US" w:eastAsia="zh-CN"/>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处级干部任职培训班</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ind w:firstLine="0" w:firstLineChars="0"/>
              <w:rPr>
                <w:rFonts w:hint="eastAsia"/>
                <w:lang w:val="en-US" w:eastAsia="zh-CN"/>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color w:val="auto"/>
              </w:rPr>
            </w:pPr>
          </w:p>
        </w:tc>
        <w:tc>
          <w:tcPr>
            <w:tcW w:w="4079" w:type="dxa"/>
            <w:vAlign w:val="center"/>
          </w:tcPr>
          <w:p>
            <w:pPr>
              <w:pStyle w:val="37"/>
              <w:rPr>
                <w:rFonts w:hint="eastAsia"/>
                <w:color w:val="auto"/>
                <w:lang w:val="en-US" w:eastAsia="zh-CN"/>
              </w:rPr>
            </w:pPr>
            <w:r>
              <w:rPr>
                <w:rFonts w:hint="eastAsia"/>
                <w:color w:val="auto"/>
                <w:lang w:val="en-US" w:eastAsia="zh-CN"/>
              </w:rPr>
              <w:t>科级干部任职培训班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vAlign w:val="center"/>
          </w:tcPr>
          <w:p>
            <w:pPr>
              <w:pStyle w:val="37"/>
              <w:ind w:firstLine="0" w:firstLineChars="0"/>
              <w:rPr>
                <w:rFonts w:hint="eastAsia" w:eastAsia="宋体"/>
                <w:color w:val="auto"/>
                <w:lang w:val="en-US" w:eastAsia="zh-CN"/>
              </w:rPr>
            </w:pPr>
            <w:r>
              <w:rPr>
                <w:rFonts w:hint="eastAsia"/>
                <w:color w:val="auto"/>
                <w:lang w:val="en-US" w:eastAsia="zh-CN"/>
              </w:rPr>
              <w:t>1</w:t>
            </w:r>
          </w:p>
        </w:tc>
        <w:tc>
          <w:tcPr>
            <w:tcW w:w="1200" w:type="dxa"/>
            <w:vAlign w:val="center"/>
          </w:tcPr>
          <w:p>
            <w:pPr>
              <w:pStyle w:val="37"/>
              <w:ind w:firstLine="0" w:firstLineChars="0"/>
              <w:rPr>
                <w:rFonts w:hint="eastAsia"/>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color w:val="auto"/>
              </w:rPr>
            </w:pPr>
          </w:p>
        </w:tc>
        <w:tc>
          <w:tcPr>
            <w:tcW w:w="4079" w:type="dxa"/>
            <w:vAlign w:val="center"/>
          </w:tcPr>
          <w:p>
            <w:pPr>
              <w:pStyle w:val="37"/>
              <w:rPr>
                <w:rFonts w:hint="eastAsia"/>
                <w:color w:val="auto"/>
                <w:lang w:val="en-US" w:eastAsia="zh-CN"/>
              </w:rPr>
            </w:pPr>
            <w:r>
              <w:rPr>
                <w:rFonts w:hint="eastAsia"/>
                <w:color w:val="auto"/>
                <w:lang w:val="en-US" w:eastAsia="zh-CN"/>
              </w:rPr>
              <w:t>公务员初任培训班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vAlign w:val="center"/>
          </w:tcPr>
          <w:p>
            <w:pPr>
              <w:pStyle w:val="37"/>
              <w:ind w:firstLine="0" w:firstLineChars="0"/>
              <w:rPr>
                <w:rFonts w:hint="eastAsia" w:eastAsia="宋体"/>
                <w:color w:val="auto"/>
                <w:lang w:val="en-US" w:eastAsia="zh-CN"/>
              </w:rPr>
            </w:pPr>
            <w:r>
              <w:rPr>
                <w:rFonts w:hint="eastAsia"/>
                <w:color w:val="auto"/>
                <w:lang w:val="en-US" w:eastAsia="zh-CN"/>
              </w:rPr>
              <w:t>1</w:t>
            </w:r>
          </w:p>
        </w:tc>
        <w:tc>
          <w:tcPr>
            <w:tcW w:w="1200" w:type="dxa"/>
            <w:vAlign w:val="center"/>
          </w:tcPr>
          <w:p>
            <w:pPr>
              <w:pStyle w:val="37"/>
              <w:ind w:firstLine="0" w:firstLineChars="0"/>
              <w:rPr>
                <w:rFonts w:hint="eastAsia"/>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color w:val="auto"/>
              </w:rPr>
            </w:pPr>
          </w:p>
        </w:tc>
        <w:tc>
          <w:tcPr>
            <w:tcW w:w="4079" w:type="dxa"/>
            <w:vAlign w:val="center"/>
          </w:tcPr>
          <w:p>
            <w:pPr>
              <w:pStyle w:val="37"/>
              <w:rPr>
                <w:rFonts w:hint="eastAsia"/>
                <w:color w:val="auto"/>
                <w:lang w:val="en-US" w:eastAsia="zh-CN"/>
              </w:rPr>
            </w:pPr>
            <w:r>
              <w:rPr>
                <w:rFonts w:hint="eastAsia"/>
                <w:color w:val="auto"/>
                <w:lang w:val="en-US" w:eastAsia="zh-CN"/>
              </w:rPr>
              <w:t>对口帮扶甘肃三县培训班</w:t>
            </w:r>
          </w:p>
        </w:tc>
        <w:tc>
          <w:tcPr>
            <w:tcW w:w="1014" w:type="dxa"/>
            <w:vAlign w:val="center"/>
          </w:tcPr>
          <w:p>
            <w:pPr>
              <w:pStyle w:val="37"/>
              <w:rPr>
                <w:rFonts w:hint="default"/>
                <w:color w:val="auto"/>
                <w:lang w:val="en-US" w:eastAsia="zh-CN"/>
              </w:rPr>
            </w:pPr>
            <w:r>
              <w:rPr>
                <w:rFonts w:hint="eastAsia"/>
                <w:color w:val="auto"/>
                <w:lang w:val="en-US" w:eastAsia="zh-CN"/>
              </w:rPr>
              <w:t>3</w:t>
            </w:r>
          </w:p>
        </w:tc>
        <w:tc>
          <w:tcPr>
            <w:tcW w:w="1014" w:type="dxa"/>
            <w:vAlign w:val="center"/>
          </w:tcPr>
          <w:p>
            <w:pPr>
              <w:pStyle w:val="37"/>
              <w:ind w:firstLine="0" w:firstLineChars="0"/>
              <w:rPr>
                <w:rFonts w:hint="eastAsia" w:eastAsia="宋体"/>
                <w:color w:val="auto"/>
                <w:lang w:val="en-US" w:eastAsia="zh-CN"/>
              </w:rPr>
            </w:pPr>
            <w:r>
              <w:rPr>
                <w:rFonts w:hint="eastAsia"/>
                <w:color w:val="auto"/>
                <w:lang w:val="en-US" w:eastAsia="zh-CN"/>
              </w:rPr>
              <w:t>3</w:t>
            </w:r>
          </w:p>
        </w:tc>
        <w:tc>
          <w:tcPr>
            <w:tcW w:w="1200" w:type="dxa"/>
            <w:vAlign w:val="center"/>
          </w:tcPr>
          <w:p>
            <w:pPr>
              <w:pStyle w:val="37"/>
              <w:ind w:firstLine="0" w:firstLineChars="0"/>
              <w:rPr>
                <w:rFonts w:hint="default"/>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rPr>
                <w:rFonts w:hint="default"/>
                <w:b/>
                <w:bCs/>
                <w:color w:val="auto"/>
                <w:lang w:val="en-US" w:eastAsia="zh-CN"/>
              </w:rPr>
            </w:pPr>
            <w:r>
              <w:rPr>
                <w:rFonts w:hint="eastAsia"/>
                <w:b/>
                <w:bCs/>
                <w:color w:val="auto"/>
                <w:lang w:val="en-US" w:eastAsia="zh-CN"/>
              </w:rPr>
              <w:t>小计</w:t>
            </w:r>
          </w:p>
        </w:tc>
        <w:tc>
          <w:tcPr>
            <w:tcW w:w="4079" w:type="dxa"/>
            <w:vAlign w:val="center"/>
          </w:tcPr>
          <w:p>
            <w:pPr>
              <w:pStyle w:val="37"/>
              <w:rPr>
                <w:rFonts w:hint="eastAsia"/>
                <w:b/>
                <w:bCs/>
                <w:color w:val="auto"/>
                <w:lang w:val="en-US" w:eastAsia="zh-CN"/>
              </w:rPr>
            </w:pPr>
            <w:r>
              <w:rPr>
                <w:rFonts w:hint="eastAsia"/>
                <w:b/>
                <w:bCs/>
                <w:color w:val="auto"/>
                <w:lang w:val="en-US" w:eastAsia="zh-CN"/>
              </w:rPr>
              <w:t>主体班干部教育培训</w:t>
            </w:r>
          </w:p>
        </w:tc>
        <w:tc>
          <w:tcPr>
            <w:tcW w:w="1014" w:type="dxa"/>
            <w:vAlign w:val="center"/>
          </w:tcPr>
          <w:p>
            <w:pPr>
              <w:pStyle w:val="37"/>
              <w:rPr>
                <w:rFonts w:hint="default"/>
                <w:b/>
                <w:bCs/>
                <w:color w:val="auto"/>
                <w:lang w:val="en-US" w:eastAsia="zh-CN"/>
              </w:rPr>
            </w:pPr>
            <w:r>
              <w:rPr>
                <w:rFonts w:hint="eastAsia"/>
                <w:b/>
                <w:bCs/>
                <w:color w:val="auto"/>
                <w:highlight w:val="none"/>
                <w:lang w:val="en-US" w:eastAsia="zh-CN"/>
              </w:rPr>
              <w:t>24</w:t>
            </w:r>
          </w:p>
        </w:tc>
        <w:tc>
          <w:tcPr>
            <w:tcW w:w="1014" w:type="dxa"/>
            <w:vAlign w:val="center"/>
          </w:tcPr>
          <w:p>
            <w:pPr>
              <w:pStyle w:val="37"/>
              <w:rPr>
                <w:rFonts w:hint="default"/>
                <w:b/>
                <w:bCs/>
                <w:color w:val="auto"/>
                <w:lang w:val="en-US" w:eastAsia="zh-CN"/>
              </w:rPr>
            </w:pPr>
            <w:r>
              <w:rPr>
                <w:rFonts w:hint="eastAsia"/>
                <w:b/>
                <w:bCs/>
                <w:color w:val="auto"/>
                <w:lang w:val="en-US" w:eastAsia="zh-CN"/>
              </w:rPr>
              <w:t>24</w:t>
            </w:r>
          </w:p>
        </w:tc>
        <w:tc>
          <w:tcPr>
            <w:tcW w:w="1200" w:type="dxa"/>
            <w:vAlign w:val="center"/>
          </w:tcPr>
          <w:p>
            <w:pPr>
              <w:pStyle w:val="37"/>
              <w:rPr>
                <w:rFonts w:hint="default"/>
                <w:b/>
                <w:bCs/>
                <w:color w:val="auto"/>
                <w:lang w:val="en-US" w:eastAsia="zh-CN"/>
              </w:rPr>
            </w:pPr>
            <w:r>
              <w:rPr>
                <w:rFonts w:hint="eastAsia"/>
                <w:b/>
                <w:bCs/>
                <w:color w:val="auto"/>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restart"/>
            <w:shd w:val="clear" w:color="auto" w:fill="auto"/>
            <w:vAlign w:val="center"/>
          </w:tcPr>
          <w:p>
            <w:pPr>
              <w:pStyle w:val="37"/>
              <w:rPr>
                <w:rFonts w:hint="eastAsia" w:eastAsia="宋体"/>
                <w:color w:val="auto"/>
                <w:lang w:val="en-US" w:eastAsia="zh-CN"/>
              </w:rPr>
            </w:pPr>
            <w:r>
              <w:rPr>
                <w:rFonts w:hint="eastAsia"/>
                <w:color w:val="auto"/>
                <w:lang w:val="en-US" w:eastAsia="zh-CN"/>
              </w:rPr>
              <w:t>主体班党员教育培训</w:t>
            </w:r>
          </w:p>
        </w:tc>
        <w:tc>
          <w:tcPr>
            <w:tcW w:w="4079" w:type="dxa"/>
            <w:vAlign w:val="center"/>
          </w:tcPr>
          <w:p>
            <w:pPr>
              <w:pStyle w:val="37"/>
              <w:rPr>
                <w:rFonts w:hint="eastAsia"/>
                <w:color w:val="auto"/>
                <w:lang w:val="en-US" w:eastAsia="zh-CN"/>
              </w:rPr>
            </w:pPr>
            <w:r>
              <w:rPr>
                <w:rFonts w:hint="eastAsia"/>
                <w:color w:val="auto"/>
                <w:lang w:val="en-US" w:eastAsia="zh-CN"/>
              </w:rPr>
              <w:t>和平区发展对象培训班</w:t>
            </w:r>
          </w:p>
        </w:tc>
        <w:tc>
          <w:tcPr>
            <w:tcW w:w="1014" w:type="dxa"/>
            <w:vAlign w:val="center"/>
          </w:tcPr>
          <w:p>
            <w:pPr>
              <w:pStyle w:val="37"/>
              <w:rPr>
                <w:rFonts w:hint="default"/>
                <w:color w:val="auto"/>
                <w:lang w:val="en-US" w:eastAsia="zh-CN"/>
              </w:rPr>
            </w:pPr>
            <w:r>
              <w:rPr>
                <w:rFonts w:hint="eastAsia"/>
                <w:color w:val="auto"/>
                <w:lang w:val="en-US" w:eastAsia="zh-CN"/>
              </w:rPr>
              <w:t>4</w:t>
            </w:r>
          </w:p>
        </w:tc>
        <w:tc>
          <w:tcPr>
            <w:tcW w:w="1014" w:type="dxa"/>
            <w:vAlign w:val="center"/>
          </w:tcPr>
          <w:p>
            <w:pPr>
              <w:pStyle w:val="37"/>
              <w:rPr>
                <w:rFonts w:hint="default" w:eastAsia="宋体"/>
                <w:color w:val="auto"/>
                <w:lang w:val="en-US" w:eastAsia="zh-CN"/>
              </w:rPr>
            </w:pPr>
            <w:r>
              <w:rPr>
                <w:rFonts w:hint="eastAsia"/>
                <w:color w:val="auto"/>
                <w:lang w:val="en-US" w:eastAsia="zh-CN"/>
              </w:rPr>
              <w:t>4</w:t>
            </w:r>
          </w:p>
        </w:tc>
        <w:tc>
          <w:tcPr>
            <w:tcW w:w="1200" w:type="dxa"/>
            <w:vAlign w:val="center"/>
          </w:tcPr>
          <w:p>
            <w:pPr>
              <w:pStyle w:val="37"/>
              <w:rPr>
                <w:rFonts w:hint="eastAsia"/>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color w:val="auto"/>
              </w:rPr>
            </w:pPr>
          </w:p>
        </w:tc>
        <w:tc>
          <w:tcPr>
            <w:tcW w:w="4079" w:type="dxa"/>
            <w:vAlign w:val="center"/>
          </w:tcPr>
          <w:p>
            <w:pPr>
              <w:pStyle w:val="37"/>
              <w:rPr>
                <w:rFonts w:hint="eastAsia"/>
                <w:color w:val="auto"/>
                <w:lang w:val="en-US" w:eastAsia="zh-CN"/>
              </w:rPr>
            </w:pPr>
            <w:r>
              <w:rPr>
                <w:rFonts w:hint="eastAsia"/>
                <w:color w:val="auto"/>
                <w:lang w:val="en-US" w:eastAsia="zh-CN"/>
              </w:rPr>
              <w:t>和平区入党积极分子区级示范培训班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vAlign w:val="center"/>
          </w:tcPr>
          <w:p>
            <w:pPr>
              <w:pStyle w:val="37"/>
              <w:rPr>
                <w:rFonts w:hint="default" w:eastAsia="宋体"/>
                <w:color w:val="auto"/>
                <w:lang w:val="en-US" w:eastAsia="zh-CN"/>
              </w:rPr>
            </w:pPr>
            <w:r>
              <w:rPr>
                <w:rFonts w:hint="eastAsia"/>
                <w:color w:val="auto"/>
                <w:lang w:val="en-US" w:eastAsia="zh-CN"/>
              </w:rPr>
              <w:t>1</w:t>
            </w:r>
          </w:p>
        </w:tc>
        <w:tc>
          <w:tcPr>
            <w:tcW w:w="1200" w:type="dxa"/>
            <w:vAlign w:val="center"/>
          </w:tcPr>
          <w:p>
            <w:pPr>
              <w:pStyle w:val="37"/>
              <w:rPr>
                <w:rFonts w:hint="eastAsia"/>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和平区机关企事业单位党支部书记示范培训班</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rPr>
                <w:rFonts w:hint="eastAsia" w:eastAsia="宋体"/>
                <w:lang w:val="en-US" w:eastAsia="zh-CN"/>
              </w:rPr>
            </w:pPr>
            <w:r>
              <w:rPr>
                <w:rFonts w:hint="eastAsia"/>
                <w:lang w:val="en-US" w:eastAsia="zh-CN"/>
              </w:rPr>
              <w:t>1</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highlight w:val="none"/>
                <w:lang w:val="en-US" w:eastAsia="zh-CN"/>
              </w:rPr>
            </w:pPr>
            <w:r>
              <w:rPr>
                <w:rFonts w:hint="eastAsia"/>
                <w:highlight w:val="none"/>
                <w:lang w:val="en-US" w:eastAsia="zh-CN"/>
              </w:rPr>
              <w:t>和平区社区“两委”成员轮训班</w:t>
            </w:r>
          </w:p>
        </w:tc>
        <w:tc>
          <w:tcPr>
            <w:tcW w:w="1014" w:type="dxa"/>
            <w:vAlign w:val="center"/>
          </w:tcPr>
          <w:p>
            <w:pPr>
              <w:pStyle w:val="37"/>
              <w:rPr>
                <w:rFonts w:hint="default"/>
                <w:highlight w:val="none"/>
                <w:lang w:val="en-US" w:eastAsia="zh-CN"/>
              </w:rPr>
            </w:pPr>
            <w:r>
              <w:rPr>
                <w:rFonts w:hint="eastAsia"/>
                <w:highlight w:val="none"/>
                <w:lang w:val="en-US" w:eastAsia="zh-CN"/>
              </w:rPr>
              <w:t>1</w:t>
            </w:r>
          </w:p>
        </w:tc>
        <w:tc>
          <w:tcPr>
            <w:tcW w:w="1014" w:type="dxa"/>
            <w:vAlign w:val="center"/>
          </w:tcPr>
          <w:p>
            <w:pPr>
              <w:pStyle w:val="37"/>
              <w:rPr>
                <w:rFonts w:hint="eastAsia" w:eastAsia="宋体"/>
                <w:highlight w:val="none"/>
                <w:lang w:val="en-US" w:eastAsia="zh-CN"/>
              </w:rPr>
            </w:pPr>
            <w:r>
              <w:rPr>
                <w:rFonts w:hint="eastAsia"/>
                <w:highlight w:val="none"/>
                <w:lang w:val="en-US" w:eastAsia="zh-CN"/>
              </w:rPr>
              <w:t>1</w:t>
            </w:r>
          </w:p>
        </w:tc>
        <w:tc>
          <w:tcPr>
            <w:tcW w:w="1200" w:type="dxa"/>
            <w:vAlign w:val="center"/>
          </w:tcPr>
          <w:p>
            <w:pPr>
              <w:pStyle w:val="37"/>
              <w:rPr>
                <w:rFonts w:hint="eastAsia"/>
                <w:highlight w:val="none"/>
                <w:lang w:val="en-US" w:eastAsia="zh-CN"/>
              </w:rPr>
            </w:pPr>
            <w:r>
              <w:rPr>
                <w:rFonts w:hint="eastAsia"/>
                <w:b w:val="0"/>
                <w:bCs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highlight w:val="none"/>
                <w:lang w:val="en-US" w:eastAsia="zh-CN"/>
              </w:rPr>
            </w:pPr>
            <w:r>
              <w:rPr>
                <w:rFonts w:hint="eastAsia"/>
                <w:highlight w:val="none"/>
                <w:lang w:val="en-US" w:eastAsia="zh-CN"/>
              </w:rPr>
              <w:t>和平区党员教育培训区级示范班</w:t>
            </w:r>
          </w:p>
        </w:tc>
        <w:tc>
          <w:tcPr>
            <w:tcW w:w="1014" w:type="dxa"/>
            <w:vAlign w:val="center"/>
          </w:tcPr>
          <w:p>
            <w:pPr>
              <w:pStyle w:val="37"/>
              <w:rPr>
                <w:rFonts w:hint="default"/>
                <w:highlight w:val="none"/>
                <w:lang w:val="en-US" w:eastAsia="zh-CN"/>
              </w:rPr>
            </w:pPr>
            <w:r>
              <w:rPr>
                <w:rFonts w:hint="eastAsia"/>
                <w:highlight w:val="none"/>
                <w:lang w:val="en-US" w:eastAsia="zh-CN"/>
              </w:rPr>
              <w:t>1</w:t>
            </w:r>
          </w:p>
        </w:tc>
        <w:tc>
          <w:tcPr>
            <w:tcW w:w="1014" w:type="dxa"/>
            <w:vAlign w:val="center"/>
          </w:tcPr>
          <w:p>
            <w:pPr>
              <w:pStyle w:val="37"/>
              <w:rPr>
                <w:rFonts w:hint="eastAsia" w:eastAsia="宋体"/>
                <w:highlight w:val="none"/>
                <w:lang w:val="en-US" w:eastAsia="zh-CN"/>
              </w:rPr>
            </w:pPr>
            <w:r>
              <w:rPr>
                <w:rFonts w:hint="eastAsia"/>
                <w:highlight w:val="none"/>
                <w:lang w:val="en-US" w:eastAsia="zh-CN"/>
              </w:rPr>
              <w:t>1</w:t>
            </w:r>
          </w:p>
        </w:tc>
        <w:tc>
          <w:tcPr>
            <w:tcW w:w="1200" w:type="dxa"/>
            <w:vAlign w:val="center"/>
          </w:tcPr>
          <w:p>
            <w:pPr>
              <w:pStyle w:val="37"/>
              <w:rPr>
                <w:rFonts w:hint="eastAsia"/>
                <w:highlight w:val="none"/>
                <w:lang w:val="en-US" w:eastAsia="zh-CN"/>
              </w:rPr>
            </w:pPr>
            <w:r>
              <w:rPr>
                <w:rFonts w:hint="eastAsia"/>
                <w:b w:val="0"/>
                <w:bCs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和平区新党员培训区级示范班</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rPr>
                <w:rFonts w:hint="eastAsia" w:eastAsia="宋体"/>
                <w:lang w:val="en-US" w:eastAsia="zh-CN"/>
              </w:rPr>
            </w:pPr>
            <w:r>
              <w:rPr>
                <w:rFonts w:hint="eastAsia"/>
                <w:lang w:val="en-US" w:eastAsia="zh-CN"/>
              </w:rPr>
              <w:t>1</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和平区“两新”组织党组织书记培训班</w:t>
            </w:r>
          </w:p>
        </w:tc>
        <w:tc>
          <w:tcPr>
            <w:tcW w:w="1014" w:type="dxa"/>
            <w:vAlign w:val="center"/>
          </w:tcPr>
          <w:p>
            <w:pPr>
              <w:pStyle w:val="37"/>
              <w:rPr>
                <w:rFonts w:hint="default"/>
                <w:lang w:val="en-US" w:eastAsia="zh-CN"/>
              </w:rPr>
            </w:pPr>
            <w:r>
              <w:rPr>
                <w:rFonts w:hint="eastAsia"/>
                <w:lang w:val="en-US" w:eastAsia="zh-CN"/>
              </w:rPr>
              <w:t>2</w:t>
            </w:r>
          </w:p>
        </w:tc>
        <w:tc>
          <w:tcPr>
            <w:tcW w:w="1014" w:type="dxa"/>
            <w:vAlign w:val="center"/>
          </w:tcPr>
          <w:p>
            <w:pPr>
              <w:pStyle w:val="37"/>
              <w:rPr>
                <w:rFonts w:hint="eastAsia" w:eastAsia="宋体"/>
                <w:lang w:val="en-US" w:eastAsia="zh-CN"/>
              </w:rPr>
            </w:pPr>
            <w:r>
              <w:rPr>
                <w:rFonts w:hint="eastAsia"/>
                <w:lang w:val="en-US" w:eastAsia="zh-CN"/>
              </w:rPr>
              <w:t>2</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预备党员转正示范培训班</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rPr>
                <w:rFonts w:hint="eastAsia" w:eastAsia="宋体"/>
                <w:lang w:val="en-US" w:eastAsia="zh-CN"/>
              </w:rPr>
            </w:pPr>
            <w:r>
              <w:rPr>
                <w:rFonts w:hint="eastAsia"/>
                <w:lang w:val="en-US" w:eastAsia="zh-CN"/>
              </w:rPr>
              <w:t>1</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ind w:firstLine="0" w:firstLineChars="0"/>
              <w:rPr>
                <w:rFonts w:hint="eastAsia"/>
                <w:lang w:val="en-US" w:eastAsia="zh-CN"/>
              </w:rPr>
            </w:pPr>
            <w:r>
              <w:rPr>
                <w:rFonts w:hint="eastAsia"/>
                <w:b/>
                <w:bCs/>
                <w:lang w:val="en-US" w:eastAsia="zh-CN"/>
              </w:rPr>
              <w:t>小计</w:t>
            </w:r>
          </w:p>
        </w:tc>
        <w:tc>
          <w:tcPr>
            <w:tcW w:w="4079" w:type="dxa"/>
            <w:vAlign w:val="center"/>
          </w:tcPr>
          <w:p>
            <w:pPr>
              <w:pStyle w:val="37"/>
              <w:ind w:firstLine="0" w:firstLineChars="0"/>
              <w:rPr>
                <w:rFonts w:hint="eastAsia"/>
                <w:lang w:val="en-US" w:eastAsia="zh-CN"/>
              </w:rPr>
            </w:pPr>
            <w:r>
              <w:rPr>
                <w:rFonts w:hint="eastAsia"/>
                <w:b/>
                <w:bCs/>
                <w:lang w:val="en-US" w:eastAsia="zh-CN"/>
              </w:rPr>
              <w:t>主体班党员教育培训</w:t>
            </w:r>
          </w:p>
        </w:tc>
        <w:tc>
          <w:tcPr>
            <w:tcW w:w="1014" w:type="dxa"/>
            <w:vAlign w:val="center"/>
          </w:tcPr>
          <w:p>
            <w:pPr>
              <w:pStyle w:val="37"/>
              <w:ind w:firstLine="0" w:firstLineChars="0"/>
              <w:rPr>
                <w:rFonts w:hint="default"/>
                <w:lang w:val="en-US" w:eastAsia="zh-CN"/>
              </w:rPr>
            </w:pPr>
            <w:r>
              <w:rPr>
                <w:rFonts w:hint="eastAsia"/>
                <w:b/>
                <w:bCs/>
                <w:lang w:val="en-US" w:eastAsia="zh-CN"/>
              </w:rPr>
              <w:t>12</w:t>
            </w:r>
          </w:p>
        </w:tc>
        <w:tc>
          <w:tcPr>
            <w:tcW w:w="1014" w:type="dxa"/>
            <w:vAlign w:val="center"/>
          </w:tcPr>
          <w:p>
            <w:pPr>
              <w:pStyle w:val="37"/>
              <w:ind w:firstLine="0" w:firstLineChars="0"/>
              <w:rPr>
                <w:rFonts w:hint="default"/>
                <w:lang w:val="en-US" w:eastAsia="zh-CN"/>
              </w:rPr>
            </w:pPr>
            <w:r>
              <w:rPr>
                <w:rFonts w:hint="eastAsia"/>
                <w:b/>
                <w:bCs/>
                <w:lang w:val="en-US" w:eastAsia="zh-CN"/>
              </w:rPr>
              <w:t>12</w:t>
            </w:r>
          </w:p>
        </w:tc>
        <w:tc>
          <w:tcPr>
            <w:tcW w:w="1200" w:type="dxa"/>
            <w:vAlign w:val="center"/>
          </w:tcPr>
          <w:p>
            <w:pPr>
              <w:pStyle w:val="37"/>
              <w:ind w:firstLine="0" w:firstLineChars="0"/>
              <w:rPr>
                <w:rFonts w:hint="eastAsia"/>
                <w:lang w:val="en-US" w:eastAsia="zh-CN"/>
              </w:rPr>
            </w:pPr>
            <w:r>
              <w:rPr>
                <w:rFonts w:hint="eastAsia"/>
                <w:b/>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restart"/>
            <w:shd w:val="clear" w:color="auto" w:fill="auto"/>
            <w:vAlign w:val="center"/>
          </w:tcPr>
          <w:p>
            <w:pPr>
              <w:pStyle w:val="37"/>
              <w:rPr>
                <w:rFonts w:hint="default"/>
                <w:lang w:val="en-US" w:eastAsia="zh-CN"/>
              </w:rPr>
            </w:pPr>
            <w:r>
              <w:rPr>
                <w:rFonts w:hint="eastAsia"/>
                <w:lang w:val="en-US" w:eastAsia="zh-CN"/>
              </w:rPr>
              <w:t>非主体教育培训</w:t>
            </w:r>
          </w:p>
        </w:tc>
        <w:tc>
          <w:tcPr>
            <w:tcW w:w="4079" w:type="dxa"/>
            <w:vAlign w:val="center"/>
          </w:tcPr>
          <w:p>
            <w:pPr>
              <w:pStyle w:val="37"/>
              <w:rPr>
                <w:rFonts w:hint="eastAsia"/>
                <w:highlight w:val="none"/>
                <w:lang w:val="en-US" w:eastAsia="zh-CN"/>
              </w:rPr>
            </w:pPr>
            <w:r>
              <w:rPr>
                <w:rFonts w:hint="eastAsia"/>
                <w:highlight w:val="none"/>
                <w:lang w:val="en-US" w:eastAsia="zh-CN"/>
              </w:rPr>
              <w:t>小白楼街道2023年度党员培训班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和平区民主党派新成员专题培训班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南市街道2023年度党员培训班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和平区国有企业2023年党组织书记示范培训班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和平区2023年度党外代表人士骨干培训班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小白楼街道2023年党组织书记培训班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和平区党建引领基层治理专题培训班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和平区“青年马克思主义者培养工程”第三期培训班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和平区新的社会阶层人士骨干培训班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劝业场街道2023年党组织书记、党务工作者培训班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劝业场街道2023年党组织书记培训班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2023年全国新录用公务员初任培训班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党建引领基层治理完整社区示范点创建工作培训班</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color w:val="auto"/>
                <w:highlight w:val="none"/>
                <w:lang w:val="en-US" w:eastAsia="zh-CN"/>
              </w:rPr>
            </w:pPr>
            <w:r>
              <w:rPr>
                <w:rFonts w:hint="eastAsia"/>
                <w:color w:val="auto"/>
                <w:highlight w:val="none"/>
                <w:lang w:val="en-US" w:eastAsia="zh-CN"/>
              </w:rPr>
              <w:t>中共和平区委区级机关工作委员会机关基层党组织书记和党务工作者培训班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color w:val="auto"/>
                <w:kern w:val="2"/>
                <w:sz w:val="21"/>
                <w:szCs w:val="21"/>
                <w:lang w:val="en-US" w:eastAsia="zh-CN" w:bidi="ar-SA"/>
              </w:rPr>
            </w:pPr>
            <w:r>
              <w:rPr>
                <w:rFonts w:hint="eastAsia"/>
                <w:color w:val="auto"/>
                <w:lang w:val="en-US" w:eastAsia="zh-CN"/>
              </w:rPr>
              <w:t>1</w:t>
            </w:r>
          </w:p>
        </w:tc>
        <w:tc>
          <w:tcPr>
            <w:tcW w:w="1200" w:type="dxa"/>
            <w:vAlign w:val="center"/>
          </w:tcPr>
          <w:p>
            <w:pPr>
              <w:pStyle w:val="37"/>
              <w:ind w:firstLine="0" w:firstLineChars="0"/>
              <w:rPr>
                <w:rFonts w:hint="eastAsia"/>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color w:val="auto"/>
                <w:highlight w:val="none"/>
                <w:lang w:val="en-US" w:eastAsia="zh-CN"/>
              </w:rPr>
            </w:pPr>
            <w:r>
              <w:rPr>
                <w:rFonts w:hint="eastAsia"/>
                <w:color w:val="auto"/>
                <w:highlight w:val="none"/>
                <w:lang w:val="en-US" w:eastAsia="zh-CN"/>
              </w:rPr>
              <w:t>南营门街道2023年党组织书记培训班</w:t>
            </w:r>
          </w:p>
        </w:tc>
        <w:tc>
          <w:tcPr>
            <w:tcW w:w="1014" w:type="dxa"/>
            <w:vAlign w:val="center"/>
          </w:tcPr>
          <w:p>
            <w:pPr>
              <w:pStyle w:val="37"/>
              <w:rPr>
                <w:rFonts w:hint="default"/>
                <w:color w:val="auto"/>
                <w:lang w:val="en-US" w:eastAsia="zh-CN"/>
              </w:rPr>
            </w:pPr>
            <w:r>
              <w:rPr>
                <w:rFonts w:hint="eastAsia"/>
                <w:color w:val="auto"/>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color w:val="auto"/>
                <w:kern w:val="2"/>
                <w:sz w:val="21"/>
                <w:szCs w:val="21"/>
                <w:lang w:val="en-US" w:eastAsia="zh-CN" w:bidi="ar-SA"/>
              </w:rPr>
            </w:pPr>
            <w:r>
              <w:rPr>
                <w:rFonts w:hint="eastAsia"/>
                <w:color w:val="auto"/>
                <w:lang w:val="en-US" w:eastAsia="zh-CN"/>
              </w:rPr>
              <w:t>1</w:t>
            </w:r>
          </w:p>
        </w:tc>
        <w:tc>
          <w:tcPr>
            <w:tcW w:w="1200" w:type="dxa"/>
            <w:vAlign w:val="center"/>
          </w:tcPr>
          <w:p>
            <w:pPr>
              <w:pStyle w:val="37"/>
              <w:ind w:firstLine="0" w:firstLineChars="0"/>
              <w:rPr>
                <w:rFonts w:hint="eastAsia"/>
                <w:color w:val="auto"/>
                <w:lang w:val="en-US" w:eastAsia="zh-CN"/>
              </w:rPr>
            </w:pPr>
            <w:r>
              <w:rPr>
                <w:rFonts w:hint="eastAsia"/>
                <w:b w:val="0"/>
                <w:bCs w:val="0"/>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ind w:firstLine="0" w:firstLineChars="0"/>
              <w:rPr>
                <w:rFonts w:hint="eastAsia" w:eastAsia="宋体"/>
                <w:lang w:val="en-US" w:eastAsia="zh-CN"/>
              </w:rPr>
            </w:pPr>
            <w:r>
              <w:rPr>
                <w:rFonts w:hint="eastAsia"/>
                <w:b/>
                <w:bCs/>
                <w:lang w:val="en-US" w:eastAsia="zh-CN"/>
              </w:rPr>
              <w:t>小计</w:t>
            </w:r>
          </w:p>
        </w:tc>
        <w:tc>
          <w:tcPr>
            <w:tcW w:w="4079" w:type="dxa"/>
            <w:vAlign w:val="center"/>
          </w:tcPr>
          <w:p>
            <w:pPr>
              <w:pStyle w:val="37"/>
              <w:ind w:firstLine="0" w:firstLineChars="0"/>
              <w:rPr>
                <w:rFonts w:hint="eastAsia"/>
                <w:color w:val="auto"/>
                <w:lang w:val="en-US" w:eastAsia="zh-CN"/>
              </w:rPr>
            </w:pPr>
            <w:r>
              <w:rPr>
                <w:rFonts w:hint="eastAsia"/>
                <w:b/>
                <w:bCs/>
                <w:color w:val="auto"/>
                <w:lang w:val="en-US" w:eastAsia="zh-CN"/>
              </w:rPr>
              <w:t>非主体班教育培训</w:t>
            </w:r>
          </w:p>
        </w:tc>
        <w:tc>
          <w:tcPr>
            <w:tcW w:w="1014" w:type="dxa"/>
            <w:vAlign w:val="center"/>
          </w:tcPr>
          <w:p>
            <w:pPr>
              <w:pStyle w:val="37"/>
              <w:ind w:firstLine="0" w:firstLineChars="0"/>
              <w:rPr>
                <w:rFonts w:hint="default"/>
                <w:color w:val="auto"/>
                <w:lang w:val="en-US" w:eastAsia="zh-CN"/>
              </w:rPr>
            </w:pPr>
            <w:r>
              <w:rPr>
                <w:rFonts w:hint="eastAsia"/>
                <w:b/>
                <w:bCs/>
                <w:color w:val="auto"/>
                <w:lang w:val="en-US" w:eastAsia="zh-CN"/>
              </w:rPr>
              <w:t>15</w:t>
            </w:r>
          </w:p>
        </w:tc>
        <w:tc>
          <w:tcPr>
            <w:tcW w:w="1014" w:type="dxa"/>
            <w:vAlign w:val="center"/>
          </w:tcPr>
          <w:p>
            <w:pPr>
              <w:pStyle w:val="37"/>
              <w:ind w:firstLine="0" w:firstLineChars="0"/>
              <w:rPr>
                <w:rFonts w:hint="default"/>
                <w:color w:val="auto"/>
                <w:lang w:val="en-US"/>
              </w:rPr>
            </w:pPr>
            <w:r>
              <w:rPr>
                <w:rFonts w:hint="eastAsia"/>
                <w:b/>
                <w:bCs/>
                <w:color w:val="auto"/>
                <w:lang w:val="en-US" w:eastAsia="zh-CN"/>
              </w:rPr>
              <w:t>15</w:t>
            </w:r>
          </w:p>
        </w:tc>
        <w:tc>
          <w:tcPr>
            <w:tcW w:w="1200" w:type="dxa"/>
            <w:vAlign w:val="center"/>
          </w:tcPr>
          <w:p>
            <w:pPr>
              <w:pStyle w:val="37"/>
              <w:ind w:firstLine="0" w:firstLineChars="0"/>
              <w:rPr>
                <w:rFonts w:hint="default"/>
                <w:color w:val="auto"/>
                <w:lang w:val="en-US" w:eastAsia="zh-CN"/>
              </w:rPr>
            </w:pPr>
            <w:r>
              <w:rPr>
                <w:rFonts w:hint="eastAsia"/>
                <w:b/>
                <w:bCs/>
                <w:color w:val="auto"/>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rPr>
                <w:rFonts w:hint="eastAsia" w:eastAsia="宋体"/>
                <w:b/>
                <w:bCs/>
                <w:lang w:val="en-US" w:eastAsia="zh-CN"/>
              </w:rPr>
            </w:pPr>
            <w:r>
              <w:rPr>
                <w:rFonts w:hint="eastAsia"/>
                <w:b/>
                <w:bCs/>
                <w:lang w:val="en-US" w:eastAsia="zh-CN"/>
              </w:rPr>
              <w:t>合计</w:t>
            </w:r>
          </w:p>
        </w:tc>
        <w:tc>
          <w:tcPr>
            <w:tcW w:w="4079" w:type="dxa"/>
            <w:vAlign w:val="center"/>
          </w:tcPr>
          <w:p>
            <w:pPr>
              <w:pStyle w:val="37"/>
              <w:rPr>
                <w:rFonts w:hint="default"/>
                <w:b/>
                <w:bCs/>
                <w:color w:val="auto"/>
                <w:lang w:val="en-US" w:eastAsia="zh-CN"/>
              </w:rPr>
            </w:pPr>
            <w:r>
              <w:rPr>
                <w:rFonts w:hint="eastAsia"/>
                <w:b/>
                <w:bCs/>
                <w:color w:val="auto"/>
                <w:lang w:val="en-US" w:eastAsia="zh-CN"/>
              </w:rPr>
              <w:t>2023年教育培训</w:t>
            </w:r>
          </w:p>
        </w:tc>
        <w:tc>
          <w:tcPr>
            <w:tcW w:w="1014" w:type="dxa"/>
            <w:vAlign w:val="center"/>
          </w:tcPr>
          <w:p>
            <w:pPr>
              <w:pStyle w:val="37"/>
              <w:ind w:firstLine="0" w:firstLineChars="0"/>
              <w:rPr>
                <w:rFonts w:hint="default"/>
                <w:b/>
                <w:bCs/>
                <w:color w:val="auto"/>
                <w:lang w:val="en-US" w:eastAsia="zh-CN"/>
              </w:rPr>
            </w:pPr>
            <w:r>
              <w:rPr>
                <w:rFonts w:hint="eastAsia"/>
                <w:b/>
                <w:bCs/>
                <w:color w:val="auto"/>
                <w:lang w:val="en-US" w:eastAsia="zh-CN"/>
              </w:rPr>
              <w:t>51</w:t>
            </w:r>
          </w:p>
        </w:tc>
        <w:tc>
          <w:tcPr>
            <w:tcW w:w="1014" w:type="dxa"/>
            <w:vAlign w:val="center"/>
          </w:tcPr>
          <w:p>
            <w:pPr>
              <w:pStyle w:val="37"/>
              <w:ind w:firstLine="0" w:firstLineChars="0"/>
              <w:rPr>
                <w:rFonts w:hint="default" w:eastAsia="宋体"/>
                <w:b/>
                <w:bCs/>
                <w:color w:val="auto"/>
                <w:lang w:val="en-US" w:eastAsia="zh-CN"/>
              </w:rPr>
            </w:pPr>
            <w:r>
              <w:rPr>
                <w:rFonts w:hint="eastAsia"/>
                <w:b/>
                <w:bCs/>
                <w:color w:val="auto"/>
                <w:lang w:val="en-US" w:eastAsia="zh-CN"/>
              </w:rPr>
              <w:t>51</w:t>
            </w:r>
          </w:p>
        </w:tc>
        <w:tc>
          <w:tcPr>
            <w:tcW w:w="1200" w:type="dxa"/>
            <w:vAlign w:val="center"/>
          </w:tcPr>
          <w:p>
            <w:pPr>
              <w:pStyle w:val="37"/>
              <w:rPr>
                <w:rFonts w:hint="default"/>
                <w:b/>
                <w:bCs/>
                <w:color w:val="auto"/>
                <w:lang w:val="en-US" w:eastAsia="zh-CN"/>
              </w:rPr>
            </w:pPr>
            <w:r>
              <w:rPr>
                <w:rFonts w:hint="eastAsia"/>
                <w:b/>
                <w:bCs/>
                <w:color w:val="auto"/>
                <w:lang w:val="en-US" w:eastAsia="zh-CN"/>
              </w:rPr>
              <w:t>100%</w:t>
            </w:r>
          </w:p>
        </w:tc>
      </w:tr>
    </w:tbl>
    <w:p>
      <w:pPr>
        <w:pStyle w:val="25"/>
        <w:keepNext w:val="0"/>
        <w:keepLines w:val="0"/>
        <w:pageBreakBefore w:val="0"/>
        <w:kinsoku/>
        <w:wordWrap/>
        <w:overflowPunct/>
        <w:topLinePunct w:val="0"/>
        <w:autoSpaceDE/>
        <w:autoSpaceDN/>
        <w:bidi w:val="0"/>
        <w:adjustRightInd/>
        <w:snapToGrid/>
        <w:spacing w:line="560" w:lineRule="exact"/>
        <w:textAlignment w:val="auto"/>
        <w:rPr>
          <w:rFonts w:hint="eastAsia"/>
        </w:rPr>
      </w:pPr>
      <w:r>
        <w:rPr>
          <w:rFonts w:hint="eastAsia"/>
        </w:rPr>
        <w:t>②</w:t>
      </w:r>
      <w:r>
        <w:rPr>
          <w:rFonts w:hint="eastAsia"/>
          <w:lang w:val="en-US" w:eastAsia="zh-CN"/>
        </w:rPr>
        <w:t>外出宣讲</w:t>
      </w:r>
      <w:r>
        <w:rPr>
          <w:rFonts w:hint="eastAsia"/>
        </w:rPr>
        <w:t>工作完成情况：分值</w:t>
      </w:r>
      <w:r>
        <w:rPr>
          <w:rFonts w:hint="eastAsia"/>
          <w:lang w:val="en-US" w:eastAsia="zh-CN"/>
        </w:rPr>
        <w:t>4</w:t>
      </w:r>
      <w:r>
        <w:rPr>
          <w:rFonts w:hint="eastAsia"/>
          <w:highlight w:val="none"/>
        </w:rPr>
        <w:t>分，得分</w:t>
      </w:r>
      <w:r>
        <w:rPr>
          <w:rFonts w:hint="eastAsia"/>
          <w:highlight w:val="none"/>
          <w:lang w:val="en-US" w:eastAsia="zh-CN"/>
        </w:rPr>
        <w:t>4</w:t>
      </w:r>
      <w:r>
        <w:rPr>
          <w:rFonts w:hint="eastAsia"/>
          <w:highlight w:val="none"/>
        </w:rPr>
        <w:t>分，得分率100%。</w:t>
      </w:r>
      <w:r>
        <w:rPr>
          <w:rFonts w:hint="eastAsia"/>
        </w:rPr>
        <w:t>根据现场调研反馈结果及部门所提供年度工作计划、年度工作总结等资料进行评分，主要针对</w:t>
      </w:r>
      <w:r>
        <w:rPr>
          <w:rFonts w:hint="eastAsia"/>
          <w:lang w:val="en-US" w:eastAsia="zh-CN"/>
        </w:rPr>
        <w:t>党史宣讲工作</w:t>
      </w:r>
      <w:r>
        <w:rPr>
          <w:rFonts w:hint="eastAsia"/>
        </w:rPr>
        <w:t>、党的</w:t>
      </w:r>
      <w:bookmarkStart w:id="66" w:name="_GoBack"/>
      <w:bookmarkEnd w:id="66"/>
      <w:r>
        <w:rPr>
          <w:rFonts w:hint="eastAsia"/>
        </w:rPr>
        <w:t>二十大精神</w:t>
      </w:r>
      <w:r>
        <w:rPr>
          <w:rFonts w:hint="eastAsia"/>
          <w:lang w:val="en-US" w:eastAsia="zh-CN"/>
        </w:rPr>
        <w:t>专题宣讲</w:t>
      </w:r>
      <w:r>
        <w:rPr>
          <w:rFonts w:hint="eastAsia"/>
        </w:rPr>
        <w:t>工作</w:t>
      </w:r>
      <w:r>
        <w:rPr>
          <w:rFonts w:hint="eastAsia"/>
          <w:lang w:eastAsia="zh-CN"/>
        </w:rPr>
        <w:t>、</w:t>
      </w:r>
      <w:r>
        <w:rPr>
          <w:rFonts w:hint="eastAsia"/>
          <w:lang w:val="en-US" w:eastAsia="zh-CN"/>
        </w:rPr>
        <w:t>其他宣讲工作</w:t>
      </w:r>
      <w:r>
        <w:rPr>
          <w:rFonts w:hint="eastAsia"/>
        </w:rPr>
        <w:t>完成情况进行评价。</w:t>
      </w:r>
    </w:p>
    <w:p>
      <w:pPr>
        <w:pStyle w:val="25"/>
        <w:keepNext w:val="0"/>
        <w:keepLines w:val="0"/>
        <w:pageBreakBefore w:val="0"/>
        <w:kinsoku/>
        <w:wordWrap/>
        <w:overflowPunct/>
        <w:topLinePunct w:val="0"/>
        <w:autoSpaceDE/>
        <w:autoSpaceDN/>
        <w:bidi w:val="0"/>
        <w:adjustRightInd/>
        <w:snapToGrid/>
        <w:spacing w:line="560" w:lineRule="exact"/>
        <w:textAlignment w:val="auto"/>
        <w:rPr>
          <w:rFonts w:hint="eastAsia"/>
          <w:lang w:val="en-US" w:eastAsia="zh-CN"/>
        </w:rPr>
      </w:pPr>
      <w:r>
        <w:rPr>
          <w:rFonts w:hint="eastAsia"/>
          <w:lang w:val="en-US" w:eastAsia="zh-CN"/>
        </w:rPr>
        <w:t>党史宣讲工作方面，</w:t>
      </w:r>
      <w:r>
        <w:rPr>
          <w:rFonts w:hint="eastAsia"/>
        </w:rPr>
        <w:t>202</w:t>
      </w:r>
      <w:r>
        <w:rPr>
          <w:rFonts w:hint="eastAsia"/>
          <w:lang w:val="en-US" w:eastAsia="zh-CN"/>
        </w:rPr>
        <w:t>3</w:t>
      </w:r>
      <w:r>
        <w:rPr>
          <w:rFonts w:hint="eastAsia"/>
        </w:rPr>
        <w:t>年</w:t>
      </w:r>
      <w:r>
        <w:rPr>
          <w:rFonts w:hint="eastAsia"/>
          <w:lang w:val="en-US" w:eastAsia="zh-CN"/>
        </w:rPr>
        <w:t>和平</w:t>
      </w:r>
      <w:r>
        <w:rPr>
          <w:rFonts w:hint="eastAsia"/>
        </w:rPr>
        <w:t>区委党校</w:t>
      </w:r>
      <w:r>
        <w:rPr>
          <w:rFonts w:hint="eastAsia"/>
          <w:lang w:val="en-US" w:eastAsia="zh-CN"/>
        </w:rPr>
        <w:t>依托中国共产党的发展历程，结合天津市的特色党史资源，完成了区教育局、红桥区委党校等单位的党史宣讲任务，开展了共计13期党史宣讲工作，包括2期中国共产党党史宣讲以及11期天津市党史宣讲工作。</w:t>
      </w:r>
      <w:r>
        <w:rPr>
          <w:rFonts w:hint="eastAsia"/>
        </w:rPr>
        <w:t>党的二十大精神</w:t>
      </w:r>
      <w:r>
        <w:rPr>
          <w:rFonts w:hint="eastAsia"/>
          <w:lang w:val="en-US" w:eastAsia="zh-CN"/>
        </w:rPr>
        <w:t>专题宣讲</w:t>
      </w:r>
      <w:r>
        <w:rPr>
          <w:rFonts w:hint="eastAsia"/>
        </w:rPr>
        <w:t>工作</w:t>
      </w:r>
      <w:r>
        <w:rPr>
          <w:rFonts w:hint="eastAsia"/>
          <w:lang w:val="en-US" w:eastAsia="zh-CN"/>
        </w:rPr>
        <w:t>方面，和平区委党校结合党章内容与二十大精神内容，推出了《认真学习党章，严格遵守党章——学习新党章，推动党的二十大精神贯彻落实》主题宣讲课程，共计组织开展了6期宣讲，完成了</w:t>
      </w:r>
      <w:r>
        <w:rPr>
          <w:rFonts w:hint="eastAsia"/>
        </w:rPr>
        <w:t>党的二十大精神</w:t>
      </w:r>
      <w:r>
        <w:rPr>
          <w:rFonts w:hint="eastAsia"/>
          <w:lang w:val="en-US" w:eastAsia="zh-CN"/>
        </w:rPr>
        <w:t>专题宣讲任务。其他宣讲工作方面，和平区委党校结合区内实际需求，开展了《公职人员政务处分法》内容解读及案例分析、《树立清廉家风，清正党风政风》《扣好人生第一粒扣子》共计3期的党风廉政教育宣讲以及2期《坚持以人民为中心——以“解决同方花园地下车库扬尘问题”为例》的基层治理能力提升专题教育宣讲。</w:t>
      </w:r>
    </w:p>
    <w:p>
      <w:pPr>
        <w:pStyle w:val="25"/>
        <w:keepNext w:val="0"/>
        <w:keepLines w:val="0"/>
        <w:pageBreakBefore w:val="0"/>
        <w:kinsoku/>
        <w:wordWrap/>
        <w:overflowPunct/>
        <w:topLinePunct w:val="0"/>
        <w:autoSpaceDE/>
        <w:autoSpaceDN/>
        <w:bidi w:val="0"/>
        <w:adjustRightInd/>
        <w:snapToGrid/>
        <w:spacing w:line="560" w:lineRule="exact"/>
        <w:textAlignment w:val="auto"/>
        <w:rPr>
          <w:rFonts w:hint="eastAsia"/>
          <w:lang w:eastAsia="zh-CN"/>
        </w:rPr>
      </w:pPr>
      <w:r>
        <w:rPr>
          <w:rFonts w:hint="eastAsia"/>
        </w:rPr>
        <w:t>综上所述，本年</w:t>
      </w:r>
      <w:r>
        <w:rPr>
          <w:rFonts w:hint="eastAsia"/>
          <w:lang w:val="en-US" w:eastAsia="zh-CN"/>
        </w:rPr>
        <w:t>外出宣讲</w:t>
      </w:r>
      <w:r>
        <w:rPr>
          <w:rFonts w:hint="eastAsia"/>
        </w:rPr>
        <w:t>工作均已按既定工作计划开展并完成</w:t>
      </w:r>
      <w:r>
        <w:rPr>
          <w:rFonts w:hint="eastAsia"/>
          <w:lang w:eastAsia="zh-CN"/>
        </w:rPr>
        <w:t>，</w:t>
      </w:r>
      <w:r>
        <w:rPr>
          <w:rFonts w:hint="eastAsia"/>
          <w:highlight w:val="none"/>
        </w:rPr>
        <w:t>具体</w:t>
      </w:r>
      <w:r>
        <w:rPr>
          <w:rFonts w:hint="eastAsia"/>
          <w:highlight w:val="none"/>
          <w:lang w:val="en-US" w:eastAsia="zh-CN"/>
        </w:rPr>
        <w:t>外出宣讲工作开展</w:t>
      </w:r>
      <w:r>
        <w:rPr>
          <w:rFonts w:hint="eastAsia"/>
          <w:highlight w:val="none"/>
        </w:rPr>
        <w:t>情况见图3.3.3.1.</w:t>
      </w:r>
      <w:r>
        <w:rPr>
          <w:rFonts w:hint="eastAsia"/>
          <w:highlight w:val="none"/>
          <w:lang w:val="en-US" w:eastAsia="zh-CN"/>
        </w:rPr>
        <w:t>2</w:t>
      </w:r>
      <w:r>
        <w:rPr>
          <w:rFonts w:hint="eastAsia"/>
          <w:lang w:eastAsia="zh-CN"/>
        </w:rPr>
        <w:t>。</w:t>
      </w:r>
    </w:p>
    <w:p>
      <w:pPr>
        <w:pStyle w:val="32"/>
        <w:keepNext w:val="0"/>
        <w:keepLines w:val="0"/>
        <w:pageBreakBefore w:val="0"/>
        <w:kinsoku/>
        <w:wordWrap/>
        <w:overflowPunct/>
        <w:topLinePunct w:val="0"/>
        <w:autoSpaceDE/>
        <w:autoSpaceDN/>
        <w:bidi w:val="0"/>
        <w:adjustRightInd/>
        <w:snapToGrid/>
        <w:spacing w:line="560" w:lineRule="exact"/>
        <w:textAlignment w:val="auto"/>
      </w:pPr>
      <w:r>
        <w:rPr>
          <w:rFonts w:hint="eastAsia"/>
        </w:rPr>
        <w:t>表</w:t>
      </w:r>
      <w:r>
        <w:rPr>
          <w:rFonts w:hint="eastAsia"/>
          <w:lang w:val="en-US" w:eastAsia="zh-CN"/>
        </w:rPr>
        <w:t>3.3.3.1.2</w:t>
      </w:r>
      <w:r>
        <w:t xml:space="preserve"> </w:t>
      </w:r>
      <w:r>
        <w:rPr>
          <w:rFonts w:hint="eastAsia"/>
          <w:highlight w:val="none"/>
          <w:lang w:val="en-US" w:eastAsia="zh-CN"/>
        </w:rPr>
        <w:t>外出宣讲工作</w:t>
      </w:r>
      <w:r>
        <w:rPr>
          <w:rFonts w:hint="eastAsia"/>
          <w:lang w:val="en-US" w:eastAsia="zh-CN"/>
        </w:rPr>
        <w:t>任务开展情况</w:t>
      </w:r>
      <w:r>
        <w:rPr>
          <w:rFonts w:hint="eastAsia"/>
        </w:rPr>
        <w:t>表</w:t>
      </w:r>
    </w:p>
    <w:p>
      <w:pPr>
        <w:pStyle w:val="33"/>
        <w:keepNext w:val="0"/>
        <w:keepLines w:val="0"/>
        <w:pageBreakBefore w:val="0"/>
        <w:kinsoku/>
        <w:wordWrap/>
        <w:overflowPunct/>
        <w:topLinePunct w:val="0"/>
        <w:autoSpaceDE/>
        <w:autoSpaceDN/>
        <w:bidi w:val="0"/>
        <w:adjustRightInd/>
        <w:snapToGrid/>
        <w:spacing w:line="560" w:lineRule="exact"/>
        <w:textAlignment w:val="auto"/>
        <w:rPr>
          <w:rFonts w:hint="eastAsia" w:eastAsia="宋体"/>
          <w:lang w:eastAsia="zh-CN"/>
        </w:rPr>
      </w:pPr>
      <w:r>
        <w:rPr>
          <w:rFonts w:hint="eastAsia"/>
        </w:rPr>
        <w:t>单位：</w:t>
      </w:r>
      <w:r>
        <w:rPr>
          <w:rFonts w:hint="eastAsia"/>
          <w:lang w:val="en-US" w:eastAsia="zh-CN"/>
        </w:rPr>
        <w:t>期</w:t>
      </w:r>
    </w:p>
    <w:tbl>
      <w:tblPr>
        <w:tblStyle w:val="17"/>
        <w:tblW w:w="8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4079"/>
        <w:gridCol w:w="1014"/>
        <w:gridCol w:w="1014"/>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blHeader/>
        </w:trPr>
        <w:tc>
          <w:tcPr>
            <w:tcW w:w="1370" w:type="dxa"/>
            <w:shd w:val="clear" w:color="auto" w:fill="auto"/>
            <w:vAlign w:val="center"/>
          </w:tcPr>
          <w:p>
            <w:pPr>
              <w:pStyle w:val="35"/>
            </w:pPr>
            <w:r>
              <w:rPr>
                <w:rFonts w:hint="eastAsia"/>
              </w:rPr>
              <w:t>类别</w:t>
            </w:r>
          </w:p>
        </w:tc>
        <w:tc>
          <w:tcPr>
            <w:tcW w:w="4079" w:type="dxa"/>
            <w:vAlign w:val="center"/>
          </w:tcPr>
          <w:p>
            <w:pPr>
              <w:pStyle w:val="35"/>
              <w:rPr>
                <w:rFonts w:hint="default" w:eastAsia="宋体" w:cs="宋体"/>
                <w:kern w:val="0"/>
                <w:lang w:val="en-US" w:eastAsia="zh-CN"/>
              </w:rPr>
            </w:pPr>
            <w:r>
              <w:rPr>
                <w:rFonts w:hint="eastAsia" w:cs="宋体"/>
                <w:kern w:val="0"/>
                <w:lang w:val="en-US" w:eastAsia="zh-CN"/>
              </w:rPr>
              <w:t>宣讲内容</w:t>
            </w:r>
          </w:p>
        </w:tc>
        <w:tc>
          <w:tcPr>
            <w:tcW w:w="1014" w:type="dxa"/>
            <w:vAlign w:val="center"/>
          </w:tcPr>
          <w:p>
            <w:pPr>
              <w:pStyle w:val="35"/>
              <w:rPr>
                <w:rFonts w:hint="default" w:eastAsia="宋体" w:cs="宋体"/>
                <w:kern w:val="0"/>
                <w:lang w:val="en-US" w:eastAsia="zh-CN"/>
              </w:rPr>
            </w:pPr>
            <w:r>
              <w:rPr>
                <w:rFonts w:hint="eastAsia" w:cs="宋体"/>
                <w:kern w:val="0"/>
                <w:lang w:val="en-US" w:eastAsia="zh-CN"/>
              </w:rPr>
              <w:t>计划开展期数</w:t>
            </w:r>
          </w:p>
        </w:tc>
        <w:tc>
          <w:tcPr>
            <w:tcW w:w="1014" w:type="dxa"/>
            <w:vAlign w:val="center"/>
          </w:tcPr>
          <w:p>
            <w:pPr>
              <w:pStyle w:val="35"/>
              <w:rPr>
                <w:rFonts w:hint="default" w:eastAsia="宋体" w:cs="宋体"/>
                <w:kern w:val="0"/>
                <w:lang w:val="en-US" w:eastAsia="zh-CN"/>
              </w:rPr>
            </w:pPr>
            <w:r>
              <w:rPr>
                <w:rFonts w:hint="eastAsia" w:cs="宋体"/>
                <w:kern w:val="0"/>
                <w:lang w:val="en-US" w:eastAsia="zh-CN"/>
              </w:rPr>
              <w:t>实际开展期数</w:t>
            </w:r>
          </w:p>
        </w:tc>
        <w:tc>
          <w:tcPr>
            <w:tcW w:w="1200" w:type="dxa"/>
            <w:vAlign w:val="center"/>
          </w:tcPr>
          <w:p>
            <w:pPr>
              <w:pStyle w:val="35"/>
              <w:rPr>
                <w:rFonts w:hint="default" w:eastAsia="宋体" w:cs="宋体"/>
                <w:kern w:val="0"/>
                <w:lang w:val="en-US" w:eastAsia="zh-CN"/>
              </w:rPr>
            </w:pPr>
            <w:r>
              <w:rPr>
                <w:rFonts w:hint="eastAsia" w:cs="宋体"/>
                <w:kern w:val="0"/>
                <w:lang w:val="en-US" w:eastAsia="zh-CN"/>
              </w:rPr>
              <w:t>宣讲工作完成率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1370" w:type="dxa"/>
            <w:vMerge w:val="restart"/>
            <w:shd w:val="clear" w:color="auto" w:fill="auto"/>
            <w:vAlign w:val="center"/>
          </w:tcPr>
          <w:p>
            <w:pPr>
              <w:pStyle w:val="37"/>
              <w:rPr>
                <w:rFonts w:hint="default" w:eastAsia="宋体"/>
                <w:lang w:val="en-US" w:eastAsia="zh-CN"/>
              </w:rPr>
            </w:pPr>
            <w:r>
              <w:rPr>
                <w:rFonts w:hint="eastAsia"/>
                <w:lang w:val="en-US" w:eastAsia="zh-CN"/>
              </w:rPr>
              <w:t>党史宣讲</w:t>
            </w:r>
          </w:p>
        </w:tc>
        <w:tc>
          <w:tcPr>
            <w:tcW w:w="4079" w:type="dxa"/>
            <w:vAlign w:val="center"/>
          </w:tcPr>
          <w:p>
            <w:pPr>
              <w:pStyle w:val="37"/>
              <w:rPr>
                <w:rFonts w:hint="default"/>
                <w:lang w:val="en-US" w:eastAsia="zh-CN"/>
              </w:rPr>
            </w:pPr>
            <w:r>
              <w:rPr>
                <w:rFonts w:hint="eastAsia"/>
                <w:lang w:val="en-US" w:eastAsia="zh-CN"/>
              </w:rPr>
              <w:t>《中国共产党的奋斗历程》</w:t>
            </w:r>
          </w:p>
        </w:tc>
        <w:tc>
          <w:tcPr>
            <w:tcW w:w="1014" w:type="dxa"/>
            <w:vAlign w:val="center"/>
          </w:tcPr>
          <w:p>
            <w:pPr>
              <w:pStyle w:val="37"/>
              <w:rPr>
                <w:rFonts w:hint="eastAsia"/>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default"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rPr>
                <w:rFonts w:hint="default" w:eastAsia="宋体"/>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370" w:type="dxa"/>
            <w:vMerge w:val="continue"/>
            <w:shd w:val="clear" w:color="auto" w:fill="auto"/>
            <w:vAlign w:val="center"/>
          </w:tcPr>
          <w:p>
            <w:pPr>
              <w:pStyle w:val="37"/>
            </w:pPr>
          </w:p>
        </w:tc>
        <w:tc>
          <w:tcPr>
            <w:tcW w:w="4079" w:type="dxa"/>
            <w:vAlign w:val="center"/>
          </w:tcPr>
          <w:p>
            <w:pPr>
              <w:pStyle w:val="37"/>
              <w:rPr>
                <w:rFonts w:hint="default"/>
                <w:lang w:val="en-US" w:eastAsia="zh-CN"/>
              </w:rPr>
            </w:pPr>
            <w:r>
              <w:rPr>
                <w:rFonts w:hint="eastAsia"/>
                <w:lang w:val="en-US" w:eastAsia="zh-CN"/>
              </w:rPr>
              <w:t>《中国共产党的奋斗历程与优良传统》</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rPr>
                <w:rFonts w:hint="default" w:eastAsia="宋体"/>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1370" w:type="dxa"/>
            <w:vMerge w:val="continue"/>
            <w:shd w:val="clear" w:color="auto" w:fill="auto"/>
            <w:vAlign w:val="center"/>
          </w:tcPr>
          <w:p>
            <w:pPr>
              <w:pStyle w:val="37"/>
            </w:pPr>
          </w:p>
        </w:tc>
        <w:tc>
          <w:tcPr>
            <w:tcW w:w="4079" w:type="dxa"/>
            <w:vAlign w:val="center"/>
          </w:tcPr>
          <w:p>
            <w:pPr>
              <w:pStyle w:val="37"/>
              <w:rPr>
                <w:rFonts w:hint="default"/>
                <w:lang w:val="en-US" w:eastAsia="zh-CN"/>
              </w:rPr>
            </w:pPr>
            <w:r>
              <w:rPr>
                <w:rFonts w:hint="eastAsia"/>
                <w:lang w:val="en-US" w:eastAsia="zh-CN"/>
              </w:rPr>
              <w:t>《吉鸿昌在天津》</w:t>
            </w:r>
          </w:p>
        </w:tc>
        <w:tc>
          <w:tcPr>
            <w:tcW w:w="1014" w:type="dxa"/>
            <w:vAlign w:val="center"/>
          </w:tcPr>
          <w:p>
            <w:pPr>
              <w:pStyle w:val="37"/>
              <w:rPr>
                <w:rFonts w:hint="eastAsia"/>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b w:val="0"/>
                <w:bCs w:val="0"/>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370" w:type="dxa"/>
            <w:vMerge w:val="continue"/>
            <w:shd w:val="clear" w:color="auto" w:fill="auto"/>
            <w:vAlign w:val="center"/>
          </w:tcPr>
          <w:p>
            <w:pPr>
              <w:pStyle w:val="37"/>
            </w:pPr>
          </w:p>
        </w:tc>
        <w:tc>
          <w:tcPr>
            <w:tcW w:w="4079" w:type="dxa"/>
            <w:vAlign w:val="center"/>
          </w:tcPr>
          <w:p>
            <w:pPr>
              <w:pStyle w:val="37"/>
              <w:rPr>
                <w:rFonts w:hint="default"/>
                <w:lang w:val="en-US" w:eastAsia="zh-CN"/>
              </w:rPr>
            </w:pPr>
            <w:r>
              <w:rPr>
                <w:rFonts w:hint="eastAsia"/>
                <w:lang w:val="en-US" w:eastAsia="zh-CN"/>
              </w:rPr>
              <w:t>《城市的红色家底——城市史视野下的天津地方党史》</w:t>
            </w:r>
          </w:p>
        </w:tc>
        <w:tc>
          <w:tcPr>
            <w:tcW w:w="1014" w:type="dxa"/>
            <w:vAlign w:val="center"/>
          </w:tcPr>
          <w:p>
            <w:pPr>
              <w:pStyle w:val="37"/>
              <w:rPr>
                <w:rFonts w:hint="default"/>
                <w:lang w:val="en-US" w:eastAsia="zh-CN"/>
              </w:rPr>
            </w:pPr>
            <w:r>
              <w:rPr>
                <w:rFonts w:hint="eastAsia"/>
                <w:lang w:val="en-US" w:eastAsia="zh-CN"/>
              </w:rPr>
              <w:t>4</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4</w:t>
            </w:r>
          </w:p>
        </w:tc>
        <w:tc>
          <w:tcPr>
            <w:tcW w:w="1200" w:type="dxa"/>
            <w:vAlign w:val="center"/>
          </w:tcPr>
          <w:p>
            <w:pPr>
              <w:pStyle w:val="37"/>
              <w:ind w:firstLine="0" w:firstLineChars="0"/>
              <w:rPr>
                <w:b w:val="0"/>
                <w:bCs w:val="0"/>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370" w:type="dxa"/>
            <w:vMerge w:val="continue"/>
            <w:shd w:val="clear" w:color="auto" w:fill="auto"/>
            <w:vAlign w:val="center"/>
          </w:tcPr>
          <w:p>
            <w:pPr>
              <w:pStyle w:val="37"/>
            </w:pPr>
          </w:p>
        </w:tc>
        <w:tc>
          <w:tcPr>
            <w:tcW w:w="4079" w:type="dxa"/>
            <w:vAlign w:val="center"/>
          </w:tcPr>
          <w:p>
            <w:pPr>
              <w:pStyle w:val="37"/>
              <w:rPr>
                <w:rFonts w:hint="default"/>
                <w:lang w:val="en-US" w:eastAsia="zh-CN"/>
              </w:rPr>
            </w:pPr>
            <w:r>
              <w:rPr>
                <w:rFonts w:hint="eastAsia"/>
                <w:lang w:val="en-US" w:eastAsia="zh-CN"/>
              </w:rPr>
              <w:t>《北洋法政专门学校、南开中学、北洋大学》</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default" w:eastAsia="宋体"/>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pPr>
          </w:p>
        </w:tc>
        <w:tc>
          <w:tcPr>
            <w:tcW w:w="4079" w:type="dxa"/>
            <w:vAlign w:val="center"/>
          </w:tcPr>
          <w:p>
            <w:pPr>
              <w:pStyle w:val="37"/>
              <w:rPr>
                <w:rFonts w:hint="default"/>
                <w:lang w:val="en-US" w:eastAsia="zh-CN"/>
              </w:rPr>
            </w:pPr>
            <w:r>
              <w:rPr>
                <w:rFonts w:hint="eastAsia"/>
                <w:lang w:val="en-US" w:eastAsia="zh-CN"/>
              </w:rPr>
              <w:t>《解放北路上的红色资源》</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default" w:eastAsia="宋体"/>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《北方局在天津》</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default"/>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《海河沿岸的红色往事》</w:t>
            </w:r>
          </w:p>
        </w:tc>
        <w:tc>
          <w:tcPr>
            <w:tcW w:w="1014" w:type="dxa"/>
            <w:vAlign w:val="center"/>
          </w:tcPr>
          <w:p>
            <w:pPr>
              <w:pStyle w:val="37"/>
              <w:rPr>
                <w:rFonts w:hint="eastAsia"/>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lang w:val="en-US" w:eastAsia="zh-CN"/>
              </w:rPr>
            </w:pPr>
            <w:r>
              <w:rPr>
                <w:rFonts w:hint="eastAsia"/>
                <w:lang w:val="en-US" w:eastAsia="zh-CN"/>
              </w:rPr>
              <w:t>《天津城市与红色革命》</w:t>
            </w:r>
          </w:p>
        </w:tc>
        <w:tc>
          <w:tcPr>
            <w:tcW w:w="1014" w:type="dxa"/>
            <w:vAlign w:val="center"/>
          </w:tcPr>
          <w:p>
            <w:pPr>
              <w:pStyle w:val="37"/>
              <w:rPr>
                <w:rFonts w:hint="eastAsia"/>
                <w:lang w:val="en-US" w:eastAsia="zh-CN"/>
              </w:rPr>
            </w:pPr>
            <w:r>
              <w:rPr>
                <w:rFonts w:hint="eastAsia"/>
                <w:lang w:val="en-US" w:eastAsia="zh-CN"/>
              </w:rPr>
              <w:t>2</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2</w:t>
            </w:r>
          </w:p>
        </w:tc>
        <w:tc>
          <w:tcPr>
            <w:tcW w:w="1200" w:type="dxa"/>
            <w:vAlign w:val="center"/>
          </w:tcPr>
          <w:p>
            <w:pPr>
              <w:pStyle w:val="37"/>
              <w:ind w:firstLine="0" w:firstLineChars="0"/>
              <w:rPr>
                <w:rFonts w:hint="eastAsia"/>
                <w:b w:val="0"/>
                <w:bCs w:val="0"/>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rPr>
                <w:rFonts w:hint="default"/>
                <w:b/>
                <w:bCs/>
                <w:lang w:val="en-US" w:eastAsia="zh-CN"/>
              </w:rPr>
            </w:pPr>
            <w:r>
              <w:rPr>
                <w:rFonts w:hint="eastAsia"/>
                <w:b/>
                <w:bCs/>
                <w:lang w:val="en-US" w:eastAsia="zh-CN"/>
              </w:rPr>
              <w:t>小计</w:t>
            </w:r>
          </w:p>
        </w:tc>
        <w:tc>
          <w:tcPr>
            <w:tcW w:w="4079" w:type="dxa"/>
            <w:vAlign w:val="center"/>
          </w:tcPr>
          <w:p>
            <w:pPr>
              <w:pStyle w:val="37"/>
              <w:rPr>
                <w:rFonts w:hint="default"/>
                <w:b/>
                <w:bCs/>
                <w:lang w:val="en-US" w:eastAsia="zh-CN"/>
              </w:rPr>
            </w:pPr>
            <w:r>
              <w:rPr>
                <w:rFonts w:hint="eastAsia"/>
                <w:b/>
                <w:bCs/>
                <w:lang w:val="en-US" w:eastAsia="zh-CN"/>
              </w:rPr>
              <w:t>党史宣讲</w:t>
            </w:r>
          </w:p>
        </w:tc>
        <w:tc>
          <w:tcPr>
            <w:tcW w:w="1014" w:type="dxa"/>
            <w:vAlign w:val="center"/>
          </w:tcPr>
          <w:p>
            <w:pPr>
              <w:pStyle w:val="37"/>
              <w:rPr>
                <w:rFonts w:hint="default"/>
                <w:b/>
                <w:bCs/>
                <w:lang w:val="en-US" w:eastAsia="zh-CN"/>
              </w:rPr>
            </w:pPr>
            <w:r>
              <w:rPr>
                <w:rFonts w:hint="eastAsia"/>
                <w:b/>
                <w:bCs/>
                <w:lang w:val="en-US" w:eastAsia="zh-CN"/>
              </w:rPr>
              <w:t>13</w:t>
            </w:r>
          </w:p>
        </w:tc>
        <w:tc>
          <w:tcPr>
            <w:tcW w:w="1014" w:type="dxa"/>
            <w:shd w:val="clear" w:color="auto" w:fill="auto"/>
            <w:vAlign w:val="center"/>
          </w:tcPr>
          <w:p>
            <w:pPr>
              <w:pStyle w:val="37"/>
              <w:ind w:firstLine="0" w:firstLineChars="0"/>
              <w:rPr>
                <w:rFonts w:hint="default" w:ascii="Times New Roman" w:hAnsi="Times New Roman" w:eastAsia="宋体" w:cstheme="minorBidi"/>
                <w:b/>
                <w:bCs/>
                <w:kern w:val="2"/>
                <w:sz w:val="21"/>
                <w:szCs w:val="21"/>
                <w:lang w:val="en-US" w:eastAsia="zh-CN" w:bidi="ar-SA"/>
              </w:rPr>
            </w:pPr>
            <w:r>
              <w:rPr>
                <w:rFonts w:hint="eastAsia"/>
                <w:b/>
                <w:bCs/>
                <w:lang w:val="en-US" w:eastAsia="zh-CN"/>
              </w:rPr>
              <w:t>13</w:t>
            </w:r>
          </w:p>
        </w:tc>
        <w:tc>
          <w:tcPr>
            <w:tcW w:w="1200" w:type="dxa"/>
            <w:vAlign w:val="center"/>
          </w:tcPr>
          <w:p>
            <w:pPr>
              <w:pStyle w:val="37"/>
              <w:rPr>
                <w:rFonts w:hint="default"/>
                <w:b/>
                <w:bCs/>
                <w:lang w:val="en-US" w:eastAsia="zh-CN"/>
              </w:rPr>
            </w:pPr>
            <w:r>
              <w:rPr>
                <w:rFonts w:hint="eastAsia"/>
                <w:b/>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restart"/>
            <w:shd w:val="clear" w:color="auto" w:fill="auto"/>
            <w:vAlign w:val="center"/>
          </w:tcPr>
          <w:p>
            <w:pPr>
              <w:pStyle w:val="37"/>
              <w:rPr>
                <w:rFonts w:hint="default" w:eastAsia="宋体"/>
                <w:lang w:val="en-US" w:eastAsia="zh-CN"/>
              </w:rPr>
            </w:pPr>
            <w:r>
              <w:rPr>
                <w:rFonts w:hint="eastAsia"/>
                <w:lang w:val="en-US" w:eastAsia="zh-CN"/>
              </w:rPr>
              <w:t>党的二十大精神专题宣讲</w:t>
            </w:r>
          </w:p>
        </w:tc>
        <w:tc>
          <w:tcPr>
            <w:tcW w:w="4079" w:type="dxa"/>
            <w:vAlign w:val="center"/>
          </w:tcPr>
          <w:p>
            <w:pPr>
              <w:pStyle w:val="37"/>
              <w:rPr>
                <w:rFonts w:hint="eastAsia"/>
                <w:highlight w:val="none"/>
                <w:lang w:val="en-US" w:eastAsia="zh-CN"/>
              </w:rPr>
            </w:pPr>
            <w:r>
              <w:rPr>
                <w:rFonts w:hint="eastAsia"/>
                <w:highlight w:val="none"/>
                <w:lang w:val="en-US" w:eastAsia="zh-CN"/>
              </w:rPr>
              <w:t>《认真学习党章，严格遵守党章——学习新党章，推动党的二十大精神贯彻落实》</w:t>
            </w:r>
          </w:p>
        </w:tc>
        <w:tc>
          <w:tcPr>
            <w:tcW w:w="1014" w:type="dxa"/>
            <w:vAlign w:val="center"/>
          </w:tcPr>
          <w:p>
            <w:pPr>
              <w:pStyle w:val="37"/>
              <w:rPr>
                <w:rFonts w:hint="default"/>
                <w:lang w:val="en-US" w:eastAsia="zh-CN"/>
              </w:rPr>
            </w:pPr>
            <w:r>
              <w:rPr>
                <w:rFonts w:hint="eastAsia"/>
                <w:lang w:val="en-US" w:eastAsia="zh-CN"/>
              </w:rPr>
              <w:t>4</w:t>
            </w:r>
          </w:p>
        </w:tc>
        <w:tc>
          <w:tcPr>
            <w:tcW w:w="1014" w:type="dxa"/>
            <w:vAlign w:val="center"/>
          </w:tcPr>
          <w:p>
            <w:pPr>
              <w:pStyle w:val="37"/>
              <w:rPr>
                <w:rFonts w:hint="default" w:eastAsia="宋体"/>
                <w:lang w:val="en-US" w:eastAsia="zh-CN"/>
              </w:rPr>
            </w:pPr>
            <w:r>
              <w:rPr>
                <w:rFonts w:hint="eastAsia"/>
                <w:lang w:val="en-US" w:eastAsia="zh-CN"/>
              </w:rPr>
              <w:t>4</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highlight w:val="none"/>
                <w:lang w:val="en-US" w:eastAsia="zh-CN"/>
              </w:rPr>
            </w:pPr>
            <w:r>
              <w:rPr>
                <w:rFonts w:hint="eastAsia"/>
                <w:highlight w:val="none"/>
                <w:lang w:val="en-US" w:eastAsia="zh-CN"/>
              </w:rPr>
              <w:t>《坚持以人民为中心的发展思想--党的二十大精神宣讲》</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rPr>
                <w:rFonts w:hint="default" w:eastAsia="宋体"/>
                <w:lang w:val="en-US" w:eastAsia="zh-CN"/>
              </w:rPr>
            </w:pPr>
            <w:r>
              <w:rPr>
                <w:rFonts w:hint="eastAsia"/>
                <w:lang w:val="en-US" w:eastAsia="zh-CN"/>
              </w:rPr>
              <w:t>1</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rPr>
            </w:pPr>
          </w:p>
        </w:tc>
        <w:tc>
          <w:tcPr>
            <w:tcW w:w="4079" w:type="dxa"/>
            <w:vAlign w:val="center"/>
          </w:tcPr>
          <w:p>
            <w:pPr>
              <w:pStyle w:val="37"/>
              <w:rPr>
                <w:rFonts w:hint="eastAsia"/>
                <w:highlight w:val="none"/>
                <w:lang w:val="en-US" w:eastAsia="zh-CN"/>
              </w:rPr>
            </w:pPr>
            <w:r>
              <w:rPr>
                <w:rFonts w:hint="eastAsia"/>
                <w:highlight w:val="none"/>
                <w:lang w:val="en-US" w:eastAsia="zh-CN"/>
              </w:rPr>
              <w:t>《全面学习党的二十大精神 着力推动教育质量发展》</w:t>
            </w:r>
          </w:p>
        </w:tc>
        <w:tc>
          <w:tcPr>
            <w:tcW w:w="1014" w:type="dxa"/>
            <w:vAlign w:val="center"/>
          </w:tcPr>
          <w:p>
            <w:pPr>
              <w:pStyle w:val="37"/>
              <w:rPr>
                <w:rFonts w:hint="default"/>
                <w:lang w:val="en-US" w:eastAsia="zh-CN"/>
              </w:rPr>
            </w:pPr>
            <w:r>
              <w:rPr>
                <w:rFonts w:hint="eastAsia"/>
                <w:lang w:val="en-US" w:eastAsia="zh-CN"/>
              </w:rPr>
              <w:t>1</w:t>
            </w:r>
          </w:p>
        </w:tc>
        <w:tc>
          <w:tcPr>
            <w:tcW w:w="1014" w:type="dxa"/>
            <w:vAlign w:val="center"/>
          </w:tcPr>
          <w:p>
            <w:pPr>
              <w:pStyle w:val="37"/>
              <w:rPr>
                <w:rFonts w:hint="eastAsia" w:eastAsia="宋体"/>
                <w:lang w:val="en-US" w:eastAsia="zh-CN"/>
              </w:rPr>
            </w:pPr>
            <w:r>
              <w:rPr>
                <w:rFonts w:hint="eastAsia"/>
                <w:lang w:val="en-US" w:eastAsia="zh-CN"/>
              </w:rPr>
              <w:t>1</w:t>
            </w:r>
          </w:p>
        </w:tc>
        <w:tc>
          <w:tcPr>
            <w:tcW w:w="1200" w:type="dxa"/>
            <w:vAlign w:val="center"/>
          </w:tcPr>
          <w:p>
            <w:pPr>
              <w:pStyle w:val="37"/>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ind w:firstLine="0" w:firstLineChars="0"/>
              <w:rPr>
                <w:rFonts w:hint="eastAsia"/>
                <w:lang w:val="en-US" w:eastAsia="zh-CN"/>
              </w:rPr>
            </w:pPr>
            <w:r>
              <w:rPr>
                <w:rFonts w:hint="eastAsia"/>
                <w:b/>
                <w:bCs/>
                <w:lang w:val="en-US" w:eastAsia="zh-CN"/>
              </w:rPr>
              <w:t>小计</w:t>
            </w:r>
          </w:p>
        </w:tc>
        <w:tc>
          <w:tcPr>
            <w:tcW w:w="4079" w:type="dxa"/>
            <w:vAlign w:val="center"/>
          </w:tcPr>
          <w:p>
            <w:pPr>
              <w:pStyle w:val="37"/>
              <w:ind w:firstLine="0" w:firstLineChars="0"/>
              <w:rPr>
                <w:rFonts w:hint="eastAsia"/>
                <w:lang w:val="en-US" w:eastAsia="zh-CN"/>
              </w:rPr>
            </w:pPr>
            <w:r>
              <w:rPr>
                <w:rFonts w:hint="eastAsia"/>
                <w:b/>
                <w:bCs/>
                <w:lang w:val="en-US" w:eastAsia="zh-CN"/>
              </w:rPr>
              <w:t>党的二十大精神专题宣讲</w:t>
            </w:r>
          </w:p>
        </w:tc>
        <w:tc>
          <w:tcPr>
            <w:tcW w:w="1014" w:type="dxa"/>
            <w:vAlign w:val="center"/>
          </w:tcPr>
          <w:p>
            <w:pPr>
              <w:pStyle w:val="37"/>
              <w:ind w:firstLine="0" w:firstLineChars="0"/>
              <w:rPr>
                <w:rFonts w:hint="default"/>
                <w:lang w:val="en-US" w:eastAsia="zh-CN"/>
              </w:rPr>
            </w:pPr>
            <w:r>
              <w:rPr>
                <w:rFonts w:hint="eastAsia"/>
                <w:b/>
                <w:bCs/>
                <w:lang w:val="en-US" w:eastAsia="zh-CN"/>
              </w:rPr>
              <w:t>6</w:t>
            </w:r>
          </w:p>
        </w:tc>
        <w:tc>
          <w:tcPr>
            <w:tcW w:w="1014" w:type="dxa"/>
            <w:vAlign w:val="center"/>
          </w:tcPr>
          <w:p>
            <w:pPr>
              <w:pStyle w:val="37"/>
              <w:ind w:firstLine="0" w:firstLineChars="0"/>
              <w:rPr>
                <w:rFonts w:hint="default"/>
                <w:lang w:val="en-US" w:eastAsia="zh-CN"/>
              </w:rPr>
            </w:pPr>
            <w:r>
              <w:rPr>
                <w:rFonts w:hint="eastAsia"/>
                <w:b/>
                <w:bCs/>
                <w:lang w:val="en-US" w:eastAsia="zh-CN"/>
              </w:rPr>
              <w:t>6</w:t>
            </w:r>
          </w:p>
        </w:tc>
        <w:tc>
          <w:tcPr>
            <w:tcW w:w="1200" w:type="dxa"/>
            <w:vAlign w:val="center"/>
          </w:tcPr>
          <w:p>
            <w:pPr>
              <w:pStyle w:val="37"/>
              <w:ind w:firstLine="0" w:firstLineChars="0"/>
              <w:rPr>
                <w:rFonts w:hint="eastAsia"/>
                <w:lang w:val="en-US" w:eastAsia="zh-CN"/>
              </w:rPr>
            </w:pPr>
            <w:r>
              <w:rPr>
                <w:rFonts w:hint="eastAsia"/>
                <w:b/>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restart"/>
            <w:shd w:val="clear" w:color="auto" w:fill="auto"/>
            <w:vAlign w:val="center"/>
          </w:tcPr>
          <w:p>
            <w:pPr>
              <w:pStyle w:val="37"/>
              <w:rPr>
                <w:rFonts w:hint="default"/>
                <w:lang w:val="en-US" w:eastAsia="zh-CN"/>
              </w:rPr>
            </w:pPr>
            <w:r>
              <w:rPr>
                <w:rFonts w:hint="eastAsia"/>
                <w:lang w:val="en-US" w:eastAsia="zh-CN"/>
              </w:rPr>
              <w:t>其他宣讲</w:t>
            </w:r>
          </w:p>
        </w:tc>
        <w:tc>
          <w:tcPr>
            <w:tcW w:w="4079" w:type="dxa"/>
            <w:vAlign w:val="center"/>
          </w:tcPr>
          <w:p>
            <w:pPr>
              <w:pStyle w:val="37"/>
              <w:rPr>
                <w:rFonts w:hint="eastAsia"/>
                <w:highlight w:val="none"/>
                <w:lang w:val="en-US" w:eastAsia="zh-CN"/>
              </w:rPr>
            </w:pPr>
            <w:r>
              <w:rPr>
                <w:rFonts w:hint="eastAsia"/>
                <w:highlight w:val="none"/>
                <w:lang w:val="en-US" w:eastAsia="zh-CN"/>
              </w:rPr>
              <w:t>《公职人员政务处分法》内容解读及案例分析</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《树立清廉家风，清正党风政风》</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《坚持以人民为中心——以“解决同方花园地下车库扬尘问题”为例》</w:t>
            </w:r>
          </w:p>
        </w:tc>
        <w:tc>
          <w:tcPr>
            <w:tcW w:w="1014" w:type="dxa"/>
            <w:vAlign w:val="center"/>
          </w:tcPr>
          <w:p>
            <w:pPr>
              <w:pStyle w:val="37"/>
              <w:rPr>
                <w:rFonts w:hint="default"/>
                <w:lang w:val="en-US" w:eastAsia="zh-CN"/>
              </w:rPr>
            </w:pPr>
            <w:r>
              <w:rPr>
                <w:rFonts w:hint="eastAsia"/>
                <w:lang w:val="en-US" w:eastAsia="zh-CN"/>
              </w:rPr>
              <w:t>2</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2</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vMerge w:val="continue"/>
            <w:shd w:val="clear" w:color="auto" w:fill="auto"/>
            <w:vAlign w:val="center"/>
          </w:tcPr>
          <w:p>
            <w:pPr>
              <w:pStyle w:val="37"/>
              <w:rPr>
                <w:rFonts w:hint="eastAsia"/>
                <w:lang w:val="en-US" w:eastAsia="zh-CN"/>
              </w:rPr>
            </w:pPr>
          </w:p>
        </w:tc>
        <w:tc>
          <w:tcPr>
            <w:tcW w:w="4079" w:type="dxa"/>
            <w:vAlign w:val="center"/>
          </w:tcPr>
          <w:p>
            <w:pPr>
              <w:pStyle w:val="37"/>
              <w:rPr>
                <w:rFonts w:hint="eastAsia"/>
                <w:highlight w:val="none"/>
                <w:lang w:val="en-US" w:eastAsia="zh-CN"/>
              </w:rPr>
            </w:pPr>
            <w:r>
              <w:rPr>
                <w:rFonts w:hint="eastAsia"/>
                <w:highlight w:val="none"/>
                <w:lang w:val="en-US" w:eastAsia="zh-CN"/>
              </w:rPr>
              <w:t>《扣好人生第一粒扣子》</w:t>
            </w:r>
          </w:p>
        </w:tc>
        <w:tc>
          <w:tcPr>
            <w:tcW w:w="1014" w:type="dxa"/>
            <w:vAlign w:val="center"/>
          </w:tcPr>
          <w:p>
            <w:pPr>
              <w:pStyle w:val="37"/>
              <w:rPr>
                <w:rFonts w:hint="default"/>
                <w:lang w:val="en-US" w:eastAsia="zh-CN"/>
              </w:rPr>
            </w:pPr>
            <w:r>
              <w:rPr>
                <w:rFonts w:hint="eastAsia"/>
                <w:lang w:val="en-US" w:eastAsia="zh-CN"/>
              </w:rPr>
              <w:t>1</w:t>
            </w:r>
          </w:p>
        </w:tc>
        <w:tc>
          <w:tcPr>
            <w:tcW w:w="1014" w:type="dxa"/>
            <w:shd w:val="clear" w:color="auto" w:fill="auto"/>
            <w:vAlign w:val="center"/>
          </w:tcPr>
          <w:p>
            <w:pPr>
              <w:pStyle w:val="37"/>
              <w:ind w:firstLine="0" w:firstLineChars="0"/>
              <w:rPr>
                <w:rFonts w:hint="eastAsia" w:ascii="Times New Roman" w:hAnsi="Times New Roman" w:eastAsia="宋体" w:cstheme="minorBidi"/>
                <w:kern w:val="2"/>
                <w:sz w:val="21"/>
                <w:szCs w:val="21"/>
                <w:lang w:val="en-US" w:eastAsia="zh-CN" w:bidi="ar-SA"/>
              </w:rPr>
            </w:pPr>
            <w:r>
              <w:rPr>
                <w:rFonts w:hint="eastAsia"/>
                <w:lang w:val="en-US" w:eastAsia="zh-CN"/>
              </w:rPr>
              <w:t>1</w:t>
            </w:r>
          </w:p>
        </w:tc>
        <w:tc>
          <w:tcPr>
            <w:tcW w:w="1200" w:type="dxa"/>
            <w:vAlign w:val="center"/>
          </w:tcPr>
          <w:p>
            <w:pPr>
              <w:pStyle w:val="37"/>
              <w:ind w:firstLine="0" w:firstLineChars="0"/>
              <w:rPr>
                <w:rFonts w:hint="eastAsia"/>
                <w:lang w:val="en-US" w:eastAsia="zh-CN"/>
              </w:rPr>
            </w:pPr>
            <w:r>
              <w:rPr>
                <w:rFonts w:hint="eastAsia"/>
                <w:b w:val="0"/>
                <w:bCs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ind w:firstLine="0" w:firstLineChars="0"/>
              <w:rPr>
                <w:rFonts w:hint="eastAsia" w:eastAsia="宋体"/>
                <w:lang w:val="en-US" w:eastAsia="zh-CN"/>
              </w:rPr>
            </w:pPr>
            <w:r>
              <w:rPr>
                <w:rFonts w:hint="eastAsia"/>
                <w:b/>
                <w:bCs/>
                <w:lang w:val="en-US" w:eastAsia="zh-CN"/>
              </w:rPr>
              <w:t>小计</w:t>
            </w:r>
          </w:p>
        </w:tc>
        <w:tc>
          <w:tcPr>
            <w:tcW w:w="4079" w:type="dxa"/>
            <w:vAlign w:val="center"/>
          </w:tcPr>
          <w:p>
            <w:pPr>
              <w:pStyle w:val="37"/>
              <w:ind w:firstLine="0" w:firstLineChars="0"/>
              <w:rPr>
                <w:rFonts w:hint="eastAsia"/>
                <w:lang w:val="en-US" w:eastAsia="zh-CN"/>
              </w:rPr>
            </w:pPr>
            <w:r>
              <w:rPr>
                <w:rFonts w:hint="eastAsia"/>
                <w:b/>
                <w:bCs/>
                <w:lang w:val="en-US" w:eastAsia="zh-CN"/>
              </w:rPr>
              <w:t>其他宣讲</w:t>
            </w:r>
          </w:p>
        </w:tc>
        <w:tc>
          <w:tcPr>
            <w:tcW w:w="1014" w:type="dxa"/>
            <w:vAlign w:val="center"/>
          </w:tcPr>
          <w:p>
            <w:pPr>
              <w:pStyle w:val="37"/>
              <w:ind w:firstLine="0" w:firstLineChars="0"/>
              <w:rPr>
                <w:rFonts w:hint="default"/>
                <w:lang w:val="en-US" w:eastAsia="zh-CN"/>
              </w:rPr>
            </w:pPr>
            <w:r>
              <w:rPr>
                <w:rFonts w:hint="eastAsia"/>
                <w:b/>
                <w:bCs/>
                <w:lang w:val="en-US" w:eastAsia="zh-CN"/>
              </w:rPr>
              <w:t>5</w:t>
            </w:r>
          </w:p>
        </w:tc>
        <w:tc>
          <w:tcPr>
            <w:tcW w:w="1014" w:type="dxa"/>
            <w:vAlign w:val="center"/>
          </w:tcPr>
          <w:p>
            <w:pPr>
              <w:pStyle w:val="37"/>
              <w:ind w:firstLine="0" w:firstLineChars="0"/>
              <w:rPr>
                <w:rFonts w:hint="default"/>
                <w:lang w:val="en-US"/>
              </w:rPr>
            </w:pPr>
            <w:r>
              <w:rPr>
                <w:rFonts w:hint="eastAsia"/>
                <w:b/>
                <w:bCs/>
                <w:lang w:val="en-US" w:eastAsia="zh-CN"/>
              </w:rPr>
              <w:t>5</w:t>
            </w:r>
          </w:p>
        </w:tc>
        <w:tc>
          <w:tcPr>
            <w:tcW w:w="1200" w:type="dxa"/>
            <w:vAlign w:val="center"/>
          </w:tcPr>
          <w:p>
            <w:pPr>
              <w:pStyle w:val="37"/>
              <w:ind w:firstLine="0" w:firstLineChars="0"/>
              <w:rPr>
                <w:rFonts w:hint="default"/>
                <w:lang w:val="en-US" w:eastAsia="zh-CN"/>
              </w:rPr>
            </w:pPr>
            <w:r>
              <w:rPr>
                <w:rFonts w:hint="eastAsia"/>
                <w:b/>
                <w:bCs/>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370" w:type="dxa"/>
            <w:shd w:val="clear" w:color="auto" w:fill="auto"/>
            <w:vAlign w:val="center"/>
          </w:tcPr>
          <w:p>
            <w:pPr>
              <w:pStyle w:val="37"/>
              <w:rPr>
                <w:rFonts w:hint="eastAsia" w:eastAsia="宋体"/>
                <w:b/>
                <w:bCs/>
                <w:lang w:val="en-US" w:eastAsia="zh-CN"/>
              </w:rPr>
            </w:pPr>
            <w:r>
              <w:rPr>
                <w:rFonts w:hint="eastAsia"/>
                <w:b/>
                <w:bCs/>
                <w:lang w:val="en-US" w:eastAsia="zh-CN"/>
              </w:rPr>
              <w:t>合计</w:t>
            </w:r>
          </w:p>
        </w:tc>
        <w:tc>
          <w:tcPr>
            <w:tcW w:w="4079" w:type="dxa"/>
            <w:vAlign w:val="center"/>
          </w:tcPr>
          <w:p>
            <w:pPr>
              <w:pStyle w:val="37"/>
              <w:rPr>
                <w:rFonts w:hint="default"/>
                <w:b/>
                <w:bCs/>
                <w:lang w:val="en-US" w:eastAsia="zh-CN"/>
              </w:rPr>
            </w:pPr>
            <w:r>
              <w:rPr>
                <w:rFonts w:hint="eastAsia"/>
                <w:b/>
                <w:bCs/>
                <w:lang w:val="en-US" w:eastAsia="zh-CN"/>
              </w:rPr>
              <w:t>2023年外出宣讲</w:t>
            </w:r>
          </w:p>
        </w:tc>
        <w:tc>
          <w:tcPr>
            <w:tcW w:w="1014" w:type="dxa"/>
            <w:vAlign w:val="center"/>
          </w:tcPr>
          <w:p>
            <w:pPr>
              <w:pStyle w:val="37"/>
              <w:ind w:firstLine="0" w:firstLineChars="0"/>
              <w:rPr>
                <w:rFonts w:hint="default"/>
                <w:b/>
                <w:bCs/>
                <w:lang w:val="en-US" w:eastAsia="zh-CN"/>
              </w:rPr>
            </w:pPr>
            <w:r>
              <w:rPr>
                <w:rFonts w:hint="eastAsia"/>
                <w:b/>
                <w:bCs/>
                <w:lang w:val="en-US" w:eastAsia="zh-CN"/>
              </w:rPr>
              <w:t>24</w:t>
            </w:r>
          </w:p>
        </w:tc>
        <w:tc>
          <w:tcPr>
            <w:tcW w:w="1014" w:type="dxa"/>
            <w:vAlign w:val="center"/>
          </w:tcPr>
          <w:p>
            <w:pPr>
              <w:pStyle w:val="37"/>
              <w:ind w:firstLine="0" w:firstLineChars="0"/>
              <w:rPr>
                <w:rFonts w:hint="default" w:eastAsia="宋体"/>
                <w:b/>
                <w:bCs/>
                <w:lang w:val="en-US" w:eastAsia="zh-CN"/>
              </w:rPr>
            </w:pPr>
            <w:r>
              <w:rPr>
                <w:rFonts w:hint="eastAsia"/>
                <w:b/>
                <w:bCs/>
                <w:lang w:val="en-US" w:eastAsia="zh-CN"/>
              </w:rPr>
              <w:t>24</w:t>
            </w:r>
          </w:p>
        </w:tc>
        <w:tc>
          <w:tcPr>
            <w:tcW w:w="1200" w:type="dxa"/>
            <w:vAlign w:val="center"/>
          </w:tcPr>
          <w:p>
            <w:pPr>
              <w:pStyle w:val="37"/>
              <w:rPr>
                <w:rFonts w:hint="default"/>
                <w:b/>
                <w:bCs/>
                <w:lang w:val="en-US" w:eastAsia="zh-CN"/>
              </w:rPr>
            </w:pPr>
            <w:r>
              <w:rPr>
                <w:rFonts w:hint="eastAsia"/>
                <w:b/>
                <w:bCs/>
                <w:lang w:val="en-US" w:eastAsia="zh-CN"/>
              </w:rPr>
              <w:t>100%</w:t>
            </w:r>
          </w:p>
        </w:tc>
      </w:tr>
    </w:tbl>
    <w:p>
      <w:pPr>
        <w:pStyle w:val="25"/>
        <w:pageBreakBefore w:val="0"/>
        <w:widowControl w:val="0"/>
        <w:kinsoku/>
        <w:wordWrap/>
        <w:overflowPunct/>
        <w:topLinePunct w:val="0"/>
        <w:autoSpaceDE/>
        <w:autoSpaceDN/>
        <w:bidi w:val="0"/>
        <w:adjustRightInd/>
        <w:snapToGrid/>
        <w:spacing w:line="560" w:lineRule="exact"/>
        <w:textAlignment w:val="auto"/>
        <w:rPr>
          <w:rFonts w:hint="eastAsia"/>
          <w:highlight w:val="none"/>
        </w:rPr>
      </w:pPr>
      <w:r>
        <w:rPr>
          <w:rFonts w:hint="eastAsia"/>
          <w:lang w:val="en-US" w:eastAsia="zh-CN"/>
        </w:rPr>
        <w:t>③理论研</w:t>
      </w:r>
      <w:r>
        <w:rPr>
          <w:rFonts w:hint="eastAsia"/>
          <w:highlight w:val="none"/>
          <w:lang w:val="en-US" w:eastAsia="zh-CN"/>
        </w:rPr>
        <w:t>究</w:t>
      </w:r>
      <w:r>
        <w:rPr>
          <w:rFonts w:hint="eastAsia"/>
          <w:highlight w:val="none"/>
        </w:rPr>
        <w:t>工作完成情况：分值</w:t>
      </w:r>
      <w:r>
        <w:rPr>
          <w:rFonts w:hint="eastAsia"/>
          <w:highlight w:val="none"/>
          <w:lang w:val="en-US" w:eastAsia="zh-CN"/>
        </w:rPr>
        <w:t>4</w:t>
      </w:r>
      <w:r>
        <w:rPr>
          <w:rFonts w:hint="eastAsia"/>
          <w:highlight w:val="none"/>
        </w:rPr>
        <w:t>分，得分</w:t>
      </w:r>
      <w:r>
        <w:rPr>
          <w:rFonts w:hint="eastAsia"/>
          <w:highlight w:val="none"/>
          <w:lang w:val="en-US" w:eastAsia="zh-CN"/>
        </w:rPr>
        <w:t>4</w:t>
      </w:r>
      <w:r>
        <w:rPr>
          <w:rFonts w:hint="eastAsia"/>
          <w:highlight w:val="none"/>
        </w:rPr>
        <w:t>分，得分率100%。根据现场调研反馈结果及部门所提供年度工作计划、年度工作总结等资料</w:t>
      </w:r>
      <w:r>
        <w:rPr>
          <w:rFonts w:hint="eastAsia"/>
        </w:rPr>
        <w:t>进行评</w:t>
      </w:r>
      <w:r>
        <w:rPr>
          <w:rFonts w:hint="eastAsia"/>
          <w:highlight w:val="none"/>
        </w:rPr>
        <w:t>分，主要针对</w:t>
      </w:r>
      <w:r>
        <w:rPr>
          <w:rFonts w:hint="eastAsia"/>
          <w:highlight w:val="none"/>
          <w:lang w:val="en-US" w:eastAsia="zh-CN"/>
        </w:rPr>
        <w:t>科研课题研究工作和党史研究</w:t>
      </w:r>
      <w:r>
        <w:rPr>
          <w:rFonts w:hint="eastAsia"/>
          <w:highlight w:val="none"/>
        </w:rPr>
        <w:t>工作完成情况进行评价。</w:t>
      </w:r>
    </w:p>
    <w:p>
      <w:pPr>
        <w:pStyle w:val="25"/>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r>
        <w:rPr>
          <w:rFonts w:hint="eastAsia"/>
          <w:highlight w:val="none"/>
          <w:lang w:val="en-US" w:eastAsia="zh-CN"/>
        </w:rPr>
        <w:t>课题研究工作</w:t>
      </w:r>
      <w:r>
        <w:rPr>
          <w:rFonts w:hint="eastAsia"/>
          <w:lang w:val="en-US" w:eastAsia="zh-CN"/>
        </w:rPr>
        <w:t>方面，</w:t>
      </w:r>
      <w:r>
        <w:rPr>
          <w:rFonts w:hint="eastAsia"/>
        </w:rPr>
        <w:t>202</w:t>
      </w:r>
      <w:r>
        <w:rPr>
          <w:rFonts w:hint="eastAsia"/>
          <w:lang w:val="en-US" w:eastAsia="zh-CN"/>
        </w:rPr>
        <w:t>3</w:t>
      </w:r>
      <w:r>
        <w:rPr>
          <w:rFonts w:hint="eastAsia"/>
        </w:rPr>
        <w:t>年</w:t>
      </w:r>
      <w:r>
        <w:rPr>
          <w:rFonts w:hint="eastAsia"/>
          <w:lang w:val="en-US" w:eastAsia="zh-CN"/>
        </w:rPr>
        <w:t>和平</w:t>
      </w:r>
      <w:r>
        <w:rPr>
          <w:rFonts w:hint="eastAsia"/>
        </w:rPr>
        <w:t>区委党校参与党校系统科研课题1项</w:t>
      </w:r>
      <w:r>
        <w:rPr>
          <w:rFonts w:hint="eastAsia"/>
          <w:lang w:eastAsia="zh-CN"/>
        </w:rPr>
        <w:t>，获2023年度党校系统决策课题立项3项，</w:t>
      </w:r>
      <w:r>
        <w:rPr>
          <w:rFonts w:hint="eastAsia"/>
          <w:lang w:val="en-US" w:eastAsia="zh-CN"/>
        </w:rPr>
        <w:t>参与区委宣传部“宣传思想战线大调研”课题3项，区委调研课题3项，组织参加天津市党建研究会二十大精神理论征文活动，上报论文3篇。完成了1项党校系统二十大专项课题以及2项社会主义学院二十大课题共计3个课题的结项、2个天津市社科项目课题的申报以及2项十八届天津社科优秀科研成果评选的申报工作，科研课题研究工作按照计划完成。</w:t>
      </w:r>
      <w:r>
        <w:rPr>
          <w:rFonts w:hint="eastAsia"/>
          <w:highlight w:val="none"/>
          <w:lang w:val="en-US" w:eastAsia="zh-CN"/>
        </w:rPr>
        <w:t>党史研究</w:t>
      </w:r>
      <w:r>
        <w:rPr>
          <w:rFonts w:hint="eastAsia"/>
          <w:highlight w:val="none"/>
        </w:rPr>
        <w:t>工作</w:t>
      </w:r>
      <w:r>
        <w:rPr>
          <w:rFonts w:hint="eastAsia"/>
          <w:highlight w:val="none"/>
          <w:lang w:val="en-US" w:eastAsia="zh-CN"/>
        </w:rPr>
        <w:t>方面</w:t>
      </w:r>
      <w:r>
        <w:rPr>
          <w:rFonts w:hint="eastAsia"/>
          <w:highlight w:val="none"/>
          <w:lang w:eastAsia="zh-CN"/>
        </w:rPr>
        <w:t>，</w:t>
      </w:r>
      <w:r>
        <w:rPr>
          <w:rFonts w:hint="eastAsia"/>
          <w:highlight w:val="none"/>
          <w:lang w:val="en-US" w:eastAsia="zh-CN"/>
        </w:rPr>
        <w:t>和平区委党校已按照工作计划完成了市委党校课题《新时代红色资源在党性教育中的创新运用研究——以天津为例》，完成了《奋斗的历程（2002－2012）》编写任务，包括概述、文献资料、报刊文摘、回忆文章、大事记、历史照片和附录7个部分内容</w:t>
      </w:r>
      <w:r>
        <w:rPr>
          <w:rFonts w:hint="eastAsia"/>
          <w:lang w:val="en-US" w:eastAsia="zh-CN"/>
        </w:rPr>
        <w:t>。</w:t>
      </w:r>
    </w:p>
    <w:p>
      <w:pPr>
        <w:pStyle w:val="25"/>
        <w:pageBreakBefore w:val="0"/>
        <w:widowControl w:val="0"/>
        <w:kinsoku/>
        <w:wordWrap/>
        <w:overflowPunct/>
        <w:topLinePunct w:val="0"/>
        <w:autoSpaceDE/>
        <w:autoSpaceDN/>
        <w:bidi w:val="0"/>
        <w:adjustRightInd/>
        <w:snapToGrid/>
        <w:spacing w:line="560" w:lineRule="exact"/>
        <w:textAlignment w:val="auto"/>
        <w:rPr>
          <w:rFonts w:hint="eastAsia" w:eastAsia="仿宋_GB2312"/>
          <w:lang w:val="en-US" w:eastAsia="zh-CN"/>
        </w:rPr>
      </w:pPr>
      <w:r>
        <w:rPr>
          <w:rFonts w:hint="eastAsia"/>
        </w:rPr>
        <w:t>综上所述，本年</w:t>
      </w:r>
      <w:r>
        <w:rPr>
          <w:rFonts w:hint="eastAsia"/>
          <w:lang w:val="en-US" w:eastAsia="zh-CN"/>
        </w:rPr>
        <w:t>理论研究</w:t>
      </w:r>
      <w:r>
        <w:rPr>
          <w:rFonts w:hint="eastAsia"/>
        </w:rPr>
        <w:t>工作均已按既定工作计划开展并完成</w:t>
      </w:r>
      <w:r>
        <w:rPr>
          <w:rFonts w:hint="eastAsia"/>
          <w:lang w:eastAsia="zh-CN"/>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w:t>
      </w:r>
      <w:r>
        <w:t>2</w:t>
      </w:r>
      <w:r>
        <w:rPr>
          <w:rFonts w:hint="eastAsia"/>
        </w:rPr>
        <w:t>）产出质量</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w:t>
      </w:r>
      <w:r>
        <w:rPr>
          <w:rFonts w:hint="eastAsia"/>
          <w:lang w:val="en-US" w:eastAsia="zh-CN"/>
        </w:rPr>
        <w:t>教育</w:t>
      </w:r>
      <w:r>
        <w:rPr>
          <w:rFonts w:hint="eastAsia"/>
        </w:rPr>
        <w:t>培训工作质量</w:t>
      </w:r>
      <w:r>
        <w:rPr>
          <w:rFonts w:hint="eastAsia"/>
          <w:highlight w:val="none"/>
        </w:rPr>
        <w:t>达标情况：分值4分，得分4分，得分率100%。根据现场调研</w:t>
      </w:r>
      <w:r>
        <w:rPr>
          <w:rFonts w:hint="eastAsia"/>
        </w:rPr>
        <w:t>反馈结果及部门所提供年度工作计划、年度工作总结等资料进行评分，主要针对</w:t>
      </w:r>
      <w:r>
        <w:rPr>
          <w:rFonts w:hint="eastAsia"/>
          <w:lang w:val="en-US" w:eastAsia="zh-CN"/>
        </w:rPr>
        <w:t>课时比例</w:t>
      </w:r>
      <w:r>
        <w:rPr>
          <w:rFonts w:hint="eastAsia"/>
        </w:rPr>
        <w:t>合规情况、</w:t>
      </w:r>
      <w:r>
        <w:rPr>
          <w:rFonts w:hint="eastAsia"/>
          <w:lang w:val="en-US" w:eastAsia="zh-CN"/>
        </w:rPr>
        <w:t>培训内容合规情况、</w:t>
      </w:r>
      <w:r>
        <w:rPr>
          <w:rFonts w:hint="eastAsia"/>
        </w:rPr>
        <w:t>培训出勤情况进行评价。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202</w:t>
      </w:r>
      <w:r>
        <w:rPr>
          <w:rFonts w:hint="eastAsia"/>
          <w:lang w:val="en-US" w:eastAsia="zh-CN"/>
        </w:rPr>
        <w:t>3</w:t>
      </w:r>
      <w:r>
        <w:rPr>
          <w:rFonts w:hint="eastAsia"/>
        </w:rPr>
        <w:t>年</w:t>
      </w:r>
      <w:r>
        <w:rPr>
          <w:rFonts w:hint="eastAsia"/>
          <w:lang w:val="en-US" w:eastAsia="zh-CN"/>
        </w:rPr>
        <w:t>和平</w:t>
      </w:r>
      <w:r>
        <w:rPr>
          <w:rFonts w:hint="eastAsia"/>
        </w:rPr>
        <w:t>区委党校依照《中国共产党党校（行政学院）工作条例》《干部教育培训工作条例》《全国干部教育培训规划（2023－2027年）》</w:t>
      </w:r>
      <w:r>
        <w:rPr>
          <w:rFonts w:hint="eastAsia"/>
          <w:lang w:val="en-US" w:eastAsia="zh-CN"/>
        </w:rPr>
        <w:t>等</w:t>
      </w:r>
      <w:r>
        <w:rPr>
          <w:rFonts w:hint="eastAsia"/>
        </w:rPr>
        <w:t>文件要求开展培训工作，在</w:t>
      </w:r>
      <w:r>
        <w:rPr>
          <w:rFonts w:hint="eastAsia"/>
          <w:lang w:val="en-US" w:eastAsia="zh-CN"/>
        </w:rPr>
        <w:t>已开展的</w:t>
      </w:r>
      <w:r>
        <w:rPr>
          <w:rFonts w:hint="eastAsia"/>
        </w:rPr>
        <w:t>主体班次课程中，党的理论教育和党性教育不低于总课时的70%，习近平新时代中国特色社会主义思想课程的比重不低于总课时的50%</w:t>
      </w:r>
      <w:r>
        <w:rPr>
          <w:rFonts w:hint="eastAsia"/>
          <w:lang w:eastAsia="zh-CN"/>
        </w:rPr>
        <w:t>，</w:t>
      </w:r>
      <w:r>
        <w:rPr>
          <w:rFonts w:hint="eastAsia"/>
          <w:lang w:val="en-US" w:eastAsia="zh-CN"/>
        </w:rPr>
        <w:t>符合相关课时要求。培训内容包括提高学员的政治素质、理论素养、能力培养和党性修养方面等内容，本校教师所开设的新课程均经过了讲稿审核、集体备课和集中试讲流程，具有备课领导小组对课程内容审查的记录，培训内容合规。培训过程中部门能够</w:t>
      </w:r>
      <w:r>
        <w:rPr>
          <w:rFonts w:hint="eastAsia"/>
        </w:rPr>
        <w:t>严格落实请销假制度及考核制度，</w:t>
      </w:r>
      <w:r>
        <w:rPr>
          <w:rFonts w:hint="eastAsia"/>
          <w:lang w:val="en-US" w:eastAsia="zh-CN"/>
        </w:rPr>
        <w:t>主体班培训设置班主任</w:t>
      </w:r>
      <w:r>
        <w:rPr>
          <w:rFonts w:hint="eastAsia"/>
        </w:rPr>
        <w:t>组织学员开展政治学习，对学员进行教育、管理、监督和服务，培训班次学员培训期间不再承担所在单位的工作任务，</w:t>
      </w:r>
      <w:r>
        <w:rPr>
          <w:rFonts w:hint="eastAsia"/>
          <w:lang w:val="en-US" w:eastAsia="zh-CN"/>
        </w:rPr>
        <w:t>共计2706人次参与了培训，</w:t>
      </w:r>
      <w:r>
        <w:rPr>
          <w:rFonts w:hint="eastAsia"/>
        </w:rPr>
        <w:t>未出现累计请假时间超过学习总天数的1/7情况，学员出勤情况良好。综上所述，本年</w:t>
      </w:r>
      <w:r>
        <w:rPr>
          <w:rFonts w:hint="eastAsia"/>
          <w:lang w:val="en-US" w:eastAsia="zh-CN"/>
        </w:rPr>
        <w:t>教育</w:t>
      </w:r>
      <w:r>
        <w:rPr>
          <w:rFonts w:hint="eastAsia"/>
        </w:rPr>
        <w:t>培训工作完成质量良好。</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rPr>
        <w:t>②</w:t>
      </w:r>
      <w:r>
        <w:rPr>
          <w:rFonts w:hint="eastAsia"/>
          <w:lang w:val="en-US" w:eastAsia="zh-CN"/>
        </w:rPr>
        <w:t>外出宣讲工作质量达标情况：分值4分，得分4分，得分率100%。根据现场调研反馈结果及部门所提供年度工作计划、年度工作总结等资料进行评分，主要针对宣讲备课质量情况、宣讲区域覆盖情况进行评价。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highlight w:val="none"/>
        </w:rPr>
      </w:pPr>
      <w:r>
        <w:rPr>
          <w:rFonts w:hint="eastAsia"/>
          <w:lang w:val="en-US" w:eastAsia="zh-CN"/>
        </w:rPr>
        <w:t>2023年和平区委党校宣讲内容主要包括党史教育和党的二十大精神专题宣讲，已提前制定区委党校主题教育宣讲方案，按照部门备课制度完成了宣讲新课的集体备课工作，推出专题宣讲内容符合计划要求，宣讲内容审核合规。和平区委党校的录制二十大宣讲视频2份，“理响新征程，礼赞新时代”基层理论宣讲员推荐短视频2份，采取线上线下结合的宣讲方式开展宣讲工作，成立了专题宣传教育宣讲团，教师宣讲覆盖企业街道社区等各类基层单位，包括教育局、天津市实验小学、南开中学、中医药大学、新华职专等教育系统各级院校、市委党校、新华街、小白楼街、社区服务志愿者协会、天津电视台等单位，宣讲区域覆盖全面。综上所述，本年外出宣讲工作完</w:t>
      </w:r>
      <w:r>
        <w:rPr>
          <w:rFonts w:hint="eastAsia"/>
          <w:highlight w:val="none"/>
          <w:lang w:val="en-US" w:eastAsia="zh-CN"/>
        </w:rPr>
        <w:t>成质量良好。</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lang w:val="en-US" w:eastAsia="zh-CN"/>
        </w:rPr>
      </w:pPr>
      <w:r>
        <w:rPr>
          <w:rFonts w:hint="eastAsia"/>
          <w:highlight w:val="none"/>
          <w:lang w:val="en-US" w:eastAsia="zh-CN"/>
        </w:rPr>
        <w:t>③理论研究工作质量达标情况：分值4分，得分4分，得分率100%。根据现场</w:t>
      </w:r>
      <w:r>
        <w:rPr>
          <w:rFonts w:hint="eastAsia"/>
          <w:lang w:val="en-US" w:eastAsia="zh-CN"/>
        </w:rPr>
        <w:t>调研反馈结果及部门所提供年度工作计划、年度工作总结等资料进行评分，主要针对研究方向合规情况、研究成果验收达标情况进行评价。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lang w:val="en-US" w:eastAsia="zh-CN"/>
        </w:rPr>
        <w:t>2023年和平区委党校开展理论研究工作均围绕党和国家中心工作、党委和政府重大决策部署、社会热点难点问题开展，围绕“党建引领基层治理、楼宇经济发展、文旅深度融合”等重点课题，形成了《发展朝阳志愿服务，创新基层治理》《以“和平夜话”为例坚持以人民为中心 走好新时代群众路线》《城市里的红色家底》等成果，利用红色资源创新党性教育，完成课题《新时代红色资源在党性教育中的创新运用研究——以天津为例》，研究方向与计划保持一致。课题、论文以及党史资料研究成果经审核校验以及专家评审验收达标，未发现学术不端等违规行为。综上所述，本年理论研究工作完成质量良好。</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w:t>
      </w:r>
      <w:r>
        <w:t>3</w:t>
      </w:r>
      <w:r>
        <w:rPr>
          <w:rFonts w:hint="eastAsia"/>
        </w:rPr>
        <w:t>）产出进度</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工作任务完成及时情况：分值</w:t>
      </w:r>
      <w:r>
        <w:t>4</w:t>
      </w:r>
      <w:r>
        <w:rPr>
          <w:rFonts w:hint="eastAsia"/>
        </w:rPr>
        <w:t>分，得分</w:t>
      </w:r>
      <w:r>
        <w:rPr>
          <w:rFonts w:hint="eastAsia"/>
          <w:lang w:val="en-US" w:eastAsia="zh-CN"/>
        </w:rPr>
        <w:t>4</w:t>
      </w:r>
      <w:r>
        <w:rPr>
          <w:rFonts w:hint="eastAsia"/>
        </w:rPr>
        <w:t>分，得分率</w:t>
      </w:r>
      <w:r>
        <w:rPr>
          <w:rFonts w:hint="eastAsia"/>
          <w:lang w:val="en-US" w:eastAsia="zh-CN"/>
        </w:rPr>
        <w:t>100</w:t>
      </w:r>
      <w:r>
        <w:rPr>
          <w:rFonts w:hint="eastAsia"/>
        </w:rPr>
        <w:t>%。根据现场调研反馈结果及部门所提供年度工作计划、年度工作总结等资料进行评分，主要针对已开展的</w:t>
      </w:r>
      <w:r>
        <w:rPr>
          <w:rFonts w:hint="eastAsia"/>
          <w:lang w:val="en-US" w:eastAsia="zh-CN"/>
        </w:rPr>
        <w:t>教育</w:t>
      </w:r>
      <w:r>
        <w:rPr>
          <w:rFonts w:hint="eastAsia"/>
        </w:rPr>
        <w:t>培训工作、</w:t>
      </w:r>
      <w:r>
        <w:rPr>
          <w:rFonts w:hint="eastAsia"/>
          <w:lang w:val="en-US" w:eastAsia="zh-CN"/>
        </w:rPr>
        <w:t>外出</w:t>
      </w:r>
      <w:r>
        <w:rPr>
          <w:rFonts w:hint="eastAsia"/>
        </w:rPr>
        <w:t>宣讲工作、理论研究工作是否按时完成进行评价。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202</w:t>
      </w:r>
      <w:r>
        <w:rPr>
          <w:rFonts w:hint="eastAsia"/>
          <w:lang w:val="en-US" w:eastAsia="zh-CN"/>
        </w:rPr>
        <w:t>3</w:t>
      </w:r>
      <w:r>
        <w:rPr>
          <w:rFonts w:hint="eastAsia"/>
        </w:rPr>
        <w:t>年</w:t>
      </w:r>
      <w:r>
        <w:rPr>
          <w:rFonts w:hint="eastAsia"/>
          <w:lang w:val="en-US" w:eastAsia="zh-CN"/>
        </w:rPr>
        <w:t>和平</w:t>
      </w:r>
      <w:r>
        <w:rPr>
          <w:rFonts w:hint="eastAsia"/>
        </w:rPr>
        <w:t>区委</w:t>
      </w:r>
      <w:r>
        <w:rPr>
          <w:rFonts w:hint="eastAsia"/>
          <w:highlight w:val="none"/>
        </w:rPr>
        <w:t>党校依照</w:t>
      </w:r>
      <w:r>
        <w:rPr>
          <w:rFonts w:hint="eastAsia"/>
          <w:highlight w:val="none"/>
          <w:lang w:val="en-US" w:eastAsia="zh-CN"/>
        </w:rPr>
        <w:t>单位制定的培训计划、</w:t>
      </w:r>
      <w:r>
        <w:rPr>
          <w:rFonts w:hint="eastAsia"/>
          <w:highlight w:val="none"/>
        </w:rPr>
        <w:t>组织部下达培训计划、单位制定宣讲计划</w:t>
      </w:r>
      <w:r>
        <w:rPr>
          <w:rFonts w:hint="eastAsia"/>
          <w:highlight w:val="none"/>
          <w:lang w:val="en-US" w:eastAsia="zh-CN"/>
        </w:rPr>
        <w:t>科研课题立项情况以及</w:t>
      </w:r>
      <w:r>
        <w:rPr>
          <w:rFonts w:hint="eastAsia"/>
          <w:highlight w:val="none"/>
        </w:rPr>
        <w:t>市委党校（党史研究室）《关于组织开展〈奋斗的历程〉（2002－2012）编写工作的通知》要求部署安排开展工作，</w:t>
      </w:r>
      <w:r>
        <w:rPr>
          <w:rFonts w:hint="eastAsia"/>
          <w:highlight w:val="none"/>
          <w:lang w:val="en-US" w:eastAsia="zh-CN"/>
        </w:rPr>
        <w:t>已开展的各项培训均在计划时间内开展并完成</w:t>
      </w:r>
      <w:r>
        <w:rPr>
          <w:rFonts w:hint="eastAsia"/>
          <w:highlight w:val="none"/>
        </w:rPr>
        <w:t>，培训时长符合部署要求</w:t>
      </w:r>
      <w:r>
        <w:rPr>
          <w:rFonts w:hint="eastAsia"/>
          <w:highlight w:val="none"/>
          <w:lang w:eastAsia="zh-CN"/>
        </w:rPr>
        <w:t>。</w:t>
      </w:r>
      <w:r>
        <w:rPr>
          <w:rFonts w:hint="eastAsia"/>
          <w:highlight w:val="none"/>
          <w:lang w:val="en-US" w:eastAsia="zh-CN"/>
        </w:rPr>
        <w:t>24期外出</w:t>
      </w:r>
      <w:r>
        <w:rPr>
          <w:rFonts w:hint="eastAsia"/>
          <w:highlight w:val="none"/>
        </w:rPr>
        <w:t>宣讲工作</w:t>
      </w:r>
      <w:r>
        <w:rPr>
          <w:rFonts w:hint="eastAsia"/>
          <w:highlight w:val="none"/>
          <w:lang w:val="en-US" w:eastAsia="zh-CN"/>
        </w:rPr>
        <w:t>分布于全年各月开展</w:t>
      </w:r>
      <w:r>
        <w:rPr>
          <w:rFonts w:hint="eastAsia"/>
          <w:highlight w:val="none"/>
        </w:rPr>
        <w:t>，</w:t>
      </w:r>
      <w:r>
        <w:rPr>
          <w:rFonts w:hint="eastAsia"/>
          <w:highlight w:val="none"/>
          <w:lang w:val="en-US" w:eastAsia="zh-CN"/>
        </w:rPr>
        <w:t>均按照外出宣讲计划完成。理论研究工作按照课题进度推进，符合课题开展时间要求，《奋斗的历程（2002－2012）》（和平区卷）按照市委党校（党史研究室）要求，于2023年12月以前完成了初稿</w:t>
      </w:r>
      <w:r>
        <w:rPr>
          <w:rFonts w:hint="eastAsia"/>
          <w:highlight w:val="none"/>
        </w:rPr>
        <w:t>。综上所述，本年</w:t>
      </w:r>
      <w:r>
        <w:rPr>
          <w:rFonts w:hint="eastAsia"/>
          <w:highlight w:val="none"/>
          <w:lang w:val="en-US" w:eastAsia="zh-CN"/>
        </w:rPr>
        <w:t>教育</w:t>
      </w:r>
      <w:r>
        <w:rPr>
          <w:rFonts w:hint="eastAsia"/>
          <w:highlight w:val="none"/>
        </w:rPr>
        <w:t>培训工作、</w:t>
      </w:r>
      <w:r>
        <w:rPr>
          <w:rFonts w:hint="eastAsia"/>
          <w:highlight w:val="none"/>
          <w:lang w:val="en-US" w:eastAsia="zh-CN"/>
        </w:rPr>
        <w:t>外出</w:t>
      </w:r>
      <w:r>
        <w:rPr>
          <w:rFonts w:hint="eastAsia"/>
          <w:highlight w:val="none"/>
        </w:rPr>
        <w:t>宣讲工作、理论研究工作完成时效性较高。</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w:t>
      </w:r>
      <w:r>
        <w:t>4</w:t>
      </w:r>
      <w:r>
        <w:rPr>
          <w:rFonts w:hint="eastAsia"/>
        </w:rPr>
        <w:t>）产出成本</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rPr>
      </w:pPr>
      <w:r>
        <w:rPr>
          <w:rFonts w:hint="eastAsia"/>
        </w:rPr>
        <w:t>①成本控</w:t>
      </w:r>
      <w:r>
        <w:rPr>
          <w:rFonts w:hint="eastAsia"/>
          <w:color w:val="auto"/>
        </w:rPr>
        <w:t>制措施有效性：分值</w:t>
      </w:r>
      <w:r>
        <w:rPr>
          <w:color w:val="auto"/>
        </w:rPr>
        <w:t>3</w:t>
      </w:r>
      <w:r>
        <w:rPr>
          <w:rFonts w:hint="eastAsia"/>
          <w:color w:val="auto"/>
        </w:rPr>
        <w:t>分，得分</w:t>
      </w:r>
      <w:r>
        <w:rPr>
          <w:rFonts w:hint="eastAsia"/>
          <w:color w:val="auto"/>
          <w:highlight w:val="none"/>
          <w:lang w:val="en-US" w:eastAsia="zh-CN"/>
        </w:rPr>
        <w:t>3</w:t>
      </w:r>
      <w:r>
        <w:rPr>
          <w:rFonts w:hint="eastAsia"/>
          <w:color w:val="auto"/>
        </w:rPr>
        <w:t>分，得分率</w:t>
      </w:r>
      <w:r>
        <w:rPr>
          <w:rFonts w:hint="eastAsia"/>
          <w:color w:val="auto"/>
          <w:highlight w:val="none"/>
          <w:lang w:val="en-US" w:eastAsia="zh-CN"/>
        </w:rPr>
        <w:t>100</w:t>
      </w:r>
      <w:r>
        <w:rPr>
          <w:rFonts w:hint="eastAsia"/>
          <w:color w:val="auto"/>
          <w:highlight w:val="none"/>
        </w:rPr>
        <w:t>%</w:t>
      </w:r>
      <w:r>
        <w:rPr>
          <w:rFonts w:hint="eastAsia"/>
          <w:color w:val="auto"/>
        </w:rPr>
        <w:t>。依据部门成本控制措施制定情况进行评分，主要针对部门对日常工作经费成本控制措施的保障情况进行评价。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color w:val="auto"/>
        </w:rPr>
      </w:pPr>
      <w:r>
        <w:rPr>
          <w:rFonts w:hint="eastAsia"/>
          <w:color w:val="auto"/>
        </w:rPr>
        <w:t>2023年</w:t>
      </w:r>
      <w:r>
        <w:rPr>
          <w:rFonts w:hint="eastAsia"/>
          <w:color w:val="auto"/>
          <w:lang w:val="en-US" w:eastAsia="zh-CN"/>
        </w:rPr>
        <w:t>和平区委党校按照《和平区党政机关在职人员值班加班餐费开支标准》、天津市</w:t>
      </w:r>
      <w:r>
        <w:rPr>
          <w:rFonts w:ascii="Times New Roman" w:hAnsi="Times New Roman" w:eastAsia="仿宋_GB2312" w:cs="Times New Roman"/>
          <w:color w:val="auto"/>
          <w:kern w:val="0"/>
          <w:sz w:val="32"/>
          <w:szCs w:val="32"/>
        </w:rPr>
        <w:t>党政机关厉行节约反对浪费相关制度</w:t>
      </w:r>
      <w:r>
        <w:rPr>
          <w:rFonts w:hint="eastAsia" w:ascii="Times New Roman" w:hAnsi="Times New Roman" w:cs="Times New Roman"/>
          <w:color w:val="auto"/>
          <w:kern w:val="0"/>
          <w:sz w:val="32"/>
          <w:szCs w:val="32"/>
          <w:lang w:val="en-US" w:eastAsia="zh-CN"/>
        </w:rPr>
        <w:t>开展成本控制工作，</w:t>
      </w:r>
      <w:r>
        <w:rPr>
          <w:rFonts w:hint="eastAsia" w:cs="Times New Roman"/>
          <w:color w:val="auto"/>
          <w:kern w:val="0"/>
          <w:sz w:val="32"/>
          <w:szCs w:val="32"/>
          <w:highlight w:val="none"/>
          <w:lang w:val="en-US" w:eastAsia="zh-CN"/>
        </w:rPr>
        <w:t>同时制定了《和平区委党校成本控制制度》，制度中对差旅费、培训费的使用与管理进行了进一步的约束，能够达到压减财政支出的效果。</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highlight w:val="none"/>
          <w:lang w:eastAsia="zh-CN"/>
        </w:rPr>
      </w:pPr>
      <w:r>
        <w:rPr>
          <w:rFonts w:hint="eastAsia"/>
          <w:color w:val="auto"/>
        </w:rPr>
        <w:t>②成本控制措施执行情况：分值</w:t>
      </w:r>
      <w:r>
        <w:rPr>
          <w:color w:val="auto"/>
        </w:rPr>
        <w:t>3</w:t>
      </w:r>
      <w:r>
        <w:rPr>
          <w:rFonts w:hint="eastAsia"/>
          <w:color w:val="auto"/>
        </w:rPr>
        <w:t>分，得分</w:t>
      </w:r>
      <w:r>
        <w:rPr>
          <w:rFonts w:hint="eastAsia"/>
          <w:color w:val="auto"/>
          <w:highlight w:val="none"/>
          <w:lang w:val="en-US" w:eastAsia="zh-CN"/>
        </w:rPr>
        <w:t>1.5</w:t>
      </w:r>
      <w:r>
        <w:rPr>
          <w:rFonts w:hint="eastAsia"/>
          <w:color w:val="auto"/>
        </w:rPr>
        <w:t>分，得分率</w:t>
      </w:r>
      <w:r>
        <w:rPr>
          <w:rFonts w:hint="eastAsia"/>
          <w:color w:val="auto"/>
          <w:highlight w:val="none"/>
          <w:lang w:val="en-US" w:eastAsia="zh-CN"/>
        </w:rPr>
        <w:t>50</w:t>
      </w:r>
      <w:r>
        <w:rPr>
          <w:rFonts w:hint="eastAsia"/>
          <w:color w:val="auto"/>
          <w:highlight w:val="none"/>
        </w:rPr>
        <w:t>%</w:t>
      </w:r>
      <w:r>
        <w:rPr>
          <w:rFonts w:hint="eastAsia"/>
          <w:color w:val="auto"/>
        </w:rPr>
        <w:t>。</w:t>
      </w:r>
      <w:r>
        <w:rPr>
          <w:rFonts w:hint="eastAsia"/>
          <w:color w:val="auto"/>
          <w:highlight w:val="none"/>
        </w:rPr>
        <w:t>依据部门成本控制措施执行情况进行评分，</w:t>
      </w:r>
      <w:r>
        <w:rPr>
          <w:rFonts w:hint="eastAsia"/>
          <w:highlight w:val="none"/>
        </w:rPr>
        <w:t>主要针对部门是否执行所制定的成本控制措施及部门成本是否得到控制的情况进行评价</w:t>
      </w:r>
      <w:r>
        <w:rPr>
          <w:rFonts w:hint="eastAsia"/>
          <w:highlight w:val="none"/>
          <w:lang w:eastAsia="zh-CN"/>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2023年</w:t>
      </w:r>
      <w:r>
        <w:rPr>
          <w:rFonts w:hint="eastAsia"/>
          <w:lang w:val="en-US" w:eastAsia="zh-CN"/>
        </w:rPr>
        <w:t>和平区委党校按照天津市</w:t>
      </w:r>
      <w:r>
        <w:rPr>
          <w:rFonts w:ascii="Times New Roman" w:hAnsi="Times New Roman" w:eastAsia="仿宋_GB2312" w:cs="Times New Roman"/>
          <w:kern w:val="0"/>
          <w:sz w:val="32"/>
          <w:szCs w:val="32"/>
        </w:rPr>
        <w:t>党政机关厉行节约反对浪费相关</w:t>
      </w:r>
      <w:r>
        <w:rPr>
          <w:rFonts w:ascii="Times New Roman" w:hAnsi="Times New Roman" w:eastAsia="仿宋_GB2312" w:cs="Times New Roman"/>
          <w:color w:val="auto"/>
          <w:kern w:val="0"/>
          <w:sz w:val="32"/>
          <w:szCs w:val="32"/>
        </w:rPr>
        <w:t>制度</w:t>
      </w:r>
      <w:r>
        <w:rPr>
          <w:rFonts w:hint="eastAsia" w:cs="Times New Roman"/>
          <w:color w:val="auto"/>
          <w:kern w:val="0"/>
          <w:sz w:val="32"/>
          <w:szCs w:val="32"/>
          <w:highlight w:val="none"/>
          <w:lang w:val="en-US" w:eastAsia="zh-CN"/>
        </w:rPr>
        <w:t>及《和平区委党校成本控制制度》</w:t>
      </w:r>
      <w:r>
        <w:rPr>
          <w:rFonts w:hint="eastAsia" w:ascii="Times New Roman" w:hAnsi="Times New Roman" w:cs="Times New Roman"/>
          <w:color w:val="auto"/>
          <w:kern w:val="0"/>
          <w:sz w:val="32"/>
          <w:szCs w:val="32"/>
          <w:lang w:val="en-US" w:eastAsia="zh-CN"/>
        </w:rPr>
        <w:t>开展成本控制工作</w:t>
      </w:r>
      <w:r>
        <w:rPr>
          <w:rFonts w:hint="eastAsia" w:cs="Times New Roman"/>
          <w:color w:val="auto"/>
          <w:kern w:val="0"/>
          <w:sz w:val="32"/>
          <w:szCs w:val="32"/>
          <w:lang w:val="en-US" w:eastAsia="zh-CN"/>
        </w:rPr>
        <w:t>，差旅费、会议费、培训费等支出标准控制在了相关</w:t>
      </w:r>
      <w:r>
        <w:rPr>
          <w:rFonts w:hint="eastAsia" w:cs="Times New Roman"/>
          <w:color w:val="auto"/>
          <w:kern w:val="0"/>
          <w:sz w:val="32"/>
          <w:szCs w:val="32"/>
          <w:highlight w:val="none"/>
          <w:lang w:val="en-US" w:eastAsia="zh-CN"/>
        </w:rPr>
        <w:t>管理制度之内，但</w:t>
      </w:r>
      <w:r>
        <w:rPr>
          <w:rFonts w:hint="eastAsia"/>
          <w:color w:val="auto"/>
          <w:highlight w:val="none"/>
        </w:rPr>
        <w:t>202</w:t>
      </w:r>
      <w:r>
        <w:rPr>
          <w:rFonts w:hint="eastAsia"/>
          <w:color w:val="auto"/>
          <w:highlight w:val="none"/>
          <w:lang w:val="en-US" w:eastAsia="zh-CN"/>
        </w:rPr>
        <w:t>3</w:t>
      </w:r>
      <w:r>
        <w:rPr>
          <w:rFonts w:hint="eastAsia"/>
          <w:color w:val="auto"/>
          <w:highlight w:val="none"/>
        </w:rPr>
        <w:t>年决算数据显示财政公用支出</w:t>
      </w:r>
      <w:r>
        <w:rPr>
          <w:rFonts w:hint="eastAsia"/>
          <w:color w:val="auto"/>
          <w:highlight w:val="none"/>
          <w:lang w:val="en-US" w:eastAsia="zh-CN"/>
        </w:rPr>
        <w:t>45.42</w:t>
      </w:r>
      <w:r>
        <w:rPr>
          <w:rFonts w:hint="eastAsia"/>
          <w:color w:val="auto"/>
          <w:highlight w:val="none"/>
        </w:rPr>
        <w:t>万元，</w:t>
      </w:r>
      <w:r>
        <w:rPr>
          <w:rFonts w:hint="eastAsia"/>
          <w:color w:val="auto"/>
          <w:highlight w:val="none"/>
          <w:lang w:val="en-US" w:eastAsia="zh-CN"/>
        </w:rPr>
        <w:t>其中包含202</w:t>
      </w:r>
      <w:r>
        <w:rPr>
          <w:rFonts w:hint="eastAsia"/>
          <w:highlight w:val="none"/>
          <w:lang w:val="en-US" w:eastAsia="zh-CN"/>
        </w:rPr>
        <w:t>2年未结取暖费11.39万元，去除该部分费用后归属于2023年财政公用支出为34.03万元，</w:t>
      </w:r>
      <w:r>
        <w:rPr>
          <w:rFonts w:hint="eastAsia"/>
          <w:highlight w:val="none"/>
        </w:rPr>
        <w:t>2022年财政公用支出为</w:t>
      </w:r>
      <w:r>
        <w:rPr>
          <w:rFonts w:hint="eastAsia"/>
          <w:highlight w:val="none"/>
          <w:lang w:val="en-US" w:eastAsia="zh-CN"/>
        </w:rPr>
        <w:t>31.65</w:t>
      </w:r>
      <w:r>
        <w:rPr>
          <w:rFonts w:hint="eastAsia"/>
          <w:highlight w:val="none"/>
        </w:rPr>
        <w:t>万元，对比2022年财政公用支出</w:t>
      </w:r>
      <w:r>
        <w:rPr>
          <w:rFonts w:hint="eastAsia"/>
          <w:highlight w:val="none"/>
          <w:lang w:val="en-US" w:eastAsia="zh-CN"/>
        </w:rPr>
        <w:t>增长了2.38</w:t>
      </w:r>
      <w:r>
        <w:rPr>
          <w:rFonts w:hint="eastAsia"/>
          <w:highlight w:val="none"/>
        </w:rPr>
        <w:t>万元。综上所述，部门成本</w:t>
      </w:r>
      <w:r>
        <w:rPr>
          <w:rFonts w:hint="eastAsia"/>
          <w:highlight w:val="none"/>
          <w:lang w:val="en-US" w:eastAsia="zh-CN"/>
        </w:rPr>
        <w:t>未能得到有效控制</w:t>
      </w:r>
      <w:r>
        <w:rPr>
          <w:rFonts w:hint="eastAsia"/>
          <w:highlight w:val="none"/>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4.履职效益</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（1）</w:t>
      </w:r>
      <w:r>
        <w:rPr>
          <w:rFonts w:hint="eastAsia"/>
          <w:lang w:val="en-US" w:eastAsia="zh-CN"/>
        </w:rPr>
        <w:t>社会</w:t>
      </w:r>
      <w:r>
        <w:rPr>
          <w:rFonts w:hint="eastAsia"/>
        </w:rPr>
        <w:t>效益</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①培训学员能力提升情况：分值</w:t>
      </w:r>
      <w:r>
        <w:rPr>
          <w:rFonts w:hint="eastAsia"/>
          <w:lang w:val="en-US" w:eastAsia="zh-CN"/>
        </w:rPr>
        <w:t>9</w:t>
      </w:r>
      <w:r>
        <w:rPr>
          <w:rFonts w:hint="eastAsia"/>
        </w:rPr>
        <w:t>分，得分</w:t>
      </w:r>
      <w:r>
        <w:rPr>
          <w:rFonts w:hint="eastAsia"/>
          <w:lang w:val="en-US" w:eastAsia="zh-CN"/>
        </w:rPr>
        <w:t>6</w:t>
      </w:r>
      <w:r>
        <w:rPr>
          <w:rFonts w:hint="eastAsia"/>
        </w:rPr>
        <w:t>分，得分率</w:t>
      </w:r>
      <w:r>
        <w:rPr>
          <w:rFonts w:hint="eastAsia"/>
          <w:lang w:val="en-US" w:eastAsia="zh-CN"/>
        </w:rPr>
        <w:t>66.67</w:t>
      </w:r>
      <w:r>
        <w:rPr>
          <w:rFonts w:hint="eastAsia"/>
        </w:rPr>
        <w:t>%。根据现场调研反馈结果及部门所提供年度工作计划、年度工作总结等资料进行评分，主要针对培训学员考核成绩、政治素养、工作能力是否达到预期效果进行评价。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202</w:t>
      </w:r>
      <w:r>
        <w:rPr>
          <w:rFonts w:hint="eastAsia"/>
          <w:lang w:val="en-US" w:eastAsia="zh-CN"/>
        </w:rPr>
        <w:t>3</w:t>
      </w:r>
      <w:r>
        <w:rPr>
          <w:rFonts w:hint="eastAsia"/>
        </w:rPr>
        <w:t>年</w:t>
      </w:r>
      <w:r>
        <w:rPr>
          <w:rFonts w:hint="eastAsia"/>
          <w:lang w:val="en-US" w:eastAsia="zh-CN"/>
        </w:rPr>
        <w:t>和平</w:t>
      </w:r>
      <w:r>
        <w:rPr>
          <w:rFonts w:hint="eastAsia"/>
        </w:rPr>
        <w:t>区委党校共举办各级各类培训班51个，累计培训学员2706人次，各个班次配备相应级别班主任，学员考核评价相关工作得到</w:t>
      </w:r>
      <w:r>
        <w:rPr>
          <w:rFonts w:hint="eastAsia"/>
          <w:lang w:eastAsia="zh-CN"/>
        </w:rPr>
        <w:t>了</w:t>
      </w:r>
      <w:r>
        <w:rPr>
          <w:rFonts w:hint="eastAsia"/>
        </w:rPr>
        <w:t>落实，考核成绩综合日常考核打分、结业考试成绩、综合评价成绩、班级评价成绩加权汇总，最终考核结果能够充分反映学员培训期间的整体表现，经抽查核查，部门历次培训学员考核成绩均可达到良好水平以上。</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highlight w:val="none"/>
        </w:rPr>
      </w:pPr>
      <w:r>
        <w:rPr>
          <w:rFonts w:hint="eastAsia"/>
          <w:highlight w:val="none"/>
          <w:lang w:val="en-US" w:eastAsia="zh-CN"/>
        </w:rPr>
        <w:t>和平</w:t>
      </w:r>
      <w:r>
        <w:rPr>
          <w:rFonts w:hint="eastAsia"/>
          <w:highlight w:val="none"/>
        </w:rPr>
        <w:t>区委党校</w:t>
      </w:r>
      <w:r>
        <w:rPr>
          <w:rFonts w:hint="eastAsia"/>
          <w:highlight w:val="none"/>
          <w:lang w:val="en-US" w:eastAsia="zh-CN"/>
        </w:rPr>
        <w:t>2023年的课程体系中以习近平新时代中国特色社会主义思想作为主课、首课地位，课程内容以党的二十大精神、新党章以及市第十二次党代会为重点</w:t>
      </w:r>
      <w:r>
        <w:rPr>
          <w:rFonts w:hint="eastAsia"/>
          <w:highlight w:val="none"/>
        </w:rPr>
        <w:t>，</w:t>
      </w:r>
      <w:r>
        <w:rPr>
          <w:rFonts w:hint="eastAsia"/>
          <w:highlight w:val="none"/>
          <w:lang w:val="en-US" w:eastAsia="zh-CN"/>
        </w:rPr>
        <w:t>符合</w:t>
      </w:r>
      <w:r>
        <w:rPr>
          <w:rFonts w:hint="eastAsia"/>
          <w:highlight w:val="none"/>
        </w:rPr>
        <w:t>习近平新时代中国特色社会主义思想课程的比重不少于50%，党的理论教育和党性教育不低于总课时70%，党性教育不低于总课时20%的总要求，</w:t>
      </w:r>
      <w:r>
        <w:rPr>
          <w:rFonts w:hint="eastAsia"/>
          <w:highlight w:val="none"/>
          <w:lang w:val="en-US" w:eastAsia="zh-CN"/>
        </w:rPr>
        <w:t>课程内容涵盖了党的理论知识、方针政策、党史国史等内容，</w:t>
      </w:r>
      <w:r>
        <w:rPr>
          <w:rFonts w:hint="eastAsia"/>
          <w:highlight w:val="none"/>
        </w:rPr>
        <w:t>通过</w:t>
      </w:r>
      <w:r>
        <w:rPr>
          <w:rFonts w:hint="eastAsia"/>
          <w:highlight w:val="none"/>
          <w:lang w:val="en-US" w:eastAsia="zh-CN"/>
        </w:rPr>
        <w:t>考评结果显示，参与培训学员政治素养得到了提升</w:t>
      </w:r>
      <w:r>
        <w:rPr>
          <w:rFonts w:hint="eastAsia"/>
          <w:highlight w:val="none"/>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eastAsia="仿宋_GB2312"/>
          <w:highlight w:val="none"/>
          <w:lang w:val="en-US" w:eastAsia="zh-CN"/>
        </w:rPr>
      </w:pPr>
      <w:r>
        <w:rPr>
          <w:rFonts w:hint="eastAsia"/>
          <w:highlight w:val="none"/>
          <w:lang w:val="en-US" w:eastAsia="zh-CN"/>
        </w:rPr>
        <w:t>和平</w:t>
      </w:r>
      <w:r>
        <w:rPr>
          <w:rFonts w:hint="eastAsia"/>
          <w:highlight w:val="none"/>
        </w:rPr>
        <w:t>区委党校</w:t>
      </w:r>
      <w:r>
        <w:rPr>
          <w:rFonts w:hint="eastAsia"/>
          <w:highlight w:val="none"/>
          <w:lang w:val="en-US" w:eastAsia="zh-CN"/>
        </w:rPr>
        <w:t>结合</w:t>
      </w:r>
      <w:r>
        <w:rPr>
          <w:rFonts w:hint="eastAsia"/>
          <w:highlight w:val="none"/>
        </w:rPr>
        <w:t>天津市“十项行动”和和平区“3255”等重点工作</w:t>
      </w:r>
      <w:r>
        <w:rPr>
          <w:rFonts w:hint="eastAsia"/>
          <w:highlight w:val="none"/>
          <w:lang w:val="en-US" w:eastAsia="zh-CN"/>
        </w:rPr>
        <w:t>制定了培训计划，</w:t>
      </w:r>
      <w:r>
        <w:rPr>
          <w:rFonts w:hint="eastAsia"/>
          <w:highlight w:val="none"/>
        </w:rPr>
        <w:t>针对不同单位工作需求开展了加快构建“3255”现代都市型产业体系</w:t>
      </w:r>
      <w:r>
        <w:rPr>
          <w:rFonts w:hint="eastAsia"/>
          <w:highlight w:val="none"/>
          <w:lang w:val="en-US" w:eastAsia="zh-CN"/>
        </w:rPr>
        <w:t>系列专题培训、和平区领导干部专业化能力暨和平区纪检监察专项工作学习教育阶段专题培训以及处级干部、科级干部等群体的初任培训，参训学员考核达标，对参</w:t>
      </w:r>
      <w:r>
        <w:rPr>
          <w:rFonts w:hint="eastAsia"/>
          <w:highlight w:val="none"/>
        </w:rPr>
        <w:t>训学员工作能力提升起到了正向推动作用。</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eastAsia="仿宋_GB2312"/>
          <w:highlight w:val="none"/>
          <w:lang w:eastAsia="zh-CN"/>
        </w:rPr>
      </w:pPr>
      <w:r>
        <w:rPr>
          <w:rFonts w:hint="eastAsia"/>
          <w:highlight w:val="none"/>
        </w:rPr>
        <w:t>综上所述，已组织开展的培训工作学员考核成绩达标，政治素养和工作能力均得到了提升，但</w:t>
      </w:r>
      <w:r>
        <w:rPr>
          <w:rFonts w:hint="eastAsia"/>
          <w:highlight w:val="none"/>
          <w:lang w:val="en-US" w:eastAsia="zh-CN"/>
        </w:rPr>
        <w:t>根据培训计划落实情况和与单位沟通了解情况来看，和平区各单位需要纳入党校课堂的内容较多，部分单位提出需求，但没有授课教师，专职班主任人员不足，需要教务人员去统筹协调、变更培训计划等</w:t>
      </w:r>
      <w:r>
        <w:rPr>
          <w:rFonts w:hint="eastAsia"/>
          <w:highlight w:val="none"/>
        </w:rPr>
        <w:t>，一定程度影响了培训工作效果</w:t>
      </w:r>
      <w:r>
        <w:rPr>
          <w:rFonts w:hint="eastAsia"/>
          <w:highlight w:val="none"/>
          <w:lang w:eastAsia="zh-CN"/>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②宣讲思想精神传播情况：分值</w:t>
      </w:r>
      <w:r>
        <w:rPr>
          <w:rFonts w:hint="eastAsia"/>
          <w:lang w:val="en-US" w:eastAsia="zh-CN"/>
        </w:rPr>
        <w:t>6</w:t>
      </w:r>
      <w:r>
        <w:rPr>
          <w:rFonts w:hint="eastAsia"/>
        </w:rPr>
        <w:t>分，得分</w:t>
      </w:r>
      <w:r>
        <w:rPr>
          <w:rFonts w:hint="eastAsia"/>
          <w:lang w:val="en-US" w:eastAsia="zh-CN"/>
        </w:rPr>
        <w:t>6</w:t>
      </w:r>
      <w:r>
        <w:rPr>
          <w:rFonts w:hint="eastAsia"/>
        </w:rPr>
        <w:t>分，得分率100%</w:t>
      </w:r>
      <w:r>
        <w:rPr>
          <w:rFonts w:hint="eastAsia"/>
          <w:lang w:eastAsia="zh-CN"/>
        </w:rPr>
        <w:t>。</w:t>
      </w:r>
      <w:r>
        <w:rPr>
          <w:rFonts w:hint="eastAsia"/>
        </w:rPr>
        <w:t>根据现场调研反馈结果及部门所提供年度工作计划、年度工作总结等资料进行评分，主要针对宣讲思想精神传播范围和时效是否达到预期效果进行评价。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lang w:eastAsia="zh-CN"/>
        </w:rPr>
      </w:pPr>
      <w:r>
        <w:rPr>
          <w:rFonts w:hint="eastAsia"/>
        </w:rPr>
        <w:t>2023年是全面贯彻落实党的二十大精神的开局之年，和平</w:t>
      </w:r>
      <w:r>
        <w:rPr>
          <w:rFonts w:hint="eastAsia"/>
          <w:lang w:val="en-US" w:eastAsia="zh-CN"/>
        </w:rPr>
        <w:t>区委党校</w:t>
      </w:r>
      <w:r>
        <w:rPr>
          <w:rFonts w:hint="eastAsia"/>
        </w:rPr>
        <w:t>以习近平新时代中国特色社会主义思想为指导，贯彻党的二十大精神，为宣讲工作提供了思想基础。党的二十大闭幕后，</w:t>
      </w:r>
      <w:r>
        <w:rPr>
          <w:rFonts w:hint="eastAsia"/>
          <w:lang w:val="en-US" w:eastAsia="zh-CN"/>
        </w:rPr>
        <w:t>部门</w:t>
      </w:r>
      <w:r>
        <w:rPr>
          <w:rFonts w:hint="eastAsia"/>
        </w:rPr>
        <w:t>组织教师学习领会党的二十大精神，在学深学透二十大报告的基础上集中开展课题攻关，开发新专题，编写宣讲提纲，组织备课，解读党的二十大精神，完成新专题的备课任务。</w:t>
      </w:r>
      <w:r>
        <w:rPr>
          <w:rFonts w:hint="eastAsia"/>
          <w:lang w:val="en-US" w:eastAsia="zh-CN"/>
        </w:rPr>
        <w:t>围绕和平区区情打造了《发展志愿服务  创新基层治理——和平区志愿服务助力基层治理的实践探索》、预防职务犯罪主题纪检“定制课程”等宣讲精品课。</w:t>
      </w:r>
      <w:r>
        <w:rPr>
          <w:rFonts w:hint="eastAsia"/>
        </w:rPr>
        <w:t>目前，已深入各单位、街道、社区开展</w:t>
      </w:r>
      <w:r>
        <w:rPr>
          <w:rFonts w:hint="eastAsia"/>
          <w:lang w:val="en-US" w:eastAsia="zh-CN"/>
        </w:rPr>
        <w:t>外出宣讲授课24</w:t>
      </w:r>
      <w:r>
        <w:rPr>
          <w:rFonts w:hint="eastAsia"/>
        </w:rPr>
        <w:t>场，累计听众</w:t>
      </w:r>
      <w:r>
        <w:rPr>
          <w:rFonts w:hint="eastAsia"/>
          <w:lang w:val="en-US" w:eastAsia="zh-CN"/>
        </w:rPr>
        <w:t>1294</w:t>
      </w:r>
      <w:r>
        <w:rPr>
          <w:rFonts w:hint="eastAsia"/>
        </w:rPr>
        <w:t>人次，4名教师入选天津市“五美”宣讲千名优秀志愿宣讲员</w:t>
      </w:r>
      <w:r>
        <w:rPr>
          <w:rFonts w:hint="eastAsia"/>
          <w:lang w:eastAsia="zh-CN"/>
        </w:rPr>
        <w:t>，</w:t>
      </w:r>
      <w:r>
        <w:rPr>
          <w:rFonts w:hint="eastAsia"/>
          <w:lang w:val="en-US" w:eastAsia="zh-CN"/>
        </w:rPr>
        <w:t>宣讲思想</w:t>
      </w:r>
      <w:r>
        <w:rPr>
          <w:rFonts w:hint="eastAsia"/>
        </w:rPr>
        <w:t>精神传播范围广泛，传播时效及时，达到了宣讲工作预期效果</w:t>
      </w:r>
      <w:r>
        <w:rPr>
          <w:rFonts w:hint="eastAsia"/>
          <w:lang w:eastAsia="zh-CN"/>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lang w:val="en-US" w:eastAsia="zh-CN"/>
        </w:rPr>
        <w:t>③理论研究成果</w:t>
      </w:r>
      <w:r>
        <w:rPr>
          <w:rFonts w:hint="eastAsia"/>
        </w:rPr>
        <w:t>实现情况</w:t>
      </w:r>
      <w:r>
        <w:rPr>
          <w:rFonts w:hint="eastAsia"/>
          <w:lang w:eastAsia="zh-CN"/>
        </w:rPr>
        <w:t>：分值</w:t>
      </w:r>
      <w:r>
        <w:rPr>
          <w:rFonts w:hint="eastAsia"/>
          <w:lang w:val="en-US" w:eastAsia="zh-CN"/>
        </w:rPr>
        <w:t>6</w:t>
      </w:r>
      <w:r>
        <w:rPr>
          <w:rFonts w:hint="eastAsia"/>
          <w:lang w:eastAsia="zh-CN"/>
        </w:rPr>
        <w:t>分，得分</w:t>
      </w:r>
      <w:r>
        <w:rPr>
          <w:rFonts w:hint="eastAsia"/>
          <w:lang w:val="en-US" w:eastAsia="zh-CN"/>
        </w:rPr>
        <w:t>6</w:t>
      </w:r>
      <w:r>
        <w:rPr>
          <w:rFonts w:hint="eastAsia"/>
          <w:lang w:eastAsia="zh-CN"/>
        </w:rPr>
        <w:t>分，得分率</w:t>
      </w:r>
      <w:r>
        <w:rPr>
          <w:rFonts w:hint="eastAsia"/>
          <w:lang w:val="en-US" w:eastAsia="zh-CN"/>
        </w:rPr>
        <w:t>100</w:t>
      </w:r>
      <w:r>
        <w:rPr>
          <w:rFonts w:hint="eastAsia"/>
          <w:lang w:eastAsia="zh-CN"/>
        </w:rPr>
        <w:t>%。根据现场调研反馈结果及部门所提供年度工作计划、年度工作总结等资料进行评分，主要针对</w:t>
      </w:r>
      <w:r>
        <w:rPr>
          <w:rFonts w:hint="eastAsia"/>
          <w:lang w:val="en-US" w:eastAsia="zh-CN"/>
        </w:rPr>
        <w:t>科研课题研究成果和党史研究成果</w:t>
      </w:r>
      <w:r>
        <w:rPr>
          <w:rFonts w:hint="eastAsia"/>
          <w:lang w:eastAsia="zh-CN"/>
        </w:rPr>
        <w:t>是否达到预期效果进行评价。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lang w:eastAsia="zh-CN"/>
        </w:rPr>
      </w:pPr>
      <w:r>
        <w:rPr>
          <w:rFonts w:hint="eastAsia"/>
          <w:lang w:val="en-US" w:eastAsia="zh-CN"/>
        </w:rPr>
        <w:t>根据和平区委党校2023年科研课题的成果分析，部门2023年加大了科研成果向教学专题或教学案例的转化力度，围绕“党建引领基层治理、楼宇经济发展、文旅深度融合”等重点课题，打造形成了《发展朝阳志愿服务，创新基层治理》《以“和平夜话”为例坚持以人民为中心 走好新时代群众路线》《城市里的红色家底》等科研成果转化课，完成了市委以及校领导安排部署的各项科研任务，2023年上报党建研究会论文4篇、公开发表文章3篇、内部刊物1篇，入选全国党史和文献论坛1篇，部门教职工作为副主编出版图书1部，主要负责同志牵头课题组获天津市党校系统决策咨询优秀成果一等奖，科研课题研究成果达到预期。党史研究方面，2023年和平区委党校完成了课题《新时代红色资源在党性教育中的创新运用研究——以天津为例》；实地调研天津金融博物馆、中国银行博物馆（天津分馆）、天津邮政博物馆，设计《和平区城市红色文化体验游线路设计方案》及讲解词；完成了《穿越城市·阅读建筑·追寻红色记忆》现场教学课讲稿；于2023年底完成了市委党校关于《奋斗的历程（2002－2012）》编写任务，现进入三审三校阶段，为编写《中国共产党天津历史（第三卷）》及《中国共产党和平区历史（第三卷）》奠定了资料基础。综上所述，部门理论研究成果</w:t>
      </w:r>
      <w:r>
        <w:rPr>
          <w:rFonts w:hint="eastAsia"/>
        </w:rPr>
        <w:t>实现</w:t>
      </w:r>
      <w:r>
        <w:rPr>
          <w:rFonts w:hint="eastAsia"/>
          <w:lang w:val="en-US" w:eastAsia="zh-CN"/>
        </w:rPr>
        <w:t>情况良好。</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5</w:t>
      </w:r>
      <w:r>
        <w:t>.</w:t>
      </w:r>
      <w:r>
        <w:rPr>
          <w:rFonts w:hint="eastAsia"/>
        </w:rPr>
        <w:t>履职满意度</w:t>
      </w:r>
    </w:p>
    <w:p>
      <w:pPr>
        <w:pStyle w:val="25"/>
        <w:pageBreakBefore w:val="0"/>
        <w:widowControl w:val="0"/>
        <w:kinsoku/>
        <w:wordWrap/>
        <w:overflowPunct/>
        <w:topLinePunct w:val="0"/>
        <w:autoSpaceDE/>
        <w:autoSpaceDN/>
        <w:bidi w:val="0"/>
        <w:adjustRightInd/>
        <w:snapToGrid/>
        <w:spacing w:line="560" w:lineRule="exact"/>
        <w:ind w:firstLine="640"/>
        <w:textAlignment w:val="auto"/>
      </w:pPr>
      <w:r>
        <w:rPr>
          <w:rFonts w:hint="eastAsia"/>
        </w:rPr>
        <w:t>服务对象满意度</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①</w:t>
      </w:r>
      <w:r>
        <w:rPr>
          <w:rFonts w:hint="eastAsia"/>
          <w:lang w:val="en-US" w:eastAsia="zh-CN"/>
        </w:rPr>
        <w:t>参加培训学员</w:t>
      </w:r>
      <w:r>
        <w:rPr>
          <w:rFonts w:hint="eastAsia"/>
        </w:rPr>
        <w:t>满意度：分值3分，得分3分，得分率100%。根据社会调查所收集满意度抽样调查问卷进行评分，主要针对部门履行职责所影响到的群体或个人对于部门履职质效满意度进行评价。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eastAsia="仿宋_GB2312"/>
          <w:highlight w:val="none"/>
          <w:lang w:val="en-US" w:eastAsia="zh-CN"/>
        </w:rPr>
      </w:pPr>
      <w:r>
        <w:rPr>
          <w:rFonts w:hint="eastAsia"/>
        </w:rPr>
        <w:t>本次满意度调查人群为</w:t>
      </w:r>
      <w:r>
        <w:rPr>
          <w:rFonts w:hint="eastAsia"/>
          <w:lang w:val="en-US" w:eastAsia="zh-CN"/>
        </w:rPr>
        <w:t>2023年度参加和平区委党校教育培训学员</w:t>
      </w:r>
      <w:r>
        <w:rPr>
          <w:rFonts w:hint="eastAsia"/>
        </w:rPr>
        <w:t>，评价组对该人群进行随机满意度调查，满意度调查问卷共发放3</w:t>
      </w:r>
      <w:r>
        <w:rPr>
          <w:rFonts w:hint="eastAsia"/>
          <w:lang w:val="en-US" w:eastAsia="zh-CN"/>
        </w:rPr>
        <w:t>00</w:t>
      </w:r>
      <w:r>
        <w:rPr>
          <w:rFonts w:hint="eastAsia"/>
        </w:rPr>
        <w:t>份，收到有效问卷3</w:t>
      </w:r>
      <w:r>
        <w:rPr>
          <w:rFonts w:hint="eastAsia"/>
          <w:lang w:val="en-US" w:eastAsia="zh-CN"/>
        </w:rPr>
        <w:t>00</w:t>
      </w:r>
      <w:r>
        <w:rPr>
          <w:rFonts w:hint="eastAsia"/>
        </w:rPr>
        <w:t>份，针对</w:t>
      </w:r>
      <w:r>
        <w:rPr>
          <w:rFonts w:hint="eastAsia"/>
          <w:lang w:val="en-US" w:eastAsia="zh-CN"/>
        </w:rPr>
        <w:t>培训内容实用</w:t>
      </w:r>
      <w:r>
        <w:rPr>
          <w:rFonts w:hint="eastAsia"/>
        </w:rPr>
        <w:t>情况、</w:t>
      </w:r>
      <w:r>
        <w:rPr>
          <w:rFonts w:hint="eastAsia"/>
          <w:lang w:val="en-US" w:eastAsia="zh-CN"/>
        </w:rPr>
        <w:t>培训时长合理</w:t>
      </w:r>
      <w:r>
        <w:rPr>
          <w:rFonts w:hint="eastAsia"/>
        </w:rPr>
        <w:t>情况、</w:t>
      </w:r>
      <w:r>
        <w:rPr>
          <w:rFonts w:hint="eastAsia"/>
          <w:lang w:val="en-US" w:eastAsia="zh-CN"/>
        </w:rPr>
        <w:t>培训师资水平</w:t>
      </w:r>
      <w:r>
        <w:rPr>
          <w:rFonts w:hint="eastAsia"/>
        </w:rPr>
        <w:t>情况、</w:t>
      </w:r>
      <w:r>
        <w:rPr>
          <w:rFonts w:hint="eastAsia"/>
          <w:lang w:val="en-US" w:eastAsia="zh-CN"/>
        </w:rPr>
        <w:t>培训考核形式情况、培训后勤</w:t>
      </w:r>
      <w:r>
        <w:rPr>
          <w:rFonts w:hint="eastAsia"/>
          <w:highlight w:val="none"/>
          <w:lang w:val="en-US" w:eastAsia="zh-CN"/>
        </w:rPr>
        <w:t>保障</w:t>
      </w:r>
      <w:r>
        <w:rPr>
          <w:rFonts w:hint="eastAsia"/>
          <w:highlight w:val="none"/>
        </w:rPr>
        <w:t>情况</w:t>
      </w:r>
      <w:r>
        <w:rPr>
          <w:rFonts w:hint="eastAsia"/>
          <w:highlight w:val="none"/>
          <w:lang w:val="en-US" w:eastAsia="zh-CN"/>
        </w:rPr>
        <w:t>5</w:t>
      </w:r>
      <w:r>
        <w:rPr>
          <w:rFonts w:hint="eastAsia"/>
          <w:highlight w:val="none"/>
        </w:rPr>
        <w:t>项问题</w:t>
      </w:r>
      <w:r>
        <w:rPr>
          <w:rFonts w:hint="eastAsia"/>
          <w:highlight w:val="none"/>
          <w:lang w:val="en-US" w:eastAsia="zh-CN"/>
        </w:rPr>
        <w:t>进行调查</w:t>
      </w:r>
      <w:r>
        <w:rPr>
          <w:rFonts w:hint="eastAsia"/>
          <w:highlight w:val="none"/>
        </w:rPr>
        <w:t>，</w:t>
      </w:r>
      <w:r>
        <w:rPr>
          <w:rFonts w:hint="eastAsia"/>
          <w:highlight w:val="none"/>
          <w:lang w:val="en-US" w:eastAsia="zh-CN"/>
        </w:rPr>
        <w:t>共计收到1480项有效回答，满意问题数为1432项，综合</w:t>
      </w:r>
      <w:r>
        <w:rPr>
          <w:rFonts w:hint="eastAsia"/>
          <w:highlight w:val="none"/>
        </w:rPr>
        <w:t>满意</w:t>
      </w:r>
      <w:r>
        <w:rPr>
          <w:rFonts w:hint="eastAsia"/>
          <w:highlight w:val="none"/>
          <w:lang w:val="en-US" w:eastAsia="zh-CN"/>
        </w:rPr>
        <w:t>率</w:t>
      </w:r>
      <w:r>
        <w:rPr>
          <w:rFonts w:hint="eastAsia"/>
          <w:highlight w:val="none"/>
        </w:rPr>
        <w:t>为</w:t>
      </w:r>
      <w:r>
        <w:rPr>
          <w:rFonts w:hint="eastAsia"/>
          <w:highlight w:val="none"/>
          <w:lang w:val="en-US" w:eastAsia="zh-CN"/>
        </w:rPr>
        <w:t>96.76</w:t>
      </w:r>
      <w:r>
        <w:rPr>
          <w:rFonts w:hint="eastAsia"/>
          <w:highlight w:val="none"/>
        </w:rPr>
        <w:t>%</w:t>
      </w:r>
      <w:r>
        <w:rPr>
          <w:rFonts w:hint="eastAsia"/>
          <w:highlight w:val="none"/>
          <w:lang w:eastAsia="zh-CN"/>
        </w:rPr>
        <w:t>，</w:t>
      </w:r>
      <w:r>
        <w:rPr>
          <w:rFonts w:hint="eastAsia"/>
          <w:highlight w:val="none"/>
        </w:rPr>
        <w:t>整体满意度较高</w:t>
      </w:r>
      <w:r>
        <w:rPr>
          <w:rFonts w:hint="eastAsia"/>
          <w:highlight w:val="none"/>
          <w:lang w:eastAsia="zh-CN"/>
        </w:rPr>
        <w:t>。</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rPr>
      </w:pPr>
      <w:r>
        <w:rPr>
          <w:rFonts w:hint="eastAsia"/>
        </w:rPr>
        <w:t>②</w:t>
      </w:r>
      <w:r>
        <w:rPr>
          <w:rFonts w:hint="eastAsia"/>
          <w:lang w:val="en-US" w:eastAsia="zh-CN"/>
        </w:rPr>
        <w:t>参加宣讲活动人员</w:t>
      </w:r>
      <w:r>
        <w:rPr>
          <w:rFonts w:hint="eastAsia"/>
        </w:rPr>
        <w:t>满意度</w:t>
      </w:r>
      <w:r>
        <w:rPr>
          <w:rFonts w:hint="eastAsia"/>
          <w:lang w:eastAsia="zh-CN"/>
        </w:rPr>
        <w:t>：</w:t>
      </w:r>
      <w:r>
        <w:rPr>
          <w:rFonts w:hint="eastAsia"/>
        </w:rPr>
        <w:t>分值</w:t>
      </w:r>
      <w:r>
        <w:rPr>
          <w:rFonts w:hint="eastAsia"/>
          <w:lang w:val="en-US" w:eastAsia="zh-CN"/>
        </w:rPr>
        <w:t>2</w:t>
      </w:r>
      <w:r>
        <w:rPr>
          <w:rFonts w:hint="eastAsia"/>
        </w:rPr>
        <w:t>分，得分</w:t>
      </w:r>
      <w:r>
        <w:rPr>
          <w:rFonts w:hint="eastAsia"/>
          <w:lang w:val="en-US" w:eastAsia="zh-CN"/>
        </w:rPr>
        <w:t>2</w:t>
      </w:r>
      <w:r>
        <w:rPr>
          <w:rFonts w:hint="eastAsia"/>
        </w:rPr>
        <w:t>分，得分率100%。根据社会调查所收集满意度抽样调查问卷进行评分，主要针对部门履行职责所影响到的群体或个人对于部门履职质效满意度进行评价。</w:t>
      </w:r>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eastAsia="仿宋_GB2312"/>
          <w:lang w:eastAsia="zh-CN"/>
        </w:rPr>
      </w:pPr>
      <w:r>
        <w:rPr>
          <w:rFonts w:hint="eastAsia"/>
        </w:rPr>
        <w:t>本次满意度调查人群为</w:t>
      </w:r>
      <w:r>
        <w:rPr>
          <w:rFonts w:hint="eastAsia"/>
          <w:lang w:val="en-US" w:eastAsia="zh-CN"/>
        </w:rPr>
        <w:t>2022年度参加宣讲活动人员</w:t>
      </w:r>
      <w:r>
        <w:rPr>
          <w:rFonts w:hint="eastAsia"/>
        </w:rPr>
        <w:t>，评价组对该人群进行随机满意度调查，满意度调查问卷共发放</w:t>
      </w:r>
      <w:r>
        <w:rPr>
          <w:rFonts w:hint="eastAsia"/>
          <w:lang w:val="en-US" w:eastAsia="zh-CN"/>
        </w:rPr>
        <w:t>200</w:t>
      </w:r>
      <w:r>
        <w:rPr>
          <w:rFonts w:hint="eastAsia"/>
        </w:rPr>
        <w:t>份，收到有效问卷</w:t>
      </w:r>
      <w:r>
        <w:rPr>
          <w:rFonts w:hint="eastAsia"/>
          <w:lang w:val="en-US" w:eastAsia="zh-CN"/>
        </w:rPr>
        <w:t>200</w:t>
      </w:r>
      <w:r>
        <w:rPr>
          <w:rFonts w:hint="eastAsia"/>
        </w:rPr>
        <w:t>份，针对</w:t>
      </w:r>
      <w:r>
        <w:rPr>
          <w:rFonts w:hint="eastAsia"/>
          <w:lang w:val="en-US" w:eastAsia="zh-CN"/>
        </w:rPr>
        <w:t>宣讲内容充实</w:t>
      </w:r>
      <w:r>
        <w:rPr>
          <w:rFonts w:hint="eastAsia"/>
        </w:rPr>
        <w:t>情况、</w:t>
      </w:r>
      <w:r>
        <w:rPr>
          <w:rFonts w:hint="eastAsia"/>
          <w:lang w:val="en-US" w:eastAsia="zh-CN"/>
        </w:rPr>
        <w:t>宣讲时长合理</w:t>
      </w:r>
      <w:r>
        <w:rPr>
          <w:rFonts w:hint="eastAsia"/>
        </w:rPr>
        <w:t>情况、</w:t>
      </w:r>
      <w:r>
        <w:rPr>
          <w:rFonts w:hint="eastAsia"/>
          <w:lang w:val="en-US" w:eastAsia="zh-CN"/>
        </w:rPr>
        <w:t>宣讲人员表现</w:t>
      </w:r>
      <w:r>
        <w:rPr>
          <w:rFonts w:hint="eastAsia"/>
        </w:rPr>
        <w:t>情况、</w:t>
      </w:r>
      <w:r>
        <w:rPr>
          <w:rFonts w:hint="eastAsia"/>
          <w:lang w:val="en-US" w:eastAsia="zh-CN"/>
        </w:rPr>
        <w:t>宣讲形式多样情况</w:t>
      </w:r>
      <w:r>
        <w:rPr>
          <w:rFonts w:hint="eastAsia"/>
          <w:highlight w:val="none"/>
          <w:lang w:val="en-US" w:eastAsia="zh-CN"/>
        </w:rPr>
        <w:t>4</w:t>
      </w:r>
      <w:r>
        <w:rPr>
          <w:rFonts w:hint="eastAsia"/>
          <w:highlight w:val="none"/>
        </w:rPr>
        <w:t>项问题</w:t>
      </w:r>
      <w:r>
        <w:rPr>
          <w:rFonts w:hint="eastAsia"/>
          <w:highlight w:val="none"/>
          <w:lang w:val="en-US" w:eastAsia="zh-CN"/>
        </w:rPr>
        <w:t>进行调查</w:t>
      </w:r>
      <w:r>
        <w:rPr>
          <w:rFonts w:hint="eastAsia"/>
          <w:highlight w:val="none"/>
        </w:rPr>
        <w:t>，</w:t>
      </w:r>
      <w:r>
        <w:rPr>
          <w:rFonts w:hint="eastAsia"/>
          <w:highlight w:val="none"/>
          <w:lang w:val="en-US" w:eastAsia="zh-CN"/>
        </w:rPr>
        <w:t>共计收到760项有效回答，满意问题数为722项，综合</w:t>
      </w:r>
      <w:r>
        <w:rPr>
          <w:rFonts w:hint="eastAsia"/>
          <w:highlight w:val="none"/>
        </w:rPr>
        <w:t>满意</w:t>
      </w:r>
      <w:r>
        <w:rPr>
          <w:rFonts w:hint="eastAsia"/>
          <w:highlight w:val="none"/>
          <w:lang w:val="en-US" w:eastAsia="zh-CN"/>
        </w:rPr>
        <w:t>率</w:t>
      </w:r>
      <w:r>
        <w:rPr>
          <w:rFonts w:hint="eastAsia"/>
          <w:highlight w:val="none"/>
        </w:rPr>
        <w:t>为</w:t>
      </w:r>
      <w:r>
        <w:rPr>
          <w:rFonts w:hint="eastAsia"/>
          <w:highlight w:val="none"/>
          <w:lang w:val="en-US" w:eastAsia="zh-CN"/>
        </w:rPr>
        <w:t>95</w:t>
      </w:r>
      <w:r>
        <w:rPr>
          <w:rFonts w:hint="eastAsia"/>
          <w:highlight w:val="none"/>
        </w:rPr>
        <w:t>%</w:t>
      </w:r>
      <w:r>
        <w:rPr>
          <w:rFonts w:hint="eastAsia"/>
          <w:highlight w:val="none"/>
          <w:lang w:eastAsia="zh-CN"/>
        </w:rPr>
        <w:t>，</w:t>
      </w:r>
      <w:r>
        <w:rPr>
          <w:rFonts w:hint="eastAsia"/>
          <w:highlight w:val="none"/>
        </w:rPr>
        <w:t>整体满意度较高</w:t>
      </w:r>
      <w:r>
        <w:rPr>
          <w:rFonts w:hint="eastAsia"/>
          <w:highlight w:val="none"/>
          <w:lang w:eastAsia="zh-CN"/>
        </w:rPr>
        <w:t>。</w:t>
      </w:r>
    </w:p>
    <w:p>
      <w:pPr>
        <w:pStyle w:val="27"/>
        <w:pageBreakBefore w:val="0"/>
        <w:widowControl w:val="0"/>
        <w:kinsoku/>
        <w:wordWrap/>
        <w:overflowPunct/>
        <w:topLinePunct w:val="0"/>
        <w:autoSpaceDE/>
        <w:autoSpaceDN/>
        <w:bidi w:val="0"/>
        <w:adjustRightInd/>
        <w:snapToGrid/>
        <w:spacing w:line="560" w:lineRule="exact"/>
        <w:textAlignment w:val="auto"/>
      </w:pPr>
      <w:bookmarkStart w:id="55" w:name="_Toc11713"/>
      <w:r>
        <w:rPr>
          <w:rFonts w:hint="eastAsia"/>
        </w:rPr>
        <w:t>四、存在问题</w:t>
      </w:r>
      <w:bookmarkEnd w:id="55"/>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eastAsia" w:eastAsia="楷体_GB2312"/>
          <w:lang w:val="en-US" w:eastAsia="zh-CN"/>
        </w:rPr>
      </w:pPr>
      <w:bookmarkStart w:id="56" w:name="_Toc18873"/>
      <w:r>
        <w:rPr>
          <w:rFonts w:hint="eastAsia"/>
        </w:rPr>
        <w:t>（一）绩效管理工作有待提</w:t>
      </w:r>
      <w:r>
        <w:rPr>
          <w:rFonts w:hint="eastAsia"/>
          <w:lang w:val="en-US" w:eastAsia="zh-CN"/>
        </w:rPr>
        <w:t>升</w:t>
      </w:r>
      <w:bookmarkEnd w:id="56"/>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eastAsia="仿宋_GB2312"/>
          <w:color w:val="auto"/>
          <w:lang w:val="en-US" w:eastAsia="zh-CN"/>
        </w:rPr>
      </w:pPr>
      <w:r>
        <w:rPr>
          <w:rFonts w:hint="eastAsia"/>
          <w:lang w:val="en-US" w:eastAsia="zh-CN"/>
        </w:rPr>
        <w:t>根据和平区委党校编制的部门整体绩效目标表及绩效管理制度、体系等资料，反映出和平区委党校部门绩效管理工作存在以下问题：一是针对绩效目标“通过党史研究、期刊、图书购置、相关课题及</w:t>
      </w:r>
      <w:r>
        <w:rPr>
          <w:rFonts w:hint="eastAsia"/>
          <w:color w:val="auto"/>
          <w:lang w:val="en-US" w:eastAsia="zh-CN"/>
        </w:rPr>
        <w:t>调研、革命遗址保护利用工作相关课题及图书出版、党史宣传教育等工作，提升党史工作管理水平”仅设置党史研究相关指标，未针对党史宣传教育等其他内容设置对应绩效指标，细化程度不足；</w:t>
      </w:r>
      <w:r>
        <w:rPr>
          <w:rFonts w:hint="eastAsia"/>
          <w:color w:val="auto"/>
          <w:highlight w:val="none"/>
          <w:lang w:val="en-US" w:eastAsia="zh-CN"/>
        </w:rPr>
        <w:t>二是</w:t>
      </w:r>
      <w:r>
        <w:rPr>
          <w:rFonts w:hint="eastAsia"/>
          <w:color w:val="auto"/>
          <w:lang w:val="en-US" w:eastAsia="zh-CN"/>
        </w:rPr>
        <w:t>部门未建立绩效管理指标体系，无法根据指标体系开展绩效目标编报工作。</w:t>
      </w:r>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default" w:eastAsia="楷体_GB2312"/>
          <w:lang w:val="en-US" w:eastAsia="zh-CN"/>
        </w:rPr>
      </w:pPr>
      <w:bookmarkStart w:id="57" w:name="_Toc32522"/>
      <w:r>
        <w:rPr>
          <w:rFonts w:hint="eastAsia"/>
        </w:rPr>
        <w:t>（二）</w:t>
      </w:r>
      <w:r>
        <w:rPr>
          <w:rFonts w:hint="eastAsia"/>
          <w:lang w:val="en-US" w:eastAsia="zh-CN"/>
        </w:rPr>
        <w:t>预算编制与预算资金使用有待规范</w:t>
      </w:r>
      <w:bookmarkEnd w:id="57"/>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color w:val="auto"/>
          <w:lang w:val="en-US" w:eastAsia="zh-CN"/>
        </w:rPr>
        <w:t>一是部门编制年初预算时未将上年度结转的14.36万元基本支出结转纳入2023年部门年初预算中，预算编制的完整性不足。</w:t>
      </w:r>
      <w:r>
        <w:rPr>
          <w:rFonts w:hint="eastAsia"/>
          <w:lang w:val="en-US" w:eastAsia="zh-CN"/>
        </w:rPr>
        <w:t>二是在抽查单位记账凭证时发现存在部分账务处理不规范的问题，如在建工程确认为固定资产时冲减明细科目有误，导致在建工程—设备投资余额为负数，不符合记账规范。</w:t>
      </w:r>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default" w:eastAsia="楷体_GB2312"/>
          <w:color w:val="auto"/>
          <w:highlight w:val="none"/>
          <w:lang w:val="en-US" w:eastAsia="zh-CN"/>
        </w:rPr>
      </w:pPr>
      <w:bookmarkStart w:id="58" w:name="_Toc21788"/>
      <w:r>
        <w:rPr>
          <w:rFonts w:hint="eastAsia"/>
        </w:rPr>
        <w:t>（</w:t>
      </w:r>
      <w:r>
        <w:rPr>
          <w:rFonts w:hint="eastAsia"/>
          <w:lang w:val="en-US" w:eastAsia="zh-CN"/>
        </w:rPr>
        <w:t>三</w:t>
      </w:r>
      <w:r>
        <w:rPr>
          <w:rFonts w:hint="eastAsia"/>
        </w:rPr>
        <w:t>）</w:t>
      </w:r>
      <w:r>
        <w:rPr>
          <w:rFonts w:hint="eastAsia"/>
          <w:lang w:val="en-US" w:eastAsia="zh-CN"/>
        </w:rPr>
        <w:t>成本</w:t>
      </w:r>
      <w:r>
        <w:rPr>
          <w:rFonts w:hint="eastAsia"/>
          <w:color w:val="auto"/>
          <w:lang w:val="en-US" w:eastAsia="zh-CN"/>
        </w:rPr>
        <w:t>控制措施有待</w:t>
      </w:r>
      <w:r>
        <w:rPr>
          <w:rFonts w:hint="eastAsia"/>
          <w:color w:val="auto"/>
          <w:highlight w:val="none"/>
          <w:lang w:val="en-US" w:eastAsia="zh-CN"/>
        </w:rPr>
        <w:t>进一步落实</w:t>
      </w:r>
      <w:bookmarkEnd w:id="58"/>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eastAsia="仿宋_GB2312"/>
          <w:color w:val="auto"/>
          <w:lang w:val="en-US" w:eastAsia="zh-CN"/>
        </w:rPr>
      </w:pPr>
      <w:r>
        <w:rPr>
          <w:rFonts w:hint="eastAsia"/>
          <w:color w:val="auto"/>
          <w:lang w:val="en-US" w:eastAsia="zh-CN"/>
        </w:rPr>
        <w:t>和平区委党校按照《和平区党政机关在职人员值班加班餐费开支标准》、天津市党政机关厉行节约反对浪费相关制度</w:t>
      </w:r>
      <w:r>
        <w:rPr>
          <w:rFonts w:hint="eastAsia"/>
          <w:color w:val="auto"/>
          <w:highlight w:val="none"/>
          <w:lang w:val="en-US" w:eastAsia="zh-CN"/>
        </w:rPr>
        <w:t>、《和平区委党校成本控制制度》</w:t>
      </w:r>
      <w:r>
        <w:rPr>
          <w:rFonts w:hint="eastAsia"/>
          <w:color w:val="auto"/>
          <w:lang w:val="en-US" w:eastAsia="zh-CN"/>
        </w:rPr>
        <w:t>开展成本控制工作，但2023年度财政公用支出较2022年度财政公用支出的31.65万元增长了2.38万元，部门成本未能得到有效控制。</w:t>
      </w:r>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default" w:eastAsia="楷体_GB2312"/>
          <w:color w:val="auto"/>
          <w:highlight w:val="none"/>
          <w:lang w:val="en-US" w:eastAsia="zh-CN"/>
        </w:rPr>
      </w:pPr>
      <w:bookmarkStart w:id="59" w:name="_Toc31685"/>
      <w:r>
        <w:rPr>
          <w:rFonts w:hint="eastAsia"/>
          <w:color w:val="auto"/>
        </w:rPr>
        <w:t>（</w:t>
      </w:r>
      <w:r>
        <w:rPr>
          <w:rFonts w:hint="eastAsia"/>
          <w:color w:val="auto"/>
          <w:lang w:val="en-US" w:eastAsia="zh-CN"/>
        </w:rPr>
        <w:t>四</w:t>
      </w:r>
      <w:r>
        <w:rPr>
          <w:rFonts w:hint="eastAsia"/>
          <w:color w:val="auto"/>
        </w:rPr>
        <w:t>）</w:t>
      </w:r>
      <w:r>
        <w:rPr>
          <w:rFonts w:hint="eastAsia"/>
          <w:color w:val="auto"/>
          <w:highlight w:val="none"/>
          <w:lang w:val="en-US" w:eastAsia="zh-CN"/>
        </w:rPr>
        <w:t>师资队伍建设有待加强</w:t>
      </w:r>
      <w:bookmarkEnd w:id="59"/>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color w:val="auto"/>
          <w:highlight w:val="none"/>
          <w:lang w:val="en-US" w:eastAsia="zh-CN"/>
        </w:rPr>
        <w:t>根据和平区委党校教务科工作计划与工作总结对比发现，和平区各单位需要纳入党校课堂的内容较多，部分</w:t>
      </w:r>
      <w:r>
        <w:rPr>
          <w:rFonts w:hint="eastAsia"/>
          <w:highlight w:val="none"/>
          <w:lang w:val="en-US" w:eastAsia="zh-CN"/>
        </w:rPr>
        <w:t>单位提出需求，但没有授课教师，专职班主任人员不足，需要教务人员去统筹协调、变更培训计划等，一定程度影响了教育培训工作效果。</w:t>
      </w:r>
    </w:p>
    <w:p>
      <w:pPr>
        <w:pStyle w:val="27"/>
        <w:pageBreakBefore w:val="0"/>
        <w:widowControl w:val="0"/>
        <w:kinsoku/>
        <w:wordWrap/>
        <w:overflowPunct/>
        <w:topLinePunct w:val="0"/>
        <w:autoSpaceDE/>
        <w:autoSpaceDN/>
        <w:bidi w:val="0"/>
        <w:adjustRightInd/>
        <w:snapToGrid/>
        <w:spacing w:line="560" w:lineRule="exact"/>
        <w:ind w:left="0" w:leftChars="0" w:firstLine="640" w:firstLineChars="200"/>
        <w:textAlignment w:val="auto"/>
      </w:pPr>
      <w:bookmarkStart w:id="60" w:name="_Toc11360"/>
      <w:r>
        <w:rPr>
          <w:rFonts w:hint="eastAsia"/>
        </w:rPr>
        <w:t>五、相关建议</w:t>
      </w:r>
      <w:bookmarkEnd w:id="60"/>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eastAsia"/>
        </w:rPr>
      </w:pPr>
      <w:bookmarkStart w:id="61" w:name="_Toc3902"/>
      <w:r>
        <w:rPr>
          <w:rFonts w:hint="eastAsia"/>
        </w:rPr>
        <w:t>（一）提升绩效工作管理意识</w:t>
      </w:r>
      <w:bookmarkEnd w:id="61"/>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eastAsia="仿宋_GB2312"/>
          <w:lang w:eastAsia="zh-CN"/>
        </w:rPr>
      </w:pPr>
      <w:r>
        <w:rPr>
          <w:rFonts w:hint="eastAsia"/>
        </w:rPr>
        <w:t>建议</w:t>
      </w:r>
      <w:r>
        <w:rPr>
          <w:rFonts w:hint="eastAsia"/>
          <w:lang w:val="en-US" w:eastAsia="zh-CN"/>
        </w:rPr>
        <w:t>和平区委党校</w:t>
      </w:r>
      <w:r>
        <w:rPr>
          <w:rFonts w:hint="eastAsia"/>
        </w:rPr>
        <w:t>按照《天津市预算部门整体支出绩效管理办法》（试行）等文件要求制定部门整体支出绩效目标，清晰反映部门使用财政资金履行职责的预期产出和效果，</w:t>
      </w:r>
      <w:r>
        <w:rPr>
          <w:rFonts w:hint="eastAsia"/>
          <w:lang w:val="en-US" w:eastAsia="zh-CN"/>
        </w:rPr>
        <w:t>根据</w:t>
      </w:r>
      <w:r>
        <w:rPr>
          <w:rFonts w:hint="eastAsia"/>
        </w:rPr>
        <w:t>年度绩效目标细化分解设置年度绩效指标，确保年度指标设定清晰、指标值量化、可衡量</w:t>
      </w:r>
      <w:r>
        <w:rPr>
          <w:rFonts w:hint="eastAsia"/>
          <w:lang w:eastAsia="zh-CN"/>
        </w:rPr>
        <w:t>，</w:t>
      </w:r>
      <w:r>
        <w:rPr>
          <w:rFonts w:hint="eastAsia"/>
          <w:lang w:val="en-US" w:eastAsia="zh-CN"/>
        </w:rPr>
        <w:t>能够涵盖部门绩效目标的主要内容。同时建议和平区委党校</w:t>
      </w:r>
      <w:r>
        <w:rPr>
          <w:rFonts w:hint="eastAsia"/>
        </w:rPr>
        <w:t>参照财政已建立</w:t>
      </w:r>
      <w:r>
        <w:rPr>
          <w:rFonts w:hint="eastAsia"/>
          <w:lang w:val="en-US" w:eastAsia="zh-CN"/>
        </w:rPr>
        <w:t>的</w:t>
      </w:r>
      <w:r>
        <w:rPr>
          <w:rFonts w:hint="eastAsia"/>
        </w:rPr>
        <w:t>绩效指标体系建立健全本部门项目绩效指标体系，成立绩效管理领导小组或指定相关</w:t>
      </w:r>
      <w:r>
        <w:rPr>
          <w:rFonts w:hint="eastAsia"/>
          <w:lang w:val="en-US" w:eastAsia="zh-CN"/>
        </w:rPr>
        <w:t>科</w:t>
      </w:r>
      <w:r>
        <w:rPr>
          <w:rFonts w:hint="eastAsia"/>
        </w:rPr>
        <w:t>室和专人负责绩效管理工作</w:t>
      </w:r>
      <w:r>
        <w:rPr>
          <w:rFonts w:hint="eastAsia"/>
          <w:lang w:eastAsia="zh-CN"/>
        </w:rPr>
        <w:t>，</w:t>
      </w:r>
      <w:r>
        <w:rPr>
          <w:rFonts w:hint="eastAsia"/>
          <w:lang w:val="en-US" w:eastAsia="zh-CN"/>
        </w:rPr>
        <w:t>明确相关部门职责，加强绩效目标表的审核以及后续的绩效管理工作</w:t>
      </w:r>
      <w:r>
        <w:rPr>
          <w:rFonts w:hint="eastAsia"/>
        </w:rPr>
        <w:t>。此外通过定期开展各业务科室预算绩效管理业务培训工作，树立正确的绩效管理观念，提高绩效管理水平，从而确保绩效管理相关工作高质量开展</w:t>
      </w:r>
      <w:r>
        <w:rPr>
          <w:rFonts w:hint="eastAsia"/>
          <w:lang w:eastAsia="zh-CN"/>
        </w:rPr>
        <w:t>。</w:t>
      </w:r>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eastAsia"/>
        </w:rPr>
      </w:pPr>
      <w:bookmarkStart w:id="62" w:name="_Toc8519"/>
      <w:r>
        <w:rPr>
          <w:rFonts w:hint="eastAsia"/>
        </w:rPr>
        <w:t>（二）加强预算管理工作规范性</w:t>
      </w:r>
      <w:bookmarkEnd w:id="62"/>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eastAsia"/>
          <w:color w:val="auto"/>
          <w:lang w:val="en-US" w:eastAsia="zh-CN"/>
        </w:rPr>
      </w:pPr>
      <w:r>
        <w:rPr>
          <w:rFonts w:hint="eastAsia"/>
        </w:rPr>
        <w:t>一是建议</w:t>
      </w:r>
      <w:r>
        <w:rPr>
          <w:rFonts w:hint="eastAsia"/>
          <w:lang w:val="en-US" w:eastAsia="zh-CN"/>
        </w:rPr>
        <w:t>和平区委党校</w:t>
      </w:r>
      <w:r>
        <w:rPr>
          <w:rFonts w:hint="eastAsia"/>
        </w:rPr>
        <w:t>明确预算编制的各个环节和责任人，确保预算编制工作有序进行。在编制预算时，要充分考虑上年结转资金的情况，并将其纳入年初预算的编制范围，同时财务</w:t>
      </w:r>
      <w:r>
        <w:rPr>
          <w:rFonts w:hint="eastAsia"/>
          <w:lang w:eastAsia="zh-CN"/>
        </w:rPr>
        <w:t>科室</w:t>
      </w:r>
      <w:r>
        <w:rPr>
          <w:rFonts w:hint="eastAsia"/>
        </w:rPr>
        <w:t>和业务</w:t>
      </w:r>
      <w:r>
        <w:rPr>
          <w:rFonts w:hint="eastAsia"/>
          <w:lang w:eastAsia="zh-CN"/>
        </w:rPr>
        <w:t>科室</w:t>
      </w:r>
      <w:r>
        <w:rPr>
          <w:rFonts w:hint="eastAsia"/>
        </w:rPr>
        <w:t>间要加强沟通与协作，确保预算编制信息的准确性和完整性。</w:t>
      </w:r>
      <w:r>
        <w:rPr>
          <w:rFonts w:hint="eastAsia"/>
          <w:lang w:val="en-US" w:eastAsia="zh-CN"/>
        </w:rPr>
        <w:t>二是</w:t>
      </w:r>
      <w:r>
        <w:rPr>
          <w:rFonts w:hint="eastAsia"/>
        </w:rPr>
        <w:t>建议</w:t>
      </w:r>
      <w:r>
        <w:rPr>
          <w:rFonts w:hint="eastAsia"/>
          <w:lang w:val="en-US" w:eastAsia="zh-CN"/>
        </w:rPr>
        <w:t>和平区委党校建立健全预算执行监督机制，对预算执行情况进行定期检查和评估，定期开展审计监督工作，对于发现的执行率较低的项目加强执行督促与后续跟进，对于发现的账务处理不规范问题及时进行</w:t>
      </w:r>
      <w:r>
        <w:rPr>
          <w:rFonts w:hint="eastAsia"/>
          <w:color w:val="auto"/>
          <w:lang w:val="en-US" w:eastAsia="zh-CN"/>
        </w:rPr>
        <w:t>改正，对相关责任人进行培训，提升其账务处理能力。</w:t>
      </w:r>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default" w:eastAsia="楷体_GB2312"/>
          <w:color w:val="auto"/>
          <w:lang w:val="en-US" w:eastAsia="zh-CN"/>
        </w:rPr>
      </w:pPr>
      <w:bookmarkStart w:id="63" w:name="_Toc12590"/>
      <w:r>
        <w:rPr>
          <w:rFonts w:hint="eastAsia"/>
          <w:color w:val="auto"/>
        </w:rPr>
        <w:t>（</w:t>
      </w:r>
      <w:r>
        <w:rPr>
          <w:rFonts w:hint="eastAsia"/>
          <w:color w:val="auto"/>
          <w:lang w:val="en-US" w:eastAsia="zh-CN"/>
        </w:rPr>
        <w:t>三</w:t>
      </w:r>
      <w:r>
        <w:rPr>
          <w:rFonts w:hint="eastAsia"/>
          <w:color w:val="auto"/>
        </w:rPr>
        <w:t>）</w:t>
      </w:r>
      <w:r>
        <w:rPr>
          <w:rFonts w:hint="eastAsia"/>
          <w:color w:val="auto"/>
          <w:highlight w:val="none"/>
          <w:lang w:val="en-US" w:eastAsia="zh-CN"/>
        </w:rPr>
        <w:t>优化</w:t>
      </w:r>
      <w:r>
        <w:rPr>
          <w:rFonts w:hint="eastAsia"/>
          <w:color w:val="auto"/>
          <w:lang w:val="en-US" w:eastAsia="zh-CN"/>
        </w:rPr>
        <w:t>部门成本控制措施</w:t>
      </w:r>
      <w:bookmarkEnd w:id="63"/>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lang w:val="en-US" w:eastAsia="zh-CN"/>
        </w:rPr>
      </w:pPr>
      <w:r>
        <w:rPr>
          <w:rFonts w:hint="eastAsia"/>
          <w:color w:val="auto"/>
          <w:highlight w:val="none"/>
        </w:rPr>
        <w:t>建议</w:t>
      </w:r>
      <w:r>
        <w:rPr>
          <w:rFonts w:hint="eastAsia"/>
          <w:color w:val="auto"/>
          <w:highlight w:val="none"/>
          <w:lang w:val="en-US" w:eastAsia="zh-CN"/>
        </w:rPr>
        <w:t>和平区委党校审查已制定的成本控制措施，确定其是否全面、合理且符合单位实际情况，深入分析导致成本上升的关键因素，制定更具体的成本控制目标和计划，定期对成本控制效果进行评估和总结，及时发现并解决问题。</w:t>
      </w:r>
      <w:r>
        <w:rPr>
          <w:rFonts w:hint="eastAsia"/>
          <w:color w:val="auto"/>
          <w:lang w:val="en-US" w:eastAsia="zh-CN"/>
        </w:rPr>
        <w:t>利用现代信息技术手段，推进党校的信息化建设。通过建设数字化校园、推广在线教学等方式，降低教学和管理成本，提高工作效率和质量。必要时可寻求</w:t>
      </w:r>
      <w:r>
        <w:rPr>
          <w:rFonts w:hint="eastAsia"/>
          <w:lang w:val="en-US" w:eastAsia="zh-CN"/>
        </w:rPr>
        <w:t>第三方开展成本绩效分析，制定经常性的大额支出如物业费用的定额标准，根据标准制定科学合理的预算，在预算执行过程中，加强监督和检查，确保预算资金的使用符合规定和计划，进而有效控制成本。</w:t>
      </w:r>
    </w:p>
    <w:p>
      <w:pPr>
        <w:pStyle w:val="29"/>
        <w:pageBreakBefore w:val="0"/>
        <w:widowControl w:val="0"/>
        <w:kinsoku/>
        <w:wordWrap/>
        <w:overflowPunct/>
        <w:topLinePunct w:val="0"/>
        <w:autoSpaceDE/>
        <w:autoSpaceDN/>
        <w:bidi w:val="0"/>
        <w:adjustRightInd/>
        <w:snapToGrid/>
        <w:spacing w:line="560" w:lineRule="exact"/>
        <w:ind w:firstLine="640"/>
        <w:textAlignment w:val="auto"/>
        <w:rPr>
          <w:rFonts w:hint="default" w:eastAsia="楷体_GB2312"/>
          <w:lang w:val="en-US" w:eastAsia="zh-CN"/>
        </w:rPr>
      </w:pPr>
      <w:bookmarkStart w:id="64" w:name="_Toc3493"/>
      <w:r>
        <w:rPr>
          <w:rFonts w:hint="eastAsia"/>
        </w:rPr>
        <w:t>（</w:t>
      </w:r>
      <w:r>
        <w:rPr>
          <w:rFonts w:hint="eastAsia"/>
          <w:lang w:val="en-US" w:eastAsia="zh-CN"/>
        </w:rPr>
        <w:t>四</w:t>
      </w:r>
      <w:r>
        <w:rPr>
          <w:rFonts w:hint="eastAsia"/>
        </w:rPr>
        <w:t>）</w:t>
      </w:r>
      <w:r>
        <w:rPr>
          <w:rFonts w:hint="eastAsia"/>
          <w:lang w:val="en-US" w:eastAsia="zh-CN"/>
        </w:rPr>
        <w:t>加强部门师资队伍建设</w:t>
      </w:r>
      <w:bookmarkEnd w:id="64"/>
    </w:p>
    <w:p>
      <w:pPr>
        <w:pStyle w:val="25"/>
        <w:pageBreakBefore w:val="0"/>
        <w:widowControl w:val="0"/>
        <w:kinsoku/>
        <w:wordWrap/>
        <w:overflowPunct/>
        <w:topLinePunct w:val="0"/>
        <w:autoSpaceDE/>
        <w:autoSpaceDN/>
        <w:bidi w:val="0"/>
        <w:adjustRightInd/>
        <w:snapToGrid/>
        <w:spacing w:line="560" w:lineRule="exact"/>
        <w:ind w:firstLine="640"/>
        <w:textAlignment w:val="auto"/>
        <w:rPr>
          <w:rFonts w:hint="default" w:eastAsia="仿宋_GB2312"/>
          <w:lang w:val="en-US" w:eastAsia="zh-CN"/>
        </w:rPr>
      </w:pPr>
      <w:r>
        <w:rPr>
          <w:rFonts w:hint="eastAsia"/>
          <w:lang w:val="en-US" w:eastAsia="zh-CN"/>
        </w:rPr>
        <w:t>一是</w:t>
      </w:r>
      <w:r>
        <w:rPr>
          <w:rFonts w:hint="eastAsia"/>
        </w:rPr>
        <w:t>建议</w:t>
      </w:r>
      <w:r>
        <w:rPr>
          <w:rFonts w:hint="eastAsia"/>
          <w:lang w:val="en-US" w:eastAsia="zh-CN"/>
        </w:rPr>
        <w:t>和平区委党校在规定范围内加大对外招聘力度，特别是引进具有丰富实践经验和理论水平的专家学者，充实党校教师队伍。二是实施内部培养计划，通过定期组织教学研讨会、专题讲座、外出考察等方式，提升现有教师的专业素养和教学能力，进而提升教学效率。三是建立兼职教师库，邀请政府部门、企事业单位、高校及研究机构的专家学者加入，形成一支稳定的兼职教师队伍。四是鼓励培训需求单位推荐本领域的专家或业务骨干作为兼职讲师，参与党校的教学活动，形成资源共享、优势互补的局面。</w:t>
      </w:r>
    </w:p>
    <w:p>
      <w:pPr>
        <w:pStyle w:val="27"/>
        <w:pageBreakBefore w:val="0"/>
        <w:widowControl w:val="0"/>
        <w:kinsoku/>
        <w:wordWrap/>
        <w:overflowPunct/>
        <w:topLinePunct w:val="0"/>
        <w:autoSpaceDE/>
        <w:autoSpaceDN/>
        <w:bidi w:val="0"/>
        <w:adjustRightInd/>
        <w:snapToGrid/>
        <w:spacing w:line="560" w:lineRule="exact"/>
        <w:textAlignment w:val="auto"/>
      </w:pPr>
      <w:bookmarkStart w:id="65" w:name="_Toc31023"/>
      <w:r>
        <w:rPr>
          <w:rFonts w:hint="eastAsia"/>
        </w:rPr>
        <w:t>六、相关附件</w:t>
      </w:r>
      <w:bookmarkEnd w:id="65"/>
    </w:p>
    <w:p>
      <w:pPr>
        <w:pStyle w:val="25"/>
        <w:pageBreakBefore w:val="0"/>
        <w:widowControl w:val="0"/>
        <w:kinsoku/>
        <w:wordWrap/>
        <w:overflowPunct/>
        <w:topLinePunct w:val="0"/>
        <w:autoSpaceDE/>
        <w:autoSpaceDN/>
        <w:bidi w:val="0"/>
        <w:adjustRightInd/>
        <w:snapToGrid/>
        <w:spacing w:line="560" w:lineRule="exact"/>
        <w:textAlignment w:val="auto"/>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2023</w:t>
      </w:r>
      <w:r>
        <w:rPr>
          <w:color w:val="000000" w:themeColor="text1"/>
          <w14:textFill>
            <w14:solidFill>
              <w14:schemeClr w14:val="tx1"/>
            </w14:solidFill>
          </w14:textFill>
        </w:rPr>
        <w:t>年</w:t>
      </w:r>
      <w:r>
        <w:rPr>
          <w:rFonts w:hint="eastAsia"/>
          <w:color w:val="000000" w:themeColor="text1"/>
          <w14:textFill>
            <w14:solidFill>
              <w14:schemeClr w14:val="tx1"/>
            </w14:solidFill>
          </w14:textFill>
        </w:rPr>
        <w:t>中共天津市和平区委党校</w:t>
      </w:r>
      <w:r>
        <w:rPr>
          <w:color w:val="000000" w:themeColor="text1"/>
          <w14:textFill>
            <w14:solidFill>
              <w14:schemeClr w14:val="tx1"/>
            </w14:solidFill>
          </w14:textFill>
        </w:rPr>
        <w:t>部门整体支出绩效评价指标体系及评分表</w:t>
      </w:r>
    </w:p>
    <w:p>
      <w:pPr>
        <w:pStyle w:val="25"/>
        <w:ind w:left="1556" w:leftChars="304" w:hanging="918" w:hangingChars="287"/>
        <w:rPr>
          <w:rFonts w:hint="eastAsia" w:eastAsia="仿宋_GB2312"/>
          <w:lang w:val="en-US" w:eastAsia="zh-CN"/>
        </w:rPr>
      </w:pPr>
    </w:p>
    <w:sectPr>
      <w:footerReference r:id="rId9" w:type="default"/>
      <w:pgSz w:w="11906" w:h="16838"/>
      <w:pgMar w:top="2268" w:right="1797" w:bottom="1701" w:left="179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rPr>
        <w:rFonts w:hint="eastAsia"/>
      </w:rPr>
    </w:pPr>
  </w:p>
  <w:p>
    <w:pPr>
      <w:ind w:firstLine="42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rPr>
        <w:rFonts w:ascii="Times New Roman" w:hAnsi="Times New Roman"/>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53198681"/>
                          </w:sdtPr>
                          <w:sdtEndPr>
                            <w:rPr>
                              <w:rFonts w:hint="eastAsia" w:ascii="宋体" w:hAnsi="宋体" w:eastAsia="宋体" w:cs="宋体"/>
                              <w:sz w:val="28"/>
                            </w:rPr>
                          </w:sdtEndPr>
                          <w:sdtContent>
                            <w:p>
                              <w:pPr>
                                <w:pStyle w:val="11"/>
                                <w:ind w:firstLine="360"/>
                                <w:jc w:val="center"/>
                                <w:rPr>
                                  <w:rFonts w:ascii="Times New Roman" w:hAnsi="Times New Roman"/>
                                  <w:sz w:val="28"/>
                                </w:rPr>
                              </w:pPr>
                              <w:r>
                                <w:rPr>
                                  <w:rFonts w:hint="eastAsia" w:ascii="宋体" w:hAnsi="宋体" w:eastAsia="宋体" w:cs="宋体"/>
                                  <w:sz w:val="28"/>
                                </w:rPr>
                                <w:fldChar w:fldCharType="begin"/>
                              </w:r>
                              <w:r>
                                <w:rPr>
                                  <w:rFonts w:hint="eastAsia" w:ascii="宋体" w:hAnsi="宋体" w:eastAsia="宋体" w:cs="宋体"/>
                                  <w:sz w:val="28"/>
                                </w:rPr>
                                <w:instrText xml:space="preserve">PAGE   \* MERGEFORMAT</w:instrText>
                              </w:r>
                              <w:r>
                                <w:rPr>
                                  <w:rFonts w:hint="eastAsia" w:ascii="宋体" w:hAnsi="宋体" w:eastAsia="宋体" w:cs="宋体"/>
                                  <w:sz w:val="28"/>
                                </w:rPr>
                                <w:fldChar w:fldCharType="separate"/>
                              </w:r>
                              <w:r>
                                <w:rPr>
                                  <w:rFonts w:hint="eastAsia" w:ascii="宋体" w:hAnsi="宋体" w:eastAsia="宋体" w:cs="宋体"/>
                                  <w:sz w:val="28"/>
                                  <w:lang w:val="zh-CN"/>
                                </w:rPr>
                                <w:t>2</w:t>
                              </w:r>
                              <w:r>
                                <w:rPr>
                                  <w:rFonts w:hint="eastAsia" w:ascii="宋体" w:hAnsi="宋体" w:eastAsia="宋体" w:cs="宋体"/>
                                  <w:sz w:val="28"/>
                                </w:rPr>
                                <w:fldChar w:fldCharType="end"/>
                              </w:r>
                            </w:p>
                          </w:sdtContent>
                        </w:sdt>
                        <w:p>
                          <w:pPr>
                            <w:rPr>
                              <w:rFonts w:ascii="Times New Roman" w:hAnsi="Times New Roman"/>
                              <w:sz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1053198681"/>
                    </w:sdtPr>
                    <w:sdtEndPr>
                      <w:rPr>
                        <w:rFonts w:hint="eastAsia" w:ascii="宋体" w:hAnsi="宋体" w:eastAsia="宋体" w:cs="宋体"/>
                        <w:sz w:val="28"/>
                      </w:rPr>
                    </w:sdtEndPr>
                    <w:sdtContent>
                      <w:p>
                        <w:pPr>
                          <w:pStyle w:val="11"/>
                          <w:ind w:firstLine="360"/>
                          <w:jc w:val="center"/>
                          <w:rPr>
                            <w:rFonts w:ascii="Times New Roman" w:hAnsi="Times New Roman"/>
                            <w:sz w:val="28"/>
                          </w:rPr>
                        </w:pPr>
                        <w:r>
                          <w:rPr>
                            <w:rFonts w:hint="eastAsia" w:ascii="宋体" w:hAnsi="宋体" w:eastAsia="宋体" w:cs="宋体"/>
                            <w:sz w:val="28"/>
                          </w:rPr>
                          <w:fldChar w:fldCharType="begin"/>
                        </w:r>
                        <w:r>
                          <w:rPr>
                            <w:rFonts w:hint="eastAsia" w:ascii="宋体" w:hAnsi="宋体" w:eastAsia="宋体" w:cs="宋体"/>
                            <w:sz w:val="28"/>
                          </w:rPr>
                          <w:instrText xml:space="preserve">PAGE   \* MERGEFORMAT</w:instrText>
                        </w:r>
                        <w:r>
                          <w:rPr>
                            <w:rFonts w:hint="eastAsia" w:ascii="宋体" w:hAnsi="宋体" w:eastAsia="宋体" w:cs="宋体"/>
                            <w:sz w:val="28"/>
                          </w:rPr>
                          <w:fldChar w:fldCharType="separate"/>
                        </w:r>
                        <w:r>
                          <w:rPr>
                            <w:rFonts w:hint="eastAsia" w:ascii="宋体" w:hAnsi="宋体" w:eastAsia="宋体" w:cs="宋体"/>
                            <w:sz w:val="28"/>
                            <w:lang w:val="zh-CN"/>
                          </w:rPr>
                          <w:t>2</w:t>
                        </w:r>
                        <w:r>
                          <w:rPr>
                            <w:rFonts w:hint="eastAsia" w:ascii="宋体" w:hAnsi="宋体" w:eastAsia="宋体" w:cs="宋体"/>
                            <w:sz w:val="28"/>
                          </w:rPr>
                          <w:fldChar w:fldCharType="end"/>
                        </w:r>
                      </w:p>
                    </w:sdtContent>
                  </w:sdt>
                  <w:p>
                    <w:pPr>
                      <w:rPr>
                        <w:rFonts w:ascii="Times New Roman" w:hAnsi="Times New Roman"/>
                        <w:sz w:val="28"/>
                      </w:rPr>
                    </w:pPr>
                  </w:p>
                </w:txbxContent>
              </v:textbox>
            </v:shape>
          </w:pict>
        </mc:Fallback>
      </mc:AlternateContent>
    </w:r>
  </w:p>
  <w:p>
    <w:pPr>
      <w:ind w:firstLine="42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5YmFhZWJiZjQ0OWQ2Y2YwMDQ2MjIxMWYwNjRjZmMifQ=="/>
  </w:docVars>
  <w:rsids>
    <w:rsidRoot w:val="00661057"/>
    <w:rsid w:val="00010865"/>
    <w:rsid w:val="000110A9"/>
    <w:rsid w:val="00015C05"/>
    <w:rsid w:val="00017921"/>
    <w:rsid w:val="00021949"/>
    <w:rsid w:val="00022ADC"/>
    <w:rsid w:val="00024AFD"/>
    <w:rsid w:val="000315D7"/>
    <w:rsid w:val="000320CF"/>
    <w:rsid w:val="00041A50"/>
    <w:rsid w:val="00053EC5"/>
    <w:rsid w:val="00055086"/>
    <w:rsid w:val="0007429F"/>
    <w:rsid w:val="000746D9"/>
    <w:rsid w:val="000751CF"/>
    <w:rsid w:val="00090B22"/>
    <w:rsid w:val="000966C1"/>
    <w:rsid w:val="000B12D4"/>
    <w:rsid w:val="000B57FD"/>
    <w:rsid w:val="000B765C"/>
    <w:rsid w:val="000C161F"/>
    <w:rsid w:val="000C677C"/>
    <w:rsid w:val="000D0CBC"/>
    <w:rsid w:val="000D1B8A"/>
    <w:rsid w:val="000D4798"/>
    <w:rsid w:val="000D59C4"/>
    <w:rsid w:val="000E09D3"/>
    <w:rsid w:val="000E1645"/>
    <w:rsid w:val="000E60B5"/>
    <w:rsid w:val="000F5749"/>
    <w:rsid w:val="000F57C3"/>
    <w:rsid w:val="00100141"/>
    <w:rsid w:val="0010563C"/>
    <w:rsid w:val="001144A3"/>
    <w:rsid w:val="00122E23"/>
    <w:rsid w:val="00133A6C"/>
    <w:rsid w:val="001364FD"/>
    <w:rsid w:val="0014294F"/>
    <w:rsid w:val="00142FBC"/>
    <w:rsid w:val="00150419"/>
    <w:rsid w:val="00156000"/>
    <w:rsid w:val="00162746"/>
    <w:rsid w:val="001704F7"/>
    <w:rsid w:val="0017117B"/>
    <w:rsid w:val="00175429"/>
    <w:rsid w:val="0017581B"/>
    <w:rsid w:val="0017673E"/>
    <w:rsid w:val="00184BDA"/>
    <w:rsid w:val="00185478"/>
    <w:rsid w:val="001871E9"/>
    <w:rsid w:val="0019129E"/>
    <w:rsid w:val="00191749"/>
    <w:rsid w:val="00195E1D"/>
    <w:rsid w:val="001A2DD7"/>
    <w:rsid w:val="001A5D0F"/>
    <w:rsid w:val="001C455A"/>
    <w:rsid w:val="001C68F0"/>
    <w:rsid w:val="001D0C4F"/>
    <w:rsid w:val="001D4D25"/>
    <w:rsid w:val="001D598D"/>
    <w:rsid w:val="001E6F03"/>
    <w:rsid w:val="00201EAB"/>
    <w:rsid w:val="00202699"/>
    <w:rsid w:val="00206ED6"/>
    <w:rsid w:val="00210763"/>
    <w:rsid w:val="00213586"/>
    <w:rsid w:val="002171D3"/>
    <w:rsid w:val="00223431"/>
    <w:rsid w:val="00231B10"/>
    <w:rsid w:val="00231BC3"/>
    <w:rsid w:val="002362E6"/>
    <w:rsid w:val="0025214F"/>
    <w:rsid w:val="00252F45"/>
    <w:rsid w:val="00254126"/>
    <w:rsid w:val="00255788"/>
    <w:rsid w:val="00256F67"/>
    <w:rsid w:val="002606BD"/>
    <w:rsid w:val="00264F7B"/>
    <w:rsid w:val="00265D4E"/>
    <w:rsid w:val="002678A4"/>
    <w:rsid w:val="0027222E"/>
    <w:rsid w:val="002753AA"/>
    <w:rsid w:val="0028146C"/>
    <w:rsid w:val="002815AF"/>
    <w:rsid w:val="00282482"/>
    <w:rsid w:val="00285E85"/>
    <w:rsid w:val="00297E04"/>
    <w:rsid w:val="002A3D27"/>
    <w:rsid w:val="002A425C"/>
    <w:rsid w:val="002B6E5F"/>
    <w:rsid w:val="002C23B2"/>
    <w:rsid w:val="002C2ECC"/>
    <w:rsid w:val="002D741B"/>
    <w:rsid w:val="002E0D16"/>
    <w:rsid w:val="002E25A1"/>
    <w:rsid w:val="002E3C4E"/>
    <w:rsid w:val="002F077A"/>
    <w:rsid w:val="002F2542"/>
    <w:rsid w:val="002F31E3"/>
    <w:rsid w:val="002F7F21"/>
    <w:rsid w:val="003026FA"/>
    <w:rsid w:val="003029A1"/>
    <w:rsid w:val="003032A9"/>
    <w:rsid w:val="00303D5F"/>
    <w:rsid w:val="00304E75"/>
    <w:rsid w:val="00305364"/>
    <w:rsid w:val="00307E6B"/>
    <w:rsid w:val="00310651"/>
    <w:rsid w:val="00325B50"/>
    <w:rsid w:val="00335C30"/>
    <w:rsid w:val="0033624F"/>
    <w:rsid w:val="003502BF"/>
    <w:rsid w:val="003574C0"/>
    <w:rsid w:val="003606F4"/>
    <w:rsid w:val="003652D2"/>
    <w:rsid w:val="0037372D"/>
    <w:rsid w:val="0038049A"/>
    <w:rsid w:val="0038053D"/>
    <w:rsid w:val="00380E46"/>
    <w:rsid w:val="00381F5C"/>
    <w:rsid w:val="003854CE"/>
    <w:rsid w:val="00386038"/>
    <w:rsid w:val="00386369"/>
    <w:rsid w:val="003920E7"/>
    <w:rsid w:val="00395D8F"/>
    <w:rsid w:val="00396581"/>
    <w:rsid w:val="0039718C"/>
    <w:rsid w:val="003A2940"/>
    <w:rsid w:val="003A2F91"/>
    <w:rsid w:val="003A30C9"/>
    <w:rsid w:val="003B4F6C"/>
    <w:rsid w:val="003C3423"/>
    <w:rsid w:val="003D42E6"/>
    <w:rsid w:val="003D5E93"/>
    <w:rsid w:val="003E1CAB"/>
    <w:rsid w:val="003E5D8A"/>
    <w:rsid w:val="003E7C97"/>
    <w:rsid w:val="003F12E1"/>
    <w:rsid w:val="003F4C3B"/>
    <w:rsid w:val="003F61ED"/>
    <w:rsid w:val="00407BC4"/>
    <w:rsid w:val="00407F2A"/>
    <w:rsid w:val="004132DE"/>
    <w:rsid w:val="004138CE"/>
    <w:rsid w:val="004174C2"/>
    <w:rsid w:val="0043312F"/>
    <w:rsid w:val="00440EAF"/>
    <w:rsid w:val="004429F6"/>
    <w:rsid w:val="00442C96"/>
    <w:rsid w:val="0044422D"/>
    <w:rsid w:val="00455F34"/>
    <w:rsid w:val="0046745A"/>
    <w:rsid w:val="00467BED"/>
    <w:rsid w:val="004746B7"/>
    <w:rsid w:val="00476742"/>
    <w:rsid w:val="00481085"/>
    <w:rsid w:val="00487573"/>
    <w:rsid w:val="0048792B"/>
    <w:rsid w:val="004A5987"/>
    <w:rsid w:val="004A6BE4"/>
    <w:rsid w:val="004C0450"/>
    <w:rsid w:val="004C0765"/>
    <w:rsid w:val="004C1741"/>
    <w:rsid w:val="004C4A72"/>
    <w:rsid w:val="004C5E4A"/>
    <w:rsid w:val="004D10A8"/>
    <w:rsid w:val="004D3BC4"/>
    <w:rsid w:val="004E0D4E"/>
    <w:rsid w:val="004E51AA"/>
    <w:rsid w:val="004F7B1D"/>
    <w:rsid w:val="00500272"/>
    <w:rsid w:val="0050309A"/>
    <w:rsid w:val="0050469C"/>
    <w:rsid w:val="00506277"/>
    <w:rsid w:val="00507119"/>
    <w:rsid w:val="00513E56"/>
    <w:rsid w:val="00514FCA"/>
    <w:rsid w:val="00517695"/>
    <w:rsid w:val="005227CB"/>
    <w:rsid w:val="0052280F"/>
    <w:rsid w:val="005252C6"/>
    <w:rsid w:val="005301DF"/>
    <w:rsid w:val="0053130C"/>
    <w:rsid w:val="00532532"/>
    <w:rsid w:val="005375FD"/>
    <w:rsid w:val="00541337"/>
    <w:rsid w:val="005418D0"/>
    <w:rsid w:val="00563B61"/>
    <w:rsid w:val="00573B4A"/>
    <w:rsid w:val="00575954"/>
    <w:rsid w:val="00577671"/>
    <w:rsid w:val="00590B7F"/>
    <w:rsid w:val="00595F1A"/>
    <w:rsid w:val="005978EB"/>
    <w:rsid w:val="005A02D6"/>
    <w:rsid w:val="005A7556"/>
    <w:rsid w:val="005B608D"/>
    <w:rsid w:val="005C4163"/>
    <w:rsid w:val="005C4F23"/>
    <w:rsid w:val="005C5F21"/>
    <w:rsid w:val="005C66DA"/>
    <w:rsid w:val="005D2B39"/>
    <w:rsid w:val="005D7AF8"/>
    <w:rsid w:val="005E0A86"/>
    <w:rsid w:val="005E3B63"/>
    <w:rsid w:val="005F02BE"/>
    <w:rsid w:val="005F72E1"/>
    <w:rsid w:val="00601702"/>
    <w:rsid w:val="0060374B"/>
    <w:rsid w:val="006207A7"/>
    <w:rsid w:val="00635391"/>
    <w:rsid w:val="00642B6B"/>
    <w:rsid w:val="00644F88"/>
    <w:rsid w:val="006509C0"/>
    <w:rsid w:val="006555B4"/>
    <w:rsid w:val="00661057"/>
    <w:rsid w:val="00663738"/>
    <w:rsid w:val="0066490F"/>
    <w:rsid w:val="0066557D"/>
    <w:rsid w:val="00665A76"/>
    <w:rsid w:val="00677282"/>
    <w:rsid w:val="0068007F"/>
    <w:rsid w:val="00680FC8"/>
    <w:rsid w:val="0069381F"/>
    <w:rsid w:val="006A1A15"/>
    <w:rsid w:val="006A2799"/>
    <w:rsid w:val="006B33B3"/>
    <w:rsid w:val="006B6D9D"/>
    <w:rsid w:val="006B6F79"/>
    <w:rsid w:val="006C3511"/>
    <w:rsid w:val="006D0238"/>
    <w:rsid w:val="006D642B"/>
    <w:rsid w:val="006F433C"/>
    <w:rsid w:val="006F71A1"/>
    <w:rsid w:val="0071296D"/>
    <w:rsid w:val="00712F83"/>
    <w:rsid w:val="00713AFA"/>
    <w:rsid w:val="00716ABF"/>
    <w:rsid w:val="0072230F"/>
    <w:rsid w:val="0072315E"/>
    <w:rsid w:val="00726B01"/>
    <w:rsid w:val="00743FB6"/>
    <w:rsid w:val="00747168"/>
    <w:rsid w:val="00747CF7"/>
    <w:rsid w:val="00774788"/>
    <w:rsid w:val="00781ADF"/>
    <w:rsid w:val="007823FB"/>
    <w:rsid w:val="00783F5D"/>
    <w:rsid w:val="00784B44"/>
    <w:rsid w:val="007903CE"/>
    <w:rsid w:val="00793670"/>
    <w:rsid w:val="007959B7"/>
    <w:rsid w:val="007A0119"/>
    <w:rsid w:val="007A7BE7"/>
    <w:rsid w:val="007D330F"/>
    <w:rsid w:val="007E1792"/>
    <w:rsid w:val="007F5AC1"/>
    <w:rsid w:val="007F68E4"/>
    <w:rsid w:val="007F7F99"/>
    <w:rsid w:val="0080140B"/>
    <w:rsid w:val="008059C4"/>
    <w:rsid w:val="008104FF"/>
    <w:rsid w:val="00814D5C"/>
    <w:rsid w:val="0081535C"/>
    <w:rsid w:val="008202A4"/>
    <w:rsid w:val="0082624D"/>
    <w:rsid w:val="008329B3"/>
    <w:rsid w:val="00840466"/>
    <w:rsid w:val="0085010B"/>
    <w:rsid w:val="008509FA"/>
    <w:rsid w:val="00855D04"/>
    <w:rsid w:val="00860004"/>
    <w:rsid w:val="00862FEA"/>
    <w:rsid w:val="008712EC"/>
    <w:rsid w:val="00871A31"/>
    <w:rsid w:val="008811BF"/>
    <w:rsid w:val="00890929"/>
    <w:rsid w:val="008924A7"/>
    <w:rsid w:val="00895AEA"/>
    <w:rsid w:val="008A759E"/>
    <w:rsid w:val="008B0066"/>
    <w:rsid w:val="008B59A6"/>
    <w:rsid w:val="008D2D00"/>
    <w:rsid w:val="008D7880"/>
    <w:rsid w:val="008E5E84"/>
    <w:rsid w:val="008F0212"/>
    <w:rsid w:val="008F062C"/>
    <w:rsid w:val="008F29CF"/>
    <w:rsid w:val="008F417A"/>
    <w:rsid w:val="008F5986"/>
    <w:rsid w:val="008F7880"/>
    <w:rsid w:val="009040D7"/>
    <w:rsid w:val="009061EE"/>
    <w:rsid w:val="009103B4"/>
    <w:rsid w:val="00910630"/>
    <w:rsid w:val="00912ED4"/>
    <w:rsid w:val="00913830"/>
    <w:rsid w:val="00913E98"/>
    <w:rsid w:val="00933EE9"/>
    <w:rsid w:val="00934AD2"/>
    <w:rsid w:val="00935816"/>
    <w:rsid w:val="009363BB"/>
    <w:rsid w:val="00936A70"/>
    <w:rsid w:val="009415F7"/>
    <w:rsid w:val="00941CE3"/>
    <w:rsid w:val="0095347B"/>
    <w:rsid w:val="009545F4"/>
    <w:rsid w:val="00955B84"/>
    <w:rsid w:val="00957B6C"/>
    <w:rsid w:val="00976240"/>
    <w:rsid w:val="00977C36"/>
    <w:rsid w:val="00985716"/>
    <w:rsid w:val="009866A6"/>
    <w:rsid w:val="00990F30"/>
    <w:rsid w:val="00992019"/>
    <w:rsid w:val="009C1629"/>
    <w:rsid w:val="009C2C2E"/>
    <w:rsid w:val="009C4DCE"/>
    <w:rsid w:val="009D402B"/>
    <w:rsid w:val="009E109E"/>
    <w:rsid w:val="009E204A"/>
    <w:rsid w:val="009E290A"/>
    <w:rsid w:val="009E4267"/>
    <w:rsid w:val="009E65E9"/>
    <w:rsid w:val="009E768A"/>
    <w:rsid w:val="009E79DC"/>
    <w:rsid w:val="009F6318"/>
    <w:rsid w:val="00A061D0"/>
    <w:rsid w:val="00A06C54"/>
    <w:rsid w:val="00A207D3"/>
    <w:rsid w:val="00A25B3A"/>
    <w:rsid w:val="00A25CC2"/>
    <w:rsid w:val="00A308A4"/>
    <w:rsid w:val="00A31C1E"/>
    <w:rsid w:val="00A414FB"/>
    <w:rsid w:val="00A46147"/>
    <w:rsid w:val="00A4688B"/>
    <w:rsid w:val="00A50863"/>
    <w:rsid w:val="00A5116D"/>
    <w:rsid w:val="00A52917"/>
    <w:rsid w:val="00A6224E"/>
    <w:rsid w:val="00A709F4"/>
    <w:rsid w:val="00A74304"/>
    <w:rsid w:val="00A751C5"/>
    <w:rsid w:val="00A8117E"/>
    <w:rsid w:val="00A86391"/>
    <w:rsid w:val="00A90D9B"/>
    <w:rsid w:val="00A91945"/>
    <w:rsid w:val="00A96858"/>
    <w:rsid w:val="00A96AAB"/>
    <w:rsid w:val="00AB2391"/>
    <w:rsid w:val="00AB65E0"/>
    <w:rsid w:val="00AC02F2"/>
    <w:rsid w:val="00AC0D86"/>
    <w:rsid w:val="00AC3016"/>
    <w:rsid w:val="00AC41C7"/>
    <w:rsid w:val="00AE03EE"/>
    <w:rsid w:val="00AE0785"/>
    <w:rsid w:val="00AE44A0"/>
    <w:rsid w:val="00AE4B56"/>
    <w:rsid w:val="00AF00D2"/>
    <w:rsid w:val="00AF55D3"/>
    <w:rsid w:val="00AF57C9"/>
    <w:rsid w:val="00AF63FA"/>
    <w:rsid w:val="00B002BF"/>
    <w:rsid w:val="00B03444"/>
    <w:rsid w:val="00B1013E"/>
    <w:rsid w:val="00B15D0A"/>
    <w:rsid w:val="00B173D2"/>
    <w:rsid w:val="00B22276"/>
    <w:rsid w:val="00B238F1"/>
    <w:rsid w:val="00B23EF4"/>
    <w:rsid w:val="00B23F0C"/>
    <w:rsid w:val="00B26714"/>
    <w:rsid w:val="00B35E24"/>
    <w:rsid w:val="00B43992"/>
    <w:rsid w:val="00B4638E"/>
    <w:rsid w:val="00B5638F"/>
    <w:rsid w:val="00B6027A"/>
    <w:rsid w:val="00B60A6B"/>
    <w:rsid w:val="00B62C18"/>
    <w:rsid w:val="00B66CC2"/>
    <w:rsid w:val="00B76F1D"/>
    <w:rsid w:val="00B841DD"/>
    <w:rsid w:val="00B8712D"/>
    <w:rsid w:val="00B906BE"/>
    <w:rsid w:val="00B976F1"/>
    <w:rsid w:val="00BA3E3D"/>
    <w:rsid w:val="00BB25CA"/>
    <w:rsid w:val="00BB59FC"/>
    <w:rsid w:val="00BD4AE6"/>
    <w:rsid w:val="00BE05CF"/>
    <w:rsid w:val="00BE0603"/>
    <w:rsid w:val="00BE5A9C"/>
    <w:rsid w:val="00BE5B7E"/>
    <w:rsid w:val="00BE5C78"/>
    <w:rsid w:val="00BE65F5"/>
    <w:rsid w:val="00BF08E7"/>
    <w:rsid w:val="00BF125B"/>
    <w:rsid w:val="00BF42E6"/>
    <w:rsid w:val="00BF6478"/>
    <w:rsid w:val="00C04CAE"/>
    <w:rsid w:val="00C061DB"/>
    <w:rsid w:val="00C06924"/>
    <w:rsid w:val="00C07B2B"/>
    <w:rsid w:val="00C1073E"/>
    <w:rsid w:val="00C10AC5"/>
    <w:rsid w:val="00C116C8"/>
    <w:rsid w:val="00C2225A"/>
    <w:rsid w:val="00C36200"/>
    <w:rsid w:val="00C362F8"/>
    <w:rsid w:val="00C36EC6"/>
    <w:rsid w:val="00C5133E"/>
    <w:rsid w:val="00C51B32"/>
    <w:rsid w:val="00C53E45"/>
    <w:rsid w:val="00C54DC3"/>
    <w:rsid w:val="00C65AB2"/>
    <w:rsid w:val="00C66FD3"/>
    <w:rsid w:val="00C84297"/>
    <w:rsid w:val="00C85726"/>
    <w:rsid w:val="00C86CC8"/>
    <w:rsid w:val="00C87832"/>
    <w:rsid w:val="00C91F96"/>
    <w:rsid w:val="00C96A15"/>
    <w:rsid w:val="00CA012D"/>
    <w:rsid w:val="00CB137E"/>
    <w:rsid w:val="00CC12EF"/>
    <w:rsid w:val="00CC5CAC"/>
    <w:rsid w:val="00CC704D"/>
    <w:rsid w:val="00CD01C9"/>
    <w:rsid w:val="00CD188A"/>
    <w:rsid w:val="00CD2BE9"/>
    <w:rsid w:val="00CD4757"/>
    <w:rsid w:val="00CD6F4C"/>
    <w:rsid w:val="00CE1B8A"/>
    <w:rsid w:val="00CE3AF2"/>
    <w:rsid w:val="00CE6F29"/>
    <w:rsid w:val="00CE77D0"/>
    <w:rsid w:val="00CF22DB"/>
    <w:rsid w:val="00D02A23"/>
    <w:rsid w:val="00D054B1"/>
    <w:rsid w:val="00D07A9E"/>
    <w:rsid w:val="00D1019C"/>
    <w:rsid w:val="00D12E9B"/>
    <w:rsid w:val="00D13CE2"/>
    <w:rsid w:val="00D217CE"/>
    <w:rsid w:val="00D21DCB"/>
    <w:rsid w:val="00D23322"/>
    <w:rsid w:val="00D30D97"/>
    <w:rsid w:val="00D351A7"/>
    <w:rsid w:val="00D42233"/>
    <w:rsid w:val="00D42400"/>
    <w:rsid w:val="00D43049"/>
    <w:rsid w:val="00D47E28"/>
    <w:rsid w:val="00D56DD6"/>
    <w:rsid w:val="00D57A11"/>
    <w:rsid w:val="00D61993"/>
    <w:rsid w:val="00D7101A"/>
    <w:rsid w:val="00D7729E"/>
    <w:rsid w:val="00D77B0C"/>
    <w:rsid w:val="00D84F79"/>
    <w:rsid w:val="00D8540E"/>
    <w:rsid w:val="00D85EDA"/>
    <w:rsid w:val="00D94D1A"/>
    <w:rsid w:val="00D96687"/>
    <w:rsid w:val="00DA02DC"/>
    <w:rsid w:val="00DA0BF0"/>
    <w:rsid w:val="00DB0A45"/>
    <w:rsid w:val="00DC0184"/>
    <w:rsid w:val="00DC2003"/>
    <w:rsid w:val="00DC48BE"/>
    <w:rsid w:val="00DD15F6"/>
    <w:rsid w:val="00DD234D"/>
    <w:rsid w:val="00DD7100"/>
    <w:rsid w:val="00DF2687"/>
    <w:rsid w:val="00DF6D0A"/>
    <w:rsid w:val="00E05FE5"/>
    <w:rsid w:val="00E06041"/>
    <w:rsid w:val="00E11346"/>
    <w:rsid w:val="00E178BD"/>
    <w:rsid w:val="00E33B46"/>
    <w:rsid w:val="00E56741"/>
    <w:rsid w:val="00E719AC"/>
    <w:rsid w:val="00E743DD"/>
    <w:rsid w:val="00E744B0"/>
    <w:rsid w:val="00E752B7"/>
    <w:rsid w:val="00E76319"/>
    <w:rsid w:val="00E86950"/>
    <w:rsid w:val="00E87E19"/>
    <w:rsid w:val="00EA32EF"/>
    <w:rsid w:val="00EB012E"/>
    <w:rsid w:val="00EB35C3"/>
    <w:rsid w:val="00EC2367"/>
    <w:rsid w:val="00EC73A6"/>
    <w:rsid w:val="00ED153D"/>
    <w:rsid w:val="00ED6EF6"/>
    <w:rsid w:val="00ED7AA6"/>
    <w:rsid w:val="00EE5FF0"/>
    <w:rsid w:val="00EF3D73"/>
    <w:rsid w:val="00EF447D"/>
    <w:rsid w:val="00EF5DA5"/>
    <w:rsid w:val="00EF72FF"/>
    <w:rsid w:val="00F00CA5"/>
    <w:rsid w:val="00F01F08"/>
    <w:rsid w:val="00F04803"/>
    <w:rsid w:val="00F064CE"/>
    <w:rsid w:val="00F07D83"/>
    <w:rsid w:val="00F22538"/>
    <w:rsid w:val="00F23C01"/>
    <w:rsid w:val="00F24D75"/>
    <w:rsid w:val="00F25493"/>
    <w:rsid w:val="00F2621D"/>
    <w:rsid w:val="00F5341C"/>
    <w:rsid w:val="00F54EC4"/>
    <w:rsid w:val="00F55003"/>
    <w:rsid w:val="00F624C0"/>
    <w:rsid w:val="00F73404"/>
    <w:rsid w:val="00F73AC3"/>
    <w:rsid w:val="00F73C16"/>
    <w:rsid w:val="00F73FEC"/>
    <w:rsid w:val="00F75B3D"/>
    <w:rsid w:val="00F8291C"/>
    <w:rsid w:val="00F82FB7"/>
    <w:rsid w:val="00F840B1"/>
    <w:rsid w:val="00F919A6"/>
    <w:rsid w:val="00F973E5"/>
    <w:rsid w:val="00FA3A53"/>
    <w:rsid w:val="00FA5929"/>
    <w:rsid w:val="00FB2C9E"/>
    <w:rsid w:val="00FB66CB"/>
    <w:rsid w:val="00FC3A6B"/>
    <w:rsid w:val="00FC77B3"/>
    <w:rsid w:val="00FD2AF9"/>
    <w:rsid w:val="00FD3B3A"/>
    <w:rsid w:val="00FD4D14"/>
    <w:rsid w:val="00FE27D0"/>
    <w:rsid w:val="00FF5079"/>
    <w:rsid w:val="01290F32"/>
    <w:rsid w:val="013E4C05"/>
    <w:rsid w:val="018D23C8"/>
    <w:rsid w:val="02686F26"/>
    <w:rsid w:val="034148D1"/>
    <w:rsid w:val="04A46629"/>
    <w:rsid w:val="04AC5B86"/>
    <w:rsid w:val="04C77723"/>
    <w:rsid w:val="05440F20"/>
    <w:rsid w:val="05AD041A"/>
    <w:rsid w:val="05C81E07"/>
    <w:rsid w:val="05CB41F0"/>
    <w:rsid w:val="077E1A2E"/>
    <w:rsid w:val="0834170D"/>
    <w:rsid w:val="09C07CFB"/>
    <w:rsid w:val="09E44821"/>
    <w:rsid w:val="0A284550"/>
    <w:rsid w:val="0A6D10E6"/>
    <w:rsid w:val="0A8040B9"/>
    <w:rsid w:val="0A8A2498"/>
    <w:rsid w:val="0B8C21F5"/>
    <w:rsid w:val="0C8640D1"/>
    <w:rsid w:val="0CFB3516"/>
    <w:rsid w:val="0D397A9D"/>
    <w:rsid w:val="0DD45468"/>
    <w:rsid w:val="0ECF6756"/>
    <w:rsid w:val="0F600DE8"/>
    <w:rsid w:val="0F7F6343"/>
    <w:rsid w:val="0F8611CB"/>
    <w:rsid w:val="100E146F"/>
    <w:rsid w:val="10580947"/>
    <w:rsid w:val="10826665"/>
    <w:rsid w:val="11D97990"/>
    <w:rsid w:val="140B464A"/>
    <w:rsid w:val="141846E0"/>
    <w:rsid w:val="1423216B"/>
    <w:rsid w:val="14E6489F"/>
    <w:rsid w:val="152B5D2B"/>
    <w:rsid w:val="156E65AE"/>
    <w:rsid w:val="15BB5FBE"/>
    <w:rsid w:val="15F01D49"/>
    <w:rsid w:val="163C4B33"/>
    <w:rsid w:val="16526104"/>
    <w:rsid w:val="16CF02A2"/>
    <w:rsid w:val="173526A7"/>
    <w:rsid w:val="175A38C3"/>
    <w:rsid w:val="176E3185"/>
    <w:rsid w:val="17B740FB"/>
    <w:rsid w:val="17F438BF"/>
    <w:rsid w:val="18C04AAB"/>
    <w:rsid w:val="18E23597"/>
    <w:rsid w:val="18EF1210"/>
    <w:rsid w:val="196E7835"/>
    <w:rsid w:val="1A951C3E"/>
    <w:rsid w:val="1AF449E9"/>
    <w:rsid w:val="1B5657CC"/>
    <w:rsid w:val="1BB750B7"/>
    <w:rsid w:val="1BC54051"/>
    <w:rsid w:val="1C442F22"/>
    <w:rsid w:val="1CF81116"/>
    <w:rsid w:val="1D422138"/>
    <w:rsid w:val="1E5217B1"/>
    <w:rsid w:val="1E6542C1"/>
    <w:rsid w:val="219369F9"/>
    <w:rsid w:val="21A90A0D"/>
    <w:rsid w:val="227C2C35"/>
    <w:rsid w:val="22905EFF"/>
    <w:rsid w:val="22A24432"/>
    <w:rsid w:val="22B028A1"/>
    <w:rsid w:val="22EB3FC4"/>
    <w:rsid w:val="23C820FC"/>
    <w:rsid w:val="2533755C"/>
    <w:rsid w:val="259A6162"/>
    <w:rsid w:val="26D91416"/>
    <w:rsid w:val="271E2DA5"/>
    <w:rsid w:val="275E1C60"/>
    <w:rsid w:val="2A0911D4"/>
    <w:rsid w:val="2A5149D9"/>
    <w:rsid w:val="2A5A3382"/>
    <w:rsid w:val="2AC94DFC"/>
    <w:rsid w:val="2B5E3161"/>
    <w:rsid w:val="2B8843AE"/>
    <w:rsid w:val="2CA413FD"/>
    <w:rsid w:val="2E3320B7"/>
    <w:rsid w:val="2EC1468C"/>
    <w:rsid w:val="2FED4FAF"/>
    <w:rsid w:val="31B934DF"/>
    <w:rsid w:val="32476D77"/>
    <w:rsid w:val="324B1648"/>
    <w:rsid w:val="32F921EB"/>
    <w:rsid w:val="33370704"/>
    <w:rsid w:val="3338334F"/>
    <w:rsid w:val="33916066"/>
    <w:rsid w:val="365C584E"/>
    <w:rsid w:val="37CE085B"/>
    <w:rsid w:val="37F243CD"/>
    <w:rsid w:val="37FF6501"/>
    <w:rsid w:val="38617DAA"/>
    <w:rsid w:val="38FA3548"/>
    <w:rsid w:val="39515567"/>
    <w:rsid w:val="39937F11"/>
    <w:rsid w:val="39971EFC"/>
    <w:rsid w:val="3A023F7E"/>
    <w:rsid w:val="3A626B59"/>
    <w:rsid w:val="3AF4067B"/>
    <w:rsid w:val="3D033860"/>
    <w:rsid w:val="3D376426"/>
    <w:rsid w:val="3F9224EE"/>
    <w:rsid w:val="40CB34B3"/>
    <w:rsid w:val="41FF6FBF"/>
    <w:rsid w:val="439009F6"/>
    <w:rsid w:val="45120943"/>
    <w:rsid w:val="457B3E36"/>
    <w:rsid w:val="45DE3AA0"/>
    <w:rsid w:val="467D65BF"/>
    <w:rsid w:val="483D056E"/>
    <w:rsid w:val="48664AAD"/>
    <w:rsid w:val="48FC5171"/>
    <w:rsid w:val="496C29A5"/>
    <w:rsid w:val="499B7313"/>
    <w:rsid w:val="4A174DEF"/>
    <w:rsid w:val="4A4A584F"/>
    <w:rsid w:val="4A695E6C"/>
    <w:rsid w:val="4B3B77CD"/>
    <w:rsid w:val="4B416421"/>
    <w:rsid w:val="4B762248"/>
    <w:rsid w:val="4C156106"/>
    <w:rsid w:val="4F1A7015"/>
    <w:rsid w:val="4F5B654A"/>
    <w:rsid w:val="4F6739E3"/>
    <w:rsid w:val="4FEC797A"/>
    <w:rsid w:val="50222AD8"/>
    <w:rsid w:val="502D5F6C"/>
    <w:rsid w:val="50FB60FC"/>
    <w:rsid w:val="516A6972"/>
    <w:rsid w:val="51B538E8"/>
    <w:rsid w:val="533D46E1"/>
    <w:rsid w:val="53BF3CDF"/>
    <w:rsid w:val="541F1C96"/>
    <w:rsid w:val="543D7D43"/>
    <w:rsid w:val="548968F1"/>
    <w:rsid w:val="54A8256E"/>
    <w:rsid w:val="56FB78BE"/>
    <w:rsid w:val="57544F7D"/>
    <w:rsid w:val="57586D4E"/>
    <w:rsid w:val="58387392"/>
    <w:rsid w:val="5A034988"/>
    <w:rsid w:val="5A9728C5"/>
    <w:rsid w:val="5B6E2738"/>
    <w:rsid w:val="5CB9341E"/>
    <w:rsid w:val="5D522991"/>
    <w:rsid w:val="5D687D09"/>
    <w:rsid w:val="5D863677"/>
    <w:rsid w:val="5DE41305"/>
    <w:rsid w:val="5E5A6ED1"/>
    <w:rsid w:val="5F0834B9"/>
    <w:rsid w:val="603820F5"/>
    <w:rsid w:val="60641B67"/>
    <w:rsid w:val="608651F7"/>
    <w:rsid w:val="60EA0A83"/>
    <w:rsid w:val="611E683D"/>
    <w:rsid w:val="62A3501A"/>
    <w:rsid w:val="62BB48C4"/>
    <w:rsid w:val="62D33995"/>
    <w:rsid w:val="62D40077"/>
    <w:rsid w:val="645D771B"/>
    <w:rsid w:val="659C1F4E"/>
    <w:rsid w:val="659E5D8E"/>
    <w:rsid w:val="66BB7FF4"/>
    <w:rsid w:val="672B4E23"/>
    <w:rsid w:val="674D37A6"/>
    <w:rsid w:val="68F0785A"/>
    <w:rsid w:val="69115625"/>
    <w:rsid w:val="69431B2B"/>
    <w:rsid w:val="69841409"/>
    <w:rsid w:val="69CC4CD8"/>
    <w:rsid w:val="6BBF2CB1"/>
    <w:rsid w:val="6D793DE8"/>
    <w:rsid w:val="6D894878"/>
    <w:rsid w:val="6DD52787"/>
    <w:rsid w:val="6DE43496"/>
    <w:rsid w:val="6E201289"/>
    <w:rsid w:val="6ECB1B80"/>
    <w:rsid w:val="72F776EF"/>
    <w:rsid w:val="73647802"/>
    <w:rsid w:val="75431C52"/>
    <w:rsid w:val="755955B0"/>
    <w:rsid w:val="755F1275"/>
    <w:rsid w:val="757E5AF3"/>
    <w:rsid w:val="762D1373"/>
    <w:rsid w:val="768C4B7D"/>
    <w:rsid w:val="777A5621"/>
    <w:rsid w:val="77D30271"/>
    <w:rsid w:val="77E37F3B"/>
    <w:rsid w:val="782D3EBC"/>
    <w:rsid w:val="78AA3CC1"/>
    <w:rsid w:val="78EE505C"/>
    <w:rsid w:val="78FB1F24"/>
    <w:rsid w:val="78FE1CFA"/>
    <w:rsid w:val="7953604B"/>
    <w:rsid w:val="79D23915"/>
    <w:rsid w:val="7AEA73D7"/>
    <w:rsid w:val="7B357D96"/>
    <w:rsid w:val="7B6A6FF8"/>
    <w:rsid w:val="7CB35F30"/>
    <w:rsid w:val="7D844BEF"/>
    <w:rsid w:val="7D8A1BD4"/>
    <w:rsid w:val="7E1F3FB4"/>
    <w:rsid w:val="7E2A3C6C"/>
    <w:rsid w:val="7E5842C2"/>
    <w:rsid w:val="7E6C18FD"/>
    <w:rsid w:val="7E987DBD"/>
    <w:rsid w:val="7EA1411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0" w:semiHidden="0"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45"/>
    <w:semiHidden/>
    <w:qFormat/>
    <w:uiPriority w:val="99"/>
    <w:rPr>
      <w:b/>
      <w:bCs/>
    </w:rPr>
  </w:style>
  <w:style w:type="paragraph" w:styleId="8">
    <w:name w:val="annotation text"/>
    <w:basedOn w:val="1"/>
    <w:link w:val="44"/>
    <w:qFormat/>
    <w:uiPriority w:val="0"/>
  </w:style>
  <w:style w:type="paragraph" w:styleId="9">
    <w:name w:val="toc 3"/>
    <w:basedOn w:val="1"/>
    <w:next w:val="1"/>
    <w:qFormat/>
    <w:uiPriority w:val="39"/>
    <w:pPr>
      <w:tabs>
        <w:tab w:val="right" w:leader="dot" w:pos="8834"/>
      </w:tabs>
      <w:spacing w:line="600" w:lineRule="exact"/>
      <w:ind w:left="400" w:leftChars="136" w:hanging="264" w:hangingChars="264"/>
    </w:pPr>
    <w:rPr>
      <w:rFonts w:eastAsia="仿宋_GB2312"/>
      <w:sz w:val="32"/>
    </w:rPr>
  </w:style>
  <w:style w:type="paragraph" w:styleId="10">
    <w:name w:val="Balloon Text"/>
    <w:basedOn w:val="1"/>
    <w:link w:val="41"/>
    <w:semiHidden/>
    <w:qFormat/>
    <w:uiPriority w:val="99"/>
    <w:pPr>
      <w:spacing w:line="240" w:lineRule="auto"/>
    </w:pPr>
    <w:rPr>
      <w:sz w:val="18"/>
      <w:szCs w:val="18"/>
    </w:rPr>
  </w:style>
  <w:style w:type="paragraph" w:styleId="11">
    <w:name w:val="footer"/>
    <w:basedOn w:val="1"/>
    <w:link w:val="40"/>
    <w:qFormat/>
    <w:uiPriority w:val="99"/>
    <w:pPr>
      <w:tabs>
        <w:tab w:val="center" w:pos="4153"/>
        <w:tab w:val="right" w:pos="8306"/>
      </w:tabs>
      <w:snapToGrid w:val="0"/>
      <w:spacing w:line="240" w:lineRule="auto"/>
    </w:pPr>
    <w:rPr>
      <w:sz w:val="18"/>
      <w:szCs w:val="18"/>
    </w:rPr>
  </w:style>
  <w:style w:type="paragraph" w:styleId="12">
    <w:name w:val="toc 1"/>
    <w:basedOn w:val="1"/>
    <w:next w:val="1"/>
    <w:qFormat/>
    <w:uiPriority w:val="39"/>
    <w:pPr>
      <w:spacing w:line="600" w:lineRule="exact"/>
      <w:ind w:firstLine="0" w:firstLineChars="0"/>
    </w:pPr>
    <w:rPr>
      <w:rFonts w:ascii="Times New Roman" w:hAnsi="Times New Roman" w:eastAsia="仿宋_GB2312"/>
      <w:b/>
      <w:sz w:val="32"/>
    </w:rPr>
  </w:style>
  <w:style w:type="paragraph" w:styleId="13">
    <w:name w:val="toc 2"/>
    <w:basedOn w:val="1"/>
    <w:next w:val="1"/>
    <w:qFormat/>
    <w:uiPriority w:val="39"/>
    <w:pPr>
      <w:tabs>
        <w:tab w:val="right" w:leader="dot" w:pos="8834"/>
      </w:tabs>
      <w:spacing w:line="600" w:lineRule="exact"/>
      <w:ind w:left="640" w:hanging="640" w:hangingChars="200"/>
    </w:pPr>
    <w:rPr>
      <w:rFonts w:ascii="Times New Roman" w:hAnsi="Times New Roman" w:eastAsia="仿宋_GB2312"/>
      <w:b/>
      <w:sz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semiHidden/>
    <w:qFormat/>
    <w:uiPriority w:val="99"/>
    <w:rPr>
      <w:sz w:val="21"/>
      <w:szCs w:val="21"/>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字符"/>
    <w:basedOn w:val="14"/>
    <w:link w:val="2"/>
    <w:semiHidden/>
    <w:qFormat/>
    <w:uiPriority w:val="9"/>
    <w:rPr>
      <w:b/>
      <w:bCs/>
      <w:kern w:val="44"/>
      <w:sz w:val="44"/>
      <w:szCs w:val="44"/>
    </w:rPr>
  </w:style>
  <w:style w:type="character" w:customStyle="1" w:styleId="20">
    <w:name w:val="标题 2 字符"/>
    <w:basedOn w:val="14"/>
    <w:link w:val="3"/>
    <w:semiHidden/>
    <w:qFormat/>
    <w:uiPriority w:val="9"/>
    <w:rPr>
      <w:rFonts w:asciiTheme="majorHAnsi" w:hAnsiTheme="majorHAnsi" w:cstheme="majorBidi"/>
      <w:b/>
      <w:bCs/>
      <w:sz w:val="32"/>
      <w:szCs w:val="32"/>
    </w:rPr>
  </w:style>
  <w:style w:type="character" w:customStyle="1" w:styleId="21">
    <w:name w:val="标题 3 字符"/>
    <w:basedOn w:val="14"/>
    <w:link w:val="4"/>
    <w:semiHidden/>
    <w:qFormat/>
    <w:uiPriority w:val="9"/>
    <w:rPr>
      <w:b/>
      <w:bCs/>
      <w:sz w:val="30"/>
      <w:szCs w:val="32"/>
    </w:rPr>
  </w:style>
  <w:style w:type="character" w:customStyle="1" w:styleId="22">
    <w:name w:val="标题 5 字符"/>
    <w:basedOn w:val="14"/>
    <w:link w:val="6"/>
    <w:semiHidden/>
    <w:qFormat/>
    <w:uiPriority w:val="9"/>
    <w:rPr>
      <w:b/>
      <w:bCs/>
      <w:szCs w:val="28"/>
    </w:rPr>
  </w:style>
  <w:style w:type="character" w:customStyle="1" w:styleId="23">
    <w:name w:val="标题 4 字符"/>
    <w:basedOn w:val="14"/>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4"/>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4"/>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宋体"/>
      <w:b/>
      <w:sz w:val="21"/>
    </w:rPr>
  </w:style>
  <w:style w:type="character" w:customStyle="1" w:styleId="36">
    <w:name w:val="市局绩效-表格单位 字符"/>
    <w:basedOn w:val="14"/>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240" w:lineRule="auto"/>
      <w:ind w:firstLine="0" w:firstLineChars="0"/>
      <w:jc w:val="center"/>
    </w:pPr>
    <w:rPr>
      <w:rFonts w:eastAsia="宋体"/>
      <w:sz w:val="21"/>
    </w:rPr>
  </w:style>
  <w:style w:type="character" w:customStyle="1" w:styleId="38">
    <w:name w:val="市局绩效-表格表头 字符"/>
    <w:basedOn w:val="28"/>
    <w:link w:val="35"/>
    <w:qFormat/>
    <w:uiPriority w:val="0"/>
    <w:rPr>
      <w:rFonts w:ascii="Times New Roman" w:hAnsi="Times New Roman" w:eastAsia="宋体"/>
      <w:b/>
      <w:sz w:val="32"/>
    </w:rPr>
  </w:style>
  <w:style w:type="character" w:customStyle="1" w:styleId="39">
    <w:name w:val="市局绩效-表格内容 字符"/>
    <w:basedOn w:val="28"/>
    <w:link w:val="37"/>
    <w:qFormat/>
    <w:uiPriority w:val="0"/>
    <w:rPr>
      <w:rFonts w:ascii="Times New Roman" w:hAnsi="Times New Roman" w:eastAsia="宋体"/>
      <w:sz w:val="32"/>
    </w:rPr>
  </w:style>
  <w:style w:type="character" w:customStyle="1" w:styleId="40">
    <w:name w:val="页脚 字符"/>
    <w:basedOn w:val="14"/>
    <w:link w:val="11"/>
    <w:qFormat/>
    <w:uiPriority w:val="99"/>
    <w:rPr>
      <w:sz w:val="18"/>
      <w:szCs w:val="18"/>
    </w:rPr>
  </w:style>
  <w:style w:type="character" w:customStyle="1" w:styleId="41">
    <w:name w:val="批注框文本 字符"/>
    <w:basedOn w:val="14"/>
    <w:link w:val="10"/>
    <w:semiHidden/>
    <w:qFormat/>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qFormat/>
    <w:uiPriority w:val="0"/>
    <w:rPr>
      <w:rFonts w:ascii="Times New Roman" w:hAnsi="Times New Roman" w:eastAsia="宋体"/>
      <w:bCs/>
      <w:sz w:val="32"/>
    </w:rPr>
  </w:style>
  <w:style w:type="character" w:customStyle="1" w:styleId="44">
    <w:name w:val="批注文字 字符"/>
    <w:basedOn w:val="14"/>
    <w:link w:val="8"/>
    <w:qFormat/>
    <w:uiPriority w:val="0"/>
  </w:style>
  <w:style w:type="character" w:customStyle="1" w:styleId="45">
    <w:name w:val="批注主题 字符"/>
    <w:basedOn w:val="44"/>
    <w:link w:val="7"/>
    <w:semiHidden/>
    <w:qFormat/>
    <w:uiPriority w:val="99"/>
    <w:rPr>
      <w:b/>
      <w:bCs/>
    </w:rPr>
  </w:style>
  <w:style w:type="paragraph" w:customStyle="1" w:styleId="4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7">
    <w:name w:val="Unresolved Mention"/>
    <w:basedOn w:val="14"/>
    <w:unhideWhenUsed/>
    <w:qFormat/>
    <w:uiPriority w:val="99"/>
    <w:rPr>
      <w:color w:val="605E5C"/>
      <w:shd w:val="clear" w:color="auto" w:fill="E1DFDD"/>
    </w:rPr>
  </w:style>
  <w:style w:type="paragraph" w:customStyle="1" w:styleId="48">
    <w:name w:val="绩效标题2"/>
    <w:basedOn w:val="3"/>
    <w:link w:val="49"/>
    <w:qFormat/>
    <w:uiPriority w:val="0"/>
    <w:pPr>
      <w:spacing w:before="0" w:after="0" w:line="480" w:lineRule="atLeast"/>
    </w:pPr>
    <w:rPr>
      <w:rFonts w:ascii="仿宋" w:hAnsi="仿宋" w:eastAsia="仿宋"/>
      <w:bCs w:val="0"/>
      <w:sz w:val="36"/>
      <w:szCs w:val="44"/>
    </w:rPr>
  </w:style>
  <w:style w:type="character" w:customStyle="1" w:styleId="49">
    <w:name w:val="绩效标题2 字符"/>
    <w:basedOn w:val="20"/>
    <w:link w:val="48"/>
    <w:qFormat/>
    <w:uiPriority w:val="0"/>
    <w:rPr>
      <w:rFonts w:ascii="仿宋" w:hAnsi="仿宋" w:eastAsia="仿宋" w:cstheme="majorBidi"/>
      <w:bCs w:val="0"/>
      <w:sz w:val="36"/>
      <w:szCs w:val="44"/>
    </w:rPr>
  </w:style>
  <w:style w:type="paragraph" w:customStyle="1" w:styleId="50">
    <w:name w:val="绩效正文"/>
    <w:basedOn w:val="1"/>
    <w:link w:val="51"/>
    <w:qFormat/>
    <w:uiPriority w:val="0"/>
    <w:pPr>
      <w:spacing w:line="600" w:lineRule="exact"/>
      <w:ind w:firstLine="640"/>
      <w:jc w:val="both"/>
      <w:textAlignment w:val="baseline"/>
    </w:pPr>
    <w:rPr>
      <w:rFonts w:ascii="Times New Roman" w:hAnsi="Times New Roman" w:eastAsia="仿宋_GB2312" w:cs="Times New Roman"/>
      <w:sz w:val="32"/>
      <w:szCs w:val="32"/>
    </w:rPr>
  </w:style>
  <w:style w:type="character" w:customStyle="1" w:styleId="51">
    <w:name w:val="绩效正文 字符"/>
    <w:basedOn w:val="14"/>
    <w:link w:val="50"/>
    <w:qFormat/>
    <w:uiPriority w:val="0"/>
    <w:rPr>
      <w:rFonts w:ascii="Times New Roman" w:hAnsi="Times New Roman" w:eastAsia="仿宋_GB2312" w:cs="Times New Roman"/>
      <w:sz w:val="32"/>
      <w:szCs w:val="32"/>
    </w:rPr>
  </w:style>
  <w:style w:type="character" w:customStyle="1" w:styleId="52">
    <w:name w:val="font11"/>
    <w:basedOn w:val="14"/>
    <w:qFormat/>
    <w:uiPriority w:val="0"/>
    <w:rPr>
      <w:rFonts w:hint="eastAsia" w:ascii="宋体" w:hAnsi="宋体" w:eastAsia="宋体" w:cs="宋体"/>
      <w:color w:val="000000"/>
      <w:sz w:val="21"/>
      <w:szCs w:val="21"/>
      <w:u w:val="none"/>
    </w:rPr>
  </w:style>
  <w:style w:type="character" w:customStyle="1" w:styleId="53">
    <w:name w:val="font21"/>
    <w:basedOn w:val="14"/>
    <w:qFormat/>
    <w:uiPriority w:val="0"/>
    <w:rPr>
      <w:rFonts w:ascii="Nimbus Roman No9 L" w:hAnsi="Nimbus Roman No9 L" w:eastAsia="Nimbus Roman No9 L" w:cs="Nimbus Roman No9 L"/>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7BABC5-357E-46C0-81C7-EFC5C12DB6E8}">
  <ds:schemaRefs/>
</ds:datastoreItem>
</file>

<file path=docProps/app.xml><?xml version="1.0" encoding="utf-8"?>
<Properties xmlns="http://schemas.openxmlformats.org/officeDocument/2006/extended-properties" xmlns:vt="http://schemas.openxmlformats.org/officeDocument/2006/docPropsVTypes">
  <Template>Normal.dotm</Template>
  <Pages>56</Pages>
  <Words>17626</Words>
  <Characters>18840</Characters>
  <Lines>66</Lines>
  <Paragraphs>18</Paragraphs>
  <TotalTime>0</TotalTime>
  <ScaleCrop>false</ScaleCrop>
  <LinksUpToDate>false</LinksUpToDate>
  <CharactersWithSpaces>19084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2021-10-05T04:17:00Z</dcterms:created>
  <dc:creator>忠晔 张</dc:creator>
  <cp:lastModifiedBy>User</cp:lastModifiedBy>
  <cp:lastPrinted>2022-07-09T12:02:00Z</cp:lastPrinted>
  <dcterms:modified xsi:type="dcterms:W3CDTF">2025-04-21T03:08:19Z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0B682B9586FA4F979E0D7944AD796734_12</vt:lpwstr>
  </property>
</Properties>
</file>