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ind w:firstLine="0" w:firstLineChars="0"/>
        <w:jc w:val="center"/>
        <w:rPr>
          <w:rFonts w:ascii="Times New Roman" w:hAnsi="Times New Roman" w:eastAsia="方正小标宋简体"/>
          <w:sz w:val="52"/>
          <w:szCs w:val="52"/>
        </w:rPr>
      </w:pPr>
      <w:r>
        <w:rPr>
          <w:rFonts w:hint="eastAsia" w:ascii="Times New Roman" w:hAnsi="Times New Roman" w:eastAsia="方正小标宋简体"/>
          <w:sz w:val="52"/>
          <w:szCs w:val="52"/>
          <w:lang w:eastAsia="zh-Hans"/>
        </w:rPr>
        <w:t>项目</w:t>
      </w:r>
      <w:r>
        <w:rPr>
          <w:rFonts w:ascii="Times New Roman" w:hAnsi="Times New Roman" w:eastAsia="方正小标宋简体"/>
          <w:sz w:val="52"/>
          <w:szCs w:val="52"/>
        </w:rPr>
        <w:t>支出</w:t>
      </w:r>
      <w:r>
        <w:rPr>
          <w:rFonts w:hint="eastAsia" w:ascii="Times New Roman" w:hAnsi="Times New Roman" w:eastAsia="方正小标宋简体"/>
          <w:sz w:val="52"/>
          <w:szCs w:val="52"/>
        </w:rPr>
        <w:t>绩效评价</w:t>
      </w:r>
      <w:r>
        <w:rPr>
          <w:rFonts w:ascii="Times New Roman" w:hAnsi="Times New Roman" w:eastAsia="方正小标宋简体"/>
          <w:sz w:val="52"/>
          <w:szCs w:val="52"/>
        </w:rPr>
        <w:t>报告</w:t>
      </w:r>
    </w:p>
    <w:p>
      <w:pPr>
        <w:spacing w:line="800" w:lineRule="exact"/>
        <w:ind w:firstLine="0" w:firstLineChars="0"/>
        <w:jc w:val="center"/>
        <w:rPr>
          <w:rFonts w:ascii="Times New Roman" w:hAnsi="Times New Roman" w:eastAsia="方正小标宋简体"/>
          <w:sz w:val="48"/>
          <w:szCs w:val="44"/>
        </w:rPr>
      </w:pPr>
      <w:r>
        <w:rPr>
          <w:rFonts w:ascii="Times New Roman" w:hAnsi="Times New Roman" w:eastAsia="方正小标宋简体"/>
          <w:sz w:val="40"/>
          <w:szCs w:val="36"/>
        </w:rPr>
        <w:t>（</w:t>
      </w:r>
      <w:r>
        <w:rPr>
          <w:rFonts w:ascii="Times New Roman" w:hAnsi="Times New Roman" w:eastAsia="方正小标宋简体" w:cs="Times New Roman"/>
          <w:sz w:val="40"/>
          <w:szCs w:val="40"/>
        </w:rPr>
        <w:t>202</w:t>
      </w:r>
      <w:r>
        <w:rPr>
          <w:rFonts w:hint="eastAsia" w:ascii="Times New Roman" w:hAnsi="Times New Roman" w:eastAsia="方正小标宋简体" w:cs="Times New Roman"/>
          <w:sz w:val="40"/>
          <w:szCs w:val="40"/>
        </w:rPr>
        <w:t>3</w:t>
      </w:r>
      <w:r>
        <w:rPr>
          <w:rFonts w:ascii="Times New Roman" w:hAnsi="Times New Roman" w:eastAsia="方正小标宋简体"/>
          <w:sz w:val="40"/>
          <w:szCs w:val="36"/>
        </w:rPr>
        <w:t>年度）</w:t>
      </w: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900" w:lineRule="exact"/>
        <w:ind w:firstLine="0" w:firstLineChars="0"/>
        <w:rPr>
          <w:rFonts w:ascii="Times New Roman" w:hAnsi="Times New Roman" w:eastAsia="仿宋_GB2312" w:cs="Times New Roman"/>
          <w:spacing w:val="-20"/>
          <w:sz w:val="32"/>
          <w:szCs w:val="32"/>
          <w:u w:val="single"/>
        </w:rPr>
      </w:pPr>
      <w:r>
        <w:rPr>
          <w:rFonts w:hint="eastAsia" w:ascii="Times New Roman" w:hAnsi="Times New Roman" w:eastAsia="仿宋_GB2312"/>
          <w:sz w:val="32"/>
          <w:szCs w:val="32"/>
        </w:rPr>
        <w:t>项 目 名 称：</w:t>
      </w:r>
      <w:r>
        <w:rPr>
          <w:rFonts w:ascii="Times New Roman" w:hAnsi="Times New Roman" w:eastAsia="仿宋_GB2312"/>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医疗保障服务能力建设-01中央直达资金</w:t>
      </w:r>
      <w:r>
        <w:rPr>
          <w:rFonts w:hint="eastAsia" w:ascii="Times New Roman" w:hAnsi="Times New Roman" w:eastAsia="仿宋_GB2312" w:cs="Times New Roman"/>
          <w:spacing w:val="-20"/>
          <w:sz w:val="32"/>
          <w:szCs w:val="32"/>
          <w:u w:val="single"/>
          <w:lang w:val="en-US" w:eastAsia="zh-CN"/>
        </w:rPr>
        <w:t>-</w:t>
      </w:r>
      <w:r>
        <w:rPr>
          <w:rFonts w:hint="eastAsia"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lang w:val="en-US" w:eastAsia="zh-CN"/>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p>
    <w:p>
      <w:pPr>
        <w:spacing w:line="900" w:lineRule="exact"/>
        <w:ind w:left="2240" w:hanging="1960" w:hangingChars="700"/>
        <w:rPr>
          <w:rFonts w:hint="default" w:ascii="Times New Roman" w:hAnsi="Times New Roman" w:eastAsia="仿宋_GB2312"/>
          <w:sz w:val="32"/>
          <w:szCs w:val="32"/>
          <w:lang w:val="en-US" w:eastAsia="zh-CN"/>
        </w:rPr>
      </w:pPr>
      <w:r>
        <w:rPr>
          <w:rFonts w:hint="eastAsia" w:ascii="Times New Roman" w:hAnsi="Times New Roman" w:eastAsia="仿宋_GB2312" w:cs="Times New Roman"/>
          <w:spacing w:val="-20"/>
          <w:sz w:val="32"/>
          <w:szCs w:val="32"/>
        </w:rPr>
        <w:t xml:space="preserve"> </w:t>
      </w:r>
      <w:r>
        <w:rPr>
          <w:rFonts w:ascii="Times New Roman" w:hAnsi="Times New Roman" w:eastAsia="仿宋_GB2312" w:cs="Times New Roman"/>
          <w:spacing w:val="-20"/>
          <w:sz w:val="32"/>
          <w:szCs w:val="32"/>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2023年医疗服务与保障能力提升补助资金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p>
    <w:p>
      <w:pPr>
        <w:spacing w:line="900" w:lineRule="exact"/>
        <w:ind w:firstLine="0" w:firstLineChars="0"/>
        <w:rPr>
          <w:rFonts w:ascii="Times New Roman" w:hAnsi="Times New Roman" w:eastAsia="仿宋_GB2312" w:cs="Times New Roman"/>
          <w:spacing w:val="-20"/>
          <w:sz w:val="32"/>
          <w:szCs w:val="32"/>
          <w:u w:val="single"/>
        </w:rPr>
      </w:pPr>
      <w:r>
        <w:rPr>
          <w:rFonts w:hint="eastAsia" w:ascii="Times New Roman" w:hAnsi="Times New Roman" w:eastAsia="仿宋_GB2312"/>
          <w:sz w:val="32"/>
          <w:szCs w:val="32"/>
        </w:rPr>
        <w:t>项 目 单 位</w:t>
      </w:r>
      <w:r>
        <w:rPr>
          <w:rFonts w:ascii="Times New Roman" w:hAnsi="Times New Roman" w:eastAsia="仿宋_GB2312"/>
          <w:sz w:val="32"/>
          <w:szCs w:val="32"/>
        </w:rPr>
        <w:t>：</w:t>
      </w:r>
      <w:r>
        <w:rPr>
          <w:rFonts w:ascii="Times New Roman" w:hAnsi="Times New Roman" w:eastAsia="仿宋_GB2312"/>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lang w:val="en-US" w:eastAsia="zh-CN"/>
        </w:rPr>
        <w:t xml:space="preserve">  </w:t>
      </w:r>
      <w:r>
        <w:rPr>
          <w:rFonts w:hint="eastAsia" w:ascii="Times New Roman" w:hAnsi="Times New Roman" w:eastAsia="仿宋_GB2312" w:cs="Times New Roman"/>
          <w:spacing w:val="-20"/>
          <w:sz w:val="32"/>
          <w:szCs w:val="32"/>
          <w:u w:val="single"/>
        </w:rPr>
        <w:t xml:space="preserve">天津市和平区医疗保障局   </w:t>
      </w:r>
      <w:r>
        <w:rPr>
          <w:rFonts w:hint="eastAsia" w:ascii="Times New Roman" w:hAnsi="Times New Roman" w:eastAsia="仿宋_GB2312" w:cs="Times New Roman"/>
          <w:spacing w:val="-20"/>
          <w:sz w:val="32"/>
          <w:szCs w:val="32"/>
          <w:u w:val="single"/>
          <w:lang w:val="en-US" w:eastAsia="zh-CN"/>
        </w:rPr>
        <w:t xml:space="preserve">   </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p>
    <w:p>
      <w:pPr>
        <w:spacing w:line="900" w:lineRule="exact"/>
        <w:ind w:left="2240" w:hanging="2240" w:hangingChars="700"/>
        <w:rPr>
          <w:rFonts w:ascii="Times New Roman" w:hAnsi="Times New Roman" w:eastAsia="仿宋_GB2312"/>
          <w:sz w:val="32"/>
          <w:szCs w:val="32"/>
          <w:u w:val="single"/>
        </w:rPr>
      </w:pPr>
      <w:r>
        <w:rPr>
          <w:rFonts w:hint="eastAsia" w:ascii="Times New Roman" w:hAnsi="Times New Roman" w:eastAsia="仿宋_GB2312"/>
          <w:sz w:val="32"/>
          <w:szCs w:val="32"/>
        </w:rPr>
        <w:t>主 管 部 门：</w:t>
      </w:r>
      <w:r>
        <w:rPr>
          <w:rFonts w:hint="eastAsia" w:ascii="Times New Roman" w:hAnsi="Times New Roman" w:eastAsia="仿宋_GB2312"/>
          <w:sz w:val="32"/>
          <w:szCs w:val="32"/>
          <w:u w:val="single"/>
        </w:rPr>
        <w:t xml:space="preserve">           </w:t>
      </w:r>
      <w:r>
        <w:rPr>
          <w:rFonts w:hint="eastAsia" w:ascii="Times New Roman" w:hAnsi="Times New Roman" w:eastAsia="仿宋_GB2312" w:cs="Times New Roman"/>
          <w:spacing w:val="-20"/>
          <w:sz w:val="32"/>
          <w:szCs w:val="32"/>
          <w:u w:val="single"/>
        </w:rPr>
        <w:t>天津市和平区医疗保障局</w:t>
      </w:r>
      <w:r>
        <w:rPr>
          <w:rFonts w:hint="eastAsia" w:ascii="Times New Roman" w:hAnsi="Times New Roman" w:eastAsia="仿宋_GB2312"/>
          <w:sz w:val="32"/>
          <w:szCs w:val="32"/>
          <w:u w:val="single"/>
        </w:rPr>
        <w:t xml:space="preserve">  </w:t>
      </w:r>
      <w:r>
        <w:rPr>
          <w:rFonts w:hint="eastAsia" w:ascii="Times New Roman" w:hAnsi="Times New Roman" w:eastAsia="仿宋_GB2312"/>
          <w:sz w:val="32"/>
          <w:szCs w:val="32"/>
          <w:u w:val="single"/>
          <w:lang w:val="en-US" w:eastAsia="zh-CN"/>
        </w:rPr>
        <w:t xml:space="preserve"> </w:t>
      </w:r>
      <w:r>
        <w:rPr>
          <w:rFonts w:hint="eastAsia" w:ascii="Times New Roman" w:hAnsi="Times New Roman" w:eastAsia="仿宋_GB2312"/>
          <w:sz w:val="32"/>
          <w:szCs w:val="32"/>
          <w:u w:val="single"/>
        </w:rPr>
        <w:t xml:space="preserve">         </w:t>
      </w:r>
    </w:p>
    <w:p>
      <w:pPr>
        <w:spacing w:line="900" w:lineRule="exact"/>
        <w:ind w:firstLine="0" w:firstLineChars="0"/>
        <w:rPr>
          <w:rFonts w:ascii="Times New Roman" w:hAnsi="Times New Roman" w:eastAsia="仿宋_GB2312"/>
          <w:sz w:val="32"/>
          <w:szCs w:val="32"/>
        </w:rPr>
      </w:pPr>
      <w:r>
        <w:rPr>
          <w:rFonts w:ascii="Times New Roman" w:hAnsi="Times New Roman" w:eastAsia="仿宋_GB2312"/>
          <w:sz w:val="32"/>
          <w:szCs w:val="32"/>
        </w:rPr>
        <w:t xml:space="preserve">评 </w:t>
      </w:r>
      <w:r>
        <w:rPr>
          <w:rFonts w:hint="eastAsia" w:ascii="Times New Roman" w:hAnsi="Times New Roman" w:eastAsia="仿宋_GB2312"/>
          <w:sz w:val="32"/>
          <w:szCs w:val="32"/>
        </w:rPr>
        <w:t xml:space="preserve">价 </w:t>
      </w:r>
      <w:r>
        <w:rPr>
          <w:rFonts w:ascii="Times New Roman" w:hAnsi="Times New Roman" w:eastAsia="仿宋_GB2312"/>
          <w:sz w:val="32"/>
          <w:szCs w:val="32"/>
        </w:rPr>
        <w:t>机 构</w:t>
      </w:r>
      <w:r>
        <w:rPr>
          <w:rFonts w:hint="eastAsia" w:ascii="Times New Roman" w:hAnsi="Times New Roman" w:eastAsia="仿宋_GB2312"/>
          <w:sz w:val="32"/>
          <w:szCs w:val="32"/>
        </w:rPr>
        <w:t>：</w:t>
      </w:r>
      <w:r>
        <w:rPr>
          <w:rFonts w:ascii="Times New Roman" w:hAnsi="Times New Roman" w:eastAsia="仿宋_GB2312"/>
          <w:sz w:val="32"/>
          <w:szCs w:val="32"/>
          <w:u w:val="single"/>
        </w:rPr>
        <w:t xml:space="preserve">         天津</w:t>
      </w:r>
      <w:r>
        <w:rPr>
          <w:rFonts w:hint="eastAsia" w:ascii="Times New Roman" w:hAnsi="Times New Roman" w:eastAsia="仿宋_GB2312"/>
          <w:sz w:val="32"/>
          <w:szCs w:val="32"/>
          <w:u w:val="single"/>
        </w:rPr>
        <w:t>安信管理咨询</w:t>
      </w:r>
      <w:r>
        <w:rPr>
          <w:rFonts w:ascii="Times New Roman" w:hAnsi="Times New Roman" w:eastAsia="仿宋_GB2312"/>
          <w:sz w:val="32"/>
          <w:szCs w:val="32"/>
          <w:u w:val="single"/>
        </w:rPr>
        <w:t>有限公司</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p>
    <w:p>
      <w:pPr>
        <w:spacing w:line="900" w:lineRule="exact"/>
        <w:ind w:firstLine="0" w:firstLineChars="0"/>
        <w:rPr>
          <w:rFonts w:ascii="Times New Roman" w:hAnsi="Times New Roman" w:eastAsia="仿宋_GB2312"/>
          <w:sz w:val="32"/>
          <w:szCs w:val="32"/>
          <w:u w:val="single"/>
        </w:rPr>
      </w:pPr>
      <w:r>
        <w:rPr>
          <w:rFonts w:ascii="Times New Roman" w:hAnsi="Times New Roman" w:eastAsia="仿宋_GB2312"/>
          <w:sz w:val="32"/>
          <w:szCs w:val="32"/>
        </w:rPr>
        <w:t xml:space="preserve">评 </w:t>
      </w:r>
      <w:r>
        <w:rPr>
          <w:rFonts w:hint="eastAsia" w:ascii="Times New Roman" w:hAnsi="Times New Roman" w:eastAsia="仿宋_GB2312"/>
          <w:sz w:val="32"/>
          <w:szCs w:val="32"/>
        </w:rPr>
        <w:t>价</w:t>
      </w:r>
      <w:r>
        <w:rPr>
          <w:rFonts w:ascii="Times New Roman" w:hAnsi="Times New Roman" w:eastAsia="仿宋_GB2312"/>
          <w:sz w:val="32"/>
          <w:szCs w:val="32"/>
        </w:rPr>
        <w:t xml:space="preserve"> 日 期：</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lang w:val="en-US" w:eastAsia="zh-CN"/>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cs="Times New Roman"/>
          <w:sz w:val="32"/>
          <w:szCs w:val="32"/>
          <w:u w:val="single"/>
        </w:rPr>
        <w:t>202</w:t>
      </w:r>
      <w:r>
        <w:rPr>
          <w:rFonts w:hint="eastAsia" w:ascii="Times New Roman" w:hAnsi="Times New Roman" w:eastAsia="仿宋_GB2312" w:cs="Times New Roman"/>
          <w:sz w:val="32"/>
          <w:szCs w:val="32"/>
          <w:u w:val="single"/>
        </w:rPr>
        <w:t>4</w:t>
      </w:r>
      <w:r>
        <w:rPr>
          <w:rFonts w:hint="eastAsia" w:ascii="Times New Roman" w:hAnsi="Times New Roman" w:eastAsia="仿宋_GB2312"/>
          <w:sz w:val="32"/>
          <w:szCs w:val="32"/>
          <w:u w:val="single"/>
        </w:rPr>
        <w:t>年</w:t>
      </w:r>
      <w:r>
        <w:rPr>
          <w:rFonts w:hint="eastAsia" w:ascii="Times New Roman" w:hAnsi="Times New Roman" w:eastAsia="仿宋_GB2312" w:cs="Times New Roman"/>
          <w:sz w:val="32"/>
          <w:szCs w:val="32"/>
          <w:u w:val="single"/>
        </w:rPr>
        <w:t>8</w:t>
      </w:r>
      <w:r>
        <w:rPr>
          <w:rFonts w:hint="eastAsia" w:ascii="Times New Roman" w:hAnsi="Times New Roman" w:eastAsia="仿宋_GB2312"/>
          <w:sz w:val="32"/>
          <w:szCs w:val="32"/>
          <w:u w:val="single"/>
        </w:rPr>
        <w:t xml:space="preserve">月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p>
    <w:p>
      <w:pPr>
        <w:widowControl/>
        <w:spacing w:line="240" w:lineRule="auto"/>
        <w:ind w:firstLine="0" w:firstLineChars="0"/>
        <w:rPr>
          <w:rFonts w:ascii="Times New Roman" w:hAnsi="Times New Roman" w:eastAsia="方正小标宋简体"/>
          <w:bCs/>
          <w:color w:val="000000" w:themeColor="text1"/>
          <w:kern w:val="44"/>
          <w:sz w:val="44"/>
          <w:szCs w:val="44"/>
          <w14:textFill>
            <w14:solidFill>
              <w14:schemeClr w14:val="tx1"/>
            </w14:solidFill>
          </w14:textFill>
        </w:rPr>
      </w:pPr>
      <w:r>
        <w:rPr>
          <w:rFonts w:ascii="Times New Roman" w:hAnsi="Times New Roman" w:eastAsia="方正小标宋简体"/>
          <w:bCs/>
          <w:color w:val="000000" w:themeColor="text1"/>
          <w:kern w:val="44"/>
          <w:sz w:val="44"/>
          <w:szCs w:val="44"/>
          <w14:textFill>
            <w14:solidFill>
              <w14:schemeClr w14:val="tx1"/>
            </w14:solidFill>
          </w14:textFill>
        </w:rPr>
        <w:br w:type="page"/>
      </w:r>
    </w:p>
    <w:sdt>
      <w:sdtPr>
        <w:rPr>
          <w:rFonts w:ascii="Times New Roman" w:hAnsi="Times New Roman" w:eastAsiaTheme="minorEastAsia" w:cstheme="minorBidi"/>
          <w:color w:val="auto"/>
          <w:kern w:val="2"/>
          <w:sz w:val="21"/>
          <w:szCs w:val="21"/>
          <w:lang w:val="zh-CN"/>
        </w:rPr>
        <w:id w:val="-505280812"/>
        <w:docPartObj>
          <w:docPartGallery w:val="Table of Contents"/>
          <w:docPartUnique/>
        </w:docPartObj>
      </w:sdtPr>
      <w:sdtEndPr>
        <w:rPr>
          <w:rFonts w:ascii="Times New Roman" w:hAnsi="Times New Roman" w:eastAsiaTheme="majorEastAsia" w:cstheme="majorBidi"/>
          <w:b/>
          <w:bCs/>
          <w:color w:val="2F5597" w:themeColor="accent1" w:themeShade="BF"/>
          <w:kern w:val="0"/>
          <w:sz w:val="32"/>
          <w:szCs w:val="32"/>
          <w:lang w:val="zh-CN"/>
        </w:rPr>
      </w:sdtEndPr>
      <w:sdtContent>
        <w:p>
          <w:pPr>
            <w:pageBreakBefore w:val="0"/>
            <w:kinsoku/>
            <w:wordWrap/>
            <w:overflowPunct/>
            <w:topLinePunct w:val="0"/>
            <w:autoSpaceDE/>
            <w:autoSpaceDN/>
            <w:bidi w:val="0"/>
            <w:adjustRightInd/>
            <w:snapToGrid/>
            <w:spacing w:line="560" w:lineRule="exact"/>
            <w:ind w:firstLine="420"/>
            <w:jc w:val="center"/>
            <w:textAlignment w:val="auto"/>
            <w:rPr>
              <w:rFonts w:ascii="Times New Roman" w:hAnsi="Times New Roman" w:eastAsia="仿宋_GB2312" w:cs="黑体"/>
              <w:kern w:val="2"/>
              <w:sz w:val="21"/>
              <w:szCs w:val="21"/>
              <w:lang w:val="en-US" w:eastAsia="zh-CN" w:bidi="ar-SA"/>
            </w:rPr>
          </w:pPr>
          <w:r>
            <w:rPr>
              <w:rFonts w:hint="eastAsia" w:ascii="黑体" w:hAnsi="黑体" w:eastAsia="黑体" w:cs="黑体"/>
              <w:color w:val="auto"/>
              <w:sz w:val="36"/>
              <w:szCs w:val="36"/>
            </w:rPr>
            <w:t>目  录</w:t>
          </w:r>
          <w:r>
            <w:rPr>
              <w:rFonts w:ascii="Times New Roman" w:hAnsi="Times New Roman" w:eastAsia="仿宋_GB2312" w:cs="黑体"/>
              <w:color w:val="auto"/>
            </w:rPr>
            <w:fldChar w:fldCharType="begin"/>
          </w:r>
          <w:r>
            <w:rPr>
              <w:rFonts w:ascii="Times New Roman" w:hAnsi="Times New Roman" w:eastAsia="仿宋_GB2312" w:cs="黑体"/>
              <w:color w:val="auto"/>
            </w:rPr>
            <w:instrText xml:space="preserve"> </w:instrText>
          </w:r>
          <w:r>
            <w:rPr>
              <w:rFonts w:hint="eastAsia" w:ascii="Times New Roman" w:hAnsi="Times New Roman" w:eastAsia="仿宋_GB2312" w:cs="黑体"/>
              <w:color w:val="auto"/>
            </w:rPr>
            <w:instrText xml:space="preserve">TOC \o "1-3" \h \z \u</w:instrText>
          </w:r>
          <w:r>
            <w:rPr>
              <w:rFonts w:ascii="Times New Roman" w:hAnsi="Times New Roman" w:eastAsia="仿宋_GB2312" w:cs="黑体"/>
              <w:color w:val="auto"/>
            </w:rPr>
            <w:instrText xml:space="preserve"> </w:instrText>
          </w:r>
          <w:r>
            <w:rPr>
              <w:rFonts w:ascii="Times New Roman" w:hAnsi="Times New Roman" w:eastAsia="仿宋_GB2312" w:cs="黑体"/>
              <w:color w:val="auto"/>
            </w:rPr>
            <w:fldChar w:fldCharType="separate"/>
          </w:r>
        </w:p>
        <w:p>
          <w:pPr>
            <w:pStyle w:val="13"/>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_Toc3549 </w:instrText>
          </w:r>
          <w:r>
            <w:rPr>
              <w:rFonts w:ascii="Times New Roman" w:hAnsi="Times New Roman" w:eastAsia="仿宋_GB2312" w:cs="黑体"/>
              <w:sz w:val="32"/>
            </w:rPr>
            <w:fldChar w:fldCharType="separate"/>
          </w:r>
          <w:r>
            <w:rPr>
              <w:rFonts w:hint="eastAsia" w:ascii="Times New Roman" w:hAnsi="Times New Roman"/>
              <w:sz w:val="32"/>
            </w:rPr>
            <w:t>一、项目基本情况</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_Toc3549 \h </w:instrText>
          </w:r>
          <w:r>
            <w:rPr>
              <w:rFonts w:ascii="Times New Roman" w:hAnsi="Times New Roman"/>
              <w:sz w:val="32"/>
            </w:rPr>
            <w:fldChar w:fldCharType="separate"/>
          </w:r>
          <w:r>
            <w:rPr>
              <w:rFonts w:ascii="Times New Roman" w:hAnsi="Times New Roman"/>
              <w:sz w:val="32"/>
            </w:rPr>
            <w:t>- 1 -</w:t>
          </w:r>
          <w:r>
            <w:rPr>
              <w:rFonts w:ascii="Times New Roman" w:hAnsi="Times New Roman"/>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_Toc2196 </w:instrText>
          </w:r>
          <w:r>
            <w:rPr>
              <w:rFonts w:ascii="Times New Roman" w:hAnsi="Times New Roman" w:eastAsia="仿宋_GB2312" w:cs="黑体"/>
              <w:sz w:val="32"/>
            </w:rPr>
            <w:fldChar w:fldCharType="separate"/>
          </w:r>
          <w:r>
            <w:rPr>
              <w:rFonts w:hint="eastAsia" w:ascii="Times New Roman" w:hAnsi="Times New Roman"/>
              <w:sz w:val="32"/>
            </w:rPr>
            <w:t>（一）项目概况</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_Toc2196 \h </w:instrText>
          </w:r>
          <w:r>
            <w:rPr>
              <w:rFonts w:ascii="Times New Roman" w:hAnsi="Times New Roman"/>
              <w:sz w:val="32"/>
            </w:rPr>
            <w:fldChar w:fldCharType="separate"/>
          </w:r>
          <w:r>
            <w:rPr>
              <w:rFonts w:ascii="Times New Roman" w:hAnsi="Times New Roman"/>
              <w:sz w:val="32"/>
            </w:rPr>
            <w:t>- 1 -</w:t>
          </w:r>
          <w:r>
            <w:rPr>
              <w:rFonts w:ascii="Times New Roman" w:hAnsi="Times New Roman"/>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_Toc13812 </w:instrText>
          </w:r>
          <w:r>
            <w:rPr>
              <w:rFonts w:ascii="Times New Roman" w:hAnsi="Times New Roman" w:eastAsia="仿宋_GB2312" w:cs="黑体"/>
              <w:sz w:val="32"/>
            </w:rPr>
            <w:fldChar w:fldCharType="separate"/>
          </w:r>
          <w:r>
            <w:rPr>
              <w:rFonts w:hint="eastAsia" w:ascii="Times New Roman" w:hAnsi="Times New Roman"/>
              <w:sz w:val="32"/>
            </w:rPr>
            <w:t>（二）项目绩效目标</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_Toc13812 \h </w:instrText>
          </w:r>
          <w:r>
            <w:rPr>
              <w:rFonts w:ascii="Times New Roman" w:hAnsi="Times New Roman"/>
              <w:sz w:val="32"/>
            </w:rPr>
            <w:fldChar w:fldCharType="separate"/>
          </w:r>
          <w:r>
            <w:rPr>
              <w:rFonts w:ascii="Times New Roman" w:hAnsi="Times New Roman"/>
              <w:sz w:val="32"/>
            </w:rPr>
            <w:t>- 3 -</w:t>
          </w:r>
          <w:r>
            <w:rPr>
              <w:rFonts w:ascii="Times New Roman" w:hAnsi="Times New Roman"/>
              <w:sz w:val="32"/>
            </w:rPr>
            <w:fldChar w:fldCharType="end"/>
          </w:r>
          <w:r>
            <w:rPr>
              <w:rFonts w:ascii="Times New Roman" w:hAnsi="Times New Roman" w:eastAsia="仿宋_GB2312" w:cs="黑体"/>
              <w:sz w:val="32"/>
            </w:rPr>
            <w:fldChar w:fldCharType="end"/>
          </w:r>
        </w:p>
        <w:p>
          <w:pPr>
            <w:pStyle w:val="13"/>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_Toc25271 </w:instrText>
          </w:r>
          <w:r>
            <w:rPr>
              <w:rFonts w:ascii="Times New Roman" w:hAnsi="Times New Roman" w:eastAsia="仿宋_GB2312" w:cs="黑体"/>
              <w:sz w:val="32"/>
            </w:rPr>
            <w:fldChar w:fldCharType="separate"/>
          </w:r>
          <w:r>
            <w:rPr>
              <w:rFonts w:hint="eastAsia" w:ascii="Times New Roman" w:hAnsi="Times New Roman"/>
              <w:sz w:val="32"/>
            </w:rPr>
            <w:t>二、绩效评价工作开展情况</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_Toc25271 \h </w:instrText>
          </w:r>
          <w:r>
            <w:rPr>
              <w:rFonts w:ascii="Times New Roman" w:hAnsi="Times New Roman"/>
              <w:sz w:val="32"/>
            </w:rPr>
            <w:fldChar w:fldCharType="separate"/>
          </w:r>
          <w:r>
            <w:rPr>
              <w:rFonts w:ascii="Times New Roman" w:hAnsi="Times New Roman"/>
              <w:sz w:val="32"/>
            </w:rPr>
            <w:t>- 7 -</w:t>
          </w:r>
          <w:r>
            <w:rPr>
              <w:rFonts w:ascii="Times New Roman" w:hAnsi="Times New Roman"/>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_Toc21879 </w:instrText>
          </w:r>
          <w:r>
            <w:rPr>
              <w:rFonts w:ascii="Times New Roman" w:hAnsi="Times New Roman" w:eastAsia="仿宋_GB2312" w:cs="黑体"/>
              <w:sz w:val="32"/>
            </w:rPr>
            <w:fldChar w:fldCharType="separate"/>
          </w:r>
          <w:r>
            <w:rPr>
              <w:rFonts w:hint="eastAsia" w:ascii="Times New Roman" w:hAnsi="Times New Roman"/>
              <w:sz w:val="32"/>
            </w:rPr>
            <w:t>（一）绩效评价的目的、对象和范围</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_Toc21879 \h </w:instrText>
          </w:r>
          <w:r>
            <w:rPr>
              <w:rFonts w:ascii="Times New Roman" w:hAnsi="Times New Roman"/>
              <w:sz w:val="32"/>
            </w:rPr>
            <w:fldChar w:fldCharType="separate"/>
          </w:r>
          <w:r>
            <w:rPr>
              <w:rFonts w:ascii="Times New Roman" w:hAnsi="Times New Roman"/>
              <w:sz w:val="32"/>
            </w:rPr>
            <w:t>- 7 -</w:t>
          </w:r>
          <w:r>
            <w:rPr>
              <w:rFonts w:ascii="Times New Roman" w:hAnsi="Times New Roman"/>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_Toc2828 </w:instrText>
          </w:r>
          <w:r>
            <w:rPr>
              <w:rFonts w:ascii="Times New Roman" w:hAnsi="Times New Roman" w:eastAsia="仿宋_GB2312" w:cs="黑体"/>
              <w:sz w:val="32"/>
            </w:rPr>
            <w:fldChar w:fldCharType="separate"/>
          </w:r>
          <w:r>
            <w:rPr>
              <w:rFonts w:hint="eastAsia" w:ascii="Times New Roman" w:hAnsi="Times New Roman"/>
              <w:sz w:val="32"/>
            </w:rPr>
            <w:t>（二）</w:t>
          </w:r>
          <w:r>
            <w:rPr>
              <w:rFonts w:hint="eastAsia" w:ascii="Times New Roman" w:hAnsi="Times New Roman" w:cs="楷体_GB2312"/>
              <w:bCs w:val="0"/>
              <w:sz w:val="32"/>
            </w:rPr>
            <w:t>绩效评价原则、评价指标体系、评价方法</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_Toc2828 \h </w:instrText>
          </w:r>
          <w:r>
            <w:rPr>
              <w:rFonts w:ascii="Times New Roman" w:hAnsi="Times New Roman"/>
              <w:sz w:val="32"/>
            </w:rPr>
            <w:fldChar w:fldCharType="separate"/>
          </w:r>
          <w:r>
            <w:rPr>
              <w:rFonts w:ascii="Times New Roman" w:hAnsi="Times New Roman"/>
              <w:sz w:val="32"/>
            </w:rPr>
            <w:t>- 9 -</w:t>
          </w:r>
          <w:r>
            <w:rPr>
              <w:rFonts w:ascii="Times New Roman" w:hAnsi="Times New Roman"/>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_Toc5633 </w:instrText>
          </w:r>
          <w:r>
            <w:rPr>
              <w:rFonts w:ascii="Times New Roman" w:hAnsi="Times New Roman" w:eastAsia="仿宋_GB2312" w:cs="黑体"/>
              <w:sz w:val="32"/>
            </w:rPr>
            <w:fldChar w:fldCharType="separate"/>
          </w:r>
          <w:r>
            <w:rPr>
              <w:rFonts w:hint="eastAsia" w:ascii="Times New Roman" w:hAnsi="Times New Roman"/>
              <w:sz w:val="32"/>
            </w:rPr>
            <w:t>（三）绩效评价工作过程</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_Toc5633 \h </w:instrText>
          </w:r>
          <w:r>
            <w:rPr>
              <w:rFonts w:ascii="Times New Roman" w:hAnsi="Times New Roman"/>
              <w:sz w:val="32"/>
            </w:rPr>
            <w:fldChar w:fldCharType="separate"/>
          </w:r>
          <w:r>
            <w:rPr>
              <w:rFonts w:ascii="Times New Roman" w:hAnsi="Times New Roman"/>
              <w:sz w:val="32"/>
            </w:rPr>
            <w:t>- 15 -</w:t>
          </w:r>
          <w:r>
            <w:rPr>
              <w:rFonts w:ascii="Times New Roman" w:hAnsi="Times New Roman"/>
              <w:sz w:val="32"/>
            </w:rPr>
            <w:fldChar w:fldCharType="end"/>
          </w:r>
          <w:r>
            <w:rPr>
              <w:rFonts w:ascii="Times New Roman" w:hAnsi="Times New Roman" w:eastAsia="仿宋_GB2312" w:cs="黑体"/>
              <w:sz w:val="32"/>
            </w:rPr>
            <w:fldChar w:fldCharType="end"/>
          </w:r>
        </w:p>
        <w:p>
          <w:pPr>
            <w:pStyle w:val="13"/>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_Toc12913 </w:instrText>
          </w:r>
          <w:r>
            <w:rPr>
              <w:rFonts w:ascii="Times New Roman" w:hAnsi="Times New Roman" w:eastAsia="仿宋_GB2312" w:cs="黑体"/>
              <w:sz w:val="32"/>
            </w:rPr>
            <w:fldChar w:fldCharType="separate"/>
          </w:r>
          <w:r>
            <w:rPr>
              <w:rFonts w:hint="eastAsia" w:ascii="Times New Roman" w:hAnsi="Times New Roman"/>
              <w:sz w:val="32"/>
            </w:rPr>
            <w:t>三、综合评价情况及评价结论</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_Toc12913 \h </w:instrText>
          </w:r>
          <w:r>
            <w:rPr>
              <w:rFonts w:ascii="Times New Roman" w:hAnsi="Times New Roman"/>
              <w:sz w:val="32"/>
            </w:rPr>
            <w:fldChar w:fldCharType="separate"/>
          </w:r>
          <w:r>
            <w:rPr>
              <w:rFonts w:ascii="Times New Roman" w:hAnsi="Times New Roman"/>
              <w:sz w:val="32"/>
            </w:rPr>
            <w:t>- 17 -</w:t>
          </w:r>
          <w:r>
            <w:rPr>
              <w:rFonts w:ascii="Times New Roman" w:hAnsi="Times New Roman"/>
              <w:sz w:val="32"/>
            </w:rPr>
            <w:fldChar w:fldCharType="end"/>
          </w:r>
          <w:r>
            <w:rPr>
              <w:rFonts w:ascii="Times New Roman" w:hAnsi="Times New Roman" w:eastAsia="仿宋_GB2312" w:cs="黑体"/>
              <w:sz w:val="32"/>
            </w:rPr>
            <w:fldChar w:fldCharType="end"/>
          </w:r>
        </w:p>
        <w:p>
          <w:pPr>
            <w:pStyle w:val="13"/>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_Toc9186 </w:instrText>
          </w:r>
          <w:r>
            <w:rPr>
              <w:rFonts w:ascii="Times New Roman" w:hAnsi="Times New Roman" w:eastAsia="仿宋_GB2312" w:cs="黑体"/>
              <w:sz w:val="32"/>
            </w:rPr>
            <w:fldChar w:fldCharType="separate"/>
          </w:r>
          <w:r>
            <w:rPr>
              <w:rFonts w:hint="eastAsia" w:ascii="Times New Roman" w:hAnsi="Times New Roman"/>
              <w:sz w:val="32"/>
            </w:rPr>
            <w:t>四、绩效评价指标分析</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_Toc9186 \h </w:instrText>
          </w:r>
          <w:r>
            <w:rPr>
              <w:rFonts w:ascii="Times New Roman" w:hAnsi="Times New Roman"/>
              <w:sz w:val="32"/>
            </w:rPr>
            <w:fldChar w:fldCharType="separate"/>
          </w:r>
          <w:r>
            <w:rPr>
              <w:rFonts w:ascii="Times New Roman" w:hAnsi="Times New Roman"/>
              <w:sz w:val="32"/>
            </w:rPr>
            <w:t>- 18 -</w:t>
          </w:r>
          <w:r>
            <w:rPr>
              <w:rFonts w:ascii="Times New Roman" w:hAnsi="Times New Roman"/>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_Toc16191 </w:instrText>
          </w:r>
          <w:r>
            <w:rPr>
              <w:rFonts w:ascii="Times New Roman" w:hAnsi="Times New Roman" w:eastAsia="仿宋_GB2312" w:cs="黑体"/>
              <w:sz w:val="32"/>
            </w:rPr>
            <w:fldChar w:fldCharType="separate"/>
          </w:r>
          <w:r>
            <w:rPr>
              <w:rFonts w:hint="eastAsia" w:ascii="Times New Roman" w:hAnsi="Times New Roman"/>
              <w:sz w:val="32"/>
            </w:rPr>
            <w:t>（一）项目决策情况</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_Toc16191 \h </w:instrText>
          </w:r>
          <w:r>
            <w:rPr>
              <w:rFonts w:ascii="Times New Roman" w:hAnsi="Times New Roman"/>
              <w:sz w:val="32"/>
            </w:rPr>
            <w:fldChar w:fldCharType="separate"/>
          </w:r>
          <w:r>
            <w:rPr>
              <w:rFonts w:ascii="Times New Roman" w:hAnsi="Times New Roman"/>
              <w:sz w:val="32"/>
            </w:rPr>
            <w:t>- 18 -</w:t>
          </w:r>
          <w:r>
            <w:rPr>
              <w:rFonts w:ascii="Times New Roman" w:hAnsi="Times New Roman"/>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_Toc4682 </w:instrText>
          </w:r>
          <w:r>
            <w:rPr>
              <w:rFonts w:ascii="Times New Roman" w:hAnsi="Times New Roman" w:eastAsia="仿宋_GB2312" w:cs="黑体"/>
              <w:sz w:val="32"/>
            </w:rPr>
            <w:fldChar w:fldCharType="separate"/>
          </w:r>
          <w:r>
            <w:rPr>
              <w:rFonts w:hint="eastAsia" w:ascii="Times New Roman" w:hAnsi="Times New Roman"/>
              <w:sz w:val="32"/>
            </w:rPr>
            <w:t>（二）项目过程情况</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_Toc4682 \h </w:instrText>
          </w:r>
          <w:r>
            <w:rPr>
              <w:rFonts w:ascii="Times New Roman" w:hAnsi="Times New Roman"/>
              <w:sz w:val="32"/>
            </w:rPr>
            <w:fldChar w:fldCharType="separate"/>
          </w:r>
          <w:r>
            <w:rPr>
              <w:rFonts w:ascii="Times New Roman" w:hAnsi="Times New Roman"/>
              <w:sz w:val="32"/>
            </w:rPr>
            <w:t>- 22 -</w:t>
          </w:r>
          <w:r>
            <w:rPr>
              <w:rFonts w:ascii="Times New Roman" w:hAnsi="Times New Roman"/>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_Toc3380 </w:instrText>
          </w:r>
          <w:r>
            <w:rPr>
              <w:rFonts w:ascii="Times New Roman" w:hAnsi="Times New Roman" w:eastAsia="仿宋_GB2312" w:cs="黑体"/>
              <w:sz w:val="32"/>
            </w:rPr>
            <w:fldChar w:fldCharType="separate"/>
          </w:r>
          <w:r>
            <w:rPr>
              <w:rFonts w:hint="eastAsia" w:ascii="Times New Roman" w:hAnsi="Times New Roman"/>
              <w:sz w:val="32"/>
            </w:rPr>
            <w:t>（三）项目产出情况</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_Toc3380 \h </w:instrText>
          </w:r>
          <w:r>
            <w:rPr>
              <w:rFonts w:ascii="Times New Roman" w:hAnsi="Times New Roman"/>
              <w:sz w:val="32"/>
            </w:rPr>
            <w:fldChar w:fldCharType="separate"/>
          </w:r>
          <w:r>
            <w:rPr>
              <w:rFonts w:ascii="Times New Roman" w:hAnsi="Times New Roman"/>
              <w:sz w:val="32"/>
            </w:rPr>
            <w:t>- 25 -</w:t>
          </w:r>
          <w:r>
            <w:rPr>
              <w:rFonts w:ascii="Times New Roman" w:hAnsi="Times New Roman"/>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_Toc22023 </w:instrText>
          </w:r>
          <w:r>
            <w:rPr>
              <w:rFonts w:ascii="Times New Roman" w:hAnsi="Times New Roman" w:eastAsia="仿宋_GB2312" w:cs="黑体"/>
              <w:sz w:val="32"/>
            </w:rPr>
            <w:fldChar w:fldCharType="separate"/>
          </w:r>
          <w:r>
            <w:rPr>
              <w:rFonts w:hint="eastAsia" w:ascii="Times New Roman" w:hAnsi="Times New Roman"/>
              <w:sz w:val="32"/>
            </w:rPr>
            <w:t>（四）项目效益情况</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_Toc22023 \h </w:instrText>
          </w:r>
          <w:r>
            <w:rPr>
              <w:rFonts w:ascii="Times New Roman" w:hAnsi="Times New Roman"/>
              <w:sz w:val="32"/>
            </w:rPr>
            <w:fldChar w:fldCharType="separate"/>
          </w:r>
          <w:r>
            <w:rPr>
              <w:rFonts w:ascii="Times New Roman" w:hAnsi="Times New Roman"/>
              <w:sz w:val="32"/>
            </w:rPr>
            <w:t>- 31 -</w:t>
          </w:r>
          <w:r>
            <w:rPr>
              <w:rFonts w:ascii="Times New Roman" w:hAnsi="Times New Roman"/>
              <w:sz w:val="32"/>
            </w:rPr>
            <w:fldChar w:fldCharType="end"/>
          </w:r>
          <w:r>
            <w:rPr>
              <w:rFonts w:ascii="Times New Roman" w:hAnsi="Times New Roman" w:eastAsia="仿宋_GB2312" w:cs="黑体"/>
              <w:sz w:val="32"/>
            </w:rPr>
            <w:fldChar w:fldCharType="end"/>
          </w:r>
        </w:p>
        <w:p>
          <w:pPr>
            <w:pStyle w:val="13"/>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_Toc19911 </w:instrText>
          </w:r>
          <w:r>
            <w:rPr>
              <w:rFonts w:ascii="Times New Roman" w:hAnsi="Times New Roman" w:eastAsia="仿宋_GB2312" w:cs="黑体"/>
              <w:sz w:val="32"/>
            </w:rPr>
            <w:fldChar w:fldCharType="separate"/>
          </w:r>
          <w:r>
            <w:rPr>
              <w:rFonts w:hint="eastAsia" w:ascii="Times New Roman" w:hAnsi="Times New Roman"/>
              <w:sz w:val="32"/>
            </w:rPr>
            <w:t>五、存在的主要问题</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_Toc19911 \h </w:instrText>
          </w:r>
          <w:r>
            <w:rPr>
              <w:rFonts w:ascii="Times New Roman" w:hAnsi="Times New Roman"/>
              <w:sz w:val="32"/>
            </w:rPr>
            <w:fldChar w:fldCharType="separate"/>
          </w:r>
          <w:r>
            <w:rPr>
              <w:rFonts w:ascii="Times New Roman" w:hAnsi="Times New Roman"/>
              <w:sz w:val="32"/>
            </w:rPr>
            <w:t>- 33 -</w:t>
          </w:r>
          <w:r>
            <w:rPr>
              <w:rFonts w:ascii="Times New Roman" w:hAnsi="Times New Roman"/>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_Toc13072 </w:instrText>
          </w:r>
          <w:r>
            <w:rPr>
              <w:rFonts w:ascii="Times New Roman" w:hAnsi="Times New Roman" w:eastAsia="仿宋_GB2312" w:cs="黑体"/>
              <w:sz w:val="32"/>
            </w:rPr>
            <w:fldChar w:fldCharType="separate"/>
          </w:r>
          <w:r>
            <w:rPr>
              <w:rFonts w:hint="eastAsia" w:ascii="Times New Roman" w:hAnsi="Times New Roman"/>
              <w:sz w:val="32"/>
            </w:rPr>
            <w:t>（一）绩效管理工作有待</w:t>
          </w:r>
          <w:r>
            <w:rPr>
              <w:rFonts w:hint="eastAsia" w:ascii="Times New Roman" w:hAnsi="Times New Roman"/>
              <w:sz w:val="32"/>
              <w:lang w:val="en-US" w:eastAsia="zh-CN"/>
            </w:rPr>
            <w:t>提升</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_Toc13072 \h </w:instrText>
          </w:r>
          <w:r>
            <w:rPr>
              <w:rFonts w:ascii="Times New Roman" w:hAnsi="Times New Roman"/>
              <w:sz w:val="32"/>
            </w:rPr>
            <w:fldChar w:fldCharType="separate"/>
          </w:r>
          <w:r>
            <w:rPr>
              <w:rFonts w:ascii="Times New Roman" w:hAnsi="Times New Roman"/>
              <w:sz w:val="32"/>
            </w:rPr>
            <w:t>- 33 -</w:t>
          </w:r>
          <w:r>
            <w:rPr>
              <w:rFonts w:ascii="Times New Roman" w:hAnsi="Times New Roman"/>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_Toc5124 </w:instrText>
          </w:r>
          <w:r>
            <w:rPr>
              <w:rFonts w:ascii="Times New Roman" w:hAnsi="Times New Roman" w:eastAsia="仿宋_GB2312" w:cs="黑体"/>
              <w:sz w:val="32"/>
            </w:rPr>
            <w:fldChar w:fldCharType="separate"/>
          </w:r>
          <w:r>
            <w:rPr>
              <w:rFonts w:hint="eastAsia" w:ascii="Times New Roman" w:hAnsi="Times New Roman"/>
              <w:sz w:val="32"/>
            </w:rPr>
            <w:t>（二）</w:t>
          </w:r>
          <w:r>
            <w:rPr>
              <w:rFonts w:hint="eastAsia" w:ascii="Times New Roman" w:hAnsi="Times New Roman"/>
              <w:sz w:val="32"/>
              <w:lang w:val="en-US" w:eastAsia="zh-CN"/>
            </w:rPr>
            <w:t>项目资产管理不规范</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_Toc5124 \h </w:instrText>
          </w:r>
          <w:r>
            <w:rPr>
              <w:rFonts w:ascii="Times New Roman" w:hAnsi="Times New Roman"/>
              <w:sz w:val="32"/>
            </w:rPr>
            <w:fldChar w:fldCharType="separate"/>
          </w:r>
          <w:r>
            <w:rPr>
              <w:rFonts w:ascii="Times New Roman" w:hAnsi="Times New Roman"/>
              <w:sz w:val="32"/>
            </w:rPr>
            <w:t>- 34 -</w:t>
          </w:r>
          <w:r>
            <w:rPr>
              <w:rFonts w:ascii="Times New Roman" w:hAnsi="Times New Roman"/>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_Toc7019 </w:instrText>
          </w:r>
          <w:r>
            <w:rPr>
              <w:rFonts w:ascii="Times New Roman" w:hAnsi="Times New Roman" w:eastAsia="仿宋_GB2312" w:cs="黑体"/>
              <w:sz w:val="32"/>
            </w:rPr>
            <w:fldChar w:fldCharType="separate"/>
          </w:r>
          <w:r>
            <w:rPr>
              <w:rFonts w:hint="eastAsia" w:ascii="Times New Roman" w:hAnsi="Times New Roman"/>
              <w:sz w:val="32"/>
            </w:rPr>
            <w:t>（</w:t>
          </w:r>
          <w:r>
            <w:rPr>
              <w:rFonts w:hint="eastAsia" w:ascii="Times New Roman" w:hAnsi="Times New Roman"/>
              <w:sz w:val="32"/>
              <w:lang w:val="en-US" w:eastAsia="zh-CN"/>
            </w:rPr>
            <w:t>三</w:t>
          </w:r>
          <w:r>
            <w:rPr>
              <w:rFonts w:hint="eastAsia" w:ascii="Times New Roman" w:hAnsi="Times New Roman"/>
              <w:sz w:val="32"/>
            </w:rPr>
            <w:t>）</w:t>
          </w:r>
          <w:r>
            <w:rPr>
              <w:rFonts w:hint="eastAsia" w:ascii="Times New Roman" w:hAnsi="Times New Roman"/>
              <w:sz w:val="32"/>
              <w:lang w:val="en-US" w:eastAsia="zh-CN"/>
            </w:rPr>
            <w:t>单位管理制度不完善</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_Toc7019 \h </w:instrText>
          </w:r>
          <w:r>
            <w:rPr>
              <w:rFonts w:ascii="Times New Roman" w:hAnsi="Times New Roman"/>
              <w:sz w:val="32"/>
            </w:rPr>
            <w:fldChar w:fldCharType="separate"/>
          </w:r>
          <w:r>
            <w:rPr>
              <w:rFonts w:ascii="Times New Roman" w:hAnsi="Times New Roman"/>
              <w:sz w:val="32"/>
            </w:rPr>
            <w:t>- 34 -</w:t>
          </w:r>
          <w:r>
            <w:rPr>
              <w:rFonts w:ascii="Times New Roman" w:hAnsi="Times New Roman"/>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_Toc12386 </w:instrText>
          </w:r>
          <w:r>
            <w:rPr>
              <w:rFonts w:ascii="Times New Roman" w:hAnsi="Times New Roman" w:eastAsia="仿宋_GB2312" w:cs="黑体"/>
              <w:sz w:val="32"/>
            </w:rPr>
            <w:fldChar w:fldCharType="separate"/>
          </w:r>
          <w:r>
            <w:rPr>
              <w:rFonts w:hint="eastAsia" w:ascii="Times New Roman" w:hAnsi="Times New Roman"/>
              <w:sz w:val="32"/>
            </w:rPr>
            <w:t>（</w:t>
          </w:r>
          <w:r>
            <w:rPr>
              <w:rFonts w:hint="eastAsia" w:ascii="Times New Roman" w:hAnsi="Times New Roman"/>
              <w:sz w:val="32"/>
              <w:lang w:val="en-US" w:eastAsia="zh-CN"/>
            </w:rPr>
            <w:t>四</w:t>
          </w:r>
          <w:r>
            <w:rPr>
              <w:rFonts w:hint="eastAsia" w:ascii="Times New Roman" w:hAnsi="Times New Roman"/>
              <w:sz w:val="32"/>
            </w:rPr>
            <w:t>）</w:t>
          </w:r>
          <w:r>
            <w:rPr>
              <w:rFonts w:hint="eastAsia" w:ascii="Times New Roman" w:hAnsi="Times New Roman"/>
              <w:sz w:val="32"/>
              <w:lang w:val="en-US" w:eastAsia="zh-CN"/>
            </w:rPr>
            <w:t>项目实现效益有待加强</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_Toc12386 \h </w:instrText>
          </w:r>
          <w:r>
            <w:rPr>
              <w:rFonts w:ascii="Times New Roman" w:hAnsi="Times New Roman"/>
              <w:sz w:val="32"/>
            </w:rPr>
            <w:fldChar w:fldCharType="separate"/>
          </w:r>
          <w:r>
            <w:rPr>
              <w:rFonts w:ascii="Times New Roman" w:hAnsi="Times New Roman"/>
              <w:sz w:val="32"/>
            </w:rPr>
            <w:t>- 34 -</w:t>
          </w:r>
          <w:r>
            <w:rPr>
              <w:rFonts w:ascii="Times New Roman" w:hAnsi="Times New Roman"/>
              <w:sz w:val="32"/>
            </w:rPr>
            <w:fldChar w:fldCharType="end"/>
          </w:r>
          <w:r>
            <w:rPr>
              <w:rFonts w:ascii="Times New Roman" w:hAnsi="Times New Roman" w:eastAsia="仿宋_GB2312" w:cs="黑体"/>
              <w:sz w:val="32"/>
            </w:rPr>
            <w:fldChar w:fldCharType="end"/>
          </w:r>
        </w:p>
        <w:p>
          <w:pPr>
            <w:pStyle w:val="13"/>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_Toc12843 </w:instrText>
          </w:r>
          <w:r>
            <w:rPr>
              <w:rFonts w:ascii="Times New Roman" w:hAnsi="Times New Roman" w:eastAsia="仿宋_GB2312" w:cs="黑体"/>
              <w:sz w:val="32"/>
            </w:rPr>
            <w:fldChar w:fldCharType="separate"/>
          </w:r>
          <w:r>
            <w:rPr>
              <w:rFonts w:hint="eastAsia" w:ascii="Times New Roman" w:hAnsi="Times New Roman"/>
              <w:sz w:val="32"/>
            </w:rPr>
            <w:t>六、相关建议</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_Toc12843 \h </w:instrText>
          </w:r>
          <w:r>
            <w:rPr>
              <w:rFonts w:ascii="Times New Roman" w:hAnsi="Times New Roman"/>
              <w:sz w:val="32"/>
            </w:rPr>
            <w:fldChar w:fldCharType="separate"/>
          </w:r>
          <w:r>
            <w:rPr>
              <w:rFonts w:ascii="Times New Roman" w:hAnsi="Times New Roman"/>
              <w:sz w:val="32"/>
            </w:rPr>
            <w:t>- 35 -</w:t>
          </w:r>
          <w:r>
            <w:rPr>
              <w:rFonts w:ascii="Times New Roman" w:hAnsi="Times New Roman"/>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_Toc25651 </w:instrText>
          </w:r>
          <w:r>
            <w:rPr>
              <w:rFonts w:ascii="Times New Roman" w:hAnsi="Times New Roman" w:eastAsia="仿宋_GB2312" w:cs="黑体"/>
              <w:sz w:val="32"/>
            </w:rPr>
            <w:fldChar w:fldCharType="separate"/>
          </w:r>
          <w:r>
            <w:rPr>
              <w:rFonts w:hint="eastAsia" w:ascii="Times New Roman" w:hAnsi="Times New Roman"/>
              <w:sz w:val="32"/>
            </w:rPr>
            <w:t>（一）</w:t>
          </w:r>
          <w:r>
            <w:rPr>
              <w:rFonts w:hint="eastAsia" w:ascii="Times New Roman" w:hAnsi="Times New Roman"/>
              <w:sz w:val="32"/>
              <w:lang w:val="en-US" w:eastAsia="zh-CN"/>
            </w:rPr>
            <w:t>提升</w:t>
          </w:r>
          <w:r>
            <w:rPr>
              <w:rFonts w:hint="eastAsia" w:ascii="Times New Roman" w:hAnsi="Times New Roman"/>
              <w:sz w:val="32"/>
            </w:rPr>
            <w:t>绩效</w:t>
          </w:r>
          <w:r>
            <w:rPr>
              <w:rFonts w:hint="eastAsia" w:ascii="Times New Roman" w:hAnsi="Times New Roman"/>
              <w:sz w:val="32"/>
              <w:lang w:val="en-US" w:eastAsia="zh-CN"/>
            </w:rPr>
            <w:t>管理工作质量</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_Toc25651 \h </w:instrText>
          </w:r>
          <w:r>
            <w:rPr>
              <w:rFonts w:ascii="Times New Roman" w:hAnsi="Times New Roman"/>
              <w:sz w:val="32"/>
            </w:rPr>
            <w:fldChar w:fldCharType="separate"/>
          </w:r>
          <w:r>
            <w:rPr>
              <w:rFonts w:ascii="Times New Roman" w:hAnsi="Times New Roman"/>
              <w:sz w:val="32"/>
            </w:rPr>
            <w:t>- 35 -</w:t>
          </w:r>
          <w:r>
            <w:rPr>
              <w:rFonts w:ascii="Times New Roman" w:hAnsi="Times New Roman"/>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_Toc31654 </w:instrText>
          </w:r>
          <w:r>
            <w:rPr>
              <w:rFonts w:ascii="Times New Roman" w:hAnsi="Times New Roman" w:eastAsia="仿宋_GB2312" w:cs="黑体"/>
              <w:sz w:val="32"/>
            </w:rPr>
            <w:fldChar w:fldCharType="separate"/>
          </w:r>
          <w:r>
            <w:rPr>
              <w:rFonts w:hint="eastAsia" w:ascii="Times New Roman" w:hAnsi="Times New Roman"/>
              <w:sz w:val="32"/>
            </w:rPr>
            <w:t>（二）</w:t>
          </w:r>
          <w:r>
            <w:rPr>
              <w:rFonts w:hint="eastAsia" w:ascii="Times New Roman" w:hAnsi="Times New Roman"/>
              <w:sz w:val="32"/>
              <w:lang w:val="en-US" w:eastAsia="zh-CN"/>
            </w:rPr>
            <w:t>完善单位资产管理体系</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_Toc31654 \h </w:instrText>
          </w:r>
          <w:r>
            <w:rPr>
              <w:rFonts w:ascii="Times New Roman" w:hAnsi="Times New Roman"/>
              <w:sz w:val="32"/>
            </w:rPr>
            <w:fldChar w:fldCharType="separate"/>
          </w:r>
          <w:r>
            <w:rPr>
              <w:rFonts w:ascii="Times New Roman" w:hAnsi="Times New Roman"/>
              <w:sz w:val="32"/>
            </w:rPr>
            <w:t>- 35 -</w:t>
          </w:r>
          <w:r>
            <w:rPr>
              <w:rFonts w:ascii="Times New Roman" w:hAnsi="Times New Roman"/>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_Toc29080 </w:instrText>
          </w:r>
          <w:r>
            <w:rPr>
              <w:rFonts w:ascii="Times New Roman" w:hAnsi="Times New Roman" w:eastAsia="仿宋_GB2312" w:cs="黑体"/>
              <w:sz w:val="32"/>
            </w:rPr>
            <w:fldChar w:fldCharType="separate"/>
          </w:r>
          <w:r>
            <w:rPr>
              <w:rFonts w:hint="eastAsia" w:ascii="Times New Roman" w:hAnsi="Times New Roman"/>
              <w:sz w:val="32"/>
            </w:rPr>
            <w:t>（</w:t>
          </w:r>
          <w:r>
            <w:rPr>
              <w:rFonts w:hint="eastAsia" w:ascii="Times New Roman" w:hAnsi="Times New Roman"/>
              <w:sz w:val="32"/>
              <w:lang w:val="en-US" w:eastAsia="zh-CN"/>
            </w:rPr>
            <w:t>三</w:t>
          </w:r>
          <w:r>
            <w:rPr>
              <w:rFonts w:hint="eastAsia" w:ascii="Times New Roman" w:hAnsi="Times New Roman"/>
              <w:sz w:val="32"/>
            </w:rPr>
            <w:t>）</w:t>
          </w:r>
          <w:r>
            <w:rPr>
              <w:rFonts w:hint="eastAsia" w:ascii="Times New Roman" w:hAnsi="Times New Roman"/>
              <w:sz w:val="32"/>
              <w:lang w:val="en-US" w:eastAsia="zh-CN"/>
            </w:rPr>
            <w:t>建立单位内部控制制度</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_Toc29080 \h </w:instrText>
          </w:r>
          <w:r>
            <w:rPr>
              <w:rFonts w:ascii="Times New Roman" w:hAnsi="Times New Roman"/>
              <w:sz w:val="32"/>
            </w:rPr>
            <w:fldChar w:fldCharType="separate"/>
          </w:r>
          <w:r>
            <w:rPr>
              <w:rFonts w:ascii="Times New Roman" w:hAnsi="Times New Roman"/>
              <w:sz w:val="32"/>
            </w:rPr>
            <w:t>- 36 -</w:t>
          </w:r>
          <w:r>
            <w:rPr>
              <w:rFonts w:ascii="Times New Roman" w:hAnsi="Times New Roman"/>
              <w:sz w:val="32"/>
            </w:rPr>
            <w:fldChar w:fldCharType="end"/>
          </w:r>
          <w:r>
            <w:rPr>
              <w:rFonts w:ascii="Times New Roman" w:hAnsi="Times New Roman" w:eastAsia="仿宋_GB2312" w:cs="黑体"/>
              <w:sz w:val="32"/>
            </w:rPr>
            <w:fldChar w:fldCharType="end"/>
          </w:r>
        </w:p>
        <w:p>
          <w:pPr>
            <w:pStyle w:val="9"/>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_Toc19473 </w:instrText>
          </w:r>
          <w:r>
            <w:rPr>
              <w:rFonts w:ascii="Times New Roman" w:hAnsi="Times New Roman" w:eastAsia="仿宋_GB2312" w:cs="黑体"/>
              <w:sz w:val="32"/>
            </w:rPr>
            <w:fldChar w:fldCharType="separate"/>
          </w:r>
          <w:r>
            <w:rPr>
              <w:rFonts w:hint="eastAsia" w:ascii="Times New Roman" w:hAnsi="Times New Roman"/>
              <w:sz w:val="32"/>
            </w:rPr>
            <w:t>（</w:t>
          </w:r>
          <w:r>
            <w:rPr>
              <w:rFonts w:hint="eastAsia" w:ascii="Times New Roman" w:hAnsi="Times New Roman"/>
              <w:sz w:val="32"/>
              <w:lang w:val="en-US" w:eastAsia="zh-CN"/>
            </w:rPr>
            <w:t>四</w:t>
          </w:r>
          <w:r>
            <w:rPr>
              <w:rFonts w:hint="eastAsia" w:ascii="Times New Roman" w:hAnsi="Times New Roman"/>
              <w:sz w:val="32"/>
            </w:rPr>
            <w:t>）</w:t>
          </w:r>
          <w:r>
            <w:rPr>
              <w:rFonts w:hint="eastAsia" w:ascii="Times New Roman" w:hAnsi="Times New Roman"/>
              <w:sz w:val="32"/>
              <w:lang w:val="en-US" w:eastAsia="zh-CN"/>
            </w:rPr>
            <w:t>加强经办人员培训与政策宣传力度</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_Toc19473 \h </w:instrText>
          </w:r>
          <w:r>
            <w:rPr>
              <w:rFonts w:ascii="Times New Roman" w:hAnsi="Times New Roman"/>
              <w:sz w:val="32"/>
            </w:rPr>
            <w:fldChar w:fldCharType="separate"/>
          </w:r>
          <w:r>
            <w:rPr>
              <w:rFonts w:ascii="Times New Roman" w:hAnsi="Times New Roman"/>
              <w:sz w:val="32"/>
            </w:rPr>
            <w:t>- 36 -</w:t>
          </w:r>
          <w:r>
            <w:rPr>
              <w:rFonts w:ascii="Times New Roman" w:hAnsi="Times New Roman"/>
              <w:sz w:val="32"/>
            </w:rPr>
            <w:fldChar w:fldCharType="end"/>
          </w:r>
          <w:r>
            <w:rPr>
              <w:rFonts w:ascii="Times New Roman" w:hAnsi="Times New Roman" w:eastAsia="仿宋_GB2312" w:cs="黑体"/>
              <w:sz w:val="32"/>
            </w:rPr>
            <w:fldChar w:fldCharType="end"/>
          </w:r>
        </w:p>
        <w:p>
          <w:pPr>
            <w:pStyle w:val="13"/>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rPr>
              <w:rFonts w:ascii="Times New Roman" w:hAnsi="Times New Roman"/>
              <w:sz w:val="32"/>
            </w:rPr>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_Toc29735 </w:instrText>
          </w:r>
          <w:r>
            <w:rPr>
              <w:rFonts w:ascii="Times New Roman" w:hAnsi="Times New Roman" w:eastAsia="仿宋_GB2312" w:cs="黑体"/>
              <w:sz w:val="32"/>
            </w:rPr>
            <w:fldChar w:fldCharType="separate"/>
          </w:r>
          <w:r>
            <w:rPr>
              <w:rFonts w:hint="eastAsia" w:ascii="Times New Roman" w:hAnsi="Times New Roman"/>
              <w:sz w:val="32"/>
              <w:lang w:val="en-US" w:eastAsia="zh-CN"/>
            </w:rPr>
            <w:t>七、 其他需要说明的问题</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_Toc29735 \h </w:instrText>
          </w:r>
          <w:r>
            <w:rPr>
              <w:rFonts w:ascii="Times New Roman" w:hAnsi="Times New Roman"/>
              <w:sz w:val="32"/>
            </w:rPr>
            <w:fldChar w:fldCharType="separate"/>
          </w:r>
          <w:r>
            <w:rPr>
              <w:rFonts w:ascii="Times New Roman" w:hAnsi="Times New Roman"/>
              <w:sz w:val="32"/>
            </w:rPr>
            <w:t>- 37 -</w:t>
          </w:r>
          <w:r>
            <w:rPr>
              <w:rFonts w:ascii="Times New Roman" w:hAnsi="Times New Roman"/>
              <w:sz w:val="32"/>
            </w:rPr>
            <w:fldChar w:fldCharType="end"/>
          </w:r>
          <w:r>
            <w:rPr>
              <w:rFonts w:ascii="Times New Roman" w:hAnsi="Times New Roman" w:eastAsia="仿宋_GB2312" w:cs="黑体"/>
              <w:sz w:val="32"/>
            </w:rPr>
            <w:fldChar w:fldCharType="end"/>
          </w:r>
        </w:p>
        <w:p>
          <w:pPr>
            <w:pStyle w:val="13"/>
            <w:keepNext w:val="0"/>
            <w:keepLines w:val="0"/>
            <w:pageBreakBefore w:val="0"/>
            <w:widowControl w:val="0"/>
            <w:tabs>
              <w:tab w:val="right" w:leader="dot" w:pos="8845"/>
              <w:tab w:val="clear" w:pos="8834"/>
            </w:tabs>
            <w:kinsoku/>
            <w:wordWrap/>
            <w:overflowPunct/>
            <w:topLinePunct w:val="0"/>
            <w:autoSpaceDE/>
            <w:autoSpaceDN/>
            <w:bidi w:val="0"/>
            <w:adjustRightInd/>
            <w:snapToGrid/>
            <w:spacing w:line="560" w:lineRule="exact"/>
            <w:textAlignment w:val="auto"/>
          </w:pPr>
          <w:r>
            <w:rPr>
              <w:rFonts w:ascii="Times New Roman" w:hAnsi="Times New Roman" w:eastAsia="仿宋_GB2312" w:cs="黑体"/>
              <w:sz w:val="32"/>
            </w:rPr>
            <w:fldChar w:fldCharType="begin"/>
          </w:r>
          <w:r>
            <w:rPr>
              <w:rFonts w:ascii="Times New Roman" w:hAnsi="Times New Roman" w:eastAsia="仿宋_GB2312" w:cs="黑体"/>
              <w:sz w:val="32"/>
            </w:rPr>
            <w:instrText xml:space="preserve"> HYPERLINK \l _Toc20503 </w:instrText>
          </w:r>
          <w:r>
            <w:rPr>
              <w:rFonts w:ascii="Times New Roman" w:hAnsi="Times New Roman" w:eastAsia="仿宋_GB2312" w:cs="黑体"/>
              <w:sz w:val="32"/>
            </w:rPr>
            <w:fldChar w:fldCharType="separate"/>
          </w:r>
          <w:r>
            <w:rPr>
              <w:rFonts w:hint="eastAsia" w:ascii="Times New Roman" w:hAnsi="Times New Roman"/>
              <w:sz w:val="32"/>
              <w:lang w:val="en-US" w:eastAsia="zh-CN"/>
            </w:rPr>
            <w:t>八、 相关附件</w:t>
          </w:r>
          <w:r>
            <w:rPr>
              <w:rFonts w:ascii="Times New Roman" w:hAnsi="Times New Roman"/>
              <w:sz w:val="32"/>
            </w:rPr>
            <w:tab/>
          </w:r>
          <w:r>
            <w:rPr>
              <w:rFonts w:ascii="Times New Roman" w:hAnsi="Times New Roman"/>
              <w:sz w:val="32"/>
            </w:rPr>
            <w:fldChar w:fldCharType="begin"/>
          </w:r>
          <w:r>
            <w:rPr>
              <w:rFonts w:ascii="Times New Roman" w:hAnsi="Times New Roman"/>
              <w:sz w:val="32"/>
            </w:rPr>
            <w:instrText xml:space="preserve"> PAGEREF _Toc20503 \h </w:instrText>
          </w:r>
          <w:r>
            <w:rPr>
              <w:rFonts w:ascii="Times New Roman" w:hAnsi="Times New Roman"/>
              <w:sz w:val="32"/>
            </w:rPr>
            <w:fldChar w:fldCharType="separate"/>
          </w:r>
          <w:r>
            <w:rPr>
              <w:rFonts w:ascii="Times New Roman" w:hAnsi="Times New Roman"/>
              <w:sz w:val="32"/>
            </w:rPr>
            <w:t>- 37 -</w:t>
          </w:r>
          <w:r>
            <w:rPr>
              <w:rFonts w:ascii="Times New Roman" w:hAnsi="Times New Roman"/>
              <w:sz w:val="32"/>
            </w:rPr>
            <w:fldChar w:fldCharType="end"/>
          </w:r>
          <w:r>
            <w:rPr>
              <w:rFonts w:ascii="Times New Roman" w:hAnsi="Times New Roman" w:eastAsia="仿宋_GB2312" w:cs="黑体"/>
              <w:sz w:val="32"/>
            </w:rPr>
            <w:fldChar w:fldCharType="end"/>
          </w:r>
        </w:p>
        <w:p>
          <w:pPr>
            <w:pStyle w:val="47"/>
            <w:pageBreakBefore w:val="0"/>
            <w:kinsoku/>
            <w:wordWrap/>
            <w:overflowPunct/>
            <w:topLinePunct w:val="0"/>
            <w:autoSpaceDE/>
            <w:autoSpaceDN/>
            <w:bidi w:val="0"/>
            <w:adjustRightInd/>
            <w:snapToGrid/>
            <w:spacing w:line="560" w:lineRule="exact"/>
            <w:ind w:firstLine="420"/>
            <w:jc w:val="center"/>
            <w:textAlignment w:val="auto"/>
            <w:rPr>
              <w:rFonts w:ascii="Times New Roman" w:hAnsi="Times New Roman" w:eastAsiaTheme="majorEastAsia" w:cstheme="majorBidi"/>
              <w:b/>
              <w:bCs/>
              <w:color w:val="2F5597" w:themeColor="accent1" w:themeShade="BF"/>
              <w:kern w:val="0"/>
              <w:sz w:val="32"/>
              <w:szCs w:val="32"/>
              <w:lang w:val="zh-CN"/>
            </w:rPr>
          </w:pPr>
          <w:r>
            <w:rPr>
              <w:rFonts w:ascii="Times New Roman" w:hAnsi="Times New Roman" w:eastAsia="仿宋_GB2312" w:cs="黑体"/>
            </w:rPr>
            <w:fldChar w:fldCharType="end"/>
          </w:r>
        </w:p>
      </w:sdtContent>
    </w:sdt>
    <w:p>
      <w:pPr>
        <w:ind w:firstLine="0" w:firstLineChars="0"/>
        <w:rPr>
          <w:rFonts w:ascii="Times New Roman" w:hAnsi="Times New Roman"/>
          <w:color w:val="000000" w:themeColor="text1"/>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4" w:left="1587" w:header="851" w:footer="992" w:gutter="0"/>
          <w:pgNumType w:fmt="numberInDash" w:start="1"/>
          <w:cols w:space="425" w:num="1"/>
          <w:docGrid w:type="lines" w:linePitch="312" w:charSpace="0"/>
        </w:sectPr>
      </w:pPr>
    </w:p>
    <w:p>
      <w:pPr>
        <w:pStyle w:val="33"/>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Times New Roman" w:eastAsia="方正小标宋简体" w:cs="Times New Roman"/>
          <w:sz w:val="44"/>
          <w:szCs w:val="44"/>
          <w:lang w:val="en-US" w:eastAsia="zh-CN"/>
        </w:rPr>
      </w:pPr>
      <w:bookmarkStart w:id="0" w:name="_Toc478"/>
      <w:bookmarkStart w:id="1" w:name="_Toc17566"/>
      <w:bookmarkStart w:id="2" w:name="_Toc173496797"/>
      <w:r>
        <w:rPr>
          <w:rFonts w:hint="eastAsia" w:ascii="方正小标宋简体" w:hAnsi="Times New Roman" w:eastAsia="方正小标宋简体" w:cs="Times New Roman"/>
          <w:sz w:val="44"/>
          <w:szCs w:val="44"/>
          <w:lang w:val="en-US" w:eastAsia="zh-CN"/>
        </w:rPr>
        <w:t>医疗保障服务能力建设-01中央直达资-2023年医疗服务与保障能力提升补助资金</w:t>
      </w:r>
    </w:p>
    <w:p>
      <w:pPr>
        <w:pStyle w:val="33"/>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Times New Roman" w:eastAsia="方正小标宋简体" w:cs="Times New Roman"/>
          <w:sz w:val="44"/>
          <w:szCs w:val="44"/>
          <w:lang w:val="en-US" w:eastAsia="zh-CN"/>
        </w:rPr>
      </w:pPr>
      <w:r>
        <w:rPr>
          <w:rFonts w:hint="eastAsia" w:ascii="方正小标宋简体" w:hAnsi="Times New Roman" w:eastAsia="方正小标宋简体" w:cs="Times New Roman"/>
          <w:sz w:val="44"/>
          <w:szCs w:val="44"/>
          <w:lang w:val="en-US" w:eastAsia="zh-CN"/>
        </w:rPr>
        <w:t>项目</w:t>
      </w:r>
      <w:bookmarkEnd w:id="0"/>
      <w:bookmarkEnd w:id="1"/>
      <w:bookmarkStart w:id="3" w:name="_Toc13643"/>
      <w:bookmarkStart w:id="4" w:name="_Toc2467"/>
      <w:r>
        <w:rPr>
          <w:rFonts w:hint="eastAsia" w:ascii="方正小标宋简体" w:hAnsi="Times New Roman" w:eastAsia="方正小标宋简体" w:cs="Times New Roman"/>
          <w:sz w:val="44"/>
          <w:szCs w:val="44"/>
          <w:lang w:val="en-US" w:eastAsia="zh-CN"/>
        </w:rPr>
        <w:t>绩效评价报告</w:t>
      </w:r>
      <w:bookmarkEnd w:id="2"/>
      <w:bookmarkEnd w:id="3"/>
      <w:bookmarkEnd w:id="4"/>
    </w:p>
    <w:p>
      <w:pPr>
        <w:pStyle w:val="33"/>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Times New Roman" w:eastAsia="方正小标宋简体" w:cs="Times New Roman"/>
          <w:sz w:val="44"/>
          <w:szCs w:val="44"/>
        </w:rPr>
      </w:pPr>
    </w:p>
    <w:p>
      <w:pPr>
        <w:pStyle w:val="26"/>
        <w:keepNext w:val="0"/>
        <w:keepLines w:val="0"/>
        <w:pageBreakBefore w:val="0"/>
        <w:kinsoku/>
        <w:wordWrap/>
        <w:overflowPunct/>
        <w:topLinePunct w:val="0"/>
        <w:autoSpaceDE/>
        <w:autoSpaceDN/>
        <w:bidi w:val="0"/>
        <w:adjustRightInd/>
        <w:snapToGrid/>
        <w:spacing w:line="560" w:lineRule="exact"/>
        <w:ind w:firstLine="640"/>
        <w:textAlignment w:val="auto"/>
        <w:rPr>
          <w:color w:val="000000" w:themeColor="text1"/>
          <w14:textFill>
            <w14:solidFill>
              <w14:schemeClr w14:val="tx1"/>
            </w14:solidFill>
          </w14:textFill>
        </w:rPr>
      </w:pPr>
      <w:r>
        <w:rPr>
          <w:color w:val="000000" w:themeColor="text1"/>
          <w14:textFill>
            <w14:solidFill>
              <w14:schemeClr w14:val="tx1"/>
            </w14:solidFill>
          </w14:textFill>
        </w:rPr>
        <w:t>为提高财政资金使用效益，合理配置公共财政资源，根据市委、市政府关于全面推进预算绩效管理的实施方案和《天津市市级财政项目支出绩效评价管理办法》（津财绩效〔2020〕12号）等文件要求，天津市</w:t>
      </w:r>
      <w:r>
        <w:rPr>
          <w:rFonts w:hint="eastAsia"/>
          <w:color w:val="000000" w:themeColor="text1"/>
          <w14:textFill>
            <w14:solidFill>
              <w14:schemeClr w14:val="tx1"/>
            </w14:solidFill>
          </w14:textFill>
        </w:rPr>
        <w:t>和平区</w:t>
      </w:r>
      <w:r>
        <w:rPr>
          <w:color w:val="000000" w:themeColor="text1"/>
          <w14:textFill>
            <w14:solidFill>
              <w14:schemeClr w14:val="tx1"/>
            </w14:solidFill>
          </w14:textFill>
        </w:rPr>
        <w:t>财政局引入第三方专业机构成立了绩效评价组，于</w:t>
      </w:r>
      <w:r>
        <w:rPr>
          <w:rFonts w:hint="eastAsia"/>
          <w:color w:val="000000" w:themeColor="text1"/>
          <w:lang w:val="en-US" w:eastAsia="zh-CN"/>
          <w14:textFill>
            <w14:solidFill>
              <w14:schemeClr w14:val="tx1"/>
            </w14:solidFill>
          </w14:textFill>
        </w:rPr>
        <w:t>2024</w:t>
      </w:r>
      <w:r>
        <w:rPr>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7</w:t>
      </w:r>
      <w:r>
        <w:rPr>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8</w:t>
      </w:r>
      <w:r>
        <w:rPr>
          <w:color w:val="000000" w:themeColor="text1"/>
          <w14:textFill>
            <w14:solidFill>
              <w14:schemeClr w14:val="tx1"/>
            </w14:solidFill>
          </w14:textFill>
        </w:rPr>
        <w:t>月</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对</w:t>
      </w:r>
      <w:r>
        <w:rPr>
          <w:rFonts w:hint="eastAsia"/>
          <w:color w:val="000000" w:themeColor="text1"/>
          <w14:textFill>
            <w14:solidFill>
              <w14:schemeClr w14:val="tx1"/>
            </w14:solidFill>
          </w14:textFill>
        </w:rPr>
        <w:t>天津市和平区医疗保障局</w:t>
      </w:r>
      <w:r>
        <w:rPr>
          <w:color w:val="000000" w:themeColor="text1"/>
          <w14:textFill>
            <w14:solidFill>
              <w14:schemeClr w14:val="tx1"/>
            </w14:solidFill>
          </w14:textFill>
        </w:rPr>
        <w:t>的“</w:t>
      </w:r>
      <w:r>
        <w:rPr>
          <w:rFonts w:hint="eastAsia"/>
          <w:color w:val="000000" w:themeColor="text1"/>
          <w14:textFill>
            <w14:solidFill>
              <w14:schemeClr w14:val="tx1"/>
            </w14:solidFill>
          </w14:textFill>
        </w:rPr>
        <w:t>医疗保障服务能力建设-01中央直达资金-2023年医疗服务与保障能力提升补助资金</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开展了绩效</w:t>
      </w:r>
      <w:r>
        <w:rPr>
          <w:color w:val="000000" w:themeColor="text1"/>
          <w:highlight w:val="none"/>
          <w14:textFill>
            <w14:solidFill>
              <w14:schemeClr w14:val="tx1"/>
            </w14:solidFill>
          </w14:textFill>
        </w:rPr>
        <w:t>评价。该项目评价结果为</w:t>
      </w:r>
      <w:r>
        <w:rPr>
          <w:rFonts w:hint="eastAsia"/>
          <w:lang w:val="en-US" w:eastAsia="zh-CN"/>
        </w:rPr>
        <w:t>92.91</w:t>
      </w:r>
      <w:r>
        <w:rPr>
          <w:color w:val="000000" w:themeColor="text1"/>
          <w:highlight w:val="none"/>
          <w14:textFill>
            <w14:solidFill>
              <w14:schemeClr w14:val="tx1"/>
            </w14:solidFill>
          </w14:textFill>
        </w:rPr>
        <w:t>分，评价等级为“</w:t>
      </w:r>
      <w:r>
        <w:rPr>
          <w:rFonts w:hint="eastAsia"/>
          <w:color w:val="000000" w:themeColor="text1"/>
          <w:highlight w:val="none"/>
          <w:lang w:val="en-US" w:eastAsia="zh-CN"/>
          <w14:textFill>
            <w14:solidFill>
              <w14:schemeClr w14:val="tx1"/>
            </w14:solidFill>
          </w14:textFill>
        </w:rPr>
        <w:t>优</w:t>
      </w:r>
      <w:r>
        <w:rPr>
          <w:color w:val="000000" w:themeColor="text1"/>
          <w:highlight w:val="none"/>
          <w14:textFill>
            <w14:solidFill>
              <w14:schemeClr w14:val="tx1"/>
            </w14:solidFill>
          </w14:textFill>
        </w:rPr>
        <w:t>”，有关情况如</w:t>
      </w:r>
      <w:r>
        <w:rPr>
          <w:color w:val="000000" w:themeColor="text1"/>
          <w14:textFill>
            <w14:solidFill>
              <w14:schemeClr w14:val="tx1"/>
            </w14:solidFill>
          </w14:textFill>
        </w:rPr>
        <w:t>下。</w:t>
      </w:r>
    </w:p>
    <w:p>
      <w:pPr>
        <w:pStyle w:val="28"/>
        <w:pageBreakBefore w:val="0"/>
        <w:kinsoku/>
        <w:wordWrap/>
        <w:overflowPunct/>
        <w:topLinePunct w:val="0"/>
        <w:autoSpaceDE/>
        <w:autoSpaceDN/>
        <w:bidi w:val="0"/>
        <w:adjustRightInd/>
        <w:snapToGrid/>
        <w:spacing w:line="560" w:lineRule="exact"/>
        <w:textAlignment w:val="auto"/>
      </w:pPr>
      <w:bookmarkStart w:id="5" w:name="_Toc3549"/>
      <w:bookmarkStart w:id="6" w:name="_Hlk91875033"/>
      <w:r>
        <w:rPr>
          <w:rFonts w:hint="eastAsia"/>
        </w:rPr>
        <w:t>一、项目基本情况</w:t>
      </w:r>
      <w:bookmarkEnd w:id="5"/>
    </w:p>
    <w:p>
      <w:pPr>
        <w:pStyle w:val="30"/>
        <w:pageBreakBefore w:val="0"/>
        <w:kinsoku/>
        <w:wordWrap/>
        <w:overflowPunct/>
        <w:topLinePunct w:val="0"/>
        <w:autoSpaceDE/>
        <w:autoSpaceDN/>
        <w:bidi w:val="0"/>
        <w:adjustRightInd/>
        <w:snapToGrid/>
        <w:spacing w:line="560" w:lineRule="exact"/>
        <w:ind w:firstLine="640"/>
        <w:textAlignment w:val="auto"/>
        <w:rPr>
          <w:rFonts w:hint="eastAsia"/>
        </w:rPr>
      </w:pPr>
      <w:bookmarkStart w:id="7" w:name="_Toc2196"/>
      <w:r>
        <w:rPr>
          <w:rFonts w:hint="eastAsia"/>
        </w:rPr>
        <w:t>（一）项目概况</w:t>
      </w:r>
      <w:bookmarkEnd w:id="7"/>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1.项目背景</w:t>
      </w:r>
    </w:p>
    <w:p>
      <w:pPr>
        <w:pStyle w:val="26"/>
        <w:pageBreakBefore w:val="0"/>
        <w:kinsoku/>
        <w:wordWrap/>
        <w:overflowPunct/>
        <w:topLinePunct w:val="0"/>
        <w:autoSpaceDE/>
        <w:autoSpaceDN/>
        <w:bidi w:val="0"/>
        <w:adjustRightInd/>
        <w:snapToGrid/>
        <w:spacing w:line="560" w:lineRule="exact"/>
        <w:ind w:firstLine="640"/>
        <w:textAlignment w:val="auto"/>
        <w:rPr>
          <w:rFonts w:hint="eastAsia"/>
          <w:lang w:eastAsia="zh-CN"/>
        </w:rPr>
      </w:pPr>
      <w:r>
        <w:rPr>
          <w:rFonts w:hint="eastAsia"/>
        </w:rPr>
        <w:t>医疗保障是减轻群众就医负担、增进民生福祉、维护社会和谐稳定的重大制度安排。党的十八大以来，党中央、国务院高度重视人民健康，全民医疗保障制度改革持续推进。2020年初，中共中央、国务院印发了《关于深化医疗保障制度改革的意见》，明确了新时代我国深化医疗保障制度改革的指导思想、基本原则、发展目标和主要内容，为天津市医疗保障服务能力建设提供了根本遵循</w:t>
      </w:r>
      <w:r>
        <w:rPr>
          <w:rFonts w:hint="eastAsia"/>
          <w:lang w:eastAsia="zh-CN"/>
        </w:rPr>
        <w:t>。在此背景下，天津市医疗保障局牵头编制了《天津市医疗保障发展“十四五”规划》，明确了未来五年医疗保障事业发展的目标和任务，为医疗保障服务能力建设提供了政策支持和方向指引。</w:t>
      </w:r>
    </w:p>
    <w:p>
      <w:pPr>
        <w:pStyle w:val="26"/>
        <w:pageBreakBefore w:val="0"/>
        <w:kinsoku/>
        <w:wordWrap/>
        <w:overflowPunct/>
        <w:topLinePunct w:val="0"/>
        <w:autoSpaceDE/>
        <w:autoSpaceDN/>
        <w:bidi w:val="0"/>
        <w:adjustRightInd/>
        <w:snapToGrid/>
        <w:spacing w:line="560" w:lineRule="exact"/>
        <w:ind w:firstLine="640"/>
        <w:textAlignment w:val="auto"/>
        <w:rPr>
          <w:rFonts w:hint="default"/>
          <w:lang w:val="en-US" w:eastAsia="zh-CN"/>
        </w:rPr>
      </w:pPr>
      <w:r>
        <w:rPr>
          <w:rFonts w:hint="eastAsia"/>
          <w:lang w:val="en-US" w:eastAsia="zh-CN"/>
        </w:rPr>
        <w:t>2023年天津市医保局印发《2023年医疗保障工作要点》，为达成医疗保障制度更加成熟定型的发展目标，基本完成待遇保障、筹资运行、医保支付、基金监管等重要机制和医药服务供给、医保管理服务等关键领域的改革任务，天津市和平区医疗保障局（以下简称“区医保局”）开展医疗保障服务能力建设-01中央直达资金-2023年医疗服务与保障能力提升补助资金项目。</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2.主要内容</w:t>
      </w:r>
    </w:p>
    <w:p>
      <w:pPr>
        <w:pStyle w:val="26"/>
        <w:pageBreakBefore w:val="0"/>
        <w:kinsoku/>
        <w:wordWrap/>
        <w:overflowPunct/>
        <w:topLinePunct w:val="0"/>
        <w:autoSpaceDE/>
        <w:autoSpaceDN/>
        <w:bidi w:val="0"/>
        <w:adjustRightInd/>
        <w:snapToGrid/>
        <w:spacing w:line="560" w:lineRule="exact"/>
        <w:ind w:firstLine="640"/>
        <w:textAlignment w:val="auto"/>
        <w:rPr>
          <w:rFonts w:hint="default" w:eastAsia="仿宋_GB2312"/>
          <w:lang w:val="en-US" w:eastAsia="zh-CN"/>
        </w:rPr>
      </w:pPr>
      <w:r>
        <w:rPr>
          <w:rFonts w:hint="eastAsia"/>
        </w:rPr>
        <w:t>医疗保障服务能力建设-01中央直达资金-2023年医疗服务与保障能力提升补助资金</w:t>
      </w:r>
      <w:r>
        <w:rPr>
          <w:rFonts w:hint="eastAsia"/>
          <w:lang w:val="en-US" w:eastAsia="zh-CN"/>
        </w:rPr>
        <w:t>项目（以下简称“医疗服务与保障能力提升补助资金项目”）主要内容为：开展医保定点医药机构监督检查、医保政策宣传、医保法治能力建设、经办服务能力提升和四级经办服务体系建设等工作，全面提升医疗服务与保障能力。</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3.项目组织管理</w:t>
      </w:r>
    </w:p>
    <w:p>
      <w:pPr>
        <w:pStyle w:val="26"/>
        <w:pageBreakBefore w:val="0"/>
        <w:kinsoku/>
        <w:wordWrap/>
        <w:overflowPunct/>
        <w:topLinePunct w:val="0"/>
        <w:autoSpaceDE/>
        <w:autoSpaceDN/>
        <w:bidi w:val="0"/>
        <w:adjustRightInd/>
        <w:snapToGrid/>
        <w:spacing w:line="560" w:lineRule="exact"/>
        <w:ind w:firstLine="640"/>
        <w:textAlignment w:val="auto"/>
        <w:rPr>
          <w:rFonts w:hint="default" w:eastAsia="仿宋_GB2312"/>
          <w:lang w:val="en-US" w:eastAsia="zh-CN"/>
        </w:rPr>
      </w:pPr>
      <w:r>
        <w:rPr>
          <w:rFonts w:hint="eastAsia"/>
        </w:rPr>
        <w:t>医疗服务与保障能力提升补助资金项目主管</w:t>
      </w:r>
      <w:r>
        <w:rPr>
          <w:rFonts w:hint="eastAsia"/>
          <w:lang w:val="en-US" w:eastAsia="zh-CN"/>
        </w:rPr>
        <w:t>部门</w:t>
      </w:r>
      <w:r>
        <w:rPr>
          <w:rFonts w:hint="eastAsia"/>
        </w:rPr>
        <w:t>和实施单位</w:t>
      </w:r>
      <w:r>
        <w:rPr>
          <w:rFonts w:hint="eastAsia"/>
          <w:lang w:val="en-US" w:eastAsia="zh-CN"/>
        </w:rPr>
        <w:t>均为区医保局，负责项目整体管理制度的制定与项目开展情况的把控，局主要领导对项目负总责，分管领导直接牵头，相关业务科室科长对项目申报、绩效指标设置、项目完成质量和项目资金管理直接负责，财务人员协助做好资金使用及管理。其中医保定点医药机构监督检查、医保法治能力提升、医保政策宣传项目由医疗保障科负责，基层医保服务能力提升项目由救助科负责。</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4.资金投入和使用情况</w:t>
      </w:r>
    </w:p>
    <w:p>
      <w:pPr>
        <w:pStyle w:val="26"/>
        <w:pageBreakBefore w:val="0"/>
        <w:kinsoku/>
        <w:wordWrap/>
        <w:overflowPunct/>
        <w:topLinePunct w:val="0"/>
        <w:autoSpaceDE/>
        <w:autoSpaceDN/>
        <w:bidi w:val="0"/>
        <w:adjustRightInd/>
        <w:snapToGrid/>
        <w:spacing w:line="560" w:lineRule="exact"/>
        <w:ind w:firstLine="640"/>
        <w:textAlignment w:val="auto"/>
        <w:rPr>
          <w:rFonts w:hint="eastAsia"/>
        </w:rPr>
      </w:pPr>
      <w:r>
        <w:rPr>
          <w:rFonts w:hint="eastAsia"/>
        </w:rPr>
        <w:t>医疗服务与保障能力提升补助资金项目总投入</w:t>
      </w:r>
      <w:r>
        <w:rPr>
          <w:rFonts w:hint="eastAsia"/>
          <w:lang w:val="en-US" w:eastAsia="zh-CN"/>
        </w:rPr>
        <w:t>48.92</w:t>
      </w:r>
      <w:r>
        <w:rPr>
          <w:rFonts w:hint="eastAsia"/>
        </w:rPr>
        <w:t>万元，其中202</w:t>
      </w:r>
      <w:r>
        <w:rPr>
          <w:rFonts w:hint="eastAsia"/>
          <w:lang w:val="en-US" w:eastAsia="zh-CN"/>
        </w:rPr>
        <w:t>3</w:t>
      </w:r>
      <w:r>
        <w:rPr>
          <w:rFonts w:hint="eastAsia"/>
        </w:rPr>
        <w:t>年度</w:t>
      </w:r>
      <w:r>
        <w:rPr>
          <w:rFonts w:hint="eastAsia"/>
          <w:lang w:val="en-US" w:eastAsia="zh-CN"/>
        </w:rPr>
        <w:t>中央直达资金</w:t>
      </w:r>
      <w:r>
        <w:rPr>
          <w:rFonts w:hint="eastAsia"/>
        </w:rPr>
        <w:t>计划下达共计</w:t>
      </w:r>
      <w:r>
        <w:rPr>
          <w:rFonts w:hint="eastAsia"/>
          <w:lang w:val="en-US" w:eastAsia="zh-CN"/>
        </w:rPr>
        <w:t>48.87</w:t>
      </w:r>
      <w:r>
        <w:rPr>
          <w:rFonts w:hint="eastAsia"/>
        </w:rPr>
        <w:t>万元</w:t>
      </w:r>
      <w:r>
        <w:rPr>
          <w:rFonts w:hint="eastAsia"/>
          <w:lang w:eastAsia="zh-CN"/>
        </w:rPr>
        <w:t>，</w:t>
      </w:r>
      <w:r>
        <w:rPr>
          <w:rFonts w:hint="eastAsia"/>
          <w:lang w:val="en-US" w:eastAsia="zh-CN"/>
        </w:rPr>
        <w:t>2022年结转资金0.05万元</w:t>
      </w:r>
      <w:r>
        <w:rPr>
          <w:rFonts w:hint="eastAsia"/>
        </w:rPr>
        <w:t>。截至202</w:t>
      </w:r>
      <w:r>
        <w:rPr>
          <w:rFonts w:hint="eastAsia"/>
          <w:lang w:val="en-US" w:eastAsia="zh-CN"/>
        </w:rPr>
        <w:t>3</w:t>
      </w:r>
      <w:r>
        <w:rPr>
          <w:rFonts w:hint="eastAsia"/>
        </w:rPr>
        <w:t>年12月底，资金已到位</w:t>
      </w:r>
      <w:r>
        <w:rPr>
          <w:rFonts w:hint="eastAsia"/>
          <w:lang w:val="en-US" w:eastAsia="zh-CN"/>
        </w:rPr>
        <w:t>48.92</w:t>
      </w:r>
      <w:r>
        <w:rPr>
          <w:rFonts w:hint="eastAsia"/>
        </w:rPr>
        <w:t>万元，资金到位率</w:t>
      </w:r>
      <w:r>
        <w:rPr>
          <w:rFonts w:hint="eastAsia"/>
          <w:lang w:val="en-US" w:eastAsia="zh-CN"/>
        </w:rPr>
        <w:t>100</w:t>
      </w:r>
      <w:r>
        <w:rPr>
          <w:rFonts w:hint="eastAsia"/>
        </w:rPr>
        <w:t>%。</w:t>
      </w:r>
    </w:p>
    <w:p>
      <w:pPr>
        <w:pStyle w:val="26"/>
        <w:pageBreakBefore w:val="0"/>
        <w:kinsoku/>
        <w:wordWrap/>
        <w:overflowPunct/>
        <w:topLinePunct w:val="0"/>
        <w:autoSpaceDE/>
        <w:autoSpaceDN/>
        <w:bidi w:val="0"/>
        <w:adjustRightInd/>
        <w:snapToGrid/>
        <w:spacing w:line="560" w:lineRule="exact"/>
        <w:ind w:firstLine="640"/>
        <w:textAlignment w:val="auto"/>
        <w:rPr>
          <w:rFonts w:hint="eastAsia" w:eastAsia="仿宋_GB2312"/>
          <w:lang w:eastAsia="zh-CN"/>
        </w:rPr>
      </w:pPr>
      <w:r>
        <w:rPr>
          <w:rFonts w:hint="eastAsia"/>
        </w:rPr>
        <w:t>项目执行过程中，项目支出主要用于</w:t>
      </w:r>
      <w:r>
        <w:rPr>
          <w:rFonts w:hint="eastAsia"/>
          <w:lang w:val="en-US" w:eastAsia="zh-CN"/>
        </w:rPr>
        <w:t>聘请第三方协助开展检查、宣传册印制及开展宣传活动、聘请法律顾问、购置基层医保服务能力提升工作相关硬件</w:t>
      </w:r>
      <w:r>
        <w:rPr>
          <w:rFonts w:hint="eastAsia"/>
        </w:rPr>
        <w:t>，截</w:t>
      </w:r>
      <w:r>
        <w:rPr>
          <w:rFonts w:hint="eastAsia"/>
          <w:lang w:eastAsia="zh-CN"/>
        </w:rPr>
        <w:t>至2023年</w:t>
      </w:r>
      <w:r>
        <w:rPr>
          <w:rFonts w:hint="eastAsia"/>
        </w:rPr>
        <w:t>2月底，项目实际支出预算金额</w:t>
      </w:r>
      <w:r>
        <w:rPr>
          <w:rFonts w:hint="eastAsia"/>
          <w:lang w:val="en-US" w:eastAsia="zh-CN"/>
        </w:rPr>
        <w:t>48.43</w:t>
      </w:r>
      <w:r>
        <w:rPr>
          <w:rFonts w:hint="eastAsia"/>
        </w:rPr>
        <w:t>万元，预算执行率</w:t>
      </w:r>
      <w:r>
        <w:rPr>
          <w:rFonts w:hint="eastAsia"/>
          <w:lang w:val="en-US" w:eastAsia="zh-CN"/>
        </w:rPr>
        <w:t>99</w:t>
      </w:r>
      <w:r>
        <w:rPr>
          <w:rFonts w:hint="eastAsia"/>
        </w:rPr>
        <w:t>%</w:t>
      </w:r>
      <w:r>
        <w:rPr>
          <w:rFonts w:hint="eastAsia"/>
          <w:lang w:eastAsia="zh-CN"/>
        </w:rPr>
        <w:t>。</w:t>
      </w:r>
      <w:r>
        <w:rPr>
          <w:rFonts w:hint="eastAsia"/>
        </w:rPr>
        <w:t>资金具体情况见表1</w:t>
      </w:r>
      <w:r>
        <w:rPr>
          <w:rFonts w:hint="eastAsia"/>
          <w:lang w:eastAsia="zh-CN"/>
        </w:rPr>
        <w:t>。</w:t>
      </w:r>
    </w:p>
    <w:p>
      <w:pPr>
        <w:pStyle w:val="33"/>
        <w:pageBreakBefore w:val="0"/>
        <w:kinsoku/>
        <w:wordWrap/>
        <w:overflowPunct/>
        <w:topLinePunct w:val="0"/>
        <w:autoSpaceDE/>
        <w:autoSpaceDN/>
        <w:bidi w:val="0"/>
        <w:adjustRightInd/>
        <w:snapToGrid/>
        <w:spacing w:line="560" w:lineRule="exact"/>
        <w:textAlignment w:val="auto"/>
      </w:pPr>
      <w:r>
        <w:t>表1  资金预算执行率情况表</w:t>
      </w:r>
    </w:p>
    <w:p>
      <w:pPr>
        <w:pStyle w:val="34"/>
        <w:pageBreakBefore w:val="0"/>
        <w:kinsoku/>
        <w:wordWrap/>
        <w:overflowPunct/>
        <w:topLinePunct w:val="0"/>
        <w:autoSpaceDE/>
        <w:autoSpaceDN/>
        <w:bidi w:val="0"/>
        <w:adjustRightInd/>
        <w:snapToGrid/>
        <w:spacing w:line="560" w:lineRule="exact"/>
        <w:textAlignment w:val="auto"/>
      </w:pPr>
      <w:r>
        <w:rPr>
          <w:rFonts w:hint="eastAsia"/>
        </w:rPr>
        <w:t>单位：万元</w:t>
      </w:r>
    </w:p>
    <w:tbl>
      <w:tblPr>
        <w:tblStyle w:val="16"/>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510"/>
        <w:gridCol w:w="1511"/>
        <w:gridCol w:w="1510"/>
        <w:gridCol w:w="1510"/>
        <w:gridCol w:w="1510"/>
        <w:gridCol w:w="15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blHeader/>
          <w:jc w:val="center"/>
        </w:trPr>
        <w:tc>
          <w:tcPr>
            <w:tcW w:w="834" w:type="pct"/>
            <w:vAlign w:val="center"/>
          </w:tcPr>
          <w:p>
            <w:pPr>
              <w:pStyle w:val="36"/>
              <w:rPr>
                <w:rFonts w:hint="eastAsia" w:ascii="宋体" w:hAnsi="宋体" w:eastAsia="宋体" w:cs="宋体"/>
              </w:rPr>
            </w:pPr>
            <w:r>
              <w:rPr>
                <w:rFonts w:hint="eastAsia" w:ascii="宋体" w:hAnsi="宋体" w:eastAsia="宋体" w:cs="宋体"/>
              </w:rPr>
              <w:t>资金计划</w:t>
            </w:r>
          </w:p>
          <w:p>
            <w:pPr>
              <w:pStyle w:val="36"/>
              <w:rPr>
                <w:rFonts w:hint="eastAsia" w:ascii="宋体" w:hAnsi="宋体" w:eastAsia="宋体" w:cs="宋体"/>
              </w:rPr>
            </w:pPr>
            <w:r>
              <w:rPr>
                <w:rFonts w:hint="eastAsia" w:ascii="宋体" w:hAnsi="宋体" w:eastAsia="宋体" w:cs="宋体"/>
              </w:rPr>
              <w:t>下达时间</w:t>
            </w:r>
          </w:p>
        </w:tc>
        <w:tc>
          <w:tcPr>
            <w:tcW w:w="834" w:type="pct"/>
            <w:vAlign w:val="center"/>
          </w:tcPr>
          <w:p>
            <w:pPr>
              <w:pStyle w:val="36"/>
              <w:rPr>
                <w:rFonts w:hint="eastAsia" w:ascii="宋体" w:hAnsi="宋体" w:eastAsia="宋体" w:cs="宋体"/>
              </w:rPr>
            </w:pPr>
            <w:r>
              <w:rPr>
                <w:rFonts w:hint="eastAsia" w:ascii="宋体" w:hAnsi="宋体" w:eastAsia="宋体" w:cs="宋体"/>
              </w:rPr>
              <w:t>资金计划</w:t>
            </w:r>
          </w:p>
          <w:p>
            <w:pPr>
              <w:pStyle w:val="36"/>
              <w:rPr>
                <w:rFonts w:hint="eastAsia" w:ascii="宋体" w:hAnsi="宋体" w:eastAsia="宋体" w:cs="宋体"/>
              </w:rPr>
            </w:pPr>
            <w:r>
              <w:rPr>
                <w:rFonts w:hint="eastAsia" w:ascii="宋体" w:hAnsi="宋体" w:eastAsia="宋体" w:cs="宋体"/>
              </w:rPr>
              <w:t>下达金额</w:t>
            </w:r>
          </w:p>
        </w:tc>
        <w:tc>
          <w:tcPr>
            <w:tcW w:w="833" w:type="pct"/>
            <w:vAlign w:val="center"/>
          </w:tcPr>
          <w:p>
            <w:pPr>
              <w:pStyle w:val="36"/>
              <w:rPr>
                <w:rFonts w:hint="eastAsia" w:ascii="宋体" w:hAnsi="宋体" w:eastAsia="宋体" w:cs="宋体"/>
              </w:rPr>
            </w:pPr>
            <w:r>
              <w:rPr>
                <w:rFonts w:hint="eastAsia" w:ascii="宋体" w:hAnsi="宋体" w:eastAsia="宋体" w:cs="宋体"/>
              </w:rPr>
              <w:t>实际到位资金</w:t>
            </w:r>
          </w:p>
        </w:tc>
        <w:tc>
          <w:tcPr>
            <w:tcW w:w="833" w:type="pct"/>
            <w:vAlign w:val="center"/>
          </w:tcPr>
          <w:p>
            <w:pPr>
              <w:pStyle w:val="36"/>
              <w:rPr>
                <w:rFonts w:hint="eastAsia" w:ascii="宋体" w:hAnsi="宋体" w:eastAsia="宋体" w:cs="宋体"/>
              </w:rPr>
            </w:pPr>
            <w:r>
              <w:rPr>
                <w:rFonts w:hint="eastAsia" w:ascii="宋体" w:hAnsi="宋体" w:eastAsia="宋体" w:cs="宋体"/>
              </w:rPr>
              <w:t>资金到位率</w:t>
            </w:r>
          </w:p>
        </w:tc>
        <w:tc>
          <w:tcPr>
            <w:tcW w:w="833" w:type="pct"/>
            <w:vAlign w:val="center"/>
          </w:tcPr>
          <w:p>
            <w:pPr>
              <w:pStyle w:val="36"/>
              <w:rPr>
                <w:rFonts w:hint="eastAsia" w:ascii="宋体" w:hAnsi="宋体" w:eastAsia="宋体" w:cs="宋体"/>
              </w:rPr>
            </w:pPr>
            <w:r>
              <w:rPr>
                <w:rFonts w:hint="eastAsia" w:ascii="宋体" w:hAnsi="宋体" w:eastAsia="宋体" w:cs="宋体"/>
              </w:rPr>
              <w:t>实际支付资金</w:t>
            </w:r>
          </w:p>
        </w:tc>
        <w:tc>
          <w:tcPr>
            <w:tcW w:w="833" w:type="pct"/>
            <w:vAlign w:val="center"/>
          </w:tcPr>
          <w:p>
            <w:pPr>
              <w:pStyle w:val="36"/>
              <w:rPr>
                <w:rFonts w:hint="eastAsia" w:ascii="宋体" w:hAnsi="宋体" w:eastAsia="宋体" w:cs="宋体"/>
              </w:rPr>
            </w:pPr>
            <w:r>
              <w:rPr>
                <w:rFonts w:hint="eastAsia" w:ascii="宋体" w:hAnsi="宋体" w:eastAsia="宋体" w:cs="宋体"/>
              </w:rPr>
              <w:t>预算执行率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834" w:type="pct"/>
            <w:vAlign w:val="center"/>
          </w:tcPr>
          <w:p>
            <w:pPr>
              <w:pStyle w:val="38"/>
              <w:rPr>
                <w:rFonts w:hint="default" w:eastAsia="宋体"/>
                <w:lang w:val="en-US" w:eastAsia="zh-CN"/>
              </w:rPr>
            </w:pPr>
            <w:r>
              <w:rPr>
                <w:rFonts w:hint="eastAsia"/>
                <w:lang w:val="en-US" w:eastAsia="zh-CN"/>
              </w:rPr>
              <w:t>2023年</w:t>
            </w:r>
          </w:p>
        </w:tc>
        <w:tc>
          <w:tcPr>
            <w:tcW w:w="834" w:type="pct"/>
            <w:vAlign w:val="center"/>
          </w:tcPr>
          <w:p>
            <w:pPr>
              <w:pStyle w:val="38"/>
              <w:jc w:val="center"/>
              <w:rPr>
                <w:rFonts w:hint="default" w:eastAsia="宋体"/>
                <w:lang w:val="en-US" w:eastAsia="zh-CN"/>
              </w:rPr>
            </w:pPr>
            <w:r>
              <w:rPr>
                <w:rFonts w:hint="eastAsia"/>
                <w:lang w:val="en-US" w:eastAsia="zh-CN"/>
              </w:rPr>
              <w:t>48.92</w:t>
            </w:r>
          </w:p>
        </w:tc>
        <w:tc>
          <w:tcPr>
            <w:tcW w:w="833" w:type="pct"/>
            <w:vAlign w:val="center"/>
          </w:tcPr>
          <w:p>
            <w:pPr>
              <w:pStyle w:val="38"/>
              <w:jc w:val="center"/>
              <w:rPr>
                <w:rFonts w:hint="default" w:eastAsia="宋体"/>
                <w:lang w:val="en-US" w:eastAsia="zh-CN"/>
              </w:rPr>
            </w:pPr>
            <w:r>
              <w:rPr>
                <w:rFonts w:hint="eastAsia"/>
                <w:lang w:val="en-US" w:eastAsia="zh-CN"/>
              </w:rPr>
              <w:t>48.92</w:t>
            </w:r>
          </w:p>
        </w:tc>
        <w:tc>
          <w:tcPr>
            <w:tcW w:w="833" w:type="pct"/>
            <w:vAlign w:val="center"/>
          </w:tcPr>
          <w:p>
            <w:pPr>
              <w:pStyle w:val="38"/>
              <w:jc w:val="center"/>
              <w:rPr>
                <w:rFonts w:hint="default" w:eastAsia="宋体"/>
                <w:lang w:val="en-US" w:eastAsia="zh-CN"/>
              </w:rPr>
            </w:pPr>
            <w:r>
              <w:rPr>
                <w:rFonts w:hint="eastAsia"/>
                <w:lang w:val="en-US" w:eastAsia="zh-CN"/>
              </w:rPr>
              <w:t>100%</w:t>
            </w:r>
          </w:p>
        </w:tc>
        <w:tc>
          <w:tcPr>
            <w:tcW w:w="833" w:type="pct"/>
            <w:vAlign w:val="center"/>
          </w:tcPr>
          <w:p>
            <w:pPr>
              <w:pStyle w:val="38"/>
              <w:jc w:val="center"/>
              <w:rPr>
                <w:rFonts w:hint="default" w:eastAsia="宋体"/>
                <w:lang w:val="en-US" w:eastAsia="zh-CN"/>
              </w:rPr>
            </w:pPr>
            <w:r>
              <w:rPr>
                <w:rFonts w:hint="eastAsia"/>
                <w:lang w:val="en-US" w:eastAsia="zh-CN"/>
              </w:rPr>
              <w:t>48.43</w:t>
            </w:r>
          </w:p>
        </w:tc>
        <w:tc>
          <w:tcPr>
            <w:tcW w:w="833" w:type="pct"/>
            <w:vAlign w:val="center"/>
          </w:tcPr>
          <w:p>
            <w:pPr>
              <w:pStyle w:val="38"/>
              <w:jc w:val="center"/>
              <w:rPr>
                <w:rFonts w:hint="default" w:eastAsia="宋体"/>
                <w:lang w:val="en-US" w:eastAsia="zh-CN"/>
              </w:rPr>
            </w:pPr>
            <w:r>
              <w:rPr>
                <w:rFonts w:hint="eastAsia"/>
                <w:lang w:val="en-US" w:eastAsia="zh-CN"/>
              </w:rPr>
              <w:t>99%</w:t>
            </w:r>
          </w:p>
        </w:tc>
      </w:tr>
    </w:tbl>
    <w:p>
      <w:pPr>
        <w:pStyle w:val="30"/>
        <w:pageBreakBefore w:val="0"/>
        <w:kinsoku/>
        <w:wordWrap/>
        <w:overflowPunct/>
        <w:topLinePunct w:val="0"/>
        <w:autoSpaceDE/>
        <w:autoSpaceDN/>
        <w:bidi w:val="0"/>
        <w:adjustRightInd/>
        <w:snapToGrid/>
        <w:spacing w:line="560" w:lineRule="exact"/>
        <w:ind w:firstLine="640"/>
        <w:textAlignment w:val="auto"/>
        <w:rPr>
          <w:rFonts w:hint="eastAsia"/>
        </w:rPr>
      </w:pPr>
      <w:bookmarkStart w:id="8" w:name="_Toc13812"/>
      <w:r>
        <w:rPr>
          <w:rFonts w:hint="eastAsia"/>
        </w:rPr>
        <w:t>（二）项目绩效目标</w:t>
      </w:r>
      <w:bookmarkEnd w:id="8"/>
    </w:p>
    <w:p>
      <w:pPr>
        <w:pStyle w:val="26"/>
        <w:pageBreakBefore w:val="0"/>
        <w:kinsoku/>
        <w:wordWrap/>
        <w:overflowPunct/>
        <w:topLinePunct w:val="0"/>
        <w:autoSpaceDE/>
        <w:autoSpaceDN/>
        <w:bidi w:val="0"/>
        <w:adjustRightInd/>
        <w:snapToGrid/>
        <w:spacing w:line="560" w:lineRule="exact"/>
        <w:ind w:firstLine="640"/>
        <w:textAlignment w:val="auto"/>
        <w:rPr>
          <w:rFonts w:hint="eastAsia"/>
          <w:highlight w:val="none"/>
          <w:lang w:val="en-US" w:eastAsia="zh-CN"/>
        </w:rPr>
      </w:pPr>
      <w:r>
        <w:rPr>
          <w:rFonts w:hint="eastAsia" w:eastAsia="仿宋_GB2312"/>
          <w:lang w:val="en-US" w:eastAsia="zh-CN"/>
        </w:rPr>
        <w:t>区医保局</w:t>
      </w:r>
      <w:r>
        <w:rPr>
          <w:rFonts w:hint="eastAsia"/>
          <w:lang w:val="en-US" w:eastAsia="zh-CN"/>
        </w:rPr>
        <w:t>根据单位实际工作计划与需求将医疗服务与保障能力提升补助资金项目细化分解为5个项目，分别设置绩效目标与绩效指标</w:t>
      </w:r>
      <w:r>
        <w:rPr>
          <w:rFonts w:hint="eastAsia"/>
          <w:highlight w:val="none"/>
          <w:lang w:val="en-US" w:eastAsia="zh-CN"/>
        </w:rPr>
        <w:t>，具体绩效目标设置情况见表2-6。</w:t>
      </w:r>
    </w:p>
    <w:p>
      <w:pPr>
        <w:pStyle w:val="33"/>
        <w:pageBreakBefore w:val="0"/>
        <w:kinsoku/>
        <w:wordWrap/>
        <w:overflowPunct/>
        <w:topLinePunct w:val="0"/>
        <w:autoSpaceDE/>
        <w:autoSpaceDN/>
        <w:bidi w:val="0"/>
        <w:adjustRightInd/>
        <w:snapToGrid/>
        <w:spacing w:line="560" w:lineRule="exact"/>
        <w:textAlignment w:val="auto"/>
        <w:rPr>
          <w:highlight w:val="none"/>
        </w:rPr>
      </w:pPr>
      <w:r>
        <w:rPr>
          <w:highlight w:val="none"/>
        </w:rPr>
        <w:t>表</w:t>
      </w:r>
      <w:r>
        <w:rPr>
          <w:rFonts w:hint="eastAsia"/>
          <w:highlight w:val="none"/>
          <w:lang w:val="en-US" w:eastAsia="zh-CN"/>
        </w:rPr>
        <w:t>2</w:t>
      </w:r>
      <w:r>
        <w:rPr>
          <w:highlight w:val="none"/>
        </w:rPr>
        <w:t xml:space="preserve">  </w:t>
      </w:r>
      <w:r>
        <w:rPr>
          <w:rFonts w:hint="eastAsia"/>
          <w:highlight w:val="none"/>
        </w:rPr>
        <w:t>医保定点医药机构监督检查</w:t>
      </w:r>
      <w:r>
        <w:rPr>
          <w:rFonts w:hint="eastAsia"/>
          <w:highlight w:val="none"/>
          <w:lang w:val="en-US" w:eastAsia="zh-CN"/>
        </w:rPr>
        <w:t>项目绩效目标</w:t>
      </w:r>
      <w:r>
        <w:rPr>
          <w:highlight w:val="none"/>
        </w:rPr>
        <w:t>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842"/>
        <w:gridCol w:w="3946"/>
        <w:gridCol w:w="2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593" w:type="pct"/>
            <w:shd w:val="clear" w:color="auto" w:fill="auto"/>
            <w:vAlign w:val="center"/>
          </w:tcPr>
          <w:p>
            <w:pPr>
              <w:pStyle w:val="36"/>
              <w:rPr>
                <w:rFonts w:hint="default" w:eastAsia="黑体"/>
                <w:highlight w:val="none"/>
                <w:lang w:val="en-US" w:eastAsia="zh-CN"/>
              </w:rPr>
            </w:pPr>
            <w:r>
              <w:rPr>
                <w:rFonts w:hint="eastAsia" w:ascii="宋体" w:hAnsi="宋体" w:eastAsia="宋体" w:cs="宋体"/>
                <w:highlight w:val="none"/>
                <w:lang w:val="en-US" w:eastAsia="zh-CN"/>
              </w:rPr>
              <w:t>绩效目标</w:t>
            </w:r>
          </w:p>
        </w:tc>
        <w:tc>
          <w:tcPr>
            <w:tcW w:w="4406" w:type="pct"/>
            <w:gridSpan w:val="3"/>
            <w:shd w:val="clear" w:color="auto" w:fill="auto"/>
            <w:vAlign w:val="center"/>
          </w:tcPr>
          <w:p>
            <w:pPr>
              <w:pStyle w:val="36"/>
              <w:rPr>
                <w:rFonts w:hint="eastAsia"/>
                <w:highlight w:val="none"/>
              </w:rPr>
            </w:pPr>
            <w:r>
              <w:rPr>
                <w:rFonts w:hint="eastAsia" w:ascii="Times New Roman" w:hAnsi="Times New Roman" w:eastAsia="宋体" w:cstheme="minorBidi"/>
                <w:b w:val="0"/>
                <w:kern w:val="2"/>
                <w:sz w:val="21"/>
                <w:szCs w:val="21"/>
                <w:highlight w:val="none"/>
                <w:lang w:val="en-US" w:eastAsia="zh-CN" w:bidi="ar-SA"/>
              </w:rPr>
              <w:t>引入第三方参与辖区内定点医药机构监督检查工作，提升医保监管专业水平，高质量完成日常检查、辖区内定点医药机构专项检查、飞行检查等常规检查及投诉举报核实、移送线索核实等临时性检查任务。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593"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一级</w:t>
            </w:r>
          </w:p>
          <w:p>
            <w:pPr>
              <w:pStyle w:val="36"/>
              <w:rPr>
                <w:rFonts w:hint="eastAsia" w:ascii="宋体" w:hAnsi="宋体" w:eastAsia="宋体" w:cs="宋体"/>
                <w:highlight w:val="none"/>
              </w:rPr>
            </w:pPr>
            <w:r>
              <w:rPr>
                <w:rFonts w:hint="eastAsia" w:ascii="宋体" w:hAnsi="宋体" w:eastAsia="宋体" w:cs="宋体"/>
                <w:highlight w:val="none"/>
              </w:rPr>
              <w:t>指标</w:t>
            </w:r>
          </w:p>
        </w:tc>
        <w:tc>
          <w:tcPr>
            <w:tcW w:w="1016"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二级指标</w:t>
            </w:r>
          </w:p>
        </w:tc>
        <w:tc>
          <w:tcPr>
            <w:tcW w:w="2177"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三级指标</w:t>
            </w:r>
          </w:p>
        </w:tc>
        <w:tc>
          <w:tcPr>
            <w:tcW w:w="1213"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93" w:type="pct"/>
            <w:vMerge w:val="restart"/>
            <w:shd w:val="clear" w:color="auto" w:fill="auto"/>
            <w:vAlign w:val="center"/>
          </w:tcPr>
          <w:p>
            <w:pPr>
              <w:pStyle w:val="38"/>
              <w:rPr>
                <w:highlight w:val="none"/>
              </w:rPr>
            </w:pPr>
            <w:r>
              <w:rPr>
                <w:rFonts w:hint="eastAsia"/>
                <w:highlight w:val="none"/>
              </w:rPr>
              <w:t>产出</w:t>
            </w:r>
          </w:p>
          <w:p>
            <w:pPr>
              <w:pStyle w:val="38"/>
              <w:rPr>
                <w:highlight w:val="none"/>
              </w:rPr>
            </w:pPr>
            <w:r>
              <w:rPr>
                <w:rFonts w:hint="eastAsia"/>
                <w:highlight w:val="none"/>
              </w:rPr>
              <w:t>指标</w:t>
            </w:r>
          </w:p>
        </w:tc>
        <w:tc>
          <w:tcPr>
            <w:tcW w:w="1016" w:type="pct"/>
            <w:vMerge w:val="restart"/>
            <w:shd w:val="clear" w:color="auto" w:fill="auto"/>
            <w:vAlign w:val="center"/>
          </w:tcPr>
          <w:p>
            <w:pPr>
              <w:pStyle w:val="38"/>
              <w:rPr>
                <w:highlight w:val="none"/>
              </w:rPr>
            </w:pPr>
            <w:r>
              <w:rPr>
                <w:rFonts w:hint="eastAsia"/>
                <w:highlight w:val="none"/>
              </w:rPr>
              <w:t>数量指标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检查频次</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≥1次/家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检查医保定点医疗机构家数</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≥70家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检查医保定点药店</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≥40家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bottom"/>
          </w:tcPr>
          <w:p>
            <w:pPr>
              <w:pStyle w:val="38"/>
              <w:rPr>
                <w:rFonts w:hint="eastAsia"/>
                <w:highlight w:val="none"/>
                <w:lang w:val="en-US" w:eastAsia="zh-CN"/>
              </w:rPr>
            </w:pPr>
            <w:r>
              <w:rPr>
                <w:rFonts w:hint="eastAsia"/>
                <w:highlight w:val="none"/>
                <w:lang w:val="en-US" w:eastAsia="zh-CN"/>
              </w:rPr>
              <w:t>完成检查报告数量</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93" w:type="pct"/>
            <w:vMerge w:val="continue"/>
            <w:shd w:val="clear" w:color="auto" w:fill="auto"/>
            <w:vAlign w:val="center"/>
          </w:tcPr>
          <w:p>
            <w:pPr>
              <w:pStyle w:val="38"/>
              <w:rPr>
                <w:highlight w:val="none"/>
              </w:rPr>
            </w:pPr>
          </w:p>
        </w:tc>
        <w:tc>
          <w:tcPr>
            <w:tcW w:w="1016" w:type="pct"/>
            <w:vMerge w:val="restart"/>
            <w:shd w:val="clear" w:color="auto" w:fill="auto"/>
            <w:vAlign w:val="center"/>
          </w:tcPr>
          <w:p>
            <w:pPr>
              <w:pStyle w:val="38"/>
              <w:rPr>
                <w:rFonts w:hint="default" w:eastAsia="宋体"/>
                <w:highlight w:val="none"/>
                <w:lang w:val="en-US" w:eastAsia="zh-CN"/>
              </w:rPr>
            </w:pPr>
            <w:r>
              <w:rPr>
                <w:rFonts w:hint="eastAsia"/>
                <w:highlight w:val="none"/>
                <w:lang w:val="en-US" w:eastAsia="zh-CN"/>
              </w:rPr>
              <w:t>质量指标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定点医药机构监督检查覆盖率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检查报告产出率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投诉举移交线索核实率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93" w:type="pct"/>
            <w:vMerge w:val="continue"/>
            <w:shd w:val="clear" w:color="auto" w:fill="auto"/>
            <w:vAlign w:val="center"/>
          </w:tcPr>
          <w:p>
            <w:pPr>
              <w:pStyle w:val="38"/>
              <w:rPr>
                <w:highlight w:val="none"/>
              </w:rPr>
            </w:pPr>
          </w:p>
        </w:tc>
        <w:tc>
          <w:tcPr>
            <w:tcW w:w="1016" w:type="pct"/>
            <w:shd w:val="clear" w:color="auto" w:fill="auto"/>
            <w:vAlign w:val="center"/>
          </w:tcPr>
          <w:p>
            <w:pPr>
              <w:pStyle w:val="38"/>
              <w:rPr>
                <w:highlight w:val="none"/>
              </w:rPr>
            </w:pPr>
            <w:r>
              <w:rPr>
                <w:rFonts w:hint="eastAsia"/>
                <w:highlight w:val="none"/>
              </w:rPr>
              <w:t>时效指标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年度检查任务按时完成率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continue"/>
            <w:shd w:val="clear" w:color="auto" w:fill="auto"/>
            <w:vAlign w:val="center"/>
          </w:tcPr>
          <w:p>
            <w:pPr>
              <w:pStyle w:val="38"/>
              <w:rPr>
                <w:highlight w:val="none"/>
              </w:rPr>
            </w:pPr>
          </w:p>
        </w:tc>
        <w:tc>
          <w:tcPr>
            <w:tcW w:w="1016" w:type="pct"/>
            <w:shd w:val="clear" w:color="auto" w:fill="auto"/>
            <w:vAlign w:val="center"/>
          </w:tcPr>
          <w:p>
            <w:pPr>
              <w:pStyle w:val="38"/>
              <w:rPr>
                <w:highlight w:val="none"/>
              </w:rPr>
            </w:pPr>
            <w:r>
              <w:rPr>
                <w:rFonts w:hint="eastAsia"/>
                <w:highlight w:val="none"/>
              </w:rPr>
              <w:t>成本指标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定点医药机构监督检查支出金额</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≤17万元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restart"/>
            <w:shd w:val="clear" w:color="auto" w:fill="auto"/>
            <w:vAlign w:val="center"/>
          </w:tcPr>
          <w:p>
            <w:pPr>
              <w:pStyle w:val="38"/>
              <w:rPr>
                <w:highlight w:val="none"/>
              </w:rPr>
            </w:pPr>
            <w:r>
              <w:rPr>
                <w:rFonts w:hint="eastAsia"/>
                <w:highlight w:val="none"/>
              </w:rPr>
              <w:t>效益</w:t>
            </w:r>
          </w:p>
          <w:p>
            <w:pPr>
              <w:pStyle w:val="38"/>
              <w:rPr>
                <w:highlight w:val="none"/>
              </w:rPr>
            </w:pPr>
            <w:r>
              <w:rPr>
                <w:rFonts w:hint="eastAsia"/>
                <w:highlight w:val="none"/>
              </w:rPr>
              <w:t>指标</w:t>
            </w:r>
          </w:p>
        </w:tc>
        <w:tc>
          <w:tcPr>
            <w:tcW w:w="1016" w:type="pct"/>
            <w:vMerge w:val="restart"/>
            <w:shd w:val="clear" w:color="auto" w:fill="auto"/>
            <w:vAlign w:val="center"/>
          </w:tcPr>
          <w:p>
            <w:pPr>
              <w:pStyle w:val="38"/>
              <w:rPr>
                <w:highlight w:val="none"/>
              </w:rPr>
            </w:pPr>
            <w:r>
              <w:rPr>
                <w:rFonts w:hint="eastAsia"/>
                <w:highlight w:val="none"/>
              </w:rPr>
              <w:t>社会效益指标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问题整改落实率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检查人员被投诉次数</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≤5次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shd w:val="clear" w:color="auto" w:fill="auto"/>
            <w:vAlign w:val="center"/>
          </w:tcPr>
          <w:p>
            <w:pPr>
              <w:pStyle w:val="38"/>
              <w:rPr>
                <w:highlight w:val="none"/>
              </w:rPr>
            </w:pPr>
            <w:r>
              <w:rPr>
                <w:rFonts w:hint="eastAsia"/>
                <w:highlight w:val="none"/>
              </w:rPr>
              <w:t>满意度</w:t>
            </w:r>
          </w:p>
          <w:p>
            <w:pPr>
              <w:pStyle w:val="38"/>
              <w:rPr>
                <w:highlight w:val="none"/>
              </w:rPr>
            </w:pPr>
            <w:r>
              <w:rPr>
                <w:rFonts w:hint="eastAsia"/>
                <w:highlight w:val="none"/>
              </w:rPr>
              <w:t>指标</w:t>
            </w:r>
          </w:p>
        </w:tc>
        <w:tc>
          <w:tcPr>
            <w:tcW w:w="1016" w:type="pct"/>
            <w:shd w:val="clear" w:color="auto" w:fill="auto"/>
            <w:vAlign w:val="center"/>
          </w:tcPr>
          <w:p>
            <w:pPr>
              <w:pStyle w:val="38"/>
              <w:rPr>
                <w:highlight w:val="none"/>
              </w:rPr>
            </w:pPr>
            <w:r>
              <w:rPr>
                <w:rFonts w:hint="eastAsia"/>
                <w:highlight w:val="none"/>
              </w:rPr>
              <w:t>服务满意度指标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监督检查工作人员满意度</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≥90%</w:t>
            </w:r>
          </w:p>
        </w:tc>
      </w:tr>
      <w:bookmarkEnd w:id="6"/>
    </w:tbl>
    <w:p>
      <w:pPr>
        <w:pStyle w:val="33"/>
        <w:rPr>
          <w:highlight w:val="none"/>
        </w:rPr>
      </w:pPr>
      <w:r>
        <w:rPr>
          <w:highlight w:val="none"/>
        </w:rPr>
        <w:t>表</w:t>
      </w:r>
      <w:r>
        <w:rPr>
          <w:rFonts w:hint="eastAsia"/>
          <w:highlight w:val="none"/>
          <w:lang w:val="en-US" w:eastAsia="zh-CN"/>
        </w:rPr>
        <w:t>3</w:t>
      </w:r>
      <w:r>
        <w:rPr>
          <w:highlight w:val="none"/>
        </w:rPr>
        <w:t xml:space="preserve">  </w:t>
      </w:r>
      <w:r>
        <w:rPr>
          <w:rFonts w:hint="eastAsia"/>
          <w:highlight w:val="none"/>
        </w:rPr>
        <w:t>医保法治能力建设</w:t>
      </w:r>
      <w:r>
        <w:rPr>
          <w:rFonts w:hint="eastAsia"/>
          <w:highlight w:val="none"/>
          <w:lang w:val="en-US" w:eastAsia="zh-CN"/>
        </w:rPr>
        <w:t>项目绩效目标</w:t>
      </w:r>
      <w:r>
        <w:rPr>
          <w:highlight w:val="none"/>
        </w:rPr>
        <w:t>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842"/>
        <w:gridCol w:w="3946"/>
        <w:gridCol w:w="2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593" w:type="pct"/>
            <w:shd w:val="clear" w:color="auto" w:fill="auto"/>
            <w:vAlign w:val="center"/>
          </w:tcPr>
          <w:p>
            <w:pPr>
              <w:pStyle w:val="36"/>
              <w:rPr>
                <w:rFonts w:hint="eastAsia" w:ascii="宋体" w:hAnsi="宋体" w:eastAsia="宋体" w:cs="宋体"/>
                <w:highlight w:val="none"/>
                <w:lang w:val="en-US" w:eastAsia="zh-CN"/>
              </w:rPr>
            </w:pPr>
            <w:r>
              <w:rPr>
                <w:rFonts w:hint="eastAsia" w:ascii="宋体" w:hAnsi="宋体" w:eastAsia="宋体" w:cs="宋体"/>
                <w:highlight w:val="none"/>
                <w:lang w:val="en-US" w:eastAsia="zh-CN"/>
              </w:rPr>
              <w:t>绩效目标</w:t>
            </w:r>
          </w:p>
        </w:tc>
        <w:tc>
          <w:tcPr>
            <w:tcW w:w="4406" w:type="pct"/>
            <w:gridSpan w:val="3"/>
            <w:shd w:val="clear" w:color="auto" w:fill="auto"/>
            <w:vAlign w:val="center"/>
          </w:tcPr>
          <w:p>
            <w:pPr>
              <w:pStyle w:val="36"/>
              <w:rPr>
                <w:rFonts w:hint="eastAsia"/>
                <w:highlight w:val="none"/>
              </w:rPr>
            </w:pPr>
            <w:r>
              <w:rPr>
                <w:rFonts w:hint="eastAsia" w:ascii="Times New Roman" w:hAnsi="Times New Roman" w:eastAsia="宋体" w:cstheme="minorBidi"/>
                <w:b w:val="0"/>
                <w:kern w:val="2"/>
                <w:sz w:val="21"/>
                <w:szCs w:val="21"/>
                <w:highlight w:val="none"/>
                <w:lang w:val="en-US" w:eastAsia="zh-CN" w:bidi="ar-SA"/>
              </w:rPr>
              <w:t>聘请法律顾问，提供日常法律咨询，为单位执法人员开展法律知识培训，提高依法行政能力；为单位讨论决定重大事项提供法律分析意见，对本单位做出的</w:t>
            </w:r>
            <w:r>
              <w:rPr>
                <w:rFonts w:hint="eastAsia" w:eastAsia="宋体" w:cstheme="minorBidi"/>
                <w:b w:val="0"/>
                <w:kern w:val="2"/>
                <w:sz w:val="21"/>
                <w:szCs w:val="21"/>
                <w:highlight w:val="none"/>
                <w:lang w:val="en-US" w:eastAsia="zh-CN" w:bidi="ar-SA"/>
              </w:rPr>
              <w:t>行政</w:t>
            </w:r>
            <w:r>
              <w:rPr>
                <w:rFonts w:hint="eastAsia" w:ascii="Times New Roman" w:hAnsi="Times New Roman" w:eastAsia="宋体" w:cstheme="minorBidi"/>
                <w:b w:val="0"/>
                <w:kern w:val="2"/>
                <w:sz w:val="21"/>
                <w:szCs w:val="21"/>
                <w:highlight w:val="none"/>
                <w:lang w:val="en-US" w:eastAsia="zh-CN" w:bidi="ar-SA"/>
              </w:rPr>
              <w:t>执法决定进行法制审核，协助草拟、修订、审查或修改本单位各类合同、协议及法律文书，提高医保法治能力建设水平。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593"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一级</w:t>
            </w:r>
          </w:p>
          <w:p>
            <w:pPr>
              <w:pStyle w:val="36"/>
              <w:rPr>
                <w:rFonts w:hint="eastAsia" w:ascii="宋体" w:hAnsi="宋体" w:eastAsia="宋体" w:cs="宋体"/>
                <w:highlight w:val="none"/>
              </w:rPr>
            </w:pPr>
            <w:r>
              <w:rPr>
                <w:rFonts w:hint="eastAsia" w:ascii="宋体" w:hAnsi="宋体" w:eastAsia="宋体" w:cs="宋体"/>
                <w:highlight w:val="none"/>
              </w:rPr>
              <w:t>指标</w:t>
            </w:r>
          </w:p>
        </w:tc>
        <w:tc>
          <w:tcPr>
            <w:tcW w:w="1016"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二级指标</w:t>
            </w:r>
          </w:p>
        </w:tc>
        <w:tc>
          <w:tcPr>
            <w:tcW w:w="2177"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三级指标</w:t>
            </w:r>
          </w:p>
        </w:tc>
        <w:tc>
          <w:tcPr>
            <w:tcW w:w="1213"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93" w:type="pct"/>
            <w:vMerge w:val="restart"/>
            <w:shd w:val="clear" w:color="auto" w:fill="auto"/>
            <w:vAlign w:val="center"/>
          </w:tcPr>
          <w:p>
            <w:pPr>
              <w:pStyle w:val="38"/>
              <w:rPr>
                <w:highlight w:val="none"/>
              </w:rPr>
            </w:pPr>
            <w:r>
              <w:rPr>
                <w:rFonts w:hint="eastAsia"/>
                <w:highlight w:val="none"/>
              </w:rPr>
              <w:t>产出</w:t>
            </w:r>
          </w:p>
          <w:p>
            <w:pPr>
              <w:pStyle w:val="38"/>
              <w:rPr>
                <w:highlight w:val="none"/>
              </w:rPr>
            </w:pPr>
            <w:r>
              <w:rPr>
                <w:rFonts w:hint="eastAsia"/>
                <w:highlight w:val="none"/>
              </w:rPr>
              <w:t>指标</w:t>
            </w:r>
          </w:p>
        </w:tc>
        <w:tc>
          <w:tcPr>
            <w:tcW w:w="1016" w:type="pct"/>
            <w:vMerge w:val="restart"/>
            <w:shd w:val="clear" w:color="auto" w:fill="auto"/>
            <w:vAlign w:val="center"/>
          </w:tcPr>
          <w:p>
            <w:pPr>
              <w:pStyle w:val="38"/>
              <w:rPr>
                <w:highlight w:val="none"/>
              </w:rPr>
            </w:pPr>
            <w:r>
              <w:rPr>
                <w:rFonts w:hint="eastAsia"/>
                <w:highlight w:val="none"/>
              </w:rPr>
              <w:t>数量指标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提供日常法律咨询次数</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开展法律知识培训次数</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草拟、修订、审查或修改合同、协议及法律文书</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93" w:type="pct"/>
            <w:vMerge w:val="continue"/>
            <w:shd w:val="clear" w:color="auto" w:fill="auto"/>
            <w:vAlign w:val="center"/>
          </w:tcPr>
          <w:p>
            <w:pPr>
              <w:pStyle w:val="38"/>
              <w:rPr>
                <w:highlight w:val="none"/>
              </w:rPr>
            </w:pPr>
          </w:p>
        </w:tc>
        <w:tc>
          <w:tcPr>
            <w:tcW w:w="1016" w:type="pct"/>
            <w:vMerge w:val="restart"/>
            <w:shd w:val="clear" w:color="auto" w:fill="auto"/>
            <w:vAlign w:val="center"/>
          </w:tcPr>
          <w:p>
            <w:pPr>
              <w:pStyle w:val="38"/>
              <w:rPr>
                <w:rFonts w:hint="default" w:eastAsia="宋体"/>
                <w:highlight w:val="none"/>
                <w:lang w:val="en-US" w:eastAsia="zh-CN"/>
              </w:rPr>
            </w:pPr>
            <w:r>
              <w:rPr>
                <w:rFonts w:hint="eastAsia"/>
                <w:highlight w:val="none"/>
                <w:lang w:val="en-US" w:eastAsia="zh-CN"/>
              </w:rPr>
              <w:t>质量指标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行政执法决定法制审核率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法律知识培训参会人员出勤率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593" w:type="pct"/>
            <w:vMerge w:val="continue"/>
            <w:shd w:val="clear" w:color="auto" w:fill="auto"/>
            <w:vAlign w:val="center"/>
          </w:tcPr>
          <w:p>
            <w:pPr>
              <w:pStyle w:val="38"/>
              <w:rPr>
                <w:highlight w:val="none"/>
              </w:rPr>
            </w:pPr>
          </w:p>
        </w:tc>
        <w:tc>
          <w:tcPr>
            <w:tcW w:w="1016" w:type="pct"/>
            <w:vMerge w:val="restart"/>
            <w:shd w:val="clear" w:color="auto" w:fill="auto"/>
            <w:vAlign w:val="center"/>
          </w:tcPr>
          <w:p>
            <w:pPr>
              <w:pStyle w:val="38"/>
              <w:rPr>
                <w:highlight w:val="none"/>
              </w:rPr>
            </w:pPr>
            <w:r>
              <w:rPr>
                <w:rFonts w:hint="eastAsia"/>
                <w:highlight w:val="none"/>
              </w:rPr>
              <w:t>时效指标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重大决策法律分析意见及日常法律咨询建议反馈及时率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行政执法决定法制审核及时率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continue"/>
            <w:shd w:val="clear" w:color="auto" w:fill="auto"/>
            <w:vAlign w:val="center"/>
          </w:tcPr>
          <w:p>
            <w:pPr>
              <w:pStyle w:val="38"/>
              <w:rPr>
                <w:highlight w:val="none"/>
              </w:rPr>
            </w:pPr>
          </w:p>
        </w:tc>
        <w:tc>
          <w:tcPr>
            <w:tcW w:w="1016" w:type="pct"/>
            <w:shd w:val="clear" w:color="auto" w:fill="auto"/>
            <w:vAlign w:val="center"/>
          </w:tcPr>
          <w:p>
            <w:pPr>
              <w:pStyle w:val="38"/>
              <w:rPr>
                <w:highlight w:val="none"/>
              </w:rPr>
            </w:pPr>
            <w:r>
              <w:rPr>
                <w:rFonts w:hint="eastAsia"/>
                <w:highlight w:val="none"/>
              </w:rPr>
              <w:t>成本指标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医保法治能力建设资金</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restart"/>
            <w:shd w:val="clear" w:color="auto" w:fill="auto"/>
            <w:vAlign w:val="center"/>
          </w:tcPr>
          <w:p>
            <w:pPr>
              <w:pStyle w:val="38"/>
              <w:rPr>
                <w:highlight w:val="none"/>
              </w:rPr>
            </w:pPr>
            <w:r>
              <w:rPr>
                <w:rFonts w:hint="eastAsia"/>
                <w:highlight w:val="none"/>
              </w:rPr>
              <w:t>效益</w:t>
            </w:r>
          </w:p>
          <w:p>
            <w:pPr>
              <w:pStyle w:val="38"/>
              <w:rPr>
                <w:highlight w:val="none"/>
              </w:rPr>
            </w:pPr>
            <w:r>
              <w:rPr>
                <w:rFonts w:hint="eastAsia"/>
                <w:highlight w:val="none"/>
              </w:rPr>
              <w:t>指标</w:t>
            </w:r>
          </w:p>
        </w:tc>
        <w:tc>
          <w:tcPr>
            <w:tcW w:w="1016" w:type="pct"/>
            <w:vMerge w:val="restart"/>
            <w:shd w:val="clear" w:color="auto" w:fill="auto"/>
            <w:vAlign w:val="center"/>
          </w:tcPr>
          <w:p>
            <w:pPr>
              <w:pStyle w:val="38"/>
              <w:rPr>
                <w:highlight w:val="none"/>
              </w:rPr>
            </w:pPr>
            <w:r>
              <w:rPr>
                <w:rFonts w:hint="eastAsia"/>
                <w:highlight w:val="none"/>
              </w:rPr>
              <w:t>社会效益指标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行政执法决定合法性</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得到保障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执法人员的依法行政能力</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显著提高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restart"/>
            <w:shd w:val="clear" w:color="auto" w:fill="auto"/>
            <w:vAlign w:val="center"/>
          </w:tcPr>
          <w:p>
            <w:pPr>
              <w:pStyle w:val="38"/>
              <w:rPr>
                <w:highlight w:val="none"/>
              </w:rPr>
            </w:pPr>
            <w:r>
              <w:rPr>
                <w:rFonts w:hint="eastAsia"/>
                <w:highlight w:val="none"/>
              </w:rPr>
              <w:t>满意度</w:t>
            </w:r>
          </w:p>
          <w:p>
            <w:pPr>
              <w:pStyle w:val="38"/>
              <w:rPr>
                <w:highlight w:val="none"/>
              </w:rPr>
            </w:pPr>
            <w:r>
              <w:rPr>
                <w:rFonts w:hint="eastAsia"/>
                <w:highlight w:val="none"/>
              </w:rPr>
              <w:t>指标</w:t>
            </w:r>
          </w:p>
        </w:tc>
        <w:tc>
          <w:tcPr>
            <w:tcW w:w="1016" w:type="pct"/>
            <w:vMerge w:val="restart"/>
            <w:shd w:val="clear" w:color="auto" w:fill="auto"/>
            <w:vAlign w:val="center"/>
          </w:tcPr>
          <w:p>
            <w:pPr>
              <w:pStyle w:val="38"/>
              <w:rPr>
                <w:highlight w:val="none"/>
              </w:rPr>
            </w:pPr>
            <w:r>
              <w:rPr>
                <w:rFonts w:hint="eastAsia"/>
                <w:highlight w:val="none"/>
              </w:rPr>
              <w:t>服务满意度指标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培训参会人员满意度</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continue"/>
            <w:shd w:val="clear" w:color="auto" w:fill="auto"/>
            <w:vAlign w:val="center"/>
          </w:tcPr>
          <w:p>
            <w:pPr>
              <w:pStyle w:val="38"/>
              <w:rPr>
                <w:rFonts w:hint="eastAsia"/>
                <w:highlight w:val="none"/>
              </w:rPr>
            </w:pPr>
          </w:p>
        </w:tc>
        <w:tc>
          <w:tcPr>
            <w:tcW w:w="1016" w:type="pct"/>
            <w:vMerge w:val="continue"/>
            <w:shd w:val="clear" w:color="auto" w:fill="auto"/>
            <w:vAlign w:val="center"/>
          </w:tcPr>
          <w:p>
            <w:pPr>
              <w:pStyle w:val="38"/>
              <w:rPr>
                <w:rFonts w:hint="eastAsia"/>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咨询服务对象满意度</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≥90%</w:t>
            </w:r>
          </w:p>
        </w:tc>
      </w:tr>
    </w:tbl>
    <w:p>
      <w:pPr>
        <w:pStyle w:val="33"/>
        <w:rPr>
          <w:highlight w:val="none"/>
        </w:rPr>
      </w:pPr>
      <w:r>
        <w:rPr>
          <w:highlight w:val="none"/>
        </w:rPr>
        <w:t>表</w:t>
      </w:r>
      <w:r>
        <w:rPr>
          <w:rFonts w:hint="eastAsia"/>
          <w:highlight w:val="none"/>
          <w:lang w:val="en-US" w:eastAsia="zh-CN"/>
        </w:rPr>
        <w:t>4</w:t>
      </w:r>
      <w:r>
        <w:rPr>
          <w:highlight w:val="none"/>
        </w:rPr>
        <w:t xml:space="preserve">  </w:t>
      </w:r>
      <w:r>
        <w:rPr>
          <w:rFonts w:hint="eastAsia"/>
          <w:highlight w:val="none"/>
        </w:rPr>
        <w:t>医保政策宣传</w:t>
      </w:r>
      <w:r>
        <w:rPr>
          <w:rFonts w:hint="eastAsia"/>
          <w:highlight w:val="none"/>
          <w:lang w:val="en-US" w:eastAsia="zh-CN"/>
        </w:rPr>
        <w:t>项目绩效目标</w:t>
      </w:r>
      <w:r>
        <w:rPr>
          <w:highlight w:val="none"/>
        </w:rPr>
        <w:t>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842"/>
        <w:gridCol w:w="3946"/>
        <w:gridCol w:w="2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593" w:type="pct"/>
            <w:shd w:val="clear" w:color="auto" w:fill="auto"/>
            <w:vAlign w:val="center"/>
          </w:tcPr>
          <w:p>
            <w:pPr>
              <w:pStyle w:val="36"/>
              <w:rPr>
                <w:rFonts w:hint="default" w:eastAsia="黑体"/>
                <w:highlight w:val="none"/>
                <w:lang w:val="en-US" w:eastAsia="zh-CN"/>
              </w:rPr>
            </w:pPr>
            <w:r>
              <w:rPr>
                <w:rFonts w:hint="eastAsia" w:ascii="宋体" w:hAnsi="宋体" w:eastAsia="宋体" w:cs="宋体"/>
                <w:highlight w:val="none"/>
                <w:lang w:val="en-US" w:eastAsia="zh-CN"/>
              </w:rPr>
              <w:t>绩效目标</w:t>
            </w:r>
          </w:p>
        </w:tc>
        <w:tc>
          <w:tcPr>
            <w:tcW w:w="4406" w:type="pct"/>
            <w:gridSpan w:val="3"/>
            <w:shd w:val="clear" w:color="auto" w:fill="auto"/>
            <w:vAlign w:val="center"/>
          </w:tcPr>
          <w:p>
            <w:pPr>
              <w:pStyle w:val="36"/>
              <w:rPr>
                <w:rFonts w:hint="eastAsia"/>
                <w:highlight w:val="none"/>
              </w:rPr>
            </w:pPr>
            <w:r>
              <w:rPr>
                <w:rFonts w:hint="eastAsia" w:ascii="Times New Roman" w:hAnsi="Times New Roman" w:eastAsia="宋体" w:cstheme="minorBidi"/>
                <w:b w:val="0"/>
                <w:kern w:val="2"/>
                <w:sz w:val="21"/>
                <w:szCs w:val="21"/>
                <w:highlight w:val="none"/>
                <w:lang w:val="en-US" w:eastAsia="zh-CN" w:bidi="ar-SA"/>
              </w:rPr>
              <w:t>加大医保政策宣传力度，面向不同群体有针对性地开展“医保政策进社区</w:t>
            </w:r>
            <w:r>
              <w:rPr>
                <w:rFonts w:hint="eastAsia" w:eastAsia="宋体" w:cstheme="minorBidi"/>
                <w:b w:val="0"/>
                <w:kern w:val="2"/>
                <w:sz w:val="21"/>
                <w:szCs w:val="21"/>
                <w:highlight w:val="none"/>
                <w:lang w:val="en-US" w:eastAsia="zh-CN" w:bidi="ar-SA"/>
              </w:rPr>
              <w:t>”“</w:t>
            </w:r>
            <w:r>
              <w:rPr>
                <w:rFonts w:hint="eastAsia" w:ascii="Times New Roman" w:hAnsi="Times New Roman" w:eastAsia="宋体" w:cstheme="minorBidi"/>
                <w:b w:val="0"/>
                <w:kern w:val="2"/>
                <w:sz w:val="21"/>
                <w:szCs w:val="21"/>
                <w:highlight w:val="none"/>
                <w:lang w:val="en-US" w:eastAsia="zh-CN" w:bidi="ar-SA"/>
              </w:rPr>
              <w:t>医保政策进校园”宣传活动，从“被动答复”变为“主动宣讲”，通过政策宣讲、座谈培训、发放宣传品等形式，提高群众对医疗保障新政策、新制度、新举措的知晓率，扩大社会影响力，激发群众参保热情，合理引导群众预期，形成良好社会舆论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593"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一级</w:t>
            </w:r>
          </w:p>
          <w:p>
            <w:pPr>
              <w:pStyle w:val="36"/>
              <w:rPr>
                <w:rFonts w:hint="eastAsia" w:ascii="宋体" w:hAnsi="宋体" w:eastAsia="宋体" w:cs="宋体"/>
                <w:highlight w:val="none"/>
              </w:rPr>
            </w:pPr>
            <w:r>
              <w:rPr>
                <w:rFonts w:hint="eastAsia" w:ascii="宋体" w:hAnsi="宋体" w:eastAsia="宋体" w:cs="宋体"/>
                <w:highlight w:val="none"/>
              </w:rPr>
              <w:t>指标</w:t>
            </w:r>
          </w:p>
        </w:tc>
        <w:tc>
          <w:tcPr>
            <w:tcW w:w="1016"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二级指标</w:t>
            </w:r>
          </w:p>
        </w:tc>
        <w:tc>
          <w:tcPr>
            <w:tcW w:w="2177"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三级指标</w:t>
            </w:r>
          </w:p>
        </w:tc>
        <w:tc>
          <w:tcPr>
            <w:tcW w:w="1213"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93" w:type="pct"/>
            <w:vMerge w:val="restart"/>
            <w:shd w:val="clear" w:color="auto" w:fill="auto"/>
            <w:vAlign w:val="center"/>
          </w:tcPr>
          <w:p>
            <w:pPr>
              <w:pStyle w:val="38"/>
              <w:rPr>
                <w:highlight w:val="none"/>
              </w:rPr>
            </w:pPr>
            <w:r>
              <w:rPr>
                <w:rFonts w:hint="eastAsia"/>
                <w:highlight w:val="none"/>
              </w:rPr>
              <w:t>产出</w:t>
            </w:r>
          </w:p>
          <w:p>
            <w:pPr>
              <w:pStyle w:val="38"/>
              <w:rPr>
                <w:highlight w:val="none"/>
              </w:rPr>
            </w:pPr>
            <w:r>
              <w:rPr>
                <w:rFonts w:hint="eastAsia"/>
                <w:highlight w:val="none"/>
              </w:rPr>
              <w:t>指标</w:t>
            </w:r>
          </w:p>
        </w:tc>
        <w:tc>
          <w:tcPr>
            <w:tcW w:w="1016" w:type="pct"/>
            <w:vMerge w:val="restart"/>
            <w:shd w:val="clear" w:color="auto" w:fill="auto"/>
            <w:vAlign w:val="center"/>
          </w:tcPr>
          <w:p>
            <w:pPr>
              <w:pStyle w:val="38"/>
              <w:rPr>
                <w:highlight w:val="none"/>
              </w:rPr>
            </w:pPr>
            <w:r>
              <w:rPr>
                <w:rFonts w:hint="eastAsia"/>
                <w:highlight w:val="none"/>
              </w:rPr>
              <w:t>数量指标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医保政策宣传活动次数</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≥6次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参保扩面业务培训次数</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宣传品发放数量</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≥16000份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93" w:type="pct"/>
            <w:vMerge w:val="continue"/>
            <w:shd w:val="clear" w:color="auto" w:fill="auto"/>
            <w:vAlign w:val="center"/>
          </w:tcPr>
          <w:p>
            <w:pPr>
              <w:pStyle w:val="38"/>
              <w:rPr>
                <w:highlight w:val="none"/>
              </w:rPr>
            </w:pPr>
          </w:p>
        </w:tc>
        <w:tc>
          <w:tcPr>
            <w:tcW w:w="1016" w:type="pct"/>
            <w:vMerge w:val="restart"/>
            <w:shd w:val="clear" w:color="auto" w:fill="auto"/>
            <w:vAlign w:val="center"/>
          </w:tcPr>
          <w:p>
            <w:pPr>
              <w:pStyle w:val="38"/>
              <w:rPr>
                <w:rFonts w:hint="default" w:eastAsia="宋体"/>
                <w:highlight w:val="none"/>
                <w:lang w:val="en-US" w:eastAsia="zh-CN"/>
              </w:rPr>
            </w:pPr>
            <w:r>
              <w:rPr>
                <w:rFonts w:hint="eastAsia"/>
                <w:highlight w:val="none"/>
                <w:lang w:val="en-US" w:eastAsia="zh-CN"/>
              </w:rPr>
              <w:t>质量指标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宣传活动圆满完成率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参保扩面宣传资料发放对象准确率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参保扩面宣传资料发放到位率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93" w:type="pct"/>
            <w:vMerge w:val="continue"/>
            <w:shd w:val="clear" w:color="auto" w:fill="auto"/>
            <w:vAlign w:val="center"/>
          </w:tcPr>
          <w:p>
            <w:pPr>
              <w:pStyle w:val="38"/>
              <w:rPr>
                <w:highlight w:val="none"/>
              </w:rPr>
            </w:pPr>
          </w:p>
        </w:tc>
        <w:tc>
          <w:tcPr>
            <w:tcW w:w="1016" w:type="pct"/>
            <w:vMerge w:val="restart"/>
            <w:shd w:val="clear" w:color="auto" w:fill="auto"/>
            <w:vAlign w:val="center"/>
          </w:tcPr>
          <w:p>
            <w:pPr>
              <w:pStyle w:val="38"/>
              <w:rPr>
                <w:highlight w:val="none"/>
              </w:rPr>
            </w:pPr>
            <w:r>
              <w:rPr>
                <w:rFonts w:hint="eastAsia"/>
                <w:highlight w:val="none"/>
              </w:rPr>
              <w:t>时效指标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宣传活动开展及时率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rFonts w:hint="eastAsia"/>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宣传资料发放及时率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continue"/>
            <w:shd w:val="clear" w:color="auto" w:fill="auto"/>
            <w:vAlign w:val="center"/>
          </w:tcPr>
          <w:p>
            <w:pPr>
              <w:pStyle w:val="38"/>
              <w:rPr>
                <w:highlight w:val="none"/>
              </w:rPr>
            </w:pPr>
          </w:p>
        </w:tc>
        <w:tc>
          <w:tcPr>
            <w:tcW w:w="1016" w:type="pct"/>
            <w:shd w:val="clear" w:color="auto" w:fill="auto"/>
            <w:vAlign w:val="center"/>
          </w:tcPr>
          <w:p>
            <w:pPr>
              <w:pStyle w:val="38"/>
              <w:rPr>
                <w:highlight w:val="none"/>
              </w:rPr>
            </w:pPr>
            <w:r>
              <w:rPr>
                <w:rFonts w:hint="eastAsia"/>
                <w:highlight w:val="none"/>
              </w:rPr>
              <w:t>成本指标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宣传资料印制费用</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≤8.9万元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restart"/>
            <w:shd w:val="clear" w:color="auto" w:fill="auto"/>
            <w:vAlign w:val="center"/>
          </w:tcPr>
          <w:p>
            <w:pPr>
              <w:pStyle w:val="38"/>
              <w:rPr>
                <w:highlight w:val="none"/>
              </w:rPr>
            </w:pPr>
            <w:r>
              <w:rPr>
                <w:rFonts w:hint="eastAsia"/>
                <w:highlight w:val="none"/>
              </w:rPr>
              <w:t>效益</w:t>
            </w:r>
          </w:p>
          <w:p>
            <w:pPr>
              <w:pStyle w:val="38"/>
              <w:rPr>
                <w:highlight w:val="none"/>
              </w:rPr>
            </w:pPr>
            <w:r>
              <w:rPr>
                <w:rFonts w:hint="eastAsia"/>
                <w:highlight w:val="none"/>
              </w:rPr>
              <w:t>指标</w:t>
            </w:r>
          </w:p>
        </w:tc>
        <w:tc>
          <w:tcPr>
            <w:tcW w:w="1016" w:type="pct"/>
            <w:vMerge w:val="restart"/>
            <w:shd w:val="clear" w:color="auto" w:fill="auto"/>
            <w:vAlign w:val="center"/>
          </w:tcPr>
          <w:p>
            <w:pPr>
              <w:pStyle w:val="38"/>
              <w:rPr>
                <w:highlight w:val="none"/>
              </w:rPr>
            </w:pPr>
            <w:r>
              <w:rPr>
                <w:rFonts w:hint="eastAsia"/>
                <w:highlight w:val="none"/>
              </w:rPr>
              <w:t>社会效益指标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辖区内群众对医保政策的知晓度</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辖区内群众参保积极性</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shd w:val="clear" w:color="auto" w:fill="auto"/>
            <w:vAlign w:val="center"/>
          </w:tcPr>
          <w:p>
            <w:pPr>
              <w:pStyle w:val="38"/>
              <w:rPr>
                <w:highlight w:val="none"/>
              </w:rPr>
            </w:pPr>
            <w:r>
              <w:rPr>
                <w:rFonts w:hint="eastAsia"/>
                <w:highlight w:val="none"/>
              </w:rPr>
              <w:t>满意度</w:t>
            </w:r>
          </w:p>
          <w:p>
            <w:pPr>
              <w:pStyle w:val="38"/>
              <w:rPr>
                <w:highlight w:val="none"/>
              </w:rPr>
            </w:pPr>
            <w:r>
              <w:rPr>
                <w:rFonts w:hint="eastAsia"/>
                <w:highlight w:val="none"/>
              </w:rPr>
              <w:t>指标</w:t>
            </w:r>
          </w:p>
        </w:tc>
        <w:tc>
          <w:tcPr>
            <w:tcW w:w="1016" w:type="pct"/>
            <w:shd w:val="clear" w:color="auto" w:fill="auto"/>
            <w:vAlign w:val="center"/>
          </w:tcPr>
          <w:p>
            <w:pPr>
              <w:pStyle w:val="38"/>
              <w:rPr>
                <w:highlight w:val="none"/>
              </w:rPr>
            </w:pPr>
            <w:r>
              <w:rPr>
                <w:rFonts w:hint="eastAsia"/>
                <w:highlight w:val="none"/>
              </w:rPr>
              <w:t>服务满意度指标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参保群众满意度</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≥90%</w:t>
            </w:r>
          </w:p>
        </w:tc>
      </w:tr>
    </w:tbl>
    <w:p>
      <w:pPr>
        <w:pStyle w:val="33"/>
        <w:rPr>
          <w:highlight w:val="none"/>
        </w:rPr>
      </w:pPr>
      <w:r>
        <w:rPr>
          <w:highlight w:val="none"/>
        </w:rPr>
        <w:t>表</w:t>
      </w:r>
      <w:r>
        <w:rPr>
          <w:rFonts w:hint="eastAsia"/>
          <w:highlight w:val="none"/>
          <w:lang w:val="en-US" w:eastAsia="zh-CN"/>
        </w:rPr>
        <w:t>5</w:t>
      </w:r>
      <w:r>
        <w:rPr>
          <w:highlight w:val="none"/>
        </w:rPr>
        <w:t xml:space="preserve">  </w:t>
      </w:r>
      <w:r>
        <w:rPr>
          <w:rFonts w:hint="eastAsia"/>
          <w:highlight w:val="none"/>
        </w:rPr>
        <w:t>依申请救助经办服务能力提升</w:t>
      </w:r>
      <w:r>
        <w:rPr>
          <w:rFonts w:hint="eastAsia"/>
          <w:highlight w:val="none"/>
          <w:lang w:val="en-US" w:eastAsia="zh-CN"/>
        </w:rPr>
        <w:t>项目绩效目标</w:t>
      </w:r>
      <w:r>
        <w:rPr>
          <w:highlight w:val="none"/>
        </w:rPr>
        <w:t>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842"/>
        <w:gridCol w:w="3946"/>
        <w:gridCol w:w="2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593" w:type="pct"/>
            <w:shd w:val="clear" w:color="auto" w:fill="auto"/>
            <w:vAlign w:val="center"/>
          </w:tcPr>
          <w:p>
            <w:pPr>
              <w:pStyle w:val="36"/>
              <w:rPr>
                <w:rFonts w:hint="default" w:eastAsia="黑体"/>
                <w:highlight w:val="none"/>
                <w:lang w:val="en-US" w:eastAsia="zh-CN"/>
              </w:rPr>
            </w:pPr>
            <w:r>
              <w:rPr>
                <w:rFonts w:hint="eastAsia" w:ascii="宋体" w:hAnsi="宋体" w:eastAsia="宋体" w:cs="宋体"/>
                <w:highlight w:val="none"/>
                <w:lang w:val="en-US" w:eastAsia="zh-CN"/>
              </w:rPr>
              <w:t>绩效目标</w:t>
            </w:r>
          </w:p>
        </w:tc>
        <w:tc>
          <w:tcPr>
            <w:tcW w:w="4406" w:type="pct"/>
            <w:gridSpan w:val="3"/>
            <w:shd w:val="clear" w:color="auto" w:fill="auto"/>
            <w:vAlign w:val="center"/>
          </w:tcPr>
          <w:p>
            <w:pPr>
              <w:pStyle w:val="36"/>
              <w:rPr>
                <w:rFonts w:hint="eastAsia"/>
                <w:highlight w:val="none"/>
              </w:rPr>
            </w:pPr>
            <w:r>
              <w:rPr>
                <w:rFonts w:hint="eastAsia" w:ascii="Times New Roman" w:hAnsi="Times New Roman" w:eastAsia="宋体" w:cstheme="minorBidi"/>
                <w:b w:val="0"/>
                <w:kern w:val="2"/>
                <w:sz w:val="21"/>
                <w:szCs w:val="21"/>
                <w:highlight w:val="none"/>
                <w:lang w:val="en-US" w:eastAsia="zh-CN" w:bidi="ar-SA"/>
              </w:rPr>
              <w:t>将医保专线网络从和平六个街道的党群服务中心（劳服中心）引入公共服务办（民政科），使依申请救助经办人员能够在自己科室完成相关业务经办工作，方便群众提交救助申请，提升工作效率，加快救助信息录入审批和救助金发放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593"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一级</w:t>
            </w:r>
          </w:p>
          <w:p>
            <w:pPr>
              <w:pStyle w:val="36"/>
              <w:rPr>
                <w:rFonts w:hint="eastAsia" w:ascii="宋体" w:hAnsi="宋体" w:eastAsia="宋体" w:cs="宋体"/>
                <w:highlight w:val="none"/>
              </w:rPr>
            </w:pPr>
            <w:r>
              <w:rPr>
                <w:rFonts w:hint="eastAsia" w:ascii="宋体" w:hAnsi="宋体" w:eastAsia="宋体" w:cs="宋体"/>
                <w:highlight w:val="none"/>
              </w:rPr>
              <w:t>指标</w:t>
            </w:r>
          </w:p>
        </w:tc>
        <w:tc>
          <w:tcPr>
            <w:tcW w:w="1016"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二级指标</w:t>
            </w:r>
          </w:p>
        </w:tc>
        <w:tc>
          <w:tcPr>
            <w:tcW w:w="2177"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三级指标</w:t>
            </w:r>
          </w:p>
        </w:tc>
        <w:tc>
          <w:tcPr>
            <w:tcW w:w="1213"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93" w:type="pct"/>
            <w:vMerge w:val="restart"/>
            <w:shd w:val="clear" w:color="auto" w:fill="auto"/>
            <w:vAlign w:val="center"/>
          </w:tcPr>
          <w:p>
            <w:pPr>
              <w:pStyle w:val="38"/>
              <w:rPr>
                <w:highlight w:val="none"/>
              </w:rPr>
            </w:pPr>
            <w:r>
              <w:rPr>
                <w:rFonts w:hint="eastAsia"/>
                <w:highlight w:val="none"/>
              </w:rPr>
              <w:t>产出</w:t>
            </w:r>
          </w:p>
          <w:p>
            <w:pPr>
              <w:pStyle w:val="38"/>
              <w:rPr>
                <w:highlight w:val="none"/>
              </w:rPr>
            </w:pPr>
            <w:r>
              <w:rPr>
                <w:rFonts w:hint="eastAsia"/>
                <w:highlight w:val="none"/>
              </w:rPr>
              <w:t>指标</w:t>
            </w:r>
          </w:p>
        </w:tc>
        <w:tc>
          <w:tcPr>
            <w:tcW w:w="1016" w:type="pct"/>
            <w:shd w:val="clear" w:color="auto" w:fill="auto"/>
            <w:vAlign w:val="center"/>
          </w:tcPr>
          <w:p>
            <w:pPr>
              <w:pStyle w:val="38"/>
              <w:rPr>
                <w:highlight w:val="none"/>
              </w:rPr>
            </w:pPr>
            <w:r>
              <w:rPr>
                <w:rFonts w:hint="eastAsia"/>
                <w:highlight w:val="none"/>
              </w:rPr>
              <w:t>数量指标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完成医保专网铺设接入公共服务办的街道数</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93" w:type="pct"/>
            <w:vMerge w:val="continue"/>
            <w:shd w:val="clear" w:color="auto" w:fill="auto"/>
            <w:vAlign w:val="center"/>
          </w:tcPr>
          <w:p>
            <w:pPr>
              <w:pStyle w:val="38"/>
              <w:rPr>
                <w:highlight w:val="none"/>
              </w:rPr>
            </w:pPr>
          </w:p>
        </w:tc>
        <w:tc>
          <w:tcPr>
            <w:tcW w:w="1016" w:type="pct"/>
            <w:vMerge w:val="restart"/>
            <w:shd w:val="clear" w:color="auto" w:fill="auto"/>
            <w:vAlign w:val="center"/>
          </w:tcPr>
          <w:p>
            <w:pPr>
              <w:pStyle w:val="38"/>
              <w:rPr>
                <w:rFonts w:hint="default" w:eastAsia="宋体"/>
                <w:highlight w:val="none"/>
                <w:lang w:val="en-US" w:eastAsia="zh-CN"/>
              </w:rPr>
            </w:pPr>
            <w:r>
              <w:rPr>
                <w:rFonts w:hint="eastAsia"/>
                <w:highlight w:val="none"/>
                <w:lang w:val="en-US" w:eastAsia="zh-CN"/>
              </w:rPr>
              <w:t>质量指标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网路铺设验收合格率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依申请救助系统模块正常使用率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93" w:type="pct"/>
            <w:vMerge w:val="continue"/>
            <w:shd w:val="clear" w:color="auto" w:fill="auto"/>
            <w:vAlign w:val="center"/>
          </w:tcPr>
          <w:p>
            <w:pPr>
              <w:pStyle w:val="38"/>
              <w:rPr>
                <w:highlight w:val="none"/>
              </w:rPr>
            </w:pPr>
          </w:p>
        </w:tc>
        <w:tc>
          <w:tcPr>
            <w:tcW w:w="1016" w:type="pct"/>
            <w:shd w:val="clear" w:color="auto" w:fill="auto"/>
            <w:vAlign w:val="center"/>
          </w:tcPr>
          <w:p>
            <w:pPr>
              <w:pStyle w:val="38"/>
              <w:rPr>
                <w:highlight w:val="none"/>
              </w:rPr>
            </w:pPr>
            <w:r>
              <w:rPr>
                <w:rFonts w:hint="eastAsia"/>
                <w:highlight w:val="none"/>
              </w:rPr>
              <w:t>时效指标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依申请救助救助金发放及时率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continue"/>
            <w:shd w:val="clear" w:color="auto" w:fill="auto"/>
            <w:vAlign w:val="center"/>
          </w:tcPr>
          <w:p>
            <w:pPr>
              <w:pStyle w:val="38"/>
              <w:rPr>
                <w:highlight w:val="none"/>
              </w:rPr>
            </w:pPr>
          </w:p>
        </w:tc>
        <w:tc>
          <w:tcPr>
            <w:tcW w:w="1016" w:type="pct"/>
            <w:shd w:val="clear" w:color="auto" w:fill="auto"/>
            <w:vAlign w:val="center"/>
          </w:tcPr>
          <w:p>
            <w:pPr>
              <w:pStyle w:val="38"/>
              <w:rPr>
                <w:highlight w:val="none"/>
              </w:rPr>
            </w:pPr>
            <w:r>
              <w:rPr>
                <w:rFonts w:hint="eastAsia"/>
                <w:highlight w:val="none"/>
              </w:rPr>
              <w:t>成本指标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网络铺设总费用</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restart"/>
            <w:shd w:val="clear" w:color="auto" w:fill="auto"/>
            <w:vAlign w:val="center"/>
          </w:tcPr>
          <w:p>
            <w:pPr>
              <w:pStyle w:val="38"/>
              <w:rPr>
                <w:highlight w:val="none"/>
              </w:rPr>
            </w:pPr>
            <w:r>
              <w:rPr>
                <w:rFonts w:hint="eastAsia"/>
                <w:highlight w:val="none"/>
              </w:rPr>
              <w:t>效益</w:t>
            </w:r>
          </w:p>
          <w:p>
            <w:pPr>
              <w:pStyle w:val="38"/>
              <w:rPr>
                <w:highlight w:val="none"/>
              </w:rPr>
            </w:pPr>
            <w:r>
              <w:rPr>
                <w:rFonts w:hint="eastAsia"/>
                <w:highlight w:val="none"/>
              </w:rPr>
              <w:t>指标</w:t>
            </w:r>
          </w:p>
        </w:tc>
        <w:tc>
          <w:tcPr>
            <w:tcW w:w="1016" w:type="pct"/>
            <w:vMerge w:val="restart"/>
            <w:shd w:val="clear" w:color="auto" w:fill="auto"/>
            <w:vAlign w:val="center"/>
          </w:tcPr>
          <w:p>
            <w:pPr>
              <w:pStyle w:val="38"/>
              <w:rPr>
                <w:highlight w:val="none"/>
              </w:rPr>
            </w:pPr>
            <w:r>
              <w:rPr>
                <w:rFonts w:hint="eastAsia"/>
                <w:highlight w:val="none"/>
              </w:rPr>
              <w:t>社会效益指标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经办人员经办工作方便程度</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更加便捷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群众从申请到救助金发放所用时间</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缩短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restart"/>
            <w:shd w:val="clear" w:color="auto" w:fill="auto"/>
            <w:vAlign w:val="center"/>
          </w:tcPr>
          <w:p>
            <w:pPr>
              <w:pStyle w:val="38"/>
              <w:rPr>
                <w:highlight w:val="none"/>
              </w:rPr>
            </w:pPr>
            <w:r>
              <w:rPr>
                <w:rFonts w:hint="eastAsia"/>
                <w:highlight w:val="none"/>
              </w:rPr>
              <w:t>满意度</w:t>
            </w:r>
          </w:p>
          <w:p>
            <w:pPr>
              <w:pStyle w:val="38"/>
              <w:rPr>
                <w:highlight w:val="none"/>
              </w:rPr>
            </w:pPr>
            <w:r>
              <w:rPr>
                <w:rFonts w:hint="eastAsia"/>
                <w:highlight w:val="none"/>
              </w:rPr>
              <w:t>指标</w:t>
            </w:r>
          </w:p>
        </w:tc>
        <w:tc>
          <w:tcPr>
            <w:tcW w:w="1016" w:type="pct"/>
            <w:vMerge w:val="restart"/>
            <w:shd w:val="clear" w:color="auto" w:fill="auto"/>
            <w:vAlign w:val="center"/>
          </w:tcPr>
          <w:p>
            <w:pPr>
              <w:pStyle w:val="38"/>
              <w:rPr>
                <w:highlight w:val="none"/>
              </w:rPr>
            </w:pPr>
            <w:r>
              <w:rPr>
                <w:rFonts w:hint="eastAsia"/>
                <w:highlight w:val="none"/>
              </w:rPr>
              <w:t>服务满意度指标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街道依申请救助经办人满意度</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continue"/>
            <w:shd w:val="clear" w:color="auto" w:fill="auto"/>
            <w:vAlign w:val="center"/>
          </w:tcPr>
          <w:p>
            <w:pPr>
              <w:pStyle w:val="38"/>
              <w:rPr>
                <w:rFonts w:hint="eastAsia"/>
                <w:highlight w:val="none"/>
              </w:rPr>
            </w:pPr>
          </w:p>
        </w:tc>
        <w:tc>
          <w:tcPr>
            <w:tcW w:w="1016" w:type="pct"/>
            <w:vMerge w:val="continue"/>
            <w:shd w:val="clear" w:color="auto" w:fill="auto"/>
            <w:vAlign w:val="center"/>
          </w:tcPr>
          <w:p>
            <w:pPr>
              <w:pStyle w:val="38"/>
              <w:rPr>
                <w:rFonts w:hint="eastAsia"/>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救助对象满意度</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≥90%</w:t>
            </w:r>
          </w:p>
        </w:tc>
      </w:tr>
    </w:tbl>
    <w:p>
      <w:pPr>
        <w:pStyle w:val="33"/>
        <w:rPr>
          <w:highlight w:val="none"/>
        </w:rPr>
      </w:pPr>
      <w:r>
        <w:rPr>
          <w:highlight w:val="none"/>
        </w:rPr>
        <w:t>表</w:t>
      </w:r>
      <w:r>
        <w:rPr>
          <w:rFonts w:hint="eastAsia"/>
          <w:highlight w:val="none"/>
          <w:lang w:val="en-US" w:eastAsia="zh-CN"/>
        </w:rPr>
        <w:t>6</w:t>
      </w:r>
      <w:r>
        <w:rPr>
          <w:highlight w:val="none"/>
        </w:rPr>
        <w:t xml:space="preserve">  </w:t>
      </w:r>
      <w:r>
        <w:rPr>
          <w:rFonts w:hint="eastAsia"/>
          <w:highlight w:val="none"/>
        </w:rPr>
        <w:t>四级经办服务体系建设</w:t>
      </w:r>
      <w:r>
        <w:rPr>
          <w:rFonts w:hint="eastAsia"/>
          <w:highlight w:val="none"/>
          <w:lang w:val="en-US" w:eastAsia="zh-CN"/>
        </w:rPr>
        <w:t>项目绩效目标</w:t>
      </w:r>
      <w:r>
        <w:rPr>
          <w:highlight w:val="none"/>
        </w:rPr>
        <w:t>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842"/>
        <w:gridCol w:w="3946"/>
        <w:gridCol w:w="2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593" w:type="pct"/>
            <w:shd w:val="clear" w:color="auto" w:fill="auto"/>
            <w:vAlign w:val="center"/>
          </w:tcPr>
          <w:p>
            <w:pPr>
              <w:pStyle w:val="36"/>
              <w:rPr>
                <w:rFonts w:hint="eastAsia" w:ascii="宋体" w:hAnsi="宋体" w:eastAsia="宋体" w:cs="宋体"/>
                <w:highlight w:val="none"/>
                <w:lang w:val="en-US" w:eastAsia="zh-CN"/>
              </w:rPr>
            </w:pPr>
            <w:r>
              <w:rPr>
                <w:rFonts w:hint="eastAsia" w:ascii="宋体" w:hAnsi="宋体" w:eastAsia="宋体" w:cs="宋体"/>
                <w:highlight w:val="none"/>
                <w:lang w:val="en-US" w:eastAsia="zh-CN"/>
              </w:rPr>
              <w:t>绩效目标</w:t>
            </w:r>
          </w:p>
        </w:tc>
        <w:tc>
          <w:tcPr>
            <w:tcW w:w="4406" w:type="pct"/>
            <w:gridSpan w:val="3"/>
            <w:shd w:val="clear" w:color="auto" w:fill="auto"/>
            <w:vAlign w:val="center"/>
          </w:tcPr>
          <w:p>
            <w:pPr>
              <w:pStyle w:val="36"/>
              <w:rPr>
                <w:rFonts w:hint="eastAsia"/>
                <w:highlight w:val="none"/>
              </w:rPr>
            </w:pPr>
            <w:r>
              <w:rPr>
                <w:rFonts w:hint="eastAsia" w:ascii="Times New Roman" w:hAnsi="Times New Roman" w:eastAsia="宋体" w:cstheme="minorBidi"/>
                <w:b w:val="0"/>
                <w:kern w:val="2"/>
                <w:sz w:val="21"/>
                <w:szCs w:val="21"/>
                <w:highlight w:val="none"/>
                <w:lang w:val="en-US" w:eastAsia="zh-CN" w:bidi="ar-SA"/>
              </w:rPr>
              <w:t>为深化四级医保经办服务体系建设，推动医保便民服务向基层延伸，提高医保精细化管理水平，实现社区提供医保经办服务，帮助居民办理登记、备案、变更、查询等业务和宣传医保政策。为我区6个街道和64个社区购置64台移动便携设备，制作64个医保标识牌，加强硬件设施建设，提升基层医疗保障服务能力，通过基层医疗保障服务网点实现社区居民医保便民服务就近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593"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一级</w:t>
            </w:r>
          </w:p>
          <w:p>
            <w:pPr>
              <w:pStyle w:val="36"/>
              <w:rPr>
                <w:rFonts w:hint="eastAsia" w:ascii="宋体" w:hAnsi="宋体" w:eastAsia="宋体" w:cs="宋体"/>
                <w:highlight w:val="none"/>
              </w:rPr>
            </w:pPr>
            <w:r>
              <w:rPr>
                <w:rFonts w:hint="eastAsia" w:ascii="宋体" w:hAnsi="宋体" w:eastAsia="宋体" w:cs="宋体"/>
                <w:highlight w:val="none"/>
              </w:rPr>
              <w:t>指标</w:t>
            </w:r>
          </w:p>
        </w:tc>
        <w:tc>
          <w:tcPr>
            <w:tcW w:w="1016"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二级指标</w:t>
            </w:r>
          </w:p>
        </w:tc>
        <w:tc>
          <w:tcPr>
            <w:tcW w:w="2177"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三级指标</w:t>
            </w:r>
          </w:p>
        </w:tc>
        <w:tc>
          <w:tcPr>
            <w:tcW w:w="1213" w:type="pct"/>
            <w:shd w:val="clear" w:color="auto" w:fill="auto"/>
            <w:vAlign w:val="center"/>
          </w:tcPr>
          <w:p>
            <w:pPr>
              <w:pStyle w:val="36"/>
              <w:rPr>
                <w:rFonts w:hint="eastAsia" w:ascii="宋体" w:hAnsi="宋体" w:eastAsia="宋体" w:cs="宋体"/>
                <w:highlight w:val="none"/>
              </w:rPr>
            </w:pPr>
            <w:r>
              <w:rPr>
                <w:rFonts w:hint="eastAsia" w:ascii="宋体" w:hAnsi="宋体" w:eastAsia="宋体" w:cs="宋体"/>
                <w:highlight w:val="none"/>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93" w:type="pct"/>
            <w:vMerge w:val="restart"/>
            <w:shd w:val="clear" w:color="auto" w:fill="auto"/>
            <w:vAlign w:val="center"/>
          </w:tcPr>
          <w:p>
            <w:pPr>
              <w:pStyle w:val="38"/>
              <w:rPr>
                <w:highlight w:val="none"/>
              </w:rPr>
            </w:pPr>
            <w:r>
              <w:rPr>
                <w:rFonts w:hint="eastAsia"/>
                <w:highlight w:val="none"/>
              </w:rPr>
              <w:t>产出</w:t>
            </w:r>
          </w:p>
          <w:p>
            <w:pPr>
              <w:pStyle w:val="38"/>
              <w:rPr>
                <w:highlight w:val="none"/>
              </w:rPr>
            </w:pPr>
            <w:r>
              <w:rPr>
                <w:rFonts w:hint="eastAsia"/>
                <w:highlight w:val="none"/>
              </w:rPr>
              <w:t>指标</w:t>
            </w:r>
          </w:p>
        </w:tc>
        <w:tc>
          <w:tcPr>
            <w:tcW w:w="1016" w:type="pct"/>
            <w:vMerge w:val="restart"/>
            <w:shd w:val="clear" w:color="auto" w:fill="auto"/>
            <w:vAlign w:val="center"/>
          </w:tcPr>
          <w:p>
            <w:pPr>
              <w:pStyle w:val="38"/>
              <w:rPr>
                <w:highlight w:val="none"/>
              </w:rPr>
            </w:pPr>
            <w:r>
              <w:rPr>
                <w:rFonts w:hint="eastAsia"/>
                <w:highlight w:val="none"/>
              </w:rPr>
              <w:t>数量指标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移动便携设备购置数量</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=64台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医保标识牌制作数量</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=64个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开展社区级医保服务、有网点提供帮办、代办服务的社区覆盖率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93" w:type="pct"/>
            <w:vMerge w:val="continue"/>
            <w:shd w:val="clear" w:color="auto" w:fill="auto"/>
            <w:vAlign w:val="center"/>
          </w:tcPr>
          <w:p>
            <w:pPr>
              <w:pStyle w:val="38"/>
              <w:rPr>
                <w:highlight w:val="none"/>
              </w:rPr>
            </w:pPr>
          </w:p>
        </w:tc>
        <w:tc>
          <w:tcPr>
            <w:tcW w:w="1016" w:type="pct"/>
            <w:vMerge w:val="restart"/>
            <w:shd w:val="clear" w:color="auto" w:fill="auto"/>
            <w:vAlign w:val="center"/>
          </w:tcPr>
          <w:p>
            <w:pPr>
              <w:pStyle w:val="38"/>
              <w:rPr>
                <w:rFonts w:hint="default" w:eastAsia="宋体"/>
                <w:highlight w:val="none"/>
                <w:lang w:val="en-US" w:eastAsia="zh-CN"/>
              </w:rPr>
            </w:pPr>
            <w:r>
              <w:rPr>
                <w:rFonts w:hint="eastAsia"/>
                <w:highlight w:val="none"/>
                <w:lang w:val="en-US" w:eastAsia="zh-CN"/>
              </w:rPr>
              <w:t>质量指标</w:t>
            </w:r>
          </w:p>
        </w:tc>
        <w:tc>
          <w:tcPr>
            <w:tcW w:w="3945" w:type="dxa"/>
            <w:shd w:val="clear" w:color="auto" w:fill="auto"/>
            <w:vAlign w:val="bottom"/>
          </w:tcPr>
          <w:p>
            <w:pPr>
              <w:pStyle w:val="38"/>
              <w:rPr>
                <w:rFonts w:hint="eastAsia"/>
                <w:highlight w:val="none"/>
                <w:lang w:val="en-US" w:eastAsia="zh-CN"/>
              </w:rPr>
            </w:pPr>
            <w:r>
              <w:rPr>
                <w:rFonts w:hint="eastAsia"/>
                <w:highlight w:val="none"/>
                <w:lang w:val="en-US" w:eastAsia="zh-CN"/>
              </w:rPr>
              <w:t>设备购置种类及数量与计划一致率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设备质量合格率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医保标识牌安装验收合格率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93" w:type="pct"/>
            <w:vMerge w:val="continue"/>
            <w:shd w:val="clear" w:color="auto" w:fill="auto"/>
            <w:vAlign w:val="center"/>
          </w:tcPr>
          <w:p>
            <w:pPr>
              <w:pStyle w:val="38"/>
              <w:rPr>
                <w:highlight w:val="none"/>
              </w:rPr>
            </w:pPr>
          </w:p>
        </w:tc>
        <w:tc>
          <w:tcPr>
            <w:tcW w:w="1016" w:type="pct"/>
            <w:vMerge w:val="restart"/>
            <w:shd w:val="clear" w:color="auto" w:fill="auto"/>
            <w:vAlign w:val="center"/>
          </w:tcPr>
          <w:p>
            <w:pPr>
              <w:pStyle w:val="38"/>
              <w:rPr>
                <w:highlight w:val="none"/>
              </w:rPr>
            </w:pPr>
            <w:r>
              <w:rPr>
                <w:rFonts w:hint="eastAsia"/>
                <w:highlight w:val="none"/>
              </w:rPr>
              <w:t>时效指标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资金划拨及时率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rFonts w:hint="eastAsia"/>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设备购置及时率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rFonts w:hint="eastAsia"/>
                <w:highlight w:val="none"/>
              </w:rPr>
            </w:pPr>
          </w:p>
        </w:tc>
        <w:tc>
          <w:tcPr>
            <w:tcW w:w="3945" w:type="dxa"/>
            <w:shd w:val="clear" w:color="auto" w:fill="auto"/>
            <w:vAlign w:val="bottom"/>
          </w:tcPr>
          <w:p>
            <w:pPr>
              <w:pStyle w:val="38"/>
              <w:rPr>
                <w:rFonts w:hint="eastAsia"/>
                <w:highlight w:val="none"/>
                <w:lang w:val="en-US" w:eastAsia="zh-CN"/>
              </w:rPr>
            </w:pPr>
            <w:r>
              <w:rPr>
                <w:rFonts w:hint="eastAsia"/>
                <w:highlight w:val="none"/>
                <w:lang w:val="en-US" w:eastAsia="zh-CN"/>
              </w:rPr>
              <w:t>医保标识牌制作安装及时率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continue"/>
            <w:shd w:val="clear" w:color="auto" w:fill="auto"/>
            <w:vAlign w:val="center"/>
          </w:tcPr>
          <w:p>
            <w:pPr>
              <w:pStyle w:val="38"/>
              <w:rPr>
                <w:highlight w:val="none"/>
              </w:rPr>
            </w:pPr>
          </w:p>
        </w:tc>
        <w:tc>
          <w:tcPr>
            <w:tcW w:w="1016" w:type="pct"/>
            <w:shd w:val="clear" w:color="auto" w:fill="auto"/>
            <w:vAlign w:val="center"/>
          </w:tcPr>
          <w:p>
            <w:pPr>
              <w:pStyle w:val="38"/>
              <w:rPr>
                <w:highlight w:val="none"/>
              </w:rPr>
            </w:pPr>
            <w:r>
              <w:rPr>
                <w:rFonts w:hint="eastAsia"/>
                <w:highlight w:val="none"/>
              </w:rPr>
              <w:t>成本指标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购置设备及制作医保标识牌支出费用</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≤20万元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restart"/>
            <w:shd w:val="clear" w:color="auto" w:fill="auto"/>
            <w:vAlign w:val="center"/>
          </w:tcPr>
          <w:p>
            <w:pPr>
              <w:pStyle w:val="38"/>
              <w:rPr>
                <w:highlight w:val="none"/>
              </w:rPr>
            </w:pPr>
            <w:r>
              <w:rPr>
                <w:rFonts w:hint="eastAsia"/>
                <w:highlight w:val="none"/>
              </w:rPr>
              <w:t>效益</w:t>
            </w:r>
          </w:p>
          <w:p>
            <w:pPr>
              <w:pStyle w:val="38"/>
              <w:rPr>
                <w:highlight w:val="none"/>
              </w:rPr>
            </w:pPr>
            <w:r>
              <w:rPr>
                <w:rFonts w:hint="eastAsia"/>
                <w:highlight w:val="none"/>
              </w:rPr>
              <w:t>指标</w:t>
            </w:r>
          </w:p>
        </w:tc>
        <w:tc>
          <w:tcPr>
            <w:tcW w:w="1016" w:type="pct"/>
            <w:vMerge w:val="restart"/>
            <w:shd w:val="clear" w:color="auto" w:fill="auto"/>
            <w:vAlign w:val="center"/>
          </w:tcPr>
          <w:p>
            <w:pPr>
              <w:pStyle w:val="38"/>
              <w:rPr>
                <w:highlight w:val="none"/>
              </w:rPr>
            </w:pPr>
            <w:r>
              <w:rPr>
                <w:rFonts w:hint="eastAsia"/>
                <w:highlight w:val="none"/>
              </w:rPr>
              <w:t>社会效益指标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设备利用率</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医保服务经办能力</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有所提高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居民就近办理医保业务</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更加便捷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restart"/>
            <w:shd w:val="clear" w:color="auto" w:fill="auto"/>
            <w:vAlign w:val="center"/>
          </w:tcPr>
          <w:p>
            <w:pPr>
              <w:pStyle w:val="38"/>
              <w:rPr>
                <w:highlight w:val="none"/>
              </w:rPr>
            </w:pPr>
            <w:r>
              <w:rPr>
                <w:rFonts w:hint="eastAsia"/>
                <w:highlight w:val="none"/>
              </w:rPr>
              <w:t>满意度</w:t>
            </w:r>
          </w:p>
          <w:p>
            <w:pPr>
              <w:pStyle w:val="38"/>
              <w:rPr>
                <w:highlight w:val="none"/>
              </w:rPr>
            </w:pPr>
            <w:r>
              <w:rPr>
                <w:rFonts w:hint="eastAsia"/>
                <w:highlight w:val="none"/>
              </w:rPr>
              <w:t>指标</w:t>
            </w:r>
          </w:p>
        </w:tc>
        <w:tc>
          <w:tcPr>
            <w:tcW w:w="1016" w:type="pct"/>
            <w:vMerge w:val="restart"/>
            <w:shd w:val="clear" w:color="auto" w:fill="auto"/>
            <w:vAlign w:val="center"/>
          </w:tcPr>
          <w:p>
            <w:pPr>
              <w:pStyle w:val="38"/>
              <w:rPr>
                <w:highlight w:val="none"/>
              </w:rPr>
            </w:pPr>
            <w:r>
              <w:rPr>
                <w:rFonts w:hint="eastAsia"/>
                <w:highlight w:val="none"/>
              </w:rPr>
              <w:t>服务满意度指标</w:t>
            </w: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社区工作人员满意度</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93" w:type="pct"/>
            <w:vMerge w:val="continue"/>
            <w:shd w:val="clear" w:color="auto" w:fill="auto"/>
            <w:vAlign w:val="center"/>
          </w:tcPr>
          <w:p>
            <w:pPr>
              <w:pStyle w:val="38"/>
              <w:rPr>
                <w:highlight w:val="none"/>
              </w:rPr>
            </w:pPr>
          </w:p>
        </w:tc>
        <w:tc>
          <w:tcPr>
            <w:tcW w:w="1016" w:type="pct"/>
            <w:vMerge w:val="continue"/>
            <w:shd w:val="clear" w:color="auto" w:fill="auto"/>
            <w:vAlign w:val="center"/>
          </w:tcPr>
          <w:p>
            <w:pPr>
              <w:pStyle w:val="38"/>
              <w:rPr>
                <w:highlight w:val="none"/>
              </w:rPr>
            </w:pPr>
          </w:p>
        </w:tc>
        <w:tc>
          <w:tcPr>
            <w:tcW w:w="3945" w:type="dxa"/>
            <w:shd w:val="clear" w:color="auto" w:fill="auto"/>
            <w:vAlign w:val="center"/>
          </w:tcPr>
          <w:p>
            <w:pPr>
              <w:pStyle w:val="38"/>
              <w:rPr>
                <w:rFonts w:hint="eastAsia"/>
                <w:highlight w:val="none"/>
                <w:lang w:val="en-US" w:eastAsia="zh-CN"/>
              </w:rPr>
            </w:pPr>
            <w:r>
              <w:rPr>
                <w:rFonts w:hint="eastAsia"/>
                <w:highlight w:val="none"/>
                <w:lang w:val="en-US" w:eastAsia="zh-CN"/>
              </w:rPr>
              <w:t>社区居民满意度</w:t>
            </w:r>
          </w:p>
        </w:tc>
        <w:tc>
          <w:tcPr>
            <w:tcW w:w="2199" w:type="dxa"/>
            <w:shd w:val="clear" w:color="auto" w:fill="auto"/>
            <w:noWrap/>
            <w:vAlign w:val="center"/>
          </w:tcPr>
          <w:p>
            <w:pPr>
              <w:pStyle w:val="38"/>
              <w:rPr>
                <w:rFonts w:hint="eastAsia"/>
                <w:highlight w:val="none"/>
                <w:lang w:val="en-US" w:eastAsia="zh-CN"/>
              </w:rPr>
            </w:pPr>
            <w:r>
              <w:rPr>
                <w:rFonts w:hint="eastAsia"/>
                <w:highlight w:val="none"/>
                <w:lang w:val="en-US" w:eastAsia="zh-CN"/>
              </w:rPr>
              <w:t>≥90%</w:t>
            </w:r>
          </w:p>
        </w:tc>
      </w:tr>
    </w:tbl>
    <w:p>
      <w:pPr>
        <w:pStyle w:val="28"/>
        <w:pageBreakBefore w:val="0"/>
        <w:kinsoku/>
        <w:wordWrap/>
        <w:overflowPunct/>
        <w:topLinePunct w:val="0"/>
        <w:autoSpaceDE/>
        <w:autoSpaceDN/>
        <w:bidi w:val="0"/>
        <w:adjustRightInd/>
        <w:snapToGrid/>
        <w:spacing w:line="560" w:lineRule="exact"/>
        <w:textAlignment w:val="auto"/>
      </w:pPr>
      <w:bookmarkStart w:id="9" w:name="_Toc25271"/>
      <w:r>
        <w:rPr>
          <w:rFonts w:hint="eastAsia"/>
        </w:rPr>
        <w:t>二、绩效评价工作开展情况</w:t>
      </w:r>
      <w:bookmarkEnd w:id="9"/>
    </w:p>
    <w:p>
      <w:pPr>
        <w:pStyle w:val="30"/>
        <w:pageBreakBefore w:val="0"/>
        <w:kinsoku/>
        <w:wordWrap/>
        <w:overflowPunct/>
        <w:topLinePunct w:val="0"/>
        <w:autoSpaceDE/>
        <w:autoSpaceDN/>
        <w:bidi w:val="0"/>
        <w:adjustRightInd/>
        <w:snapToGrid/>
        <w:spacing w:line="560" w:lineRule="exact"/>
        <w:ind w:firstLine="640"/>
        <w:textAlignment w:val="auto"/>
        <w:rPr>
          <w:rFonts w:hint="eastAsia"/>
        </w:rPr>
      </w:pPr>
      <w:bookmarkStart w:id="10" w:name="_Toc21879"/>
      <w:r>
        <w:rPr>
          <w:rFonts w:hint="eastAsia"/>
        </w:rPr>
        <w:t>（一）绩效评价的目的、对象和范围</w:t>
      </w:r>
      <w:bookmarkEnd w:id="10"/>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1.绩效评价目的</w:t>
      </w:r>
    </w:p>
    <w:p>
      <w:pPr>
        <w:pStyle w:val="26"/>
        <w:pageBreakBefore w:val="0"/>
        <w:kinsoku/>
        <w:wordWrap/>
        <w:overflowPunct/>
        <w:topLinePunct w:val="0"/>
        <w:autoSpaceDE/>
        <w:autoSpaceDN/>
        <w:bidi w:val="0"/>
        <w:adjustRightInd/>
        <w:snapToGrid/>
        <w:spacing w:line="560" w:lineRule="exact"/>
        <w:ind w:firstLine="640"/>
        <w:textAlignment w:val="auto"/>
        <w:rPr>
          <w:rFonts w:hint="eastAsia"/>
        </w:rPr>
      </w:pPr>
      <w:r>
        <w:rPr>
          <w:rFonts w:hint="eastAsia"/>
        </w:rPr>
        <w:t>本次评价以《财政部关于印发〈项目支出绩效评价管理办法〉的通知》（财预〔2020〕10号）</w:t>
      </w:r>
      <w:r>
        <w:rPr>
          <w:rFonts w:hint="eastAsia"/>
          <w:lang w:eastAsia="zh-CN"/>
        </w:rPr>
        <w:t>、</w:t>
      </w:r>
      <w:r>
        <w:rPr>
          <w:rFonts w:hint="eastAsia"/>
        </w:rPr>
        <w:t>《中共天津市委天津市人民政府印发关于全面推进预算绩效管理的实施方案》</w:t>
      </w:r>
      <w:r>
        <w:rPr>
          <w:rFonts w:hint="eastAsia"/>
          <w:lang w:eastAsia="zh-CN"/>
        </w:rPr>
        <w:t>、</w:t>
      </w:r>
      <w:r>
        <w:rPr>
          <w:rFonts w:hint="eastAsia"/>
        </w:rPr>
        <w:t>《天津市人民政府办公厅关于转发市财政局拟定的天津市市级财政专项资金管理暂行办法的通知》（津政办发〔2015〕63号）</w:t>
      </w:r>
      <w:r>
        <w:rPr>
          <w:rFonts w:hint="eastAsia"/>
          <w:lang w:eastAsia="zh-CN"/>
        </w:rPr>
        <w:t>、</w:t>
      </w:r>
      <w:r>
        <w:rPr>
          <w:rFonts w:hint="eastAsia"/>
        </w:rPr>
        <w:t>《天津市市级财政项目支出绩效评价管理办法》（津财绩效〔2020〕12号）</w:t>
      </w:r>
      <w:r>
        <w:rPr>
          <w:rFonts w:hint="eastAsia"/>
          <w:lang w:eastAsia="zh-CN"/>
        </w:rPr>
        <w:t>、</w:t>
      </w:r>
      <w:r>
        <w:rPr>
          <w:rFonts w:hint="eastAsia"/>
        </w:rPr>
        <w:t>《市财政局市医保局关于拨付和下达医疗服务与保障能力提升补助资金（医疗保障服务能力提升部分）的通知》（津财社指〔2023〕37号）</w:t>
      </w:r>
      <w:r>
        <w:rPr>
          <w:rFonts w:hint="eastAsia"/>
          <w:lang w:eastAsia="zh-CN"/>
        </w:rPr>
        <w:t>、</w:t>
      </w:r>
      <w:r>
        <w:rPr>
          <w:rFonts w:hint="eastAsia"/>
        </w:rPr>
        <w:t>《2023年医疗保障工作要点》</w:t>
      </w:r>
      <w:r>
        <w:rPr>
          <w:rFonts w:hint="eastAsia"/>
          <w:lang w:eastAsia="zh-CN"/>
        </w:rPr>
        <w:t>、</w:t>
      </w:r>
      <w:r>
        <w:rPr>
          <w:rFonts w:hint="eastAsia"/>
        </w:rPr>
        <w:t>《和平区医保局关于“医疗服务与保障能力提升补助资金”项目管理制度》等文件为依据，对医疗服务与保障能力提升补助资金项目财政专项资金使用绩效情况进行评价。开展此次评价工作的目的在于：</w:t>
      </w:r>
    </w:p>
    <w:p>
      <w:pPr>
        <w:pStyle w:val="26"/>
        <w:pageBreakBefore w:val="0"/>
        <w:kinsoku/>
        <w:wordWrap/>
        <w:overflowPunct/>
        <w:topLinePunct w:val="0"/>
        <w:autoSpaceDE/>
        <w:autoSpaceDN/>
        <w:bidi w:val="0"/>
        <w:adjustRightInd/>
        <w:snapToGrid/>
        <w:spacing w:line="560" w:lineRule="exact"/>
        <w:ind w:firstLine="640"/>
        <w:textAlignment w:val="auto"/>
        <w:rPr>
          <w:rFonts w:hint="eastAsia"/>
        </w:rPr>
      </w:pPr>
      <w:r>
        <w:rPr>
          <w:rFonts w:hint="eastAsia"/>
        </w:rPr>
        <w:t>（1）通过对医疗服务与保障能力提升补助资金项目的实施情况进行核实评价，了解掌握项目的实施情况。</w:t>
      </w:r>
    </w:p>
    <w:p>
      <w:pPr>
        <w:pStyle w:val="26"/>
        <w:pageBreakBefore w:val="0"/>
        <w:kinsoku/>
        <w:wordWrap/>
        <w:overflowPunct/>
        <w:topLinePunct w:val="0"/>
        <w:autoSpaceDE/>
        <w:autoSpaceDN/>
        <w:bidi w:val="0"/>
        <w:adjustRightInd/>
        <w:snapToGrid/>
        <w:spacing w:line="560" w:lineRule="exact"/>
        <w:ind w:firstLine="640"/>
        <w:textAlignment w:val="auto"/>
        <w:rPr>
          <w:rFonts w:hint="eastAsia"/>
        </w:rPr>
      </w:pPr>
      <w:r>
        <w:rPr>
          <w:rFonts w:hint="eastAsia"/>
        </w:rPr>
        <w:t>（2）根据医疗服务与保障能力提升补助资金项目实施的具体情况，评价其项目资金安排的科学性、合理性、规范性，完善项目管理办法，提高项目管理水平和资金的使用效率。</w:t>
      </w:r>
    </w:p>
    <w:p>
      <w:pPr>
        <w:pStyle w:val="26"/>
        <w:pageBreakBefore w:val="0"/>
        <w:kinsoku/>
        <w:wordWrap/>
        <w:overflowPunct/>
        <w:topLinePunct w:val="0"/>
        <w:autoSpaceDE/>
        <w:autoSpaceDN/>
        <w:bidi w:val="0"/>
        <w:adjustRightInd/>
        <w:snapToGrid/>
        <w:spacing w:line="560" w:lineRule="exact"/>
        <w:ind w:firstLine="640"/>
        <w:textAlignment w:val="auto"/>
        <w:rPr>
          <w:rFonts w:hint="eastAsia"/>
        </w:rPr>
      </w:pPr>
      <w:r>
        <w:rPr>
          <w:rFonts w:hint="eastAsia"/>
        </w:rPr>
        <w:t>（3）本次从决策、过程、产出、效益四个方面对医疗服务与保障能力提升补助资金项目进行客观、公正的评价；总结项目管理与执行经验，发现项目管理和预算管理中存在的问题，提出改进意见和建议，为相关部门决策、管理提供参考依据，推动建立以绩效评价结果为导向的财政资金分配与管理制度。</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4）进一步丰富和完善医疗服务与保障能力提升补助资金项目绩效评价方法体系，推动建立以绩效评价结果为导向的财政资金分配与管理制度，提升财政资金科学化、精细化管理水平，为医疗服务与保障能力提升补助资金项目专项资金的安排提供重要依据</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2.绩效评价对象和范围</w:t>
      </w:r>
    </w:p>
    <w:p>
      <w:pPr>
        <w:pStyle w:val="26"/>
        <w:pageBreakBefore w:val="0"/>
        <w:kinsoku/>
        <w:wordWrap/>
        <w:overflowPunct/>
        <w:topLinePunct w:val="0"/>
        <w:autoSpaceDE/>
        <w:autoSpaceDN/>
        <w:bidi w:val="0"/>
        <w:adjustRightInd/>
        <w:snapToGrid/>
        <w:spacing w:line="560" w:lineRule="exact"/>
        <w:ind w:firstLine="640"/>
        <w:textAlignment w:val="auto"/>
        <w:rPr>
          <w:rFonts w:hint="eastAsia"/>
        </w:rPr>
      </w:pPr>
      <w:r>
        <w:rPr>
          <w:rFonts w:hint="eastAsia"/>
        </w:rPr>
        <w:t>本次绩效评价针对医疗服务与保障能力提升补助资金项目展开，主要评价内容及范围如下：</w:t>
      </w:r>
    </w:p>
    <w:p>
      <w:pPr>
        <w:pStyle w:val="26"/>
        <w:pageBreakBefore w:val="0"/>
        <w:kinsoku/>
        <w:wordWrap/>
        <w:overflowPunct/>
        <w:topLinePunct w:val="0"/>
        <w:autoSpaceDE/>
        <w:autoSpaceDN/>
        <w:bidi w:val="0"/>
        <w:adjustRightInd/>
        <w:snapToGrid/>
        <w:spacing w:line="560" w:lineRule="exact"/>
        <w:ind w:firstLine="640"/>
        <w:textAlignment w:val="auto"/>
        <w:rPr>
          <w:rFonts w:hint="eastAsia"/>
        </w:rPr>
      </w:pPr>
      <w:r>
        <w:rPr>
          <w:rFonts w:hint="eastAsia"/>
        </w:rPr>
        <w:t>（1）立项依据和立项程序情况；</w:t>
      </w:r>
    </w:p>
    <w:p>
      <w:pPr>
        <w:pStyle w:val="26"/>
        <w:pageBreakBefore w:val="0"/>
        <w:kinsoku/>
        <w:wordWrap/>
        <w:overflowPunct/>
        <w:topLinePunct w:val="0"/>
        <w:autoSpaceDE/>
        <w:autoSpaceDN/>
        <w:bidi w:val="0"/>
        <w:adjustRightInd/>
        <w:snapToGrid/>
        <w:spacing w:line="560" w:lineRule="exact"/>
        <w:ind w:firstLine="640"/>
        <w:textAlignment w:val="auto"/>
        <w:rPr>
          <w:rFonts w:hint="eastAsia"/>
        </w:rPr>
      </w:pPr>
      <w:r>
        <w:rPr>
          <w:rFonts w:hint="eastAsia"/>
        </w:rPr>
        <w:t>（2）绩效目标和指标设定情况；</w:t>
      </w:r>
    </w:p>
    <w:p>
      <w:pPr>
        <w:pStyle w:val="26"/>
        <w:pageBreakBefore w:val="0"/>
        <w:kinsoku/>
        <w:wordWrap/>
        <w:overflowPunct/>
        <w:topLinePunct w:val="0"/>
        <w:autoSpaceDE/>
        <w:autoSpaceDN/>
        <w:bidi w:val="0"/>
        <w:adjustRightInd/>
        <w:snapToGrid/>
        <w:spacing w:line="560" w:lineRule="exact"/>
        <w:ind w:firstLine="640"/>
        <w:textAlignment w:val="auto"/>
        <w:rPr>
          <w:rFonts w:hint="eastAsia"/>
        </w:rPr>
      </w:pPr>
      <w:r>
        <w:rPr>
          <w:rFonts w:hint="eastAsia"/>
        </w:rPr>
        <w:t>（3）预算编制和资金分配情况；</w:t>
      </w:r>
    </w:p>
    <w:p>
      <w:pPr>
        <w:pStyle w:val="26"/>
        <w:pageBreakBefore w:val="0"/>
        <w:kinsoku/>
        <w:wordWrap/>
        <w:overflowPunct/>
        <w:topLinePunct w:val="0"/>
        <w:autoSpaceDE/>
        <w:autoSpaceDN/>
        <w:bidi w:val="0"/>
        <w:adjustRightInd/>
        <w:snapToGrid/>
        <w:spacing w:line="560" w:lineRule="exact"/>
        <w:ind w:firstLine="640"/>
        <w:textAlignment w:val="auto"/>
        <w:rPr>
          <w:rFonts w:hint="eastAsia"/>
        </w:rPr>
      </w:pPr>
      <w:r>
        <w:rPr>
          <w:rFonts w:hint="eastAsia"/>
        </w:rPr>
        <w:t>（4）资金管理和使用情况；</w:t>
      </w:r>
    </w:p>
    <w:p>
      <w:pPr>
        <w:pStyle w:val="26"/>
        <w:pageBreakBefore w:val="0"/>
        <w:kinsoku/>
        <w:wordWrap/>
        <w:overflowPunct/>
        <w:topLinePunct w:val="0"/>
        <w:autoSpaceDE/>
        <w:autoSpaceDN/>
        <w:bidi w:val="0"/>
        <w:adjustRightInd/>
        <w:snapToGrid/>
        <w:spacing w:line="560" w:lineRule="exact"/>
        <w:ind w:firstLine="640"/>
        <w:textAlignment w:val="auto"/>
        <w:rPr>
          <w:rFonts w:hint="eastAsia"/>
        </w:rPr>
      </w:pPr>
      <w:r>
        <w:rPr>
          <w:rFonts w:hint="eastAsia"/>
        </w:rPr>
        <w:t>（5）相关制度办法的健全性及执行情况；</w:t>
      </w:r>
    </w:p>
    <w:p>
      <w:pPr>
        <w:pStyle w:val="26"/>
        <w:pageBreakBefore w:val="0"/>
        <w:kinsoku/>
        <w:wordWrap/>
        <w:overflowPunct/>
        <w:topLinePunct w:val="0"/>
        <w:autoSpaceDE/>
        <w:autoSpaceDN/>
        <w:bidi w:val="0"/>
        <w:adjustRightInd/>
        <w:snapToGrid/>
        <w:spacing w:line="560" w:lineRule="exact"/>
        <w:ind w:firstLine="640"/>
        <w:textAlignment w:val="auto"/>
        <w:rPr>
          <w:rFonts w:hint="eastAsia"/>
        </w:rPr>
      </w:pPr>
      <w:r>
        <w:rPr>
          <w:rFonts w:hint="eastAsia"/>
        </w:rPr>
        <w:t>（6）实现的产出情况；</w:t>
      </w:r>
    </w:p>
    <w:p>
      <w:pPr>
        <w:pStyle w:val="26"/>
        <w:pageBreakBefore w:val="0"/>
        <w:kinsoku/>
        <w:wordWrap/>
        <w:overflowPunct/>
        <w:topLinePunct w:val="0"/>
        <w:autoSpaceDE/>
        <w:autoSpaceDN/>
        <w:bidi w:val="0"/>
        <w:adjustRightInd/>
        <w:snapToGrid/>
        <w:spacing w:line="560" w:lineRule="exact"/>
        <w:ind w:firstLine="640"/>
        <w:textAlignment w:val="auto"/>
        <w:rPr>
          <w:rFonts w:hint="eastAsia"/>
        </w:rPr>
      </w:pPr>
      <w:r>
        <w:rPr>
          <w:rFonts w:hint="eastAsia"/>
        </w:rPr>
        <w:t>（7）取得的效益情况；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（8）其他相关内容。</w:t>
      </w:r>
    </w:p>
    <w:p>
      <w:pPr>
        <w:pStyle w:val="30"/>
        <w:pageBreakBefore w:val="0"/>
        <w:kinsoku/>
        <w:wordWrap/>
        <w:overflowPunct/>
        <w:topLinePunct w:val="0"/>
        <w:autoSpaceDE/>
        <w:autoSpaceDN/>
        <w:bidi w:val="0"/>
        <w:adjustRightInd/>
        <w:snapToGrid/>
        <w:spacing w:line="560" w:lineRule="exact"/>
        <w:ind w:firstLine="640"/>
        <w:textAlignment w:val="auto"/>
        <w:rPr>
          <w:rFonts w:hint="eastAsia"/>
        </w:rPr>
      </w:pPr>
      <w:bookmarkStart w:id="11" w:name="_Toc2828"/>
      <w:r>
        <w:rPr>
          <w:rFonts w:hint="eastAsia"/>
        </w:rPr>
        <w:t>（二）</w:t>
      </w:r>
      <w:r>
        <w:rPr>
          <w:rFonts w:hint="eastAsia" w:ascii="楷体_GB2312" w:hAnsi="Times New Roman" w:cs="楷体_GB2312"/>
          <w:bCs w:val="0"/>
        </w:rPr>
        <w:t>绩效评价原则、评价指标体系、评价方法</w:t>
      </w:r>
      <w:bookmarkEnd w:id="11"/>
    </w:p>
    <w:p>
      <w:pPr>
        <w:pStyle w:val="26"/>
        <w:pageBreakBefore w:val="0"/>
        <w:kinsoku/>
        <w:wordWrap/>
        <w:overflowPunct/>
        <w:topLinePunct w:val="0"/>
        <w:autoSpaceDE/>
        <w:autoSpaceDN/>
        <w:bidi w:val="0"/>
        <w:adjustRightInd/>
        <w:snapToGrid/>
        <w:spacing w:line="560" w:lineRule="exact"/>
        <w:ind w:firstLine="640"/>
        <w:textAlignment w:val="auto"/>
      </w:pPr>
      <w:r>
        <w:t>1.</w:t>
      </w:r>
      <w:r>
        <w:rPr>
          <w:rFonts w:hint="eastAsia"/>
        </w:rPr>
        <w:t>绩效评价原则</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w:t>
      </w:r>
      <w:r>
        <w:t>1</w:t>
      </w:r>
      <w:r>
        <w:rPr>
          <w:rFonts w:hint="eastAsia"/>
        </w:rPr>
        <w:t>）坚持科学规范的原则。此次绩效评价运用科学合理的评价指标体系和方法，按照规范的程序，对支出绩效进行客观、公正的反映。</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w:t>
      </w:r>
      <w:r>
        <w:t>2</w:t>
      </w:r>
      <w:r>
        <w:rPr>
          <w:rFonts w:hint="eastAsia"/>
        </w:rPr>
        <w:t>）坚持统筹兼顾的原则。此次评价委托第三方机构在单位自评的基础上开展。</w:t>
      </w:r>
    </w:p>
    <w:p>
      <w:pPr>
        <w:pStyle w:val="26"/>
        <w:pageBreakBefore w:val="0"/>
        <w:kinsoku/>
        <w:wordWrap/>
        <w:overflowPunct/>
        <w:topLinePunct w:val="0"/>
        <w:autoSpaceDE/>
        <w:autoSpaceDN/>
        <w:bidi w:val="0"/>
        <w:adjustRightInd/>
        <w:snapToGrid/>
        <w:spacing w:line="560" w:lineRule="exact"/>
        <w:ind w:firstLine="640"/>
        <w:textAlignment w:val="auto"/>
      </w:pPr>
      <w:bookmarkStart w:id="12" w:name="_Hlk91689355"/>
      <w:r>
        <w:rPr>
          <w:rFonts w:hint="eastAsia"/>
        </w:rPr>
        <w:t>（</w:t>
      </w:r>
      <w:r>
        <w:t>3</w:t>
      </w:r>
      <w:r>
        <w:rPr>
          <w:rFonts w:hint="eastAsia"/>
        </w:rPr>
        <w:t>）坚持激励约束的原则。本次绩效评价结果可以作为预算安排、政策调整、改进管理的参考，绩效评价工作将体现奖优罚劣和激励相容导向，有效要安排、低效要压减、无效要问责。</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w:t>
      </w:r>
      <w:r>
        <w:t>4</w:t>
      </w:r>
      <w:r>
        <w:rPr>
          <w:rFonts w:hint="eastAsia"/>
        </w:rPr>
        <w:t>）坚持公开透明的原则。承诺绩效评价结果依法依规公开，自觉接受有关机构和社会监督。</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w:t>
      </w:r>
      <w:r>
        <w:t>5</w:t>
      </w:r>
      <w:r>
        <w:rPr>
          <w:rFonts w:hint="eastAsia"/>
        </w:rPr>
        <w:t>）坚持综合绩效评价，定量分析与定性分析相结合的原则。</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w:t>
      </w:r>
      <w:r>
        <w:t>6</w:t>
      </w:r>
      <w:r>
        <w:rPr>
          <w:rFonts w:hint="eastAsia"/>
        </w:rPr>
        <w:t>）坚持绩效相关性原则。此次绩效评价将针对具体支出及其产出绩效进行，评价结果将清晰反映支出和产出绩效之间的紧密对应关系。</w:t>
      </w:r>
      <w:bookmarkEnd w:id="12"/>
    </w:p>
    <w:p>
      <w:pPr>
        <w:pStyle w:val="26"/>
        <w:pageBreakBefore w:val="0"/>
        <w:kinsoku/>
        <w:wordWrap/>
        <w:overflowPunct/>
        <w:topLinePunct w:val="0"/>
        <w:autoSpaceDE/>
        <w:autoSpaceDN/>
        <w:bidi w:val="0"/>
        <w:adjustRightInd/>
        <w:snapToGrid/>
        <w:spacing w:line="560" w:lineRule="exact"/>
        <w:ind w:firstLine="640"/>
        <w:textAlignment w:val="auto"/>
      </w:pPr>
      <w:r>
        <w:t>2.</w:t>
      </w:r>
      <w:r>
        <w:rPr>
          <w:rFonts w:hint="eastAsia"/>
        </w:rPr>
        <w:t>评价指标体系</w:t>
      </w:r>
    </w:p>
    <w:p>
      <w:pPr>
        <w:pStyle w:val="26"/>
        <w:pageBreakBefore w:val="0"/>
        <w:kinsoku/>
        <w:wordWrap/>
        <w:overflowPunct/>
        <w:topLinePunct w:val="0"/>
        <w:autoSpaceDE/>
        <w:autoSpaceDN/>
        <w:bidi w:val="0"/>
        <w:adjustRightInd/>
        <w:snapToGrid/>
        <w:spacing w:line="560" w:lineRule="exact"/>
        <w:ind w:firstLine="640"/>
        <w:textAlignment w:val="auto"/>
        <w:rPr>
          <w:highlight w:val="none"/>
        </w:rPr>
      </w:pPr>
      <w:r>
        <w:rPr>
          <w:rFonts w:hint="eastAsia"/>
        </w:rPr>
        <w:t>针对项目情况，从决策、过程、产出及效益四大方面拟定绩</w:t>
      </w:r>
      <w:r>
        <w:rPr>
          <w:rFonts w:hint="eastAsia"/>
          <w:highlight w:val="none"/>
        </w:rPr>
        <w:t>效评价指标，其中：</w:t>
      </w:r>
    </w:p>
    <w:p>
      <w:pPr>
        <w:pStyle w:val="26"/>
        <w:pageBreakBefore w:val="0"/>
        <w:kinsoku/>
        <w:wordWrap/>
        <w:overflowPunct/>
        <w:topLinePunct w:val="0"/>
        <w:autoSpaceDE/>
        <w:autoSpaceDN/>
        <w:bidi w:val="0"/>
        <w:adjustRightInd/>
        <w:snapToGrid/>
        <w:spacing w:line="560" w:lineRule="exact"/>
        <w:ind w:firstLine="640"/>
        <w:textAlignment w:val="auto"/>
        <w:rPr>
          <w:rFonts w:cs="仿宋_GB2312"/>
          <w:highlight w:val="none"/>
        </w:rPr>
      </w:pPr>
      <w:r>
        <w:rPr>
          <w:rFonts w:hint="eastAsia"/>
          <w:highlight w:val="none"/>
        </w:rPr>
        <w:t>（1）</w:t>
      </w:r>
      <w:r>
        <w:rPr>
          <w:rFonts w:hint="eastAsia" w:cs="仿宋_GB2312"/>
          <w:highlight w:val="none"/>
        </w:rPr>
        <w:t>项目决策指标</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①项目立项</w:t>
      </w:r>
    </w:p>
    <w:p>
      <w:pPr>
        <w:pStyle w:val="26"/>
        <w:pageBreakBefore w:val="0"/>
        <w:kinsoku/>
        <w:wordWrap/>
        <w:overflowPunct/>
        <w:topLinePunct w:val="0"/>
        <w:autoSpaceDE/>
        <w:autoSpaceDN/>
        <w:bidi w:val="0"/>
        <w:adjustRightInd/>
        <w:snapToGrid/>
        <w:spacing w:line="560" w:lineRule="exact"/>
        <w:ind w:firstLine="640"/>
        <w:textAlignment w:val="auto"/>
      </w:pPr>
      <w:r>
        <w:t>a.</w:t>
      </w:r>
      <w:r>
        <w:rPr>
          <w:rFonts w:hint="eastAsia"/>
        </w:rPr>
        <w:t>立项依据充分性。项目立项是否符合法律法规、相关政策、发展规划以及部门职责，用于反映和考核项目立项依据情况。</w:t>
      </w:r>
    </w:p>
    <w:p>
      <w:pPr>
        <w:pStyle w:val="26"/>
        <w:pageBreakBefore w:val="0"/>
        <w:kinsoku/>
        <w:wordWrap/>
        <w:overflowPunct/>
        <w:topLinePunct w:val="0"/>
        <w:autoSpaceDE/>
        <w:autoSpaceDN/>
        <w:bidi w:val="0"/>
        <w:adjustRightInd/>
        <w:snapToGrid/>
        <w:spacing w:line="560" w:lineRule="exact"/>
        <w:ind w:firstLine="640"/>
        <w:textAlignment w:val="auto"/>
      </w:pPr>
      <w:r>
        <w:t>b.</w:t>
      </w:r>
      <w:r>
        <w:rPr>
          <w:rFonts w:hint="eastAsia"/>
        </w:rPr>
        <w:t>立项程序规范性。项目申请、设立过程是否符合相关要求，用以反映和考核项目立项的规范情况。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②绩效目标</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a</w:t>
      </w:r>
      <w:r>
        <w:t>.</w:t>
      </w:r>
      <w:r>
        <w:rPr>
          <w:rFonts w:hint="eastAsia"/>
        </w:rPr>
        <w:t>绩效目标明确性。依据绩效目标设定的绩效指标是否清晰、细化、可衡量等，用以反映和考核项目绩效目标的明细化情况。</w:t>
      </w:r>
    </w:p>
    <w:p>
      <w:pPr>
        <w:pStyle w:val="26"/>
        <w:pageBreakBefore w:val="0"/>
        <w:kinsoku/>
        <w:wordWrap/>
        <w:overflowPunct/>
        <w:topLinePunct w:val="0"/>
        <w:autoSpaceDE/>
        <w:autoSpaceDN/>
        <w:bidi w:val="0"/>
        <w:adjustRightInd/>
        <w:snapToGrid/>
        <w:spacing w:line="560" w:lineRule="exact"/>
        <w:ind w:firstLine="640"/>
        <w:textAlignment w:val="auto"/>
      </w:pPr>
      <w:r>
        <w:t>b.</w:t>
      </w:r>
      <w:r>
        <w:rPr>
          <w:rFonts w:hint="eastAsia"/>
        </w:rPr>
        <w:t>绩效目标合理性。项目所设定的绩效目标是否依据充分，是否符合客观实际，用以反映和考核项目绩效目标与项目实施的相符情况。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③预算编制</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a</w:t>
      </w:r>
      <w:r>
        <w:t>.</w:t>
      </w:r>
      <w:r>
        <w:rPr>
          <w:rFonts w:hint="eastAsia"/>
        </w:rPr>
        <w:t>测算内容合规性。项目预算测算内容是否符合相关政策文件规定范围。</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b</w:t>
      </w:r>
      <w:r>
        <w:t>.</w:t>
      </w:r>
      <w:r>
        <w:rPr>
          <w:rFonts w:hint="eastAsia"/>
        </w:rPr>
        <w:t>测算标准合理性。项目预算测算项目支出标准是否符合相关政策制度或行业、领域规定。</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c</w:t>
      </w:r>
      <w:r>
        <w:t>.</w:t>
      </w:r>
      <w:r>
        <w:rPr>
          <w:rFonts w:hint="eastAsia"/>
        </w:rPr>
        <w:t>测算数据客观性。项目预算测算数据是否客观、真实、准确。</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d</w:t>
      </w:r>
      <w:r>
        <w:t>.</w:t>
      </w:r>
      <w:r>
        <w:rPr>
          <w:rFonts w:hint="eastAsia"/>
        </w:rPr>
        <w:t>测算过程细化度。测算过程是否细化清晰。</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（2）项目过程指标</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①资金管理</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a</w:t>
      </w:r>
      <w:r>
        <w:t>.</w:t>
      </w:r>
      <w:r>
        <w:rPr>
          <w:rFonts w:hint="eastAsia"/>
        </w:rPr>
        <w:t>资金到位率。实际到位资金与预算资金的比率，用以反映和考核资金落实情况对项目实施的总体保障程度。</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b</w:t>
      </w:r>
      <w:r>
        <w:t>.</w:t>
      </w:r>
      <w:r>
        <w:rPr>
          <w:rFonts w:hint="eastAsia"/>
        </w:rPr>
        <w:t>资金到位及时率。及时到位资金与实际到位资金的比率，用以反映和考核项目资金落实的及时性程度。</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c</w:t>
      </w:r>
      <w:r>
        <w:t>.</w:t>
      </w:r>
      <w:r>
        <w:rPr>
          <w:rFonts w:hint="eastAsia"/>
        </w:rPr>
        <w:t>预算执行率。项目预算资金是否按照计划执行，用以反映或考核项目预算执行情况。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d</w:t>
      </w:r>
      <w:r>
        <w:t>.</w:t>
      </w:r>
      <w:r>
        <w:rPr>
          <w:rFonts w:hint="eastAsia"/>
        </w:rPr>
        <w:t>资产管理合规性。固定、无形资产管理和规定情况。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e</w:t>
      </w:r>
      <w:r>
        <w:t>.</w:t>
      </w:r>
      <w:r>
        <w:rPr>
          <w:rFonts w:hint="eastAsia"/>
        </w:rPr>
        <w:t>资金使用合规性。项目资金使用是否符合相关的财务管理制度规定，用以反映和考核项目资金的规范运行情况。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②组织实施</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a</w:t>
      </w:r>
      <w:r>
        <w:t>.</w:t>
      </w:r>
      <w:r>
        <w:rPr>
          <w:rFonts w:hint="eastAsia"/>
        </w:rPr>
        <w:t>管理制度健全性。项目实施单位的财务和业务管理制度是否健全，用以反映和考核财务和业务管理制度对项目顺利实施的保障情况。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b</w:t>
      </w:r>
      <w:r>
        <w:t>.</w:t>
      </w:r>
      <w:r>
        <w:rPr>
          <w:rFonts w:hint="eastAsia"/>
        </w:rPr>
        <w:t>制度执行有效性。主要从项目申报、项目实施、项目验收等</w:t>
      </w:r>
      <w:r>
        <w:t>3个环节展开，结合相关管理规定进行评价</w:t>
      </w:r>
      <w:r>
        <w:rPr>
          <w:rFonts w:hint="eastAsia"/>
        </w:rPr>
        <w:t>。</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（3）项目产出指标</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①产出数量</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a</w:t>
      </w:r>
      <w:r>
        <w:t>.</w:t>
      </w:r>
      <w:r>
        <w:rPr>
          <w:rFonts w:hint="eastAsia"/>
        </w:rPr>
        <w:t>医保定点医药机构监督检查完成率。项目实施期间实际监督检查医保定点医药机构数量与辖区实有医保定点医药机构数量比对，反映医保定点医药机构监督检查工作的完成情况。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b</w:t>
      </w:r>
      <w:r>
        <w:t>.</w:t>
      </w:r>
      <w:r>
        <w:rPr>
          <w:rFonts w:hint="eastAsia"/>
        </w:rPr>
        <w:t>医保法治能力建设工作完成率。项目实施期间实际提供法律服务内容数与计划提供法律服务内容数比对，反映医保法治能力建设工作的完成情况。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c</w:t>
      </w:r>
      <w:r>
        <w:t>.</w:t>
      </w:r>
      <w:r>
        <w:rPr>
          <w:rFonts w:hint="eastAsia"/>
        </w:rPr>
        <w:t>医保宣传工作完成率。项目实施期间实际开展医保宣传活动场次与计划开展医保宣传活动场次比对，反映医保宣传工作的完成情况。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d</w:t>
      </w:r>
      <w:r>
        <w:t>.</w:t>
      </w:r>
      <w:r>
        <w:rPr>
          <w:rFonts w:hint="eastAsia"/>
        </w:rPr>
        <w:t>经办服务体系建设工作完成率。项目实施期间实际完成经办服务体系建设工作任务数与计划完成经办服务体系建设工作任务数比对，反映经办服务体系建设工作的完成情况。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②产出质量</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a</w:t>
      </w:r>
      <w:r>
        <w:t>.</w:t>
      </w:r>
      <w:r>
        <w:rPr>
          <w:rFonts w:hint="eastAsia"/>
        </w:rPr>
        <w:t>医保定点医药机构监督检查合规率。项目实施期间合规开展医保定点医药机构监督检查次数与实际开展医保定点医药机构监督检查次数的比对，反映医保定点医药机构监督检查的合规情况。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b</w:t>
      </w:r>
      <w:r>
        <w:t>.</w:t>
      </w:r>
      <w:r>
        <w:rPr>
          <w:rFonts w:hint="eastAsia"/>
        </w:rPr>
        <w:t>行政执法决定、合同法制审核率。项目实施期间进行法制审核的行政执法决定、合同数量与实际做出或签订行政执法决定、合同数量的比对，反映行政执法决定、合同法制审核的覆盖情况。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c</w:t>
      </w:r>
      <w:r>
        <w:t>.</w:t>
      </w:r>
      <w:r>
        <w:rPr>
          <w:rFonts w:hint="eastAsia"/>
        </w:rPr>
        <w:t>医保政策宣传资料发放覆盖率。项目实施期间医保政策宣传资料发放覆盖社区、学校数量与辖区社区、学校数量的比对，反映医保政策宣传资料发放的覆盖情况。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d</w:t>
      </w:r>
      <w:r>
        <w:t>.</w:t>
      </w:r>
      <w:r>
        <w:rPr>
          <w:rFonts w:hint="eastAsia"/>
        </w:rPr>
        <w:t>经办服务体系建设工作覆盖率。项目实施期间经办服务体系建设工作覆盖街道、社区数量与辖区实有街道、社区数量的比对，反映经办服务体系建设工作的覆盖情况。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③产出时效</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a</w:t>
      </w:r>
      <w:r>
        <w:t>.</w:t>
      </w:r>
      <w:r>
        <w:rPr>
          <w:rFonts w:hint="eastAsia"/>
        </w:rPr>
        <w:t>医保定点医药机构监督检查及时率。项目实施期间按照计划时间完成监督检查次数与实际开展监督检查次数的比对，反映医保定点医药机构监督检查的及时情况。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b</w:t>
      </w:r>
      <w:r>
        <w:t>.</w:t>
      </w:r>
      <w:r>
        <w:rPr>
          <w:rFonts w:hint="eastAsia"/>
        </w:rPr>
        <w:t>法律服务提供及时率。项目实施期间及时提供法律服务次数与实际提供法律服务次数的比对，反映提供法律服务的及时情况。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c</w:t>
      </w:r>
      <w:r>
        <w:t>.</w:t>
      </w:r>
      <w:r>
        <w:rPr>
          <w:rFonts w:hint="eastAsia"/>
        </w:rPr>
        <w:t>医保宣传活动开展及时率。项目实施期间按照计划时间完成医保宣传活动次数与实际开展医保宣传活动次数的比对，反映医保宣传活动开展的及时情况。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d</w:t>
      </w:r>
      <w:r>
        <w:t>.</w:t>
      </w:r>
      <w:r>
        <w:rPr>
          <w:rFonts w:hint="eastAsia"/>
        </w:rPr>
        <w:t>经办服务体系建设工作完成及时率。项目实施期间按照计划时间完成经办服务体系建设工作任务数与实际完成经办服务体系建设工作任务数的比对，反映经办服务体系建设工作完成的及时情况。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④产出成本</w:t>
      </w:r>
    </w:p>
    <w:p>
      <w:pPr>
        <w:pStyle w:val="26"/>
        <w:pageBreakBefore w:val="0"/>
        <w:kinsoku/>
        <w:wordWrap/>
        <w:overflowPunct/>
        <w:topLinePunct w:val="0"/>
        <w:autoSpaceDE/>
        <w:autoSpaceDN/>
        <w:bidi w:val="0"/>
        <w:adjustRightInd/>
        <w:snapToGrid/>
        <w:spacing w:line="560" w:lineRule="exact"/>
        <w:ind w:firstLine="640"/>
        <w:textAlignment w:val="auto"/>
        <w:rPr>
          <w:rFonts w:hint="eastAsia" w:eastAsia="仿宋_GB2312"/>
          <w:lang w:eastAsia="zh-CN"/>
        </w:rPr>
      </w:pPr>
      <w:r>
        <w:rPr>
          <w:rFonts w:hint="eastAsia"/>
        </w:rPr>
        <w:t>医疗服务与保障能力提升项目成本节约率</w:t>
      </w:r>
      <w:r>
        <w:rPr>
          <w:rFonts w:hint="eastAsia"/>
          <w:lang w:eastAsia="zh-CN"/>
        </w:rPr>
        <w:t>。项目实施期间医疗服务与保障能力提升项目实际支出成本与计划支出成本比对，反映医疗服务与保障能力提升项目成本控制情况。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w:t>
      </w:r>
      <w:r>
        <w:t>4</w:t>
      </w:r>
      <w:r>
        <w:rPr>
          <w:rFonts w:hint="eastAsia"/>
        </w:rPr>
        <w:t>）项目效益指标</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①社会效益</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a</w:t>
      </w:r>
      <w:r>
        <w:t>.</w:t>
      </w:r>
      <w:r>
        <w:rPr>
          <w:rFonts w:hint="eastAsia"/>
        </w:rPr>
        <w:t>监督检查问题处理率。通过监督检查发现的医保定点医药机构问题处理情况，反映项目开展对医疗保障基金使用规范性的促进情况。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b</w:t>
      </w:r>
      <w:r>
        <w:t>.</w:t>
      </w:r>
      <w:r>
        <w:rPr>
          <w:rFonts w:hint="eastAsia"/>
        </w:rPr>
        <w:t>医保法治能力提升情况。通过行政诉讼败诉情况和合同纠纷情况，反映项目开展对医保法治能力的提升情况。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c</w:t>
      </w:r>
      <w:r>
        <w:t>.</w:t>
      </w:r>
      <w:r>
        <w:rPr>
          <w:rFonts w:hint="eastAsia"/>
        </w:rPr>
        <w:t>居民医保参保扩面任务完成率。通过实际参保人数与本年度和平区基本医疗保险参保计划指标数的比对，反映项目开展对居民医保参保扩面工作开展的促进情况。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d</w:t>
      </w:r>
      <w:r>
        <w:t>.</w:t>
      </w:r>
      <w:r>
        <w:rPr>
          <w:rFonts w:hint="eastAsia"/>
        </w:rPr>
        <w:t>医保经办服务能力提升情况。通过各项设施设备投入使用情况和医保经办系统练兵比武大赛成绩，反映项目开展对医保经办服务能力的提升情况。</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lang w:val="en-US" w:eastAsia="zh-CN"/>
        </w:rPr>
        <w:t>②</w:t>
      </w:r>
      <w:r>
        <w:rPr>
          <w:rFonts w:hint="eastAsia"/>
        </w:rPr>
        <w:t>服务对象满意度</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a</w:t>
      </w:r>
      <w:r>
        <w:t>.</w:t>
      </w:r>
      <w:r>
        <w:rPr>
          <w:rFonts w:hint="eastAsia"/>
        </w:rPr>
        <w:t>辖区参保人员满意度。通过调查问卷中辖区参保人员满意人数与辖区参保人员调查总人数的比率，反映被调查辖区参保人员对本项目的满意程度。</w:t>
      </w:r>
    </w:p>
    <w:p>
      <w:pPr>
        <w:pStyle w:val="26"/>
        <w:pageBreakBefore w:val="0"/>
        <w:kinsoku/>
        <w:wordWrap/>
        <w:overflowPunct/>
        <w:topLinePunct w:val="0"/>
        <w:autoSpaceDE/>
        <w:autoSpaceDN/>
        <w:bidi w:val="0"/>
        <w:adjustRightInd/>
        <w:snapToGrid/>
        <w:spacing w:line="560" w:lineRule="exact"/>
        <w:ind w:firstLine="640"/>
        <w:textAlignment w:val="auto"/>
        <w:rPr>
          <w:rFonts w:hint="eastAsia" w:eastAsia="仿宋_GB2312"/>
          <w:lang w:eastAsia="zh-CN"/>
        </w:rPr>
      </w:pPr>
      <w:r>
        <w:rPr>
          <w:rFonts w:hint="eastAsia"/>
        </w:rPr>
        <w:t>b</w:t>
      </w:r>
      <w:r>
        <w:t>.</w:t>
      </w:r>
      <w:r>
        <w:rPr>
          <w:rFonts w:hint="eastAsia"/>
        </w:rPr>
        <w:t>医保经办人员满意度。通过调查问卷中医保经办人员满意人数与医保经办人员调查总人数的比率，反映被调查医保经办人员对本项目的满意程度</w:t>
      </w:r>
      <w:r>
        <w:rPr>
          <w:rFonts w:hint="eastAsia"/>
          <w:lang w:eastAsia="zh-CN"/>
        </w:rPr>
        <w:t>。</w:t>
      </w:r>
    </w:p>
    <w:p>
      <w:pPr>
        <w:pStyle w:val="26"/>
        <w:pageBreakBefore w:val="0"/>
        <w:kinsoku/>
        <w:wordWrap/>
        <w:overflowPunct/>
        <w:topLinePunct w:val="0"/>
        <w:autoSpaceDE/>
        <w:autoSpaceDN/>
        <w:bidi w:val="0"/>
        <w:adjustRightInd/>
        <w:snapToGrid/>
        <w:spacing w:line="560" w:lineRule="exact"/>
        <w:ind w:firstLine="640"/>
        <w:textAlignment w:val="auto"/>
      </w:pPr>
      <w:r>
        <w:t>3</w:t>
      </w:r>
      <w:r>
        <w:rPr>
          <w:rFonts w:hint="eastAsia"/>
        </w:rPr>
        <w:t>.绩效评价方法</w:t>
      </w:r>
    </w:p>
    <w:p>
      <w:pPr>
        <w:pStyle w:val="26"/>
        <w:pageBreakBefore w:val="0"/>
        <w:kinsoku/>
        <w:wordWrap/>
        <w:overflowPunct/>
        <w:topLinePunct w:val="0"/>
        <w:autoSpaceDE/>
        <w:autoSpaceDN/>
        <w:bidi w:val="0"/>
        <w:adjustRightInd/>
        <w:snapToGrid/>
        <w:spacing w:line="560" w:lineRule="exact"/>
        <w:ind w:firstLine="640"/>
        <w:textAlignment w:val="auto"/>
        <w:rPr>
          <w:rFonts w:hint="eastAsia" w:eastAsia="仿宋_GB2312"/>
          <w:lang w:eastAsia="zh-CN"/>
        </w:rPr>
      </w:pPr>
      <w:r>
        <w:rPr>
          <w:rFonts w:hint="eastAsia"/>
        </w:rPr>
        <w:t>结合项目具体情况，本次绩效评价主要运用指标分析法，结合比较法、专家咨询法等方法进行评价。坚持定量指标优先、定量指标与定性指标相结合的方式，同时通过文献法进行资料搜索以及多因素分析来支撑评价内容的逻辑紧密性与客观性。从项目决策、项目过程、项目产出以及项目效益四个方面开展评价，绩效评价指标体系详见附件</w:t>
      </w:r>
      <w:r>
        <w:rPr>
          <w:rFonts w:hint="eastAsia"/>
          <w:lang w:eastAsia="zh-CN"/>
        </w:rPr>
        <w:t>。</w:t>
      </w:r>
    </w:p>
    <w:p>
      <w:pPr>
        <w:pStyle w:val="30"/>
        <w:pageBreakBefore w:val="0"/>
        <w:kinsoku/>
        <w:wordWrap/>
        <w:overflowPunct/>
        <w:topLinePunct w:val="0"/>
        <w:autoSpaceDE/>
        <w:autoSpaceDN/>
        <w:bidi w:val="0"/>
        <w:adjustRightInd/>
        <w:snapToGrid/>
        <w:spacing w:line="560" w:lineRule="exact"/>
        <w:ind w:firstLine="640"/>
        <w:textAlignment w:val="auto"/>
        <w:rPr>
          <w:rFonts w:hint="eastAsia"/>
        </w:rPr>
      </w:pPr>
      <w:bookmarkStart w:id="13" w:name="_Toc5633"/>
      <w:r>
        <w:rPr>
          <w:rFonts w:hint="eastAsia"/>
        </w:rPr>
        <w:t>（三）绩效评价工作过程</w:t>
      </w:r>
      <w:bookmarkEnd w:id="13"/>
    </w:p>
    <w:p>
      <w:pPr>
        <w:pStyle w:val="26"/>
        <w:pageBreakBefore w:val="0"/>
        <w:kinsoku/>
        <w:wordWrap/>
        <w:overflowPunct/>
        <w:topLinePunct w:val="0"/>
        <w:autoSpaceDE/>
        <w:autoSpaceDN/>
        <w:bidi w:val="0"/>
        <w:adjustRightInd/>
        <w:snapToGrid/>
        <w:spacing w:line="560" w:lineRule="exact"/>
        <w:ind w:firstLine="640"/>
        <w:textAlignment w:val="auto"/>
      </w:pPr>
      <w:bookmarkStart w:id="14" w:name="_Toc57967893"/>
      <w:r>
        <w:t>1.</w:t>
      </w:r>
      <w:r>
        <w:rPr>
          <w:rFonts w:hint="eastAsia"/>
        </w:rPr>
        <w:t>前期准备阶段</w:t>
      </w:r>
      <w:bookmarkEnd w:id="14"/>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w:t>
      </w:r>
      <w:r>
        <w:t>1</w:t>
      </w:r>
      <w:r>
        <w:rPr>
          <w:rFonts w:hint="eastAsia"/>
        </w:rPr>
        <w:t>）成立绩效评价项目组</w:t>
      </w:r>
    </w:p>
    <w:p>
      <w:pPr>
        <w:pStyle w:val="26"/>
        <w:pageBreakBefore w:val="0"/>
        <w:kinsoku/>
        <w:wordWrap/>
        <w:overflowPunct/>
        <w:topLinePunct w:val="0"/>
        <w:autoSpaceDE/>
        <w:autoSpaceDN/>
        <w:bidi w:val="0"/>
        <w:adjustRightInd/>
        <w:snapToGrid/>
        <w:spacing w:line="560" w:lineRule="exact"/>
        <w:ind w:firstLine="640"/>
        <w:textAlignment w:val="auto"/>
        <w:rPr>
          <w:rFonts w:hint="eastAsia"/>
          <w:lang w:eastAsia="zh-CN"/>
        </w:rPr>
      </w:pPr>
      <w:r>
        <w:rPr>
          <w:rFonts w:hint="eastAsia"/>
        </w:rPr>
        <w:t>天津市和平区财政局按照绩效评价通知文件要求，委托我公司（天津安信管理咨询有限公司）对医疗服务与保障能力提升补助资金项目进行绩效评价工作</w:t>
      </w:r>
      <w:r>
        <w:rPr>
          <w:rFonts w:hint="eastAsia"/>
          <w:lang w:eastAsia="zh-CN"/>
        </w:rPr>
        <w:t>。</w:t>
      </w:r>
    </w:p>
    <w:p>
      <w:pPr>
        <w:pStyle w:val="26"/>
        <w:pageBreakBefore w:val="0"/>
        <w:kinsoku/>
        <w:wordWrap/>
        <w:overflowPunct/>
        <w:topLinePunct w:val="0"/>
        <w:autoSpaceDE/>
        <w:autoSpaceDN/>
        <w:bidi w:val="0"/>
        <w:adjustRightInd/>
        <w:snapToGrid/>
        <w:spacing w:line="560" w:lineRule="exact"/>
        <w:ind w:firstLine="640"/>
        <w:textAlignment w:val="auto"/>
        <w:rPr>
          <w:rFonts w:hint="eastAsia"/>
          <w:lang w:eastAsia="zh-CN"/>
        </w:rPr>
      </w:pPr>
      <w:r>
        <w:rPr>
          <w:rFonts w:hint="eastAsia"/>
          <w:lang w:eastAsia="zh-CN"/>
        </w:rPr>
        <w:t>2023年7月</w:t>
      </w:r>
      <w:r>
        <w:rPr>
          <w:rFonts w:hint="eastAsia"/>
          <w:lang w:val="en-US" w:eastAsia="zh-CN"/>
        </w:rPr>
        <w:t>26</w:t>
      </w:r>
      <w:r>
        <w:rPr>
          <w:rFonts w:hint="eastAsia"/>
          <w:lang w:eastAsia="zh-CN"/>
        </w:rPr>
        <w:t>日，绩效评价项目组（以下简称“评价组”）赴区医保局参加了项目见面会，听取了该单位对医疗服务与保障能力提升补助资金项目的项目背景、申请立项、资金落实、业务管理、财务管理、项目产出、项目效益等方面的情况介绍，并对项目后续评价工作的基本原则及所需的各类资料文件提出了要求。</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w:t>
      </w:r>
      <w:r>
        <w:t>2</w:t>
      </w:r>
      <w:r>
        <w:rPr>
          <w:rFonts w:hint="eastAsia"/>
        </w:rPr>
        <w:t>）制定绩效评价方案</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根据《天津市财政局关于印发&lt;天津市市级财政项目支出绩效评价管理办法&gt;的通知》（津财绩效〔2020〕12号）要求，评价项目组制定了《天津市和平区医疗保障局医疗服务与保障能力提升补助资金项目绩效评价实施工作方案》，并根据评价方案组织开展项目评价工作。</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w:t>
      </w:r>
      <w:r>
        <w:t>3</w:t>
      </w:r>
      <w:r>
        <w:rPr>
          <w:rFonts w:hint="eastAsia"/>
        </w:rPr>
        <w:t>）指标体系设计</w:t>
      </w:r>
    </w:p>
    <w:p>
      <w:pPr>
        <w:pStyle w:val="26"/>
        <w:pageBreakBefore w:val="0"/>
        <w:kinsoku/>
        <w:wordWrap/>
        <w:overflowPunct/>
        <w:topLinePunct w:val="0"/>
        <w:autoSpaceDE/>
        <w:autoSpaceDN/>
        <w:bidi w:val="0"/>
        <w:adjustRightInd/>
        <w:snapToGrid/>
        <w:spacing w:line="560" w:lineRule="exact"/>
        <w:ind w:firstLine="640"/>
        <w:textAlignment w:val="auto"/>
        <w:rPr>
          <w:rFonts w:hint="eastAsia" w:eastAsia="仿宋_GB2312"/>
          <w:lang w:eastAsia="zh-CN"/>
        </w:rPr>
      </w:pPr>
      <w:r>
        <w:rPr>
          <w:rFonts w:hint="eastAsia"/>
        </w:rPr>
        <w:t>根据医疗服务与保障能力提升补助资金项目绩效目标及实际工作需要，从决策、过程、产出、效益四个维度出发，设立项目立项、绩效目标、预算编制、资金管理、组织实施、产出数量、产出质量</w:t>
      </w:r>
      <w:r>
        <w:rPr>
          <w:rFonts w:hint="eastAsia"/>
          <w:highlight w:val="none"/>
        </w:rPr>
        <w:t>、产出时效、产出成本、社会效益、服务对象满意度1</w:t>
      </w:r>
      <w:r>
        <w:rPr>
          <w:rFonts w:hint="eastAsia"/>
          <w:highlight w:val="none"/>
          <w:lang w:val="en-US" w:eastAsia="zh-CN"/>
        </w:rPr>
        <w:t>1</w:t>
      </w:r>
      <w:r>
        <w:rPr>
          <w:rFonts w:hint="eastAsia"/>
          <w:highlight w:val="none"/>
        </w:rPr>
        <w:t>项二级指标和</w:t>
      </w:r>
      <w:r>
        <w:rPr>
          <w:rFonts w:hint="eastAsia"/>
          <w:highlight w:val="none"/>
          <w:lang w:val="en-US" w:eastAsia="zh-CN"/>
        </w:rPr>
        <w:t>34</w:t>
      </w:r>
      <w:r>
        <w:rPr>
          <w:rFonts w:hint="eastAsia"/>
          <w:highlight w:val="none"/>
        </w:rPr>
        <w:t>项三级指标，采取指标分值百分制，将</w:t>
      </w:r>
      <w:r>
        <w:rPr>
          <w:rFonts w:hint="eastAsia"/>
          <w:highlight w:val="none"/>
          <w:lang w:val="en-US" w:eastAsia="zh-CN"/>
        </w:rPr>
        <w:t>34</w:t>
      </w:r>
      <w:r>
        <w:rPr>
          <w:rFonts w:hint="eastAsia"/>
          <w:highlight w:val="none"/>
        </w:rPr>
        <w:t>项指标量化为100分，分值权</w:t>
      </w:r>
      <w:r>
        <w:rPr>
          <w:rFonts w:hint="eastAsia"/>
        </w:rPr>
        <w:t>重详见附件</w:t>
      </w:r>
      <w:r>
        <w:rPr>
          <w:rFonts w:hint="eastAsia"/>
          <w:lang w:eastAsia="zh-CN"/>
        </w:rPr>
        <w:t>。</w:t>
      </w:r>
    </w:p>
    <w:p>
      <w:pPr>
        <w:pStyle w:val="26"/>
        <w:pageBreakBefore w:val="0"/>
        <w:kinsoku/>
        <w:wordWrap/>
        <w:overflowPunct/>
        <w:topLinePunct w:val="0"/>
        <w:autoSpaceDE/>
        <w:autoSpaceDN/>
        <w:bidi w:val="0"/>
        <w:adjustRightInd/>
        <w:snapToGrid/>
        <w:spacing w:line="560" w:lineRule="exact"/>
        <w:ind w:firstLine="640"/>
        <w:textAlignment w:val="auto"/>
      </w:pPr>
      <w:bookmarkStart w:id="15" w:name="_Toc57967894"/>
      <w:r>
        <w:t>2.</w:t>
      </w:r>
      <w:r>
        <w:rPr>
          <w:rFonts w:hint="eastAsia"/>
        </w:rPr>
        <w:t>评价实施阶段</w:t>
      </w:r>
      <w:bookmarkEnd w:id="15"/>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w:t>
      </w:r>
      <w:r>
        <w:t>1</w:t>
      </w:r>
      <w:r>
        <w:rPr>
          <w:rFonts w:hint="eastAsia"/>
        </w:rPr>
        <w:t>）正式进驻。</w:t>
      </w:r>
    </w:p>
    <w:p>
      <w:pPr>
        <w:pStyle w:val="26"/>
        <w:pageBreakBefore w:val="0"/>
        <w:kinsoku/>
        <w:wordWrap/>
        <w:overflowPunct/>
        <w:topLinePunct w:val="0"/>
        <w:autoSpaceDE/>
        <w:autoSpaceDN/>
        <w:bidi w:val="0"/>
        <w:adjustRightInd/>
        <w:snapToGrid/>
        <w:spacing w:line="560" w:lineRule="exact"/>
        <w:ind w:firstLine="640"/>
        <w:textAlignment w:val="auto"/>
        <w:rPr>
          <w:rFonts w:hint="eastAsia" w:eastAsia="仿宋_GB2312"/>
          <w:lang w:eastAsia="zh-CN"/>
        </w:rPr>
      </w:pPr>
      <w:r>
        <w:rPr>
          <w:rFonts w:hint="eastAsia"/>
        </w:rPr>
        <w:t>评价组于2023年7月</w:t>
      </w:r>
      <w:r>
        <w:rPr>
          <w:rFonts w:hint="eastAsia"/>
          <w:lang w:val="en-US" w:eastAsia="zh-CN"/>
        </w:rPr>
        <w:t>26</w:t>
      </w:r>
      <w:r>
        <w:rPr>
          <w:rFonts w:hint="eastAsia"/>
        </w:rPr>
        <w:t>日正式进驻区医保局实施评价工作</w:t>
      </w:r>
      <w:r>
        <w:rPr>
          <w:rFonts w:hint="eastAsia"/>
          <w:lang w:eastAsia="zh-CN"/>
        </w:rPr>
        <w:t>。</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w:t>
      </w:r>
      <w:r>
        <w:t>2</w:t>
      </w:r>
      <w:r>
        <w:rPr>
          <w:rFonts w:hint="eastAsia"/>
        </w:rPr>
        <w:t>）全面审查。</w:t>
      </w:r>
    </w:p>
    <w:p>
      <w:pPr>
        <w:pStyle w:val="26"/>
        <w:pageBreakBefore w:val="0"/>
        <w:kinsoku/>
        <w:wordWrap/>
        <w:overflowPunct/>
        <w:topLinePunct w:val="0"/>
        <w:autoSpaceDE/>
        <w:autoSpaceDN/>
        <w:bidi w:val="0"/>
        <w:adjustRightInd/>
        <w:snapToGrid/>
        <w:spacing w:line="560" w:lineRule="exact"/>
        <w:ind w:firstLine="640"/>
        <w:textAlignment w:val="auto"/>
        <w:rPr>
          <w:rFonts w:hint="eastAsia" w:eastAsia="仿宋_GB2312"/>
          <w:lang w:eastAsia="zh-CN"/>
        </w:rPr>
      </w:pPr>
      <w:r>
        <w:rPr>
          <w:rFonts w:hint="eastAsia"/>
        </w:rPr>
        <w:t>评价过程中，评价组对医疗服务与保障能力提升补助资金项目的文件依据、预算编制、制度执行、资金拨付、资金使用情况、产生效益等方面进行了全面梳理。评价组根据《市财政局市医保局关于拨付和下达医疗服务与保障能力提升补助资金（医疗保障服务能力提升部分）的通知》（津财社指〔2023〕37号）</w:t>
      </w:r>
      <w:r>
        <w:rPr>
          <w:rFonts w:hint="eastAsia"/>
          <w:lang w:eastAsia="zh-CN"/>
        </w:rPr>
        <w:t>、</w:t>
      </w:r>
      <w:r>
        <w:rPr>
          <w:rFonts w:hint="eastAsia"/>
        </w:rPr>
        <w:t>《2023年医疗保障工作要点》</w:t>
      </w:r>
      <w:r>
        <w:rPr>
          <w:rFonts w:hint="eastAsia"/>
          <w:lang w:eastAsia="zh-CN"/>
        </w:rPr>
        <w:t>、</w:t>
      </w:r>
      <w:r>
        <w:rPr>
          <w:rFonts w:hint="eastAsia"/>
        </w:rPr>
        <w:t>《和平区医保局关于“医疗服务与保障能力提升补助资金”项目管理制度》等文件，对专项经费的到位情况、预算编制、实施进度等相关业务文件及财务数据进行了核查</w:t>
      </w:r>
      <w:r>
        <w:rPr>
          <w:rFonts w:hint="eastAsia"/>
          <w:lang w:eastAsia="zh-CN"/>
        </w:rPr>
        <w:t>。</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w:t>
      </w:r>
      <w:r>
        <w:t>3</w:t>
      </w:r>
      <w:r>
        <w:rPr>
          <w:rFonts w:hint="eastAsia"/>
        </w:rPr>
        <w:t>）实地核查。</w:t>
      </w:r>
    </w:p>
    <w:p>
      <w:pPr>
        <w:pStyle w:val="26"/>
        <w:pageBreakBefore w:val="0"/>
        <w:kinsoku/>
        <w:wordWrap/>
        <w:overflowPunct/>
        <w:topLinePunct w:val="0"/>
        <w:autoSpaceDE/>
        <w:autoSpaceDN/>
        <w:bidi w:val="0"/>
        <w:adjustRightInd/>
        <w:snapToGrid/>
        <w:spacing w:line="560" w:lineRule="exact"/>
        <w:ind w:firstLine="640"/>
        <w:textAlignment w:val="auto"/>
        <w:rPr>
          <w:rFonts w:hint="eastAsia" w:eastAsia="仿宋_GB2312"/>
          <w:lang w:eastAsia="zh-CN"/>
        </w:rPr>
      </w:pPr>
      <w:r>
        <w:rPr>
          <w:rFonts w:hint="eastAsia"/>
        </w:rPr>
        <w:t>对区医保局开展现场</w:t>
      </w:r>
      <w:r>
        <w:rPr>
          <w:rFonts w:hint="eastAsia"/>
          <w:highlight w:val="none"/>
        </w:rPr>
        <w:t>评价，针对“医保定点医药机构监督检查”“医保法治能力建设”“医保政策宣传”“依申请救助经办服务能力提升”和“四级经办服务体系建设”</w:t>
      </w:r>
      <w:r>
        <w:rPr>
          <w:rFonts w:hint="eastAsia"/>
          <w:highlight w:val="none"/>
          <w:lang w:val="en-US" w:eastAsia="zh-CN"/>
        </w:rPr>
        <w:t>项目的完成</w:t>
      </w:r>
      <w:r>
        <w:rPr>
          <w:rFonts w:hint="eastAsia"/>
          <w:highlight w:val="none"/>
        </w:rPr>
        <w:t>情况进行一一核查，根据上述核查内容形</w:t>
      </w:r>
      <w:r>
        <w:rPr>
          <w:rFonts w:hint="eastAsia"/>
        </w:rPr>
        <w:t>成评价清单。同时评价组成员针对项目涉及的服务对象，对</w:t>
      </w:r>
      <w:r>
        <w:rPr>
          <w:rFonts w:hint="eastAsia"/>
          <w:highlight w:val="none"/>
          <w:lang w:val="en-US" w:eastAsia="zh-CN"/>
        </w:rPr>
        <w:t>辖区参保人员和医保经办人员</w:t>
      </w:r>
      <w:r>
        <w:rPr>
          <w:rFonts w:hint="eastAsia"/>
        </w:rPr>
        <w:t>进行问卷调查</w:t>
      </w:r>
      <w:r>
        <w:rPr>
          <w:rFonts w:hint="eastAsia"/>
          <w:lang w:eastAsia="zh-CN"/>
        </w:rPr>
        <w:t>。</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w:t>
      </w:r>
      <w:r>
        <w:t>4</w:t>
      </w:r>
      <w:r>
        <w:rPr>
          <w:rFonts w:hint="eastAsia"/>
        </w:rPr>
        <w:t>）评价打分。</w:t>
      </w:r>
    </w:p>
    <w:p>
      <w:pPr>
        <w:pStyle w:val="26"/>
        <w:pageBreakBefore w:val="0"/>
        <w:kinsoku/>
        <w:wordWrap/>
        <w:overflowPunct/>
        <w:topLinePunct w:val="0"/>
        <w:autoSpaceDE/>
        <w:autoSpaceDN/>
        <w:bidi w:val="0"/>
        <w:adjustRightInd/>
        <w:snapToGrid/>
        <w:spacing w:line="560" w:lineRule="exact"/>
        <w:ind w:firstLine="640"/>
        <w:textAlignment w:val="auto"/>
        <w:rPr>
          <w:rFonts w:hint="eastAsia" w:eastAsia="仿宋_GB2312"/>
          <w:lang w:eastAsia="zh-CN"/>
        </w:rPr>
      </w:pPr>
      <w:r>
        <w:rPr>
          <w:rFonts w:hint="eastAsia"/>
        </w:rPr>
        <w:t>按照绩效评价指标体系对各绩效评价指标进行了评分</w:t>
      </w:r>
      <w:r>
        <w:rPr>
          <w:rFonts w:hint="eastAsia"/>
          <w:lang w:eastAsia="zh-CN"/>
        </w:rPr>
        <w:t>。</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w:t>
      </w:r>
      <w:r>
        <w:t>5</w:t>
      </w:r>
      <w:r>
        <w:rPr>
          <w:rFonts w:hint="eastAsia"/>
        </w:rPr>
        <w:t>）编制报告。</w:t>
      </w:r>
    </w:p>
    <w:p>
      <w:pPr>
        <w:pStyle w:val="26"/>
        <w:pageBreakBefore w:val="0"/>
        <w:kinsoku/>
        <w:wordWrap/>
        <w:overflowPunct/>
        <w:topLinePunct w:val="0"/>
        <w:autoSpaceDE/>
        <w:autoSpaceDN/>
        <w:bidi w:val="0"/>
        <w:adjustRightInd/>
        <w:snapToGrid/>
        <w:spacing w:line="560" w:lineRule="exact"/>
        <w:ind w:firstLine="640"/>
        <w:textAlignment w:val="auto"/>
        <w:rPr>
          <w:rFonts w:hint="default" w:eastAsia="仿宋_GB2312"/>
          <w:lang w:val="en-US" w:eastAsia="zh-CN"/>
        </w:rPr>
      </w:pPr>
      <w:r>
        <w:rPr>
          <w:rFonts w:hint="eastAsia"/>
        </w:rPr>
        <w:t>评价组根据现场评价打分，编制绩效评价报告，全面梳理本项目在决策依据、过程管理、产出情况、取得效益等方面存在的问题及工作</w:t>
      </w:r>
      <w:r>
        <w:rPr>
          <w:rFonts w:hint="eastAsia"/>
          <w:lang w:val="en-US" w:eastAsia="zh-CN"/>
        </w:rPr>
        <w:t>建议。</w:t>
      </w:r>
    </w:p>
    <w:p>
      <w:pPr>
        <w:pStyle w:val="28"/>
        <w:pageBreakBefore w:val="0"/>
        <w:kinsoku/>
        <w:wordWrap/>
        <w:overflowPunct/>
        <w:topLinePunct w:val="0"/>
        <w:autoSpaceDE/>
        <w:autoSpaceDN/>
        <w:bidi w:val="0"/>
        <w:adjustRightInd/>
        <w:snapToGrid/>
        <w:spacing w:line="560" w:lineRule="exact"/>
        <w:textAlignment w:val="auto"/>
      </w:pPr>
      <w:bookmarkStart w:id="16" w:name="_Toc12913"/>
      <w:r>
        <w:rPr>
          <w:rFonts w:hint="eastAsia"/>
        </w:rPr>
        <w:t>三、综合评价情况及评价结论</w:t>
      </w:r>
      <w:bookmarkEnd w:id="16"/>
    </w:p>
    <w:p>
      <w:pPr>
        <w:pStyle w:val="26"/>
        <w:pageBreakBefore w:val="0"/>
        <w:kinsoku/>
        <w:wordWrap/>
        <w:overflowPunct/>
        <w:topLinePunct w:val="0"/>
        <w:autoSpaceDE/>
        <w:autoSpaceDN/>
        <w:bidi w:val="0"/>
        <w:adjustRightInd/>
        <w:snapToGrid/>
        <w:spacing w:line="560" w:lineRule="exact"/>
        <w:ind w:firstLine="640"/>
        <w:textAlignment w:val="auto"/>
        <w:rPr>
          <w:rFonts w:hint="eastAsia" w:eastAsia="仿宋_GB2312"/>
          <w:lang w:eastAsia="zh-CN"/>
        </w:rPr>
      </w:pPr>
      <w:bookmarkStart w:id="17" w:name="_Hlk91875381"/>
      <w:r>
        <w:rPr>
          <w:rFonts w:hint="eastAsia"/>
        </w:rPr>
        <w:t>经过综合评价，医疗服务与保障能力提升补助资金项目得分</w:t>
      </w:r>
      <w:r>
        <w:rPr>
          <w:rFonts w:hint="eastAsia"/>
          <w:lang w:val="en-US" w:eastAsia="zh-CN"/>
        </w:rPr>
        <w:t>92.91</w:t>
      </w:r>
      <w:r>
        <w:rPr>
          <w:rFonts w:hint="eastAsia"/>
        </w:rPr>
        <w:t>分，评价等级为“</w:t>
      </w:r>
      <w:r>
        <w:rPr>
          <w:rFonts w:hint="eastAsia"/>
          <w:lang w:val="en-US" w:eastAsia="zh-CN"/>
        </w:rPr>
        <w:t>优</w:t>
      </w:r>
      <w:r>
        <w:rPr>
          <w:rFonts w:hint="eastAsia"/>
        </w:rPr>
        <w:t>”。其中，项目决策</w:t>
      </w:r>
      <w:r>
        <w:rPr>
          <w:rFonts w:hint="eastAsia"/>
          <w:lang w:val="en-US" w:eastAsia="zh-CN"/>
        </w:rPr>
        <w:t>15</w:t>
      </w:r>
      <w:r>
        <w:rPr>
          <w:rFonts w:hint="eastAsia"/>
        </w:rPr>
        <w:t>分，项目过程</w:t>
      </w:r>
      <w:r>
        <w:rPr>
          <w:rFonts w:hint="eastAsia"/>
          <w:lang w:val="en-US" w:eastAsia="zh-CN"/>
        </w:rPr>
        <w:t>19.99</w:t>
      </w:r>
      <w:r>
        <w:rPr>
          <w:rFonts w:hint="eastAsia"/>
        </w:rPr>
        <w:t>分，项目产出</w:t>
      </w:r>
      <w:r>
        <w:rPr>
          <w:rFonts w:hint="eastAsia"/>
          <w:lang w:val="en-US" w:eastAsia="zh-CN"/>
        </w:rPr>
        <w:t>38</w:t>
      </w:r>
      <w:r>
        <w:rPr>
          <w:rFonts w:hint="eastAsia"/>
        </w:rPr>
        <w:t>分，项目效益</w:t>
      </w:r>
      <w:r>
        <w:rPr>
          <w:rFonts w:hint="eastAsia"/>
          <w:lang w:val="en-US" w:eastAsia="zh-CN"/>
        </w:rPr>
        <w:t>19.92</w:t>
      </w:r>
      <w:r>
        <w:rPr>
          <w:rFonts w:hint="eastAsia"/>
        </w:rPr>
        <w:t>分。</w:t>
      </w:r>
      <w:bookmarkEnd w:id="17"/>
      <w:bookmarkStart w:id="18" w:name="_Hlk91875395"/>
      <w:r>
        <w:rPr>
          <w:rFonts w:hint="eastAsia"/>
        </w:rPr>
        <w:t>具体情况见表</w:t>
      </w:r>
      <w:r>
        <w:rPr>
          <w:rFonts w:hint="eastAsia"/>
          <w:lang w:val="en-US" w:eastAsia="zh-CN"/>
        </w:rPr>
        <w:t>7</w:t>
      </w:r>
      <w:r>
        <w:rPr>
          <w:rFonts w:hint="eastAsia"/>
          <w:lang w:eastAsia="zh-CN"/>
        </w:rPr>
        <w:t>。</w:t>
      </w:r>
    </w:p>
    <w:p>
      <w:pPr>
        <w:pStyle w:val="33"/>
        <w:pageBreakBefore w:val="0"/>
        <w:kinsoku/>
        <w:wordWrap/>
        <w:overflowPunct/>
        <w:topLinePunct w:val="0"/>
        <w:autoSpaceDE/>
        <w:autoSpaceDN/>
        <w:bidi w:val="0"/>
        <w:adjustRightInd/>
        <w:snapToGrid/>
        <w:spacing w:line="560" w:lineRule="exact"/>
        <w:textAlignment w:val="auto"/>
      </w:pPr>
      <w:r>
        <w:t>表</w:t>
      </w:r>
      <w:r>
        <w:rPr>
          <w:rFonts w:hint="eastAsia"/>
          <w:lang w:val="en-US" w:eastAsia="zh-CN"/>
        </w:rPr>
        <w:t>7</w:t>
      </w:r>
      <w:r>
        <w:t xml:space="preserve">  </w:t>
      </w:r>
      <w:r>
        <w:rPr>
          <w:rFonts w:hint="eastAsia"/>
        </w:rPr>
        <w:t>医疗服务与保障能力提升补助资金项目绩效得分情况表</w:t>
      </w:r>
    </w:p>
    <w:tbl>
      <w:tblPr>
        <w:tblStyle w:val="16"/>
        <w:tblW w:w="4343"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304"/>
        <w:gridCol w:w="1304"/>
        <w:gridCol w:w="1304"/>
        <w:gridCol w:w="1332"/>
        <w:gridCol w:w="1304"/>
        <w:gridCol w:w="132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828" w:type="pct"/>
            <w:vAlign w:val="center"/>
          </w:tcPr>
          <w:p>
            <w:pPr>
              <w:pStyle w:val="36"/>
              <w:rPr>
                <w:rFonts w:hint="eastAsia" w:ascii="宋体" w:hAnsi="宋体" w:eastAsia="宋体" w:cs="宋体"/>
              </w:rPr>
            </w:pPr>
            <w:r>
              <w:rPr>
                <w:rFonts w:hint="eastAsia" w:ascii="宋体" w:hAnsi="宋体" w:eastAsia="宋体" w:cs="宋体"/>
              </w:rPr>
              <w:t>指标</w:t>
            </w:r>
          </w:p>
        </w:tc>
        <w:tc>
          <w:tcPr>
            <w:tcW w:w="828" w:type="pct"/>
            <w:vAlign w:val="center"/>
          </w:tcPr>
          <w:p>
            <w:pPr>
              <w:pStyle w:val="36"/>
              <w:rPr>
                <w:rFonts w:hint="eastAsia" w:ascii="宋体" w:hAnsi="宋体" w:eastAsia="宋体" w:cs="宋体"/>
              </w:rPr>
            </w:pPr>
            <w:r>
              <w:rPr>
                <w:rFonts w:hint="eastAsia" w:ascii="宋体" w:hAnsi="宋体" w:eastAsia="宋体" w:cs="宋体"/>
              </w:rPr>
              <w:t>项目决策</w:t>
            </w:r>
          </w:p>
        </w:tc>
        <w:tc>
          <w:tcPr>
            <w:tcW w:w="828" w:type="pct"/>
            <w:vAlign w:val="center"/>
          </w:tcPr>
          <w:p>
            <w:pPr>
              <w:pStyle w:val="36"/>
              <w:rPr>
                <w:rFonts w:hint="eastAsia" w:ascii="宋体" w:hAnsi="宋体" w:eastAsia="宋体" w:cs="宋体"/>
              </w:rPr>
            </w:pPr>
            <w:r>
              <w:rPr>
                <w:rFonts w:hint="eastAsia" w:ascii="宋体" w:hAnsi="宋体" w:eastAsia="宋体" w:cs="宋体"/>
              </w:rPr>
              <w:t>项目过程</w:t>
            </w:r>
          </w:p>
        </w:tc>
        <w:tc>
          <w:tcPr>
            <w:tcW w:w="846" w:type="pct"/>
            <w:vAlign w:val="center"/>
          </w:tcPr>
          <w:p>
            <w:pPr>
              <w:pStyle w:val="36"/>
              <w:rPr>
                <w:rFonts w:hint="eastAsia" w:ascii="宋体" w:hAnsi="宋体" w:eastAsia="宋体" w:cs="宋体"/>
              </w:rPr>
            </w:pPr>
            <w:r>
              <w:rPr>
                <w:rFonts w:hint="eastAsia" w:ascii="宋体" w:hAnsi="宋体" w:eastAsia="宋体" w:cs="宋体"/>
              </w:rPr>
              <w:t>项目产出</w:t>
            </w:r>
          </w:p>
        </w:tc>
        <w:tc>
          <w:tcPr>
            <w:tcW w:w="828" w:type="pct"/>
            <w:vAlign w:val="center"/>
          </w:tcPr>
          <w:p>
            <w:pPr>
              <w:pStyle w:val="36"/>
              <w:rPr>
                <w:rFonts w:hint="eastAsia" w:ascii="宋体" w:hAnsi="宋体" w:eastAsia="宋体" w:cs="宋体"/>
              </w:rPr>
            </w:pPr>
            <w:r>
              <w:rPr>
                <w:rFonts w:hint="eastAsia" w:ascii="宋体" w:hAnsi="宋体" w:eastAsia="宋体" w:cs="宋体"/>
              </w:rPr>
              <w:t>项目效益</w:t>
            </w:r>
          </w:p>
        </w:tc>
        <w:tc>
          <w:tcPr>
            <w:tcW w:w="839" w:type="pct"/>
            <w:vAlign w:val="center"/>
          </w:tcPr>
          <w:p>
            <w:pPr>
              <w:pStyle w:val="36"/>
              <w:rPr>
                <w:rFonts w:hint="eastAsia" w:ascii="宋体" w:hAnsi="宋体" w:eastAsia="宋体" w:cs="宋体"/>
              </w:rPr>
            </w:pPr>
            <w:r>
              <w:rPr>
                <w:rFonts w:hint="eastAsia" w:ascii="宋体" w:hAnsi="宋体" w:eastAsia="宋体" w:cs="宋体"/>
              </w:rPr>
              <w:t>合计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828" w:type="pct"/>
            <w:vAlign w:val="center"/>
          </w:tcPr>
          <w:p>
            <w:pPr>
              <w:pStyle w:val="38"/>
            </w:pPr>
            <w:r>
              <w:rPr>
                <w:rFonts w:hint="eastAsia"/>
              </w:rPr>
              <w:t>分值</w:t>
            </w:r>
          </w:p>
        </w:tc>
        <w:tc>
          <w:tcPr>
            <w:tcW w:w="828" w:type="pct"/>
            <w:vAlign w:val="center"/>
          </w:tcPr>
          <w:p>
            <w:pPr>
              <w:pStyle w:val="38"/>
            </w:pPr>
            <w:r>
              <w:t>17</w:t>
            </w:r>
          </w:p>
        </w:tc>
        <w:tc>
          <w:tcPr>
            <w:tcW w:w="828" w:type="pct"/>
            <w:vAlign w:val="center"/>
          </w:tcPr>
          <w:p>
            <w:pPr>
              <w:pStyle w:val="38"/>
            </w:pPr>
            <w:r>
              <w:t>23</w:t>
            </w:r>
          </w:p>
        </w:tc>
        <w:tc>
          <w:tcPr>
            <w:tcW w:w="846" w:type="pct"/>
            <w:vAlign w:val="center"/>
          </w:tcPr>
          <w:p>
            <w:pPr>
              <w:pStyle w:val="38"/>
            </w:pPr>
            <w:r>
              <w:t>38</w:t>
            </w:r>
          </w:p>
        </w:tc>
        <w:tc>
          <w:tcPr>
            <w:tcW w:w="828" w:type="pct"/>
            <w:vAlign w:val="center"/>
          </w:tcPr>
          <w:p>
            <w:pPr>
              <w:pStyle w:val="38"/>
            </w:pPr>
            <w:r>
              <w:t>22</w:t>
            </w:r>
          </w:p>
        </w:tc>
        <w:tc>
          <w:tcPr>
            <w:tcW w:w="839" w:type="pct"/>
            <w:vAlign w:val="center"/>
          </w:tcPr>
          <w:p>
            <w:pPr>
              <w:pStyle w:val="38"/>
            </w:pPr>
            <w:r>
              <w:t>100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828" w:type="pct"/>
            <w:vAlign w:val="center"/>
          </w:tcPr>
          <w:p>
            <w:pPr>
              <w:pStyle w:val="38"/>
            </w:pPr>
            <w:r>
              <w:rPr>
                <w:rFonts w:hint="eastAsia"/>
              </w:rPr>
              <w:t>得分</w:t>
            </w:r>
          </w:p>
        </w:tc>
        <w:tc>
          <w:tcPr>
            <w:tcW w:w="828" w:type="pct"/>
            <w:vAlign w:val="center"/>
          </w:tcPr>
          <w:p>
            <w:pPr>
              <w:pStyle w:val="38"/>
              <w:rPr>
                <w:rFonts w:hint="default" w:eastAsia="宋体"/>
                <w:lang w:val="en-US" w:eastAsia="zh-CN"/>
              </w:rPr>
            </w:pPr>
            <w:r>
              <w:rPr>
                <w:rFonts w:hint="eastAsia"/>
                <w:lang w:val="en-US" w:eastAsia="zh-CN"/>
              </w:rPr>
              <w:t>15</w:t>
            </w:r>
          </w:p>
        </w:tc>
        <w:tc>
          <w:tcPr>
            <w:tcW w:w="828" w:type="pct"/>
            <w:vAlign w:val="center"/>
          </w:tcPr>
          <w:p>
            <w:pPr>
              <w:pStyle w:val="38"/>
              <w:rPr>
                <w:rFonts w:hint="default" w:eastAsia="宋体"/>
                <w:lang w:val="en-US" w:eastAsia="zh-CN"/>
              </w:rPr>
            </w:pPr>
            <w:r>
              <w:rPr>
                <w:rFonts w:hint="eastAsia"/>
                <w:lang w:val="en-US" w:eastAsia="zh-CN"/>
              </w:rPr>
              <w:t>19.99</w:t>
            </w:r>
          </w:p>
        </w:tc>
        <w:tc>
          <w:tcPr>
            <w:tcW w:w="846" w:type="pct"/>
            <w:vAlign w:val="center"/>
          </w:tcPr>
          <w:p>
            <w:pPr>
              <w:pStyle w:val="38"/>
              <w:rPr>
                <w:rFonts w:hint="default" w:eastAsia="宋体"/>
                <w:lang w:val="en-US" w:eastAsia="zh-CN"/>
              </w:rPr>
            </w:pPr>
            <w:r>
              <w:rPr>
                <w:rFonts w:hint="eastAsia"/>
                <w:lang w:val="en-US" w:eastAsia="zh-CN"/>
              </w:rPr>
              <w:t>38</w:t>
            </w:r>
          </w:p>
        </w:tc>
        <w:tc>
          <w:tcPr>
            <w:tcW w:w="828" w:type="pct"/>
            <w:vAlign w:val="center"/>
          </w:tcPr>
          <w:p>
            <w:pPr>
              <w:pStyle w:val="38"/>
              <w:rPr>
                <w:rFonts w:hint="default" w:eastAsia="宋体"/>
                <w:lang w:val="en-US" w:eastAsia="zh-CN"/>
              </w:rPr>
            </w:pPr>
            <w:r>
              <w:rPr>
                <w:rFonts w:hint="eastAsia"/>
                <w:lang w:val="en-US" w:eastAsia="zh-CN"/>
              </w:rPr>
              <w:t>19.92</w:t>
            </w:r>
          </w:p>
        </w:tc>
        <w:tc>
          <w:tcPr>
            <w:tcW w:w="839" w:type="pct"/>
            <w:vAlign w:val="center"/>
          </w:tcPr>
          <w:p>
            <w:pPr>
              <w:pStyle w:val="38"/>
              <w:rPr>
                <w:rFonts w:hint="default" w:eastAsia="宋体"/>
                <w:lang w:val="en-US" w:eastAsia="zh-CN"/>
              </w:rPr>
            </w:pPr>
            <w:r>
              <w:rPr>
                <w:rFonts w:hint="eastAsia"/>
                <w:lang w:val="en-US" w:eastAsia="zh-CN"/>
              </w:rPr>
              <w:t>92.91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828" w:type="pct"/>
            <w:vAlign w:val="center"/>
          </w:tcPr>
          <w:p>
            <w:pPr>
              <w:pStyle w:val="38"/>
            </w:pPr>
            <w:r>
              <w:rPr>
                <w:rFonts w:hint="eastAsia"/>
              </w:rPr>
              <w:t>得分率</w:t>
            </w:r>
          </w:p>
        </w:tc>
        <w:tc>
          <w:tcPr>
            <w:tcW w:w="828" w:type="pct"/>
            <w:vAlign w:val="center"/>
          </w:tcPr>
          <w:p>
            <w:pPr>
              <w:pStyle w:val="38"/>
              <w:rPr>
                <w:rFonts w:hint="default" w:eastAsia="宋体"/>
                <w:lang w:val="en-US" w:eastAsia="zh-CN"/>
              </w:rPr>
            </w:pPr>
            <w:r>
              <w:rPr>
                <w:rFonts w:hint="eastAsia"/>
                <w:lang w:val="en-US" w:eastAsia="zh-CN"/>
              </w:rPr>
              <w:t>88.24%</w:t>
            </w:r>
          </w:p>
        </w:tc>
        <w:tc>
          <w:tcPr>
            <w:tcW w:w="828" w:type="pct"/>
            <w:vAlign w:val="center"/>
          </w:tcPr>
          <w:p>
            <w:pPr>
              <w:pStyle w:val="38"/>
              <w:rPr>
                <w:rFonts w:hint="default" w:eastAsia="宋体"/>
                <w:lang w:val="en-US" w:eastAsia="zh-CN"/>
              </w:rPr>
            </w:pPr>
            <w:r>
              <w:rPr>
                <w:rFonts w:hint="eastAsia"/>
                <w:lang w:val="en-US" w:eastAsia="zh-CN"/>
              </w:rPr>
              <w:t>86.91%</w:t>
            </w:r>
          </w:p>
        </w:tc>
        <w:tc>
          <w:tcPr>
            <w:tcW w:w="846" w:type="pct"/>
            <w:vAlign w:val="center"/>
          </w:tcPr>
          <w:p>
            <w:pPr>
              <w:pStyle w:val="38"/>
              <w:rPr>
                <w:rFonts w:hint="default" w:eastAsia="宋体"/>
                <w:lang w:val="en-US" w:eastAsia="zh-CN"/>
              </w:rPr>
            </w:pPr>
            <w:r>
              <w:rPr>
                <w:rFonts w:hint="eastAsia"/>
                <w:lang w:val="en-US" w:eastAsia="zh-CN"/>
              </w:rPr>
              <w:t>100%</w:t>
            </w:r>
          </w:p>
        </w:tc>
        <w:tc>
          <w:tcPr>
            <w:tcW w:w="828" w:type="pct"/>
            <w:vAlign w:val="center"/>
          </w:tcPr>
          <w:p>
            <w:pPr>
              <w:pStyle w:val="38"/>
              <w:rPr>
                <w:rFonts w:hint="default" w:eastAsia="宋体"/>
                <w:lang w:val="en-US" w:eastAsia="zh-CN"/>
              </w:rPr>
            </w:pPr>
            <w:r>
              <w:rPr>
                <w:rFonts w:hint="eastAsia"/>
                <w:lang w:val="en-US" w:eastAsia="zh-CN"/>
              </w:rPr>
              <w:t>90.55%</w:t>
            </w:r>
          </w:p>
        </w:tc>
        <w:tc>
          <w:tcPr>
            <w:tcW w:w="839" w:type="pct"/>
            <w:vAlign w:val="center"/>
          </w:tcPr>
          <w:p>
            <w:pPr>
              <w:pStyle w:val="38"/>
              <w:rPr>
                <w:rFonts w:hint="default" w:eastAsia="宋体"/>
                <w:lang w:val="en-US" w:eastAsia="zh-CN"/>
              </w:rPr>
            </w:pPr>
            <w:r>
              <w:rPr>
                <w:rFonts w:hint="eastAsia"/>
                <w:lang w:val="en-US" w:eastAsia="zh-CN"/>
              </w:rPr>
              <w:t>92.91%</w:t>
            </w:r>
          </w:p>
        </w:tc>
      </w:tr>
      <w:bookmarkEnd w:id="18"/>
    </w:tbl>
    <w:p>
      <w:pPr>
        <w:pStyle w:val="26"/>
        <w:pageBreakBefore w:val="0"/>
        <w:kinsoku/>
        <w:wordWrap/>
        <w:overflowPunct/>
        <w:topLinePunct w:val="0"/>
        <w:autoSpaceDE/>
        <w:autoSpaceDN/>
        <w:bidi w:val="0"/>
        <w:adjustRightInd/>
        <w:snapToGrid/>
        <w:spacing w:line="560" w:lineRule="exact"/>
        <w:ind w:firstLine="640"/>
        <w:textAlignment w:val="auto"/>
      </w:pPr>
      <w:bookmarkStart w:id="19" w:name="_Hlk91875411"/>
      <w:r>
        <w:rPr>
          <w:rFonts w:hint="eastAsia"/>
        </w:rPr>
        <w:t>评价结论：一是项目决策方面，项目立项依据充分，立项程序规范，预算编制测算数据合理，测算标准客观，符合项目需求，但存在绩效指标设置</w:t>
      </w:r>
      <w:r>
        <w:rPr>
          <w:rFonts w:hint="eastAsia"/>
          <w:lang w:val="en-US" w:eastAsia="zh-CN"/>
        </w:rPr>
        <w:t>不规范、与项目实施内容相关性不足的问题</w:t>
      </w:r>
      <w:r>
        <w:rPr>
          <w:rFonts w:hint="eastAsia"/>
        </w:rPr>
        <w:t>；二是项目过程方面，项目预算执行情况良好，资金使用合理规范，</w:t>
      </w:r>
      <w:r>
        <w:rPr>
          <w:rFonts w:hint="eastAsia"/>
          <w:lang w:val="en-US" w:eastAsia="zh-CN"/>
        </w:rPr>
        <w:t>制度执行有效，</w:t>
      </w:r>
      <w:r>
        <w:rPr>
          <w:rFonts w:hint="eastAsia"/>
        </w:rPr>
        <w:t>但存在</w:t>
      </w:r>
      <w:r>
        <w:rPr>
          <w:rFonts w:hint="eastAsia"/>
          <w:lang w:val="en-US" w:eastAsia="zh-CN"/>
        </w:rPr>
        <w:t>项目资产管理不规范和管理制度不健全</w:t>
      </w:r>
      <w:r>
        <w:rPr>
          <w:rFonts w:hint="eastAsia"/>
        </w:rPr>
        <w:t>的问题；三是项目产出方面，医保定点医药机构监督检查</w:t>
      </w:r>
      <w:r>
        <w:rPr>
          <w:rFonts w:hint="eastAsia"/>
          <w:lang w:eastAsia="zh-CN"/>
        </w:rPr>
        <w:t>、医保法治能力建设、医保宣传、经办服务体系建设工作</w:t>
      </w:r>
      <w:r>
        <w:rPr>
          <w:rFonts w:hint="eastAsia"/>
          <w:lang w:val="en-US" w:eastAsia="zh-CN"/>
        </w:rPr>
        <w:t>均</w:t>
      </w:r>
      <w:r>
        <w:rPr>
          <w:rFonts w:hint="eastAsia"/>
        </w:rPr>
        <w:t>按照计划与规定完成，</w:t>
      </w:r>
      <w:r>
        <w:rPr>
          <w:rFonts w:hint="eastAsia"/>
          <w:lang w:val="en-US" w:eastAsia="zh-CN"/>
        </w:rPr>
        <w:t>完成质量达标、时间及时，成本控制有效</w:t>
      </w:r>
      <w:r>
        <w:rPr>
          <w:rFonts w:hint="eastAsia"/>
        </w:rPr>
        <w:t>；四是项目效益方面，项目的实施</w:t>
      </w:r>
      <w:r>
        <w:rPr>
          <w:rFonts w:hint="eastAsia"/>
          <w:lang w:val="en-US" w:eastAsia="zh-CN"/>
        </w:rPr>
        <w:t>促进了医疗保障基金使用的规范性，</w:t>
      </w:r>
      <w:r>
        <w:rPr>
          <w:rFonts w:hint="eastAsia"/>
        </w:rPr>
        <w:t>提升了</w:t>
      </w:r>
      <w:r>
        <w:rPr>
          <w:rFonts w:hint="eastAsia"/>
          <w:lang w:val="en-US" w:eastAsia="zh-CN"/>
        </w:rPr>
        <w:t>医保法治能力</w:t>
      </w:r>
      <w:r>
        <w:rPr>
          <w:rFonts w:hint="eastAsia"/>
        </w:rPr>
        <w:t>，</w:t>
      </w:r>
      <w:r>
        <w:rPr>
          <w:rFonts w:hint="eastAsia"/>
          <w:lang w:val="en-US" w:eastAsia="zh-CN"/>
        </w:rPr>
        <w:t>一定程度促进了医保经办服务能力的提升，但能力提升效果不显著，且居民医保参保扩面任务未按计划完成，项目实现效益仍存在上升空间。</w:t>
      </w:r>
    </w:p>
    <w:bookmarkEnd w:id="19"/>
    <w:p>
      <w:pPr>
        <w:pStyle w:val="28"/>
        <w:pageBreakBefore w:val="0"/>
        <w:kinsoku/>
        <w:wordWrap/>
        <w:overflowPunct/>
        <w:topLinePunct w:val="0"/>
        <w:autoSpaceDE/>
        <w:autoSpaceDN/>
        <w:bidi w:val="0"/>
        <w:adjustRightInd/>
        <w:snapToGrid/>
        <w:spacing w:line="560" w:lineRule="exact"/>
        <w:textAlignment w:val="auto"/>
      </w:pPr>
      <w:bookmarkStart w:id="20" w:name="_Toc9186"/>
      <w:r>
        <w:rPr>
          <w:rFonts w:hint="eastAsia"/>
        </w:rPr>
        <w:t>四、绩效评价指标分析</w:t>
      </w:r>
      <w:bookmarkEnd w:id="20"/>
    </w:p>
    <w:p>
      <w:pPr>
        <w:pStyle w:val="30"/>
        <w:pageBreakBefore w:val="0"/>
        <w:kinsoku/>
        <w:wordWrap/>
        <w:overflowPunct/>
        <w:topLinePunct w:val="0"/>
        <w:autoSpaceDE/>
        <w:autoSpaceDN/>
        <w:bidi w:val="0"/>
        <w:adjustRightInd/>
        <w:snapToGrid/>
        <w:spacing w:line="560" w:lineRule="exact"/>
        <w:ind w:firstLine="640"/>
        <w:textAlignment w:val="auto"/>
        <w:rPr>
          <w:rFonts w:hint="eastAsia"/>
        </w:rPr>
      </w:pPr>
      <w:bookmarkStart w:id="21" w:name="_Toc16191"/>
      <w:r>
        <w:rPr>
          <w:rFonts w:hint="eastAsia"/>
        </w:rPr>
        <w:t>（一）项目决策情况</w:t>
      </w:r>
      <w:bookmarkEnd w:id="21"/>
    </w:p>
    <w:p>
      <w:pPr>
        <w:pStyle w:val="26"/>
        <w:pageBreakBefore w:val="0"/>
        <w:kinsoku/>
        <w:wordWrap/>
        <w:overflowPunct/>
        <w:topLinePunct w:val="0"/>
        <w:autoSpaceDE/>
        <w:autoSpaceDN/>
        <w:bidi w:val="0"/>
        <w:adjustRightInd/>
        <w:snapToGrid/>
        <w:spacing w:line="560" w:lineRule="exact"/>
        <w:ind w:firstLine="640"/>
        <w:textAlignment w:val="auto"/>
        <w:rPr>
          <w:highlight w:val="none"/>
        </w:rPr>
      </w:pPr>
      <w:r>
        <w:rPr>
          <w:rFonts w:hint="eastAsia"/>
        </w:rPr>
        <w:t>决策指标主要包括项目立项、绩效目标、预算编制</w:t>
      </w:r>
      <w:r>
        <w:t>3</w:t>
      </w:r>
      <w:r>
        <w:rPr>
          <w:rFonts w:hint="eastAsia"/>
        </w:rPr>
        <w:t>项二级指标，</w:t>
      </w:r>
      <w:r>
        <w:t>8</w:t>
      </w:r>
      <w:r>
        <w:rPr>
          <w:rFonts w:hint="eastAsia"/>
        </w:rPr>
        <w:t>项三级指标，基础总分</w:t>
      </w:r>
      <w:r>
        <w:t>17</w:t>
      </w:r>
      <w:r>
        <w:rPr>
          <w:rFonts w:hint="eastAsia"/>
        </w:rPr>
        <w:t>分，合计得</w:t>
      </w:r>
      <w:r>
        <w:rPr>
          <w:rFonts w:hint="eastAsia"/>
          <w:highlight w:val="none"/>
        </w:rPr>
        <w:t>分</w:t>
      </w:r>
      <w:r>
        <w:rPr>
          <w:rFonts w:hint="eastAsia"/>
          <w:highlight w:val="none"/>
          <w:lang w:val="en-US" w:eastAsia="zh-CN"/>
        </w:rPr>
        <w:t>15</w:t>
      </w:r>
      <w:r>
        <w:rPr>
          <w:rFonts w:hint="eastAsia"/>
          <w:highlight w:val="none"/>
        </w:rPr>
        <w:t>分。</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1.项目立项</w:t>
      </w:r>
    </w:p>
    <w:p>
      <w:pPr>
        <w:pStyle w:val="26"/>
        <w:pageBreakBefore w:val="0"/>
        <w:kinsoku/>
        <w:wordWrap/>
        <w:overflowPunct/>
        <w:topLinePunct w:val="0"/>
        <w:autoSpaceDE/>
        <w:autoSpaceDN/>
        <w:bidi w:val="0"/>
        <w:adjustRightInd/>
        <w:snapToGrid/>
        <w:spacing w:line="560" w:lineRule="exact"/>
        <w:ind w:firstLine="640"/>
        <w:textAlignment w:val="auto"/>
        <w:rPr>
          <w:rFonts w:hint="eastAsia"/>
        </w:rPr>
      </w:pPr>
      <w:r>
        <w:rPr>
          <w:rFonts w:hint="eastAsia"/>
        </w:rPr>
        <w:t>（1）立项依据充分性（总分2分，得分</w:t>
      </w:r>
      <w:r>
        <w:rPr>
          <w:rFonts w:hint="eastAsia"/>
          <w:lang w:val="en-US" w:eastAsia="zh-CN"/>
        </w:rPr>
        <w:t>2</w:t>
      </w:r>
      <w:r>
        <w:rPr>
          <w:rFonts w:hint="eastAsia"/>
        </w:rPr>
        <w:t>分）。医疗服务与保障能力提升补助资金项目依据《市财政局市医保局关于拨付和下达医疗服务与保障能力提升补助资金（医疗保障服务能力提升部分）的通知》（津财社指〔2023〕37号）</w:t>
      </w:r>
      <w:r>
        <w:rPr>
          <w:rFonts w:hint="eastAsia"/>
          <w:lang w:eastAsia="zh-CN"/>
        </w:rPr>
        <w:t>、</w:t>
      </w:r>
      <w:r>
        <w:rPr>
          <w:rFonts w:hint="eastAsia"/>
        </w:rPr>
        <w:t>《2023年医疗保障工作要点》立项，符合</w:t>
      </w:r>
      <w:r>
        <w:rPr>
          <w:rFonts w:hint="eastAsia"/>
          <w:lang w:val="en-US" w:eastAsia="zh-CN"/>
        </w:rPr>
        <w:t>工作要点中</w:t>
      </w:r>
      <w:r>
        <w:rPr>
          <w:rFonts w:hint="eastAsia"/>
        </w:rPr>
        <w:t>“不断健全覆盖全民、统筹城乡、公平统一、安全规范、可持续的多层次医疗保障制度体系，促进医保、医疗、医药协同发展和治理”的</w:t>
      </w:r>
      <w:r>
        <w:rPr>
          <w:rFonts w:hint="eastAsia"/>
          <w:lang w:val="en-US" w:eastAsia="zh-CN"/>
        </w:rPr>
        <w:t>要求</w:t>
      </w:r>
      <w:r>
        <w:rPr>
          <w:rFonts w:hint="eastAsia"/>
        </w:rPr>
        <w:t>，同时符合区医保局“协同相关部门推进医疗、医保、医药改革”</w:t>
      </w:r>
      <w:r>
        <w:rPr>
          <w:rFonts w:hint="eastAsia"/>
          <w:lang w:val="en-US" w:eastAsia="zh-CN"/>
        </w:rPr>
        <w:t>和“负责定点医药机构医药价格监测和管理工作”等主要职责</w:t>
      </w:r>
      <w:r>
        <w:rPr>
          <w:rFonts w:hint="eastAsia"/>
        </w:rPr>
        <w:t>。本项目属于公共财政民生支持范围，未与其他部门同类项目或部门内部相关项目重复，项目立项依据充分。</w:t>
      </w:r>
    </w:p>
    <w:p>
      <w:pPr>
        <w:pStyle w:val="26"/>
        <w:pageBreakBefore w:val="0"/>
        <w:kinsoku/>
        <w:wordWrap/>
        <w:overflowPunct/>
        <w:topLinePunct w:val="0"/>
        <w:autoSpaceDE/>
        <w:autoSpaceDN/>
        <w:bidi w:val="0"/>
        <w:adjustRightInd/>
        <w:snapToGrid/>
        <w:spacing w:line="560" w:lineRule="exact"/>
        <w:ind w:firstLine="640"/>
        <w:textAlignment w:val="auto"/>
        <w:rPr>
          <w:rFonts w:hint="eastAsia"/>
        </w:rPr>
      </w:pPr>
      <w:r>
        <w:rPr>
          <w:rFonts w:hint="eastAsia"/>
        </w:rPr>
        <w:t>（2）立项程序规范性（总分2分，得分</w:t>
      </w:r>
      <w:r>
        <w:rPr>
          <w:rFonts w:hint="eastAsia"/>
          <w:lang w:val="en-US" w:eastAsia="zh-CN"/>
        </w:rPr>
        <w:t>2</w:t>
      </w:r>
      <w:r>
        <w:rPr>
          <w:rFonts w:hint="eastAsia"/>
        </w:rPr>
        <w:t>分）。医疗服务与保障能力提升补助资金项目立项经过单位党组会议集体决策，会议中对项目</w:t>
      </w:r>
      <w:r>
        <w:rPr>
          <w:rFonts w:hint="eastAsia"/>
          <w:lang w:val="en-US" w:eastAsia="zh-CN"/>
        </w:rPr>
        <w:t>资金分配方案</w:t>
      </w:r>
      <w:r>
        <w:rPr>
          <w:rFonts w:hint="eastAsia"/>
        </w:rPr>
        <w:t>、项目实施计划、项目资金的拨付事项进行审议，项目按照规定程序进行申请设立，预算资金申请等各项审批材料齐全，立项程序规范。</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2.绩效目标</w:t>
      </w:r>
    </w:p>
    <w:p>
      <w:pPr>
        <w:pStyle w:val="26"/>
        <w:pageBreakBefore w:val="0"/>
        <w:kinsoku/>
        <w:wordWrap/>
        <w:overflowPunct/>
        <w:topLinePunct w:val="0"/>
        <w:autoSpaceDE/>
        <w:autoSpaceDN/>
        <w:bidi w:val="0"/>
        <w:adjustRightInd/>
        <w:snapToGrid/>
        <w:spacing w:line="560" w:lineRule="exact"/>
        <w:ind w:firstLine="640"/>
        <w:textAlignment w:val="auto"/>
        <w:rPr>
          <w:rFonts w:hint="eastAsia" w:eastAsia="仿宋_GB2312"/>
          <w:bCs/>
          <w:lang w:eastAsia="zh-CN"/>
        </w:rPr>
      </w:pPr>
      <w:r>
        <w:rPr>
          <w:rFonts w:hint="eastAsia"/>
        </w:rPr>
        <w:t>（1）绩效目标明确性（总分2分，得分</w:t>
      </w:r>
      <w:r>
        <w:rPr>
          <w:rFonts w:hint="eastAsia"/>
          <w:lang w:val="en-US" w:eastAsia="zh-CN"/>
        </w:rPr>
        <w:t>1</w:t>
      </w:r>
      <w:r>
        <w:rPr>
          <w:rFonts w:hint="eastAsia"/>
        </w:rPr>
        <w:t>分）。根据《天津市财政局关于印发&lt;天津市市级部门预算绩效目标管理办法&gt;的通知》（津财绩效〔2020〕16号）文件要求，“绩效目标、绩效指标与项目实施内容具有相关性，绩效指标应充分细化和量化，具备可衡量性”。区医保局</w:t>
      </w:r>
      <w:r>
        <w:rPr>
          <w:rFonts w:hint="eastAsia"/>
          <w:lang w:val="en-US" w:eastAsia="zh-CN"/>
        </w:rPr>
        <w:t>根据项目实施内容共设置5个项目绩效目</w:t>
      </w:r>
      <w:r>
        <w:rPr>
          <w:rFonts w:hint="eastAsia"/>
          <w:highlight w:val="none"/>
          <w:lang w:val="en-US" w:eastAsia="zh-CN"/>
        </w:rPr>
        <w:t>标，决策环节确定的实施内容与工作任务目标匹配，同时单位根据项目绩效目标对应设置了绩效指标，</w:t>
      </w:r>
      <w:r>
        <w:rPr>
          <w:rFonts w:hint="eastAsia"/>
          <w:bCs/>
          <w:highlight w:val="none"/>
          <w:lang w:val="en-US" w:eastAsia="zh-CN"/>
        </w:rPr>
        <w:t>“医保定点医药机构监督检查”“医保法治能力建设”“医保政策宣传”“依申请救助经办服务能力提升”</w:t>
      </w:r>
      <w:r>
        <w:rPr>
          <w:rFonts w:hint="eastAsia"/>
          <w:highlight w:val="none"/>
          <w:lang w:val="en-US" w:eastAsia="zh-CN"/>
        </w:rPr>
        <w:t>项目的绩效指标清晰细化，具备可衡量性，但</w:t>
      </w:r>
      <w:r>
        <w:rPr>
          <w:rFonts w:hint="eastAsia"/>
          <w:bCs/>
          <w:highlight w:val="none"/>
          <w:lang w:val="en-US" w:eastAsia="zh-CN"/>
        </w:rPr>
        <w:t>“四级经办服务体系建设”项目中设置数量指标“开展社区级医保服务、有网点提供帮办、代办服务的社区覆盖率”不符合数量指标的量化要求，未明确具体社区数量，绩效</w:t>
      </w:r>
      <w:r>
        <w:rPr>
          <w:rFonts w:hint="eastAsia"/>
          <w:highlight w:val="none"/>
          <w:lang w:val="en-US" w:eastAsia="zh-CN"/>
        </w:rPr>
        <w:t>指标规范性有待提升</w:t>
      </w:r>
      <w:r>
        <w:rPr>
          <w:rFonts w:hint="eastAsia"/>
          <w:highlight w:val="none"/>
          <w:lang w:eastAsia="zh-CN"/>
        </w:rPr>
        <w:t>。</w:t>
      </w:r>
    </w:p>
    <w:p>
      <w:pPr>
        <w:pStyle w:val="26"/>
        <w:pageBreakBefore w:val="0"/>
        <w:kinsoku/>
        <w:wordWrap/>
        <w:overflowPunct/>
        <w:topLinePunct w:val="0"/>
        <w:autoSpaceDE/>
        <w:autoSpaceDN/>
        <w:bidi w:val="0"/>
        <w:adjustRightInd/>
        <w:snapToGrid/>
        <w:spacing w:line="560" w:lineRule="exact"/>
        <w:ind w:firstLine="640"/>
        <w:textAlignment w:val="auto"/>
        <w:rPr>
          <w:rFonts w:hint="eastAsia" w:eastAsia="仿宋_GB2312"/>
          <w:bCs/>
          <w:highlight w:val="none"/>
          <w:lang w:eastAsia="zh-CN"/>
        </w:rPr>
      </w:pPr>
      <w:r>
        <w:rPr>
          <w:rFonts w:hint="eastAsia"/>
          <w:bCs/>
        </w:rPr>
        <w:t>（2）绩效目标合理性（总分</w:t>
      </w:r>
      <w:r>
        <w:rPr>
          <w:bCs/>
        </w:rPr>
        <w:t>4</w:t>
      </w:r>
      <w:r>
        <w:rPr>
          <w:rFonts w:hint="eastAsia"/>
          <w:bCs/>
        </w:rPr>
        <w:t>分，得分</w:t>
      </w:r>
      <w:r>
        <w:rPr>
          <w:rFonts w:hint="eastAsia"/>
          <w:bCs/>
          <w:lang w:val="en-US" w:eastAsia="zh-CN"/>
        </w:rPr>
        <w:t>3</w:t>
      </w:r>
      <w:r>
        <w:rPr>
          <w:rFonts w:hint="eastAsia"/>
          <w:bCs/>
        </w:rPr>
        <w:t>分）。根据《天津市财政局关于印发&lt;天津市市级部门预算绩效目标管理办法&gt;的通知》（津财绩效〔2020〕16号）文件要求，“绩效目标要能清晰反映预算资金的预期产出和效果”。根据区医保局提供的项目绩效目标申报表，医疗服务与保障能力提升补助资金项目绩效目标设立的金额为</w:t>
      </w:r>
      <w:r>
        <w:rPr>
          <w:rFonts w:hint="eastAsia"/>
          <w:bCs/>
          <w:lang w:val="en-US" w:eastAsia="zh-CN"/>
        </w:rPr>
        <w:t>48.92</w:t>
      </w:r>
      <w:r>
        <w:rPr>
          <w:rFonts w:hint="eastAsia"/>
          <w:bCs/>
        </w:rPr>
        <w:t>万元，与预算确定的资金量相匹配，项目预期产出效益符合正常业绩水平</w:t>
      </w:r>
      <w:r>
        <w:rPr>
          <w:rFonts w:hint="eastAsia"/>
          <w:bCs/>
          <w:lang w:eastAsia="zh-CN"/>
        </w:rPr>
        <w:t>，</w:t>
      </w:r>
      <w:r>
        <w:rPr>
          <w:rFonts w:hint="eastAsia"/>
          <w:bCs/>
          <w:lang w:val="en-US" w:eastAsia="zh-CN"/>
        </w:rPr>
        <w:t>单位已根据项目实施内容细化分解为5个项目，分别为“医保定点医药机构监督检查”“医保法治能力建设”“医保政策宣传”“依申请救助经办服务能力提升”和“四级经办服务体系建设”，针对5个项目分别设置了5个绩效目标以及对应5套绩效指标</w:t>
      </w:r>
      <w:r>
        <w:rPr>
          <w:rFonts w:hint="eastAsia"/>
          <w:bCs/>
        </w:rPr>
        <w:t>，项目绩效目标与项目实际工作内容相</w:t>
      </w:r>
      <w:r>
        <w:rPr>
          <w:rFonts w:hint="eastAsia"/>
          <w:bCs/>
          <w:highlight w:val="none"/>
        </w:rPr>
        <w:t>匹配，</w:t>
      </w:r>
      <w:r>
        <w:rPr>
          <w:rFonts w:hint="eastAsia"/>
          <w:bCs/>
          <w:highlight w:val="none"/>
          <w:lang w:val="en-US" w:eastAsia="zh-CN"/>
        </w:rPr>
        <w:t>但“依申请救助经办服务能力提升”项目中实际工作内容为医保网络铺设接入工作，设置时效指标为“依申请救助救助金发放及时率=100%”，与项目内容相关性不足</w:t>
      </w:r>
      <w:r>
        <w:rPr>
          <w:rFonts w:hint="eastAsia"/>
          <w:bCs/>
          <w:highlight w:val="none"/>
          <w:lang w:eastAsia="zh-CN"/>
        </w:rPr>
        <w:t>。</w:t>
      </w:r>
    </w:p>
    <w:p>
      <w:pPr>
        <w:pStyle w:val="26"/>
        <w:pageBreakBefore w:val="0"/>
        <w:kinsoku/>
        <w:wordWrap/>
        <w:overflowPunct/>
        <w:topLinePunct w:val="0"/>
        <w:autoSpaceDE/>
        <w:autoSpaceDN/>
        <w:bidi w:val="0"/>
        <w:adjustRightInd/>
        <w:snapToGrid/>
        <w:spacing w:line="560" w:lineRule="exact"/>
        <w:ind w:firstLine="640"/>
        <w:textAlignment w:val="auto"/>
        <w:rPr>
          <w:bCs/>
        </w:rPr>
      </w:pPr>
      <w:r>
        <w:rPr>
          <w:rFonts w:hint="eastAsia"/>
          <w:bCs/>
        </w:rPr>
        <w:t>3.预算编制</w:t>
      </w:r>
    </w:p>
    <w:p>
      <w:pPr>
        <w:pStyle w:val="26"/>
        <w:pageBreakBefore w:val="0"/>
        <w:kinsoku/>
        <w:wordWrap/>
        <w:overflowPunct/>
        <w:topLinePunct w:val="0"/>
        <w:autoSpaceDE/>
        <w:autoSpaceDN/>
        <w:bidi w:val="0"/>
        <w:adjustRightInd/>
        <w:snapToGrid/>
        <w:spacing w:line="560" w:lineRule="exact"/>
        <w:ind w:firstLine="640"/>
        <w:textAlignment w:val="auto"/>
        <w:rPr>
          <w:bCs/>
        </w:rPr>
      </w:pPr>
      <w:r>
        <w:rPr>
          <w:rFonts w:hint="eastAsia"/>
          <w:bCs/>
        </w:rPr>
        <w:t>（1）测算内容合规性（总分2分，得分</w:t>
      </w:r>
      <w:r>
        <w:rPr>
          <w:rFonts w:hint="eastAsia"/>
          <w:bCs/>
          <w:lang w:val="en-US" w:eastAsia="zh-CN"/>
        </w:rPr>
        <w:t>2</w:t>
      </w:r>
      <w:r>
        <w:rPr>
          <w:rFonts w:hint="eastAsia"/>
          <w:bCs/>
        </w:rPr>
        <w:t>分）。医疗服务与保障能力提升补助资金项目测算内容</w:t>
      </w:r>
      <w:r>
        <w:rPr>
          <w:rFonts w:hint="eastAsia"/>
          <w:bCs/>
          <w:lang w:val="en-US" w:eastAsia="zh-CN"/>
        </w:rPr>
        <w:t>包括：聘请第三方协助开展医保定点医药机构监督检查费用、组织开展医保政策宣传活动费用、印制宣传物料费用、聘请法律顾问费用、医保网络铺设费用、医保标识牌制作费用以及平板电脑购置费用</w:t>
      </w:r>
      <w:r>
        <w:rPr>
          <w:rFonts w:hint="eastAsia"/>
          <w:bCs/>
        </w:rPr>
        <w:t>，其内容符合《市财政局市医保局关于拨付和下达医疗服务与保障能力提升补助资金（医疗保障服务能力提升部分）的通知》（津财社指〔2023〕37号）文件规定的范围，未发现项目测算内容出现重复，测算内容合规。</w:t>
      </w:r>
    </w:p>
    <w:p>
      <w:pPr>
        <w:pStyle w:val="26"/>
        <w:pageBreakBefore w:val="0"/>
        <w:kinsoku/>
        <w:wordWrap/>
        <w:overflowPunct/>
        <w:topLinePunct w:val="0"/>
        <w:autoSpaceDE/>
        <w:autoSpaceDN/>
        <w:bidi w:val="0"/>
        <w:adjustRightInd/>
        <w:snapToGrid/>
        <w:spacing w:line="560" w:lineRule="exact"/>
        <w:ind w:firstLine="640"/>
        <w:textAlignment w:val="auto"/>
        <w:rPr>
          <w:rFonts w:hint="eastAsia" w:eastAsia="仿宋_GB2312"/>
          <w:bCs/>
          <w:lang w:eastAsia="zh-CN"/>
        </w:rPr>
      </w:pPr>
      <w:r>
        <w:rPr>
          <w:rFonts w:hint="eastAsia"/>
          <w:bCs/>
        </w:rPr>
        <w:t>（2）测算标准合理性（总分1分，得分</w:t>
      </w:r>
      <w:r>
        <w:rPr>
          <w:rFonts w:hint="eastAsia"/>
          <w:bCs/>
          <w:lang w:val="en-US" w:eastAsia="zh-CN"/>
        </w:rPr>
        <w:t>1</w:t>
      </w:r>
      <w:r>
        <w:rPr>
          <w:rFonts w:hint="eastAsia"/>
          <w:bCs/>
        </w:rPr>
        <w:t>分）。医疗服务与保障能力提升补助资金项目</w:t>
      </w:r>
      <w:r>
        <w:rPr>
          <w:rFonts w:hint="eastAsia"/>
          <w:bCs/>
          <w:lang w:val="en-US" w:eastAsia="zh-CN"/>
        </w:rPr>
        <w:t>按不同项目内容分别测算，其中聘请第三方协助开展医保定点医药机构监督检查费用、印制宣传物料费用、聘请法律顾问费用部分测算参考往年标准，组织开展医保政策宣传活动费用、医保网络铺设费用、医保标识牌制作费用以及平板电脑购置费用部分测算经事前询价及比价过程，测算标准符合行业标准及社会实际支出水平</w:t>
      </w:r>
      <w:r>
        <w:rPr>
          <w:rFonts w:hint="eastAsia"/>
          <w:bCs/>
        </w:rPr>
        <w:t>，测算标准合理</w:t>
      </w:r>
      <w:r>
        <w:rPr>
          <w:rFonts w:hint="eastAsia"/>
          <w:bCs/>
          <w:lang w:eastAsia="zh-CN"/>
        </w:rPr>
        <w:t>。</w:t>
      </w:r>
    </w:p>
    <w:p>
      <w:pPr>
        <w:pStyle w:val="26"/>
        <w:pageBreakBefore w:val="0"/>
        <w:kinsoku/>
        <w:wordWrap/>
        <w:overflowPunct/>
        <w:topLinePunct w:val="0"/>
        <w:autoSpaceDE/>
        <w:autoSpaceDN/>
        <w:bidi w:val="0"/>
        <w:adjustRightInd/>
        <w:snapToGrid/>
        <w:spacing w:line="560" w:lineRule="exact"/>
        <w:ind w:firstLine="640"/>
        <w:textAlignment w:val="auto"/>
        <w:rPr>
          <w:rFonts w:hint="eastAsia" w:eastAsia="仿宋_GB2312"/>
          <w:bCs/>
          <w:lang w:eastAsia="zh-CN"/>
        </w:rPr>
      </w:pPr>
      <w:r>
        <w:rPr>
          <w:rFonts w:hint="eastAsia"/>
          <w:bCs/>
        </w:rPr>
        <w:t>（3）测算数据客观性（总分2分，得分</w:t>
      </w:r>
      <w:r>
        <w:rPr>
          <w:rFonts w:hint="eastAsia"/>
          <w:bCs/>
          <w:lang w:val="en-US" w:eastAsia="zh-CN"/>
        </w:rPr>
        <w:t>2</w:t>
      </w:r>
      <w:r>
        <w:rPr>
          <w:rFonts w:hint="eastAsia"/>
          <w:bCs/>
        </w:rPr>
        <w:t>分）。医疗服务与保障能力提升补助资金项目</w:t>
      </w:r>
      <w:r>
        <w:rPr>
          <w:rFonts w:hint="eastAsia"/>
          <w:bCs/>
          <w:lang w:val="en-US" w:eastAsia="zh-CN"/>
        </w:rPr>
        <w:t>中“医保定点医药机构监督检查”“医保法治能力建设”“医保政策宣传”</w:t>
      </w:r>
      <w:r>
        <w:rPr>
          <w:rFonts w:hint="eastAsia"/>
          <w:bCs/>
        </w:rPr>
        <w:t>为经常性项目，项目测算数据来源为以前年度历史数据，</w:t>
      </w:r>
      <w:r>
        <w:rPr>
          <w:rFonts w:hint="eastAsia"/>
          <w:bCs/>
          <w:lang w:val="en-US" w:eastAsia="zh-CN"/>
        </w:rPr>
        <w:t>根据本年度工作需求与上年度工作开展情况进行了合理的调整，</w:t>
      </w:r>
      <w:r>
        <w:rPr>
          <w:rFonts w:hint="eastAsia"/>
          <w:bCs/>
        </w:rPr>
        <w:t>与历史数据有可比性，“依申请救助经办服务能力提升”和“四级经办服务体系建设”</w:t>
      </w:r>
      <w:r>
        <w:rPr>
          <w:rFonts w:hint="eastAsia"/>
          <w:bCs/>
          <w:lang w:val="en-US" w:eastAsia="zh-CN"/>
        </w:rPr>
        <w:t>中的医保网络铺设费用、医保标识牌制作费用以及平板电脑购置费用</w:t>
      </w:r>
      <w:r>
        <w:rPr>
          <w:rFonts w:hint="eastAsia"/>
          <w:bCs/>
        </w:rPr>
        <w:t>测算数据以</w:t>
      </w:r>
      <w:r>
        <w:rPr>
          <w:rFonts w:hint="eastAsia"/>
          <w:bCs/>
          <w:lang w:val="en-US" w:eastAsia="zh-CN"/>
        </w:rPr>
        <w:t>辖区社区数量为依据，测算数据提供具有合规佐证依据</w:t>
      </w:r>
      <w:r>
        <w:rPr>
          <w:rFonts w:hint="eastAsia"/>
          <w:bCs/>
        </w:rPr>
        <w:t>，测算数据客观</w:t>
      </w:r>
      <w:r>
        <w:rPr>
          <w:rFonts w:hint="eastAsia"/>
          <w:bCs/>
          <w:lang w:eastAsia="zh-CN"/>
        </w:rPr>
        <w:t>。</w:t>
      </w:r>
    </w:p>
    <w:p>
      <w:pPr>
        <w:pStyle w:val="26"/>
        <w:pageBreakBefore w:val="0"/>
        <w:kinsoku/>
        <w:wordWrap/>
        <w:overflowPunct/>
        <w:topLinePunct w:val="0"/>
        <w:autoSpaceDE/>
        <w:autoSpaceDN/>
        <w:bidi w:val="0"/>
        <w:adjustRightInd/>
        <w:snapToGrid/>
        <w:spacing w:line="560" w:lineRule="exact"/>
        <w:ind w:firstLine="640"/>
        <w:textAlignment w:val="auto"/>
        <w:rPr>
          <w:rFonts w:hint="eastAsia" w:eastAsia="仿宋_GB2312"/>
          <w:bCs/>
          <w:lang w:eastAsia="zh-CN"/>
        </w:rPr>
      </w:pPr>
      <w:r>
        <w:rPr>
          <w:rFonts w:hint="eastAsia"/>
          <w:bCs/>
        </w:rPr>
        <w:t>（4）测算过程细化度（总分2分，得分</w:t>
      </w:r>
      <w:r>
        <w:rPr>
          <w:rFonts w:hint="eastAsia"/>
          <w:bCs/>
          <w:lang w:val="en-US" w:eastAsia="zh-CN"/>
        </w:rPr>
        <w:t>2</w:t>
      </w:r>
      <w:r>
        <w:rPr>
          <w:rFonts w:hint="eastAsia"/>
          <w:bCs/>
        </w:rPr>
        <w:t>分）。医疗服务与保障能力提升补助资金项目预算测算</w:t>
      </w:r>
      <w:r>
        <w:rPr>
          <w:rFonts w:hint="eastAsia"/>
          <w:bCs/>
          <w:lang w:val="en-US" w:eastAsia="zh-CN"/>
        </w:rPr>
        <w:t>按照项目内容分别测算，测算内容主要包括购买相关商品服务以及购置设备的资本性支出</w:t>
      </w:r>
      <w:r>
        <w:rPr>
          <w:rFonts w:hint="eastAsia"/>
          <w:bCs/>
        </w:rPr>
        <w:t>，预算资金</w:t>
      </w:r>
      <w:r>
        <w:rPr>
          <w:rFonts w:hint="eastAsia"/>
          <w:bCs/>
          <w:lang w:val="en-US" w:eastAsia="zh-CN"/>
        </w:rPr>
        <w:t>按照事权划分核定了本级支出</w:t>
      </w:r>
      <w:r>
        <w:rPr>
          <w:rFonts w:hint="eastAsia"/>
          <w:bCs/>
        </w:rPr>
        <w:t>，项目测算过程细化程度良好</w:t>
      </w:r>
      <w:r>
        <w:rPr>
          <w:rFonts w:hint="eastAsia"/>
          <w:bCs/>
          <w:lang w:eastAsia="zh-CN"/>
        </w:rPr>
        <w:t>。</w:t>
      </w:r>
    </w:p>
    <w:p>
      <w:pPr>
        <w:pStyle w:val="30"/>
        <w:pageBreakBefore w:val="0"/>
        <w:kinsoku/>
        <w:wordWrap/>
        <w:overflowPunct/>
        <w:topLinePunct w:val="0"/>
        <w:autoSpaceDE/>
        <w:autoSpaceDN/>
        <w:bidi w:val="0"/>
        <w:adjustRightInd/>
        <w:snapToGrid/>
        <w:spacing w:line="560" w:lineRule="exact"/>
        <w:ind w:firstLine="640"/>
        <w:textAlignment w:val="auto"/>
        <w:rPr>
          <w:rFonts w:hint="eastAsia"/>
        </w:rPr>
      </w:pPr>
      <w:bookmarkStart w:id="22" w:name="_Toc4682"/>
      <w:r>
        <w:rPr>
          <w:rFonts w:hint="eastAsia"/>
        </w:rPr>
        <w:t>（二）项目过程情况</w:t>
      </w:r>
      <w:bookmarkEnd w:id="22"/>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过程指标主要包括资金管理、</w:t>
      </w:r>
      <w:r>
        <w:rPr>
          <w:rFonts w:hint="eastAsia"/>
          <w:bCs/>
        </w:rPr>
        <w:t>组织实施2项二级指标，7项三级指标，基础总分2</w:t>
      </w:r>
      <w:r>
        <w:rPr>
          <w:bCs/>
        </w:rPr>
        <w:t>3</w:t>
      </w:r>
      <w:r>
        <w:rPr>
          <w:rFonts w:hint="eastAsia"/>
          <w:bCs/>
        </w:rPr>
        <w:t>分，合计得分</w:t>
      </w:r>
      <w:r>
        <w:rPr>
          <w:rFonts w:hint="eastAsia"/>
          <w:bCs/>
          <w:lang w:val="en-US" w:eastAsia="zh-CN"/>
        </w:rPr>
        <w:t>19.99</w:t>
      </w:r>
      <w:r>
        <w:rPr>
          <w:rFonts w:hint="eastAsia"/>
          <w:bCs/>
        </w:rPr>
        <w:t>分。</w:t>
      </w:r>
    </w:p>
    <w:p>
      <w:pPr>
        <w:pStyle w:val="26"/>
        <w:pageBreakBefore w:val="0"/>
        <w:kinsoku/>
        <w:wordWrap/>
        <w:overflowPunct/>
        <w:topLinePunct w:val="0"/>
        <w:autoSpaceDE/>
        <w:autoSpaceDN/>
        <w:bidi w:val="0"/>
        <w:adjustRightInd/>
        <w:snapToGrid/>
        <w:spacing w:line="560" w:lineRule="exact"/>
        <w:ind w:firstLine="640"/>
        <w:textAlignment w:val="auto"/>
      </w:pPr>
      <w:r>
        <w:rPr>
          <w:rFonts w:hint="eastAsia"/>
        </w:rPr>
        <w:t>1.资金管理</w:t>
      </w:r>
    </w:p>
    <w:p>
      <w:pPr>
        <w:pStyle w:val="26"/>
        <w:pageBreakBefore w:val="0"/>
        <w:kinsoku/>
        <w:wordWrap/>
        <w:overflowPunct/>
        <w:topLinePunct w:val="0"/>
        <w:autoSpaceDE/>
        <w:autoSpaceDN/>
        <w:bidi w:val="0"/>
        <w:adjustRightInd/>
        <w:snapToGrid/>
        <w:spacing w:line="560" w:lineRule="exact"/>
        <w:ind w:firstLine="640"/>
        <w:textAlignment w:val="auto"/>
        <w:rPr>
          <w:rFonts w:hint="eastAsia" w:eastAsia="仿宋_GB2312"/>
          <w:bCs/>
          <w:lang w:eastAsia="zh-CN"/>
        </w:rPr>
      </w:pPr>
      <w:r>
        <w:rPr>
          <w:rFonts w:hint="eastAsia"/>
        </w:rPr>
        <w:t>（1）资金到位率（总分2分，得分</w:t>
      </w:r>
      <w:r>
        <w:rPr>
          <w:rFonts w:hint="eastAsia"/>
          <w:lang w:val="en-US" w:eastAsia="zh-CN"/>
        </w:rPr>
        <w:t>2</w:t>
      </w:r>
      <w:r>
        <w:rPr>
          <w:rFonts w:hint="eastAsia"/>
        </w:rPr>
        <w:t>分）。医疗服务与保障能力提升补助资金项目申请预算资金</w:t>
      </w:r>
      <w:r>
        <w:rPr>
          <w:rFonts w:hint="eastAsia"/>
          <w:lang w:val="en-US" w:eastAsia="zh-CN"/>
        </w:rPr>
        <w:t>共计48.92</w:t>
      </w:r>
      <w:r>
        <w:rPr>
          <w:rFonts w:hint="eastAsia"/>
        </w:rPr>
        <w:t>万元，其中</w:t>
      </w:r>
      <w:r>
        <w:rPr>
          <w:rFonts w:hint="eastAsia"/>
          <w:lang w:val="en-US" w:eastAsia="zh-CN"/>
        </w:rPr>
        <w:t>2023</w:t>
      </w:r>
      <w:r>
        <w:rPr>
          <w:rFonts w:hint="eastAsia"/>
          <w:highlight w:val="none"/>
          <w:lang w:val="en-US" w:eastAsia="zh-CN"/>
        </w:rPr>
        <w:t>年</w:t>
      </w:r>
      <w:r>
        <w:rPr>
          <w:rFonts w:hint="eastAsia"/>
          <w:highlight w:val="none"/>
        </w:rPr>
        <w:t>中央</w:t>
      </w:r>
      <w:r>
        <w:rPr>
          <w:rFonts w:hint="eastAsia"/>
          <w:highlight w:val="none"/>
          <w:lang w:eastAsia="zh-CN"/>
        </w:rPr>
        <w:t>直达</w:t>
      </w:r>
      <w:r>
        <w:rPr>
          <w:rFonts w:hint="eastAsia"/>
          <w:highlight w:val="none"/>
        </w:rPr>
        <w:t>资金48.87万元，</w:t>
      </w:r>
      <w:r>
        <w:rPr>
          <w:rFonts w:hint="eastAsia"/>
          <w:highlight w:val="none"/>
          <w:lang w:val="en-US" w:eastAsia="zh-CN"/>
        </w:rPr>
        <w:t>上年结转资金0.05</w:t>
      </w:r>
      <w:r>
        <w:rPr>
          <w:rFonts w:hint="eastAsia"/>
          <w:highlight w:val="none"/>
        </w:rPr>
        <w:t>万元。</w:t>
      </w:r>
      <w:r>
        <w:rPr>
          <w:rFonts w:hint="eastAsia"/>
          <w:highlight w:val="none"/>
          <w:lang w:val="en-US" w:eastAsia="zh-CN"/>
        </w:rPr>
        <w:t>实际到位预算资金48.92</w:t>
      </w:r>
      <w:r>
        <w:rPr>
          <w:rFonts w:hint="eastAsia"/>
          <w:highlight w:val="none"/>
        </w:rPr>
        <w:t>万元，其中中央</w:t>
      </w:r>
      <w:r>
        <w:rPr>
          <w:rFonts w:hint="eastAsia"/>
          <w:highlight w:val="none"/>
          <w:lang w:eastAsia="zh-CN"/>
        </w:rPr>
        <w:t>直达</w:t>
      </w:r>
      <w:r>
        <w:rPr>
          <w:rFonts w:hint="eastAsia"/>
          <w:highlight w:val="none"/>
        </w:rPr>
        <w:t>资金48.87</w:t>
      </w:r>
      <w:r>
        <w:rPr>
          <w:rFonts w:hint="eastAsia"/>
        </w:rPr>
        <w:t>万元，</w:t>
      </w:r>
      <w:r>
        <w:rPr>
          <w:rFonts w:hint="eastAsia"/>
          <w:lang w:val="en-US" w:eastAsia="zh-CN"/>
        </w:rPr>
        <w:t>上年结转资金0.05</w:t>
      </w:r>
      <w:r>
        <w:rPr>
          <w:rFonts w:hint="eastAsia"/>
        </w:rPr>
        <w:t>万元</w:t>
      </w:r>
      <w:r>
        <w:rPr>
          <w:rFonts w:hint="eastAsia"/>
          <w:lang w:eastAsia="zh-CN"/>
        </w:rPr>
        <w:t>，</w:t>
      </w:r>
      <w:r>
        <w:rPr>
          <w:rFonts w:hint="eastAsia"/>
        </w:rPr>
        <w:t>资金到位率为100%</w:t>
      </w:r>
      <w:r>
        <w:rPr>
          <w:rFonts w:hint="eastAsia"/>
          <w:lang w:eastAsia="zh-CN"/>
        </w:rPr>
        <w:t>。</w:t>
      </w:r>
    </w:p>
    <w:p>
      <w:pPr>
        <w:pStyle w:val="26"/>
        <w:pageBreakBefore w:val="0"/>
        <w:kinsoku/>
        <w:wordWrap/>
        <w:overflowPunct/>
        <w:topLinePunct w:val="0"/>
        <w:autoSpaceDE/>
        <w:autoSpaceDN/>
        <w:bidi w:val="0"/>
        <w:adjustRightInd/>
        <w:snapToGrid/>
        <w:spacing w:line="560" w:lineRule="exact"/>
        <w:ind w:firstLine="640"/>
        <w:textAlignment w:val="auto"/>
        <w:rPr>
          <w:rFonts w:hint="eastAsia"/>
        </w:rPr>
      </w:pPr>
      <w:r>
        <w:rPr>
          <w:rFonts w:hint="eastAsia"/>
        </w:rPr>
        <w:t>（2）资金到位及时率（总分1分，得分</w:t>
      </w:r>
      <w:r>
        <w:rPr>
          <w:rFonts w:hint="eastAsia"/>
          <w:lang w:val="en-US" w:eastAsia="zh-CN"/>
        </w:rPr>
        <w:t>1</w:t>
      </w:r>
      <w:r>
        <w:rPr>
          <w:rFonts w:hint="eastAsia"/>
        </w:rPr>
        <w:t>分）。医疗服务与保障能力提升补助资金项目实际到位资金48.92万元，截至2023年7月3日，及时到位资金48.92万元，资金到位及时率为100%。</w:t>
      </w:r>
    </w:p>
    <w:p>
      <w:pPr>
        <w:pStyle w:val="26"/>
        <w:pageBreakBefore w:val="0"/>
        <w:kinsoku/>
        <w:wordWrap/>
        <w:overflowPunct/>
        <w:topLinePunct w:val="0"/>
        <w:autoSpaceDE/>
        <w:autoSpaceDN/>
        <w:bidi w:val="0"/>
        <w:adjustRightInd/>
        <w:snapToGrid/>
        <w:spacing w:line="560" w:lineRule="exact"/>
        <w:ind w:firstLine="640"/>
        <w:textAlignment w:val="auto"/>
        <w:rPr>
          <w:rFonts w:hint="eastAsia"/>
          <w:lang w:eastAsia="zh-CN"/>
        </w:rPr>
      </w:pPr>
      <w:r>
        <w:rPr>
          <w:rFonts w:hint="eastAsia"/>
        </w:rPr>
        <w:t>（3）预算执行率（总分2分，得分</w:t>
      </w:r>
      <w:r>
        <w:rPr>
          <w:rFonts w:hint="eastAsia"/>
          <w:lang w:val="en-US" w:eastAsia="zh-CN"/>
        </w:rPr>
        <w:t>1.99</w:t>
      </w:r>
      <w:r>
        <w:rPr>
          <w:rFonts w:hint="eastAsia"/>
        </w:rPr>
        <w:t>分）。医疗服务与保障能力提升补助资金项目实际到位预算资金</w:t>
      </w:r>
      <w:r>
        <w:rPr>
          <w:rFonts w:hint="eastAsia"/>
          <w:lang w:val="en-US" w:eastAsia="zh-CN"/>
        </w:rPr>
        <w:t>48.92</w:t>
      </w:r>
      <w:r>
        <w:rPr>
          <w:rFonts w:hint="eastAsia"/>
        </w:rPr>
        <w:t>万元。根据单位财务明细账显示，截至2023年12月31日，项目实际支出48.43万元，</w:t>
      </w:r>
      <w:r>
        <w:rPr>
          <w:rFonts w:hint="eastAsia"/>
          <w:lang w:val="en-US" w:eastAsia="zh-CN"/>
        </w:rPr>
        <w:t>具体分项支出情况见表8，</w:t>
      </w:r>
      <w:r>
        <w:rPr>
          <w:rFonts w:hint="eastAsia"/>
        </w:rPr>
        <w:t>预算执行率</w:t>
      </w:r>
      <w:r>
        <w:rPr>
          <w:rFonts w:hint="eastAsia"/>
          <w:lang w:val="en-US" w:eastAsia="zh-CN"/>
        </w:rPr>
        <w:t>为99</w:t>
      </w:r>
      <w:r>
        <w:rPr>
          <w:rFonts w:hint="eastAsia"/>
        </w:rPr>
        <w:t>%</w:t>
      </w:r>
      <w:r>
        <w:rPr>
          <w:rFonts w:hint="eastAsia"/>
          <w:lang w:eastAsia="zh-CN"/>
        </w:rPr>
        <w:t>。</w:t>
      </w:r>
    </w:p>
    <w:p>
      <w:pPr>
        <w:pStyle w:val="33"/>
        <w:pageBreakBefore w:val="0"/>
        <w:kinsoku/>
        <w:wordWrap/>
        <w:overflowPunct/>
        <w:topLinePunct w:val="0"/>
        <w:autoSpaceDE/>
        <w:autoSpaceDN/>
        <w:bidi w:val="0"/>
        <w:adjustRightInd/>
        <w:snapToGrid/>
        <w:spacing w:line="560" w:lineRule="exact"/>
        <w:textAlignment w:val="auto"/>
      </w:pPr>
      <w:r>
        <w:t>表</w:t>
      </w:r>
      <w:r>
        <w:rPr>
          <w:rFonts w:hint="eastAsia"/>
          <w:lang w:val="en-US" w:eastAsia="zh-CN"/>
        </w:rPr>
        <w:t>8</w:t>
      </w:r>
      <w:r>
        <w:t xml:space="preserve">  </w:t>
      </w:r>
      <w:r>
        <w:rPr>
          <w:rFonts w:hint="eastAsia"/>
        </w:rPr>
        <w:t>医疗服务与保障能力提升补助资金项目分项支出情况表</w:t>
      </w:r>
    </w:p>
    <w:p>
      <w:pPr>
        <w:pStyle w:val="34"/>
        <w:pageBreakBefore w:val="0"/>
        <w:kinsoku/>
        <w:wordWrap/>
        <w:overflowPunct/>
        <w:topLinePunct w:val="0"/>
        <w:autoSpaceDE/>
        <w:autoSpaceDN/>
        <w:bidi w:val="0"/>
        <w:adjustRightInd/>
        <w:snapToGrid/>
        <w:spacing w:line="560" w:lineRule="exact"/>
        <w:textAlignment w:val="auto"/>
      </w:pPr>
      <w:r>
        <w:rPr>
          <w:rFonts w:hint="eastAsia"/>
        </w:rPr>
        <w:t>单位：万元</w:t>
      </w:r>
    </w:p>
    <w:tbl>
      <w:tblPr>
        <w:tblStyle w:val="16"/>
        <w:tblW w:w="4891"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3411"/>
        <w:gridCol w:w="2100"/>
        <w:gridCol w:w="1756"/>
        <w:gridCol w:w="159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blHeader/>
          <w:jc w:val="center"/>
        </w:trPr>
        <w:tc>
          <w:tcPr>
            <w:tcW w:w="1924" w:type="pct"/>
            <w:vAlign w:val="center"/>
          </w:tcPr>
          <w:p>
            <w:pPr>
              <w:pStyle w:val="36"/>
              <w:rPr>
                <w:rFonts w:hint="eastAsia" w:ascii="宋体" w:hAnsi="宋体" w:eastAsia="宋体" w:cs="宋体"/>
                <w:lang w:val="en-US" w:eastAsia="zh-CN"/>
              </w:rPr>
            </w:pPr>
            <w:r>
              <w:rPr>
                <w:rFonts w:hint="eastAsia" w:ascii="宋体" w:hAnsi="宋体" w:eastAsia="宋体" w:cs="宋体"/>
                <w:lang w:val="en-US" w:eastAsia="zh-CN"/>
              </w:rPr>
              <w:t>项目名称</w:t>
            </w:r>
          </w:p>
        </w:tc>
        <w:tc>
          <w:tcPr>
            <w:tcW w:w="1184" w:type="pct"/>
            <w:vAlign w:val="center"/>
          </w:tcPr>
          <w:p>
            <w:pPr>
              <w:pStyle w:val="36"/>
              <w:rPr>
                <w:rFonts w:hint="eastAsia" w:ascii="宋体" w:hAnsi="宋体" w:eastAsia="宋体" w:cs="宋体"/>
                <w:lang w:val="en-US" w:eastAsia="zh-CN"/>
              </w:rPr>
            </w:pPr>
            <w:r>
              <w:rPr>
                <w:rFonts w:hint="eastAsia" w:ascii="宋体" w:hAnsi="宋体" w:eastAsia="宋体" w:cs="宋体"/>
                <w:lang w:val="en-US" w:eastAsia="zh-CN"/>
              </w:rPr>
              <w:t>实际到位资金</w:t>
            </w:r>
          </w:p>
        </w:tc>
        <w:tc>
          <w:tcPr>
            <w:tcW w:w="990" w:type="pct"/>
            <w:vAlign w:val="center"/>
          </w:tcPr>
          <w:p>
            <w:pPr>
              <w:pStyle w:val="36"/>
              <w:rPr>
                <w:rFonts w:hint="eastAsia" w:ascii="宋体" w:hAnsi="宋体" w:eastAsia="宋体" w:cs="宋体"/>
                <w:lang w:val="en-US" w:eastAsia="zh-CN"/>
              </w:rPr>
            </w:pPr>
            <w:r>
              <w:rPr>
                <w:rFonts w:hint="eastAsia" w:ascii="宋体" w:hAnsi="宋体" w:eastAsia="宋体" w:cs="宋体"/>
                <w:lang w:val="en-US" w:eastAsia="zh-CN"/>
              </w:rPr>
              <w:t>实际支出资金</w:t>
            </w:r>
          </w:p>
        </w:tc>
        <w:tc>
          <w:tcPr>
            <w:tcW w:w="900" w:type="pct"/>
            <w:vAlign w:val="center"/>
          </w:tcPr>
          <w:p>
            <w:pPr>
              <w:pStyle w:val="36"/>
              <w:rPr>
                <w:rFonts w:hint="eastAsia" w:ascii="宋体" w:hAnsi="宋体" w:eastAsia="宋体" w:cs="宋体"/>
                <w:lang w:val="en-US" w:eastAsia="zh-CN"/>
              </w:rPr>
            </w:pPr>
            <w:r>
              <w:rPr>
                <w:rFonts w:hint="eastAsia" w:ascii="宋体" w:hAnsi="宋体" w:eastAsia="宋体" w:cs="宋体"/>
                <w:lang w:val="en-US" w:eastAsia="zh-CN"/>
              </w:rPr>
              <w:t>预算执行率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924" w:type="pct"/>
            <w:vAlign w:val="center"/>
          </w:tcPr>
          <w:p>
            <w:pPr>
              <w:pStyle w:val="38"/>
            </w:pPr>
            <w:r>
              <w:rPr>
                <w:rFonts w:hint="eastAsia"/>
              </w:rPr>
              <w:t>医保定点医药机构监督检查</w:t>
            </w:r>
          </w:p>
        </w:tc>
        <w:tc>
          <w:tcPr>
            <w:tcW w:w="1184" w:type="pct"/>
            <w:vAlign w:val="center"/>
          </w:tcPr>
          <w:p>
            <w:pPr>
              <w:pStyle w:val="38"/>
              <w:rPr>
                <w:rFonts w:hint="default" w:eastAsia="宋体"/>
                <w:lang w:val="en-US" w:eastAsia="zh-CN"/>
              </w:rPr>
            </w:pPr>
            <w:r>
              <w:rPr>
                <w:rFonts w:hint="eastAsia"/>
                <w:lang w:val="en-US" w:eastAsia="zh-CN"/>
              </w:rPr>
              <w:t>17.00</w:t>
            </w:r>
          </w:p>
        </w:tc>
        <w:tc>
          <w:tcPr>
            <w:tcW w:w="990" w:type="pct"/>
            <w:vAlign w:val="center"/>
          </w:tcPr>
          <w:p>
            <w:pPr>
              <w:pStyle w:val="38"/>
              <w:rPr>
                <w:rFonts w:hint="default" w:eastAsia="宋体"/>
                <w:lang w:val="en-US" w:eastAsia="zh-CN"/>
              </w:rPr>
            </w:pPr>
            <w:r>
              <w:rPr>
                <w:rFonts w:hint="eastAsia"/>
                <w:lang w:val="en-US" w:eastAsia="zh-CN"/>
              </w:rPr>
              <w:t>17.00</w:t>
            </w:r>
          </w:p>
        </w:tc>
        <w:tc>
          <w:tcPr>
            <w:tcW w:w="900" w:type="pct"/>
            <w:vAlign w:val="center"/>
          </w:tcPr>
          <w:p>
            <w:pPr>
              <w:pStyle w:val="38"/>
              <w:rPr>
                <w:rFonts w:hint="eastAsia" w:eastAsia="宋体"/>
                <w:lang w:val="en-US" w:eastAsia="zh-CN"/>
              </w:rPr>
            </w:pPr>
            <w:r>
              <w:t>100</w:t>
            </w:r>
            <w:r>
              <w:rPr>
                <w:rFonts w:hint="eastAsia"/>
                <w:lang w:val="en-US" w:eastAsia="zh-CN"/>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924" w:type="pct"/>
            <w:vAlign w:val="center"/>
          </w:tcPr>
          <w:p>
            <w:pPr>
              <w:pStyle w:val="38"/>
              <w:rPr>
                <w:rFonts w:hint="eastAsia" w:ascii="Times New Roman" w:hAnsi="Times New Roman"/>
              </w:rPr>
            </w:pPr>
            <w:r>
              <w:rPr>
                <w:rFonts w:hint="eastAsia" w:ascii="Times New Roman" w:hAnsi="Times New Roman"/>
              </w:rPr>
              <w:t>医保法治能力建设</w:t>
            </w:r>
          </w:p>
        </w:tc>
        <w:tc>
          <w:tcPr>
            <w:tcW w:w="1184" w:type="pct"/>
            <w:vAlign w:val="center"/>
          </w:tcPr>
          <w:p>
            <w:pPr>
              <w:pStyle w:val="38"/>
              <w:rPr>
                <w:rFonts w:hint="eastAsia" w:eastAsia="宋体"/>
                <w:lang w:val="en-US" w:eastAsia="zh-CN"/>
              </w:rPr>
            </w:pPr>
            <w:r>
              <w:rPr>
                <w:rFonts w:hint="eastAsia"/>
                <w:lang w:val="en-US" w:eastAsia="zh-CN"/>
              </w:rPr>
              <w:t>2.00</w:t>
            </w:r>
          </w:p>
        </w:tc>
        <w:tc>
          <w:tcPr>
            <w:tcW w:w="990" w:type="pct"/>
            <w:vAlign w:val="center"/>
          </w:tcPr>
          <w:p>
            <w:pPr>
              <w:pStyle w:val="38"/>
              <w:rPr>
                <w:rFonts w:hint="eastAsia" w:eastAsia="宋体"/>
                <w:lang w:val="en-US" w:eastAsia="zh-CN"/>
              </w:rPr>
            </w:pPr>
            <w:r>
              <w:rPr>
                <w:rFonts w:hint="eastAsia"/>
                <w:lang w:val="en-US" w:eastAsia="zh-CN"/>
              </w:rPr>
              <w:t>2.00</w:t>
            </w:r>
          </w:p>
        </w:tc>
        <w:tc>
          <w:tcPr>
            <w:tcW w:w="900" w:type="pct"/>
            <w:vAlign w:val="center"/>
          </w:tcPr>
          <w:p>
            <w:pPr>
              <w:pStyle w:val="38"/>
            </w:pPr>
            <w:r>
              <w:t>100</w:t>
            </w:r>
            <w:r>
              <w:rPr>
                <w:rFonts w:hint="eastAsia"/>
                <w:lang w:val="en-US" w:eastAsia="zh-CN"/>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924" w:type="pct"/>
            <w:vAlign w:val="center"/>
          </w:tcPr>
          <w:p>
            <w:pPr>
              <w:pStyle w:val="38"/>
              <w:rPr>
                <w:rFonts w:hint="eastAsia" w:ascii="Times New Roman" w:hAnsi="Times New Roman"/>
              </w:rPr>
            </w:pPr>
            <w:r>
              <w:rPr>
                <w:rFonts w:hint="eastAsia" w:ascii="Times New Roman" w:hAnsi="Times New Roman"/>
              </w:rPr>
              <w:t>医保政策宣传</w:t>
            </w:r>
          </w:p>
        </w:tc>
        <w:tc>
          <w:tcPr>
            <w:tcW w:w="1184" w:type="pct"/>
            <w:vAlign w:val="center"/>
          </w:tcPr>
          <w:p>
            <w:pPr>
              <w:pStyle w:val="38"/>
              <w:rPr>
                <w:rFonts w:hint="default" w:eastAsia="宋体"/>
                <w:lang w:val="en-US" w:eastAsia="zh-CN"/>
              </w:rPr>
            </w:pPr>
            <w:r>
              <w:rPr>
                <w:rFonts w:hint="eastAsia"/>
                <w:lang w:val="en-US" w:eastAsia="zh-CN"/>
              </w:rPr>
              <w:t>8.92</w:t>
            </w:r>
          </w:p>
        </w:tc>
        <w:tc>
          <w:tcPr>
            <w:tcW w:w="990" w:type="pct"/>
            <w:vAlign w:val="center"/>
          </w:tcPr>
          <w:p>
            <w:pPr>
              <w:pStyle w:val="38"/>
              <w:rPr>
                <w:rFonts w:hint="default" w:eastAsia="宋体"/>
                <w:lang w:val="en-US" w:eastAsia="zh-CN"/>
              </w:rPr>
            </w:pPr>
            <w:r>
              <w:rPr>
                <w:rFonts w:hint="eastAsia"/>
                <w:lang w:val="en-US" w:eastAsia="zh-CN"/>
              </w:rPr>
              <w:t>8.91</w:t>
            </w:r>
          </w:p>
        </w:tc>
        <w:tc>
          <w:tcPr>
            <w:tcW w:w="900" w:type="pct"/>
            <w:vAlign w:val="center"/>
          </w:tcPr>
          <w:p>
            <w:pPr>
              <w:pStyle w:val="38"/>
              <w:rPr>
                <w:rFonts w:hint="default" w:eastAsia="宋体"/>
                <w:lang w:val="en-US" w:eastAsia="zh-CN"/>
              </w:rPr>
            </w:pPr>
            <w:r>
              <w:rPr>
                <w:rFonts w:hint="eastAsia"/>
                <w:lang w:val="en-US" w:eastAsia="zh-CN"/>
              </w:rPr>
              <w:t>99.89%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924" w:type="pct"/>
            <w:vAlign w:val="center"/>
          </w:tcPr>
          <w:p>
            <w:pPr>
              <w:pStyle w:val="38"/>
              <w:rPr>
                <w:rFonts w:hint="eastAsia" w:ascii="Times New Roman" w:hAnsi="Times New Roman"/>
              </w:rPr>
            </w:pPr>
            <w:r>
              <w:rPr>
                <w:rFonts w:hint="eastAsia" w:ascii="Times New Roman" w:hAnsi="Times New Roman"/>
              </w:rPr>
              <w:t>依申请救助经办服务能力提升</w:t>
            </w:r>
          </w:p>
        </w:tc>
        <w:tc>
          <w:tcPr>
            <w:tcW w:w="1184" w:type="pct"/>
            <w:vAlign w:val="center"/>
          </w:tcPr>
          <w:p>
            <w:pPr>
              <w:pStyle w:val="38"/>
              <w:rPr>
                <w:rFonts w:hint="eastAsia" w:eastAsia="宋体"/>
                <w:lang w:val="en-US" w:eastAsia="zh-CN"/>
              </w:rPr>
            </w:pPr>
            <w:r>
              <w:rPr>
                <w:rFonts w:hint="eastAsia"/>
                <w:lang w:val="en-US" w:eastAsia="zh-CN"/>
              </w:rPr>
              <w:t>1.00</w:t>
            </w:r>
          </w:p>
        </w:tc>
        <w:tc>
          <w:tcPr>
            <w:tcW w:w="990" w:type="pct"/>
            <w:vAlign w:val="center"/>
          </w:tcPr>
          <w:p>
            <w:pPr>
              <w:pStyle w:val="38"/>
              <w:rPr>
                <w:rFonts w:hint="default" w:eastAsia="宋体"/>
                <w:lang w:val="en-US" w:eastAsia="zh-CN"/>
              </w:rPr>
            </w:pPr>
            <w:r>
              <w:rPr>
                <w:rFonts w:hint="eastAsia"/>
                <w:lang w:val="en-US" w:eastAsia="zh-CN"/>
              </w:rPr>
              <w:t>0.96</w:t>
            </w:r>
          </w:p>
        </w:tc>
        <w:tc>
          <w:tcPr>
            <w:tcW w:w="900" w:type="pct"/>
            <w:vAlign w:val="center"/>
          </w:tcPr>
          <w:p>
            <w:pPr>
              <w:pStyle w:val="38"/>
              <w:rPr>
                <w:rFonts w:hint="default" w:eastAsia="宋体"/>
                <w:lang w:val="en-US" w:eastAsia="zh-CN"/>
              </w:rPr>
            </w:pPr>
            <w:r>
              <w:rPr>
                <w:rFonts w:hint="eastAsia"/>
                <w:lang w:val="en-US" w:eastAsia="zh-CN"/>
              </w:rPr>
              <w:t>96.17%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924" w:type="pct"/>
            <w:vAlign w:val="center"/>
          </w:tcPr>
          <w:p>
            <w:pPr>
              <w:pStyle w:val="38"/>
              <w:rPr>
                <w:rFonts w:hint="eastAsia" w:ascii="Times New Roman" w:hAnsi="Times New Roman"/>
              </w:rPr>
            </w:pPr>
            <w:r>
              <w:rPr>
                <w:rFonts w:hint="eastAsia" w:ascii="Times New Roman" w:hAnsi="Times New Roman"/>
              </w:rPr>
              <w:t>四级经办服务体系建设</w:t>
            </w:r>
          </w:p>
        </w:tc>
        <w:tc>
          <w:tcPr>
            <w:tcW w:w="1184" w:type="pct"/>
            <w:vAlign w:val="center"/>
          </w:tcPr>
          <w:p>
            <w:pPr>
              <w:pStyle w:val="38"/>
              <w:rPr>
                <w:rFonts w:hint="default" w:eastAsia="宋体"/>
                <w:lang w:val="en-US" w:eastAsia="zh-CN"/>
              </w:rPr>
            </w:pPr>
            <w:r>
              <w:rPr>
                <w:rFonts w:hint="eastAsia"/>
                <w:lang w:val="en-US" w:eastAsia="zh-CN"/>
              </w:rPr>
              <w:t>20.00</w:t>
            </w:r>
          </w:p>
        </w:tc>
        <w:tc>
          <w:tcPr>
            <w:tcW w:w="990" w:type="pct"/>
            <w:vAlign w:val="center"/>
          </w:tcPr>
          <w:p>
            <w:pPr>
              <w:pStyle w:val="38"/>
              <w:rPr>
                <w:rFonts w:hint="default" w:eastAsia="宋体"/>
                <w:lang w:val="en-US" w:eastAsia="zh-CN"/>
              </w:rPr>
            </w:pPr>
            <w:r>
              <w:rPr>
                <w:rFonts w:hint="eastAsia"/>
                <w:lang w:val="en-US" w:eastAsia="zh-CN"/>
              </w:rPr>
              <w:t>19.56</w:t>
            </w:r>
          </w:p>
        </w:tc>
        <w:tc>
          <w:tcPr>
            <w:tcW w:w="900" w:type="pct"/>
            <w:vAlign w:val="center"/>
          </w:tcPr>
          <w:p>
            <w:pPr>
              <w:pStyle w:val="38"/>
              <w:rPr>
                <w:rFonts w:hint="default" w:eastAsia="宋体"/>
                <w:lang w:val="en-US" w:eastAsia="zh-CN"/>
              </w:rPr>
            </w:pPr>
            <w:r>
              <w:rPr>
                <w:rFonts w:hint="eastAsia"/>
                <w:lang w:val="en-US" w:eastAsia="zh-CN"/>
              </w:rPr>
              <w:t>99.79%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924" w:type="pct"/>
            <w:vAlign w:val="center"/>
          </w:tcPr>
          <w:p>
            <w:pPr>
              <w:pStyle w:val="38"/>
              <w:rPr>
                <w:rFonts w:hint="eastAsia" w:ascii="Times New Roman" w:hAnsi="Times New Roman" w:eastAsia="宋体"/>
                <w:b/>
                <w:bCs/>
                <w:lang w:val="en-US" w:eastAsia="zh-CN"/>
              </w:rPr>
            </w:pPr>
            <w:r>
              <w:rPr>
                <w:rFonts w:hint="eastAsia" w:ascii="Times New Roman" w:hAnsi="Times New Roman"/>
                <w:b/>
                <w:bCs/>
                <w:lang w:val="en-US" w:eastAsia="zh-CN"/>
              </w:rPr>
              <w:t>合计</w:t>
            </w:r>
          </w:p>
        </w:tc>
        <w:tc>
          <w:tcPr>
            <w:tcW w:w="1184" w:type="pct"/>
            <w:vAlign w:val="center"/>
          </w:tcPr>
          <w:p>
            <w:pPr>
              <w:pStyle w:val="38"/>
              <w:rPr>
                <w:rFonts w:hint="default"/>
                <w:b/>
                <w:bCs/>
                <w:lang w:val="en-US" w:eastAsia="zh-CN"/>
              </w:rPr>
            </w:pPr>
            <w:r>
              <w:rPr>
                <w:rFonts w:hint="eastAsia"/>
                <w:b/>
                <w:bCs/>
                <w:lang w:val="en-US" w:eastAsia="zh-CN"/>
              </w:rPr>
              <w:t>48.92</w:t>
            </w:r>
          </w:p>
        </w:tc>
        <w:tc>
          <w:tcPr>
            <w:tcW w:w="990" w:type="pct"/>
            <w:vAlign w:val="center"/>
          </w:tcPr>
          <w:p>
            <w:pPr>
              <w:pStyle w:val="38"/>
              <w:rPr>
                <w:rFonts w:hint="default"/>
                <w:b/>
                <w:bCs/>
                <w:lang w:val="en-US" w:eastAsia="zh-CN"/>
              </w:rPr>
            </w:pPr>
            <w:r>
              <w:rPr>
                <w:rFonts w:hint="eastAsia"/>
                <w:b/>
                <w:bCs/>
                <w:lang w:val="en-US" w:eastAsia="zh-CN"/>
              </w:rPr>
              <w:t>48.43</w:t>
            </w:r>
          </w:p>
        </w:tc>
        <w:tc>
          <w:tcPr>
            <w:tcW w:w="900" w:type="pct"/>
            <w:vAlign w:val="center"/>
          </w:tcPr>
          <w:p>
            <w:pPr>
              <w:pStyle w:val="38"/>
              <w:rPr>
                <w:rFonts w:hint="default" w:eastAsia="宋体"/>
                <w:b/>
                <w:bCs/>
                <w:lang w:val="en-US" w:eastAsia="zh-CN"/>
              </w:rPr>
            </w:pPr>
            <w:r>
              <w:rPr>
                <w:rFonts w:hint="eastAsia"/>
                <w:b/>
                <w:bCs/>
                <w:lang w:val="en-US" w:eastAsia="zh-CN"/>
              </w:rPr>
              <w:t>99%</w:t>
            </w:r>
          </w:p>
        </w:tc>
      </w:tr>
    </w:tbl>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default" w:eastAsia="仿宋_GB2312"/>
          <w:bCs/>
          <w:lang w:val="en-US" w:eastAsia="zh-CN"/>
        </w:rPr>
      </w:pPr>
      <w:r>
        <w:rPr>
          <w:rFonts w:hint="eastAsia"/>
          <w:bCs/>
        </w:rPr>
        <w:t>（4）资产管理合规性（总分2分，得分</w:t>
      </w:r>
      <w:r>
        <w:rPr>
          <w:rFonts w:hint="eastAsia"/>
          <w:bCs/>
          <w:lang w:val="en-US" w:eastAsia="zh-CN"/>
        </w:rPr>
        <w:t>0</w:t>
      </w:r>
      <w:r>
        <w:rPr>
          <w:rFonts w:hint="eastAsia"/>
          <w:bCs/>
        </w:rPr>
        <w:t>分）。医疗服务与保障能力提升补助资金项目</w:t>
      </w:r>
      <w:r>
        <w:rPr>
          <w:rFonts w:hint="eastAsia"/>
          <w:bCs/>
          <w:lang w:val="en-US" w:eastAsia="zh-CN"/>
        </w:rPr>
        <w:t>中“四级经办服务体系建设”项目购置的64台平板电脑符合固定资产入账条件，资产已记入固定资产账簿，后续已调拨至各街道使用，但单位暂无资产管理系统，未履行资产调拨手续，未做到</w:t>
      </w:r>
      <w:r>
        <w:rPr>
          <w:rFonts w:hint="eastAsia"/>
          <w:bCs/>
        </w:rPr>
        <w:t>账实相符、账账相符</w:t>
      </w:r>
      <w:r>
        <w:rPr>
          <w:rFonts w:hint="eastAsia"/>
          <w:bCs/>
          <w:lang w:eastAsia="zh-CN"/>
        </w:rPr>
        <w:t>，</w:t>
      </w:r>
      <w:r>
        <w:rPr>
          <w:rFonts w:hint="eastAsia"/>
          <w:bCs/>
          <w:lang w:val="en-US" w:eastAsia="zh-CN"/>
        </w:rPr>
        <w:t>资产管理合规性较差。</w:t>
      </w:r>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bCs/>
          <w:lang w:eastAsia="zh-CN"/>
        </w:rPr>
      </w:pPr>
      <w:r>
        <w:rPr>
          <w:rFonts w:hint="eastAsia"/>
          <w:bCs/>
        </w:rPr>
        <w:t>（5）资金使用合规性（总分9分，得分</w:t>
      </w:r>
      <w:r>
        <w:rPr>
          <w:rFonts w:hint="eastAsia"/>
          <w:bCs/>
          <w:lang w:val="en-US" w:eastAsia="zh-CN"/>
        </w:rPr>
        <w:t>9</w:t>
      </w:r>
      <w:r>
        <w:rPr>
          <w:rFonts w:hint="eastAsia"/>
          <w:bCs/>
        </w:rPr>
        <w:t>分）。区医保局提供的凭证及请款单据完整，财务记账符合国家财经法规和财务管理制度规定；项目资金拨付有完整的审批程序和手续，各明细项目支出有完整的请款申请及资</w:t>
      </w:r>
      <w:r>
        <w:rPr>
          <w:rFonts w:hint="eastAsia"/>
          <w:bCs/>
          <w:highlight w:val="none"/>
        </w:rPr>
        <w:t>金审批单据；项目支出用于</w:t>
      </w:r>
      <w:r>
        <w:rPr>
          <w:rFonts w:hint="eastAsia"/>
          <w:bCs/>
          <w:highlight w:val="none"/>
          <w:lang w:val="en-US" w:eastAsia="zh-CN"/>
        </w:rPr>
        <w:t>购买医保定点医药机构监督检查、组织宣传活动、聘请法律顾问的服务以及购置四级经办服务体系建设相关设施设备</w:t>
      </w:r>
      <w:r>
        <w:rPr>
          <w:rFonts w:hint="eastAsia"/>
          <w:bCs/>
          <w:highlight w:val="none"/>
        </w:rPr>
        <w:t>，符合预算批复与合同规定用途；</w:t>
      </w:r>
      <w:r>
        <w:rPr>
          <w:rFonts w:hint="eastAsia"/>
          <w:bCs/>
          <w:highlight w:val="none"/>
          <w:lang w:val="en-US" w:eastAsia="zh-CN"/>
        </w:rPr>
        <w:t>项目中组织开展医保政策宣传活动采取询价方式确认服务单位，聘请法律顾问采取三方比价形式确认服务单位，开展医保定点医药机构监督检查以及四级经办服务体系建设中的终端购置采取竞争性磋商确认供货单位，</w:t>
      </w:r>
      <w:r>
        <w:rPr>
          <w:rFonts w:hint="eastAsia"/>
          <w:bCs/>
          <w:highlight w:val="none"/>
        </w:rPr>
        <w:t>有严格的招标采购和比价采购程序；项</w:t>
      </w:r>
      <w:r>
        <w:rPr>
          <w:rFonts w:hint="eastAsia"/>
          <w:bCs/>
        </w:rPr>
        <w:t>目资金不存在截留、挤占、挪用、虚列支出等情况；2023年本项目结余结转资金已列为下一年度项目预算，符合结余处理要求；未有审计、巡视、财政检查等报告中提出有涉及本项目的违纪行为，资金使用合规</w:t>
      </w:r>
      <w:r>
        <w:rPr>
          <w:rFonts w:hint="eastAsia"/>
          <w:bCs/>
          <w:lang w:eastAsia="zh-CN"/>
        </w:rPr>
        <w:t>。</w:t>
      </w:r>
    </w:p>
    <w:p>
      <w:pPr>
        <w:pStyle w:val="26"/>
        <w:pageBreakBefore w:val="0"/>
        <w:widowControl w:val="0"/>
        <w:kinsoku/>
        <w:wordWrap/>
        <w:overflowPunct/>
        <w:topLinePunct w:val="0"/>
        <w:autoSpaceDE/>
        <w:autoSpaceDN/>
        <w:bidi w:val="0"/>
        <w:adjustRightInd/>
        <w:snapToGrid/>
        <w:spacing w:line="560" w:lineRule="exact"/>
        <w:ind w:firstLine="640"/>
        <w:textAlignment w:val="auto"/>
        <w:rPr>
          <w:bCs/>
        </w:rPr>
      </w:pPr>
      <w:r>
        <w:rPr>
          <w:rFonts w:hint="eastAsia"/>
          <w:bCs/>
        </w:rPr>
        <w:t>2.组织实施</w:t>
      </w:r>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bCs/>
          <w:lang w:eastAsia="zh-CN"/>
        </w:rPr>
      </w:pPr>
      <w:r>
        <w:rPr>
          <w:rFonts w:hint="eastAsia"/>
          <w:bCs/>
        </w:rPr>
        <w:t>（1）管理制度健全性（总分2分，得分</w:t>
      </w:r>
      <w:r>
        <w:rPr>
          <w:rFonts w:hint="eastAsia"/>
          <w:bCs/>
          <w:lang w:val="en-US" w:eastAsia="zh-CN"/>
        </w:rPr>
        <w:t>1</w:t>
      </w:r>
      <w:r>
        <w:rPr>
          <w:rFonts w:hint="eastAsia"/>
          <w:bCs/>
        </w:rPr>
        <w:t>分）。区医保局</w:t>
      </w:r>
      <w:r>
        <w:rPr>
          <w:rFonts w:hint="eastAsia"/>
          <w:bCs/>
          <w:lang w:val="en-US" w:eastAsia="zh-CN"/>
        </w:rPr>
        <w:t>制定了《和平区医保局关于“医疗服务与保障能力提升补助资金”项目管理制度》，同时结合单位财务管理制度</w:t>
      </w:r>
      <w:r>
        <w:rPr>
          <w:rFonts w:hint="eastAsia"/>
          <w:bCs/>
        </w:rPr>
        <w:t>对本项目进行管理，管理制度</w:t>
      </w:r>
      <w:r>
        <w:rPr>
          <w:rFonts w:hint="eastAsia"/>
          <w:bCs/>
          <w:lang w:val="en-US" w:eastAsia="zh-CN"/>
        </w:rPr>
        <w:t>明确了项目内容、各科室职责、项目开展形式、采购流程等</w:t>
      </w:r>
      <w:r>
        <w:rPr>
          <w:rFonts w:hint="eastAsia"/>
          <w:bCs/>
        </w:rPr>
        <w:t>，</w:t>
      </w:r>
      <w:r>
        <w:rPr>
          <w:rFonts w:hint="eastAsia"/>
          <w:bCs/>
          <w:lang w:val="en-US" w:eastAsia="zh-CN"/>
        </w:rPr>
        <w:t>但单位暂未制定完整内控制度，部分子项目的实施管理存在无据可依的</w:t>
      </w:r>
      <w:r>
        <w:rPr>
          <w:rFonts w:hint="eastAsia"/>
          <w:bCs/>
          <w:highlight w:val="none"/>
          <w:lang w:val="en-US" w:eastAsia="zh-CN"/>
        </w:rPr>
        <w:t>情况，如购置的平板电脑调拨无相关管理制度进行约束，依申请救助经办服务能力提升项目铺设的网络管理权限不明确，管理制</w:t>
      </w:r>
      <w:r>
        <w:rPr>
          <w:rFonts w:hint="eastAsia"/>
          <w:bCs/>
          <w:lang w:val="en-US" w:eastAsia="zh-CN"/>
        </w:rPr>
        <w:t>度有待完善</w:t>
      </w:r>
      <w:r>
        <w:rPr>
          <w:rFonts w:hint="eastAsia"/>
          <w:bCs/>
          <w:lang w:eastAsia="zh-CN"/>
        </w:rPr>
        <w:t>。</w:t>
      </w:r>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bCs/>
          <w:lang w:eastAsia="zh-CN"/>
        </w:rPr>
      </w:pPr>
      <w:r>
        <w:rPr>
          <w:rFonts w:hint="eastAsia"/>
          <w:bCs/>
        </w:rPr>
        <w:t>（2）制度执行有效性（总分5分，得分</w:t>
      </w:r>
      <w:r>
        <w:rPr>
          <w:rFonts w:hint="eastAsia"/>
          <w:bCs/>
          <w:lang w:val="en-US" w:eastAsia="zh-CN"/>
        </w:rPr>
        <w:t>5</w:t>
      </w:r>
      <w:r>
        <w:rPr>
          <w:rFonts w:hint="eastAsia"/>
          <w:bCs/>
        </w:rPr>
        <w:t>分）。医疗服务与保障能力提升补助资金项目执行遵守</w:t>
      </w:r>
      <w:r>
        <w:rPr>
          <w:rFonts w:hint="eastAsia"/>
          <w:bCs/>
          <w:lang w:val="en-US" w:eastAsia="zh-CN"/>
        </w:rPr>
        <w:t>《和平区医保局关于“医疗服务与保障能力提升补助资金”项目管理制度》</w:t>
      </w:r>
      <w:r>
        <w:rPr>
          <w:rFonts w:hint="eastAsia"/>
          <w:bCs/>
        </w:rPr>
        <w:t>和相关法律法规规定，项目申报资料齐全并及时归档，</w:t>
      </w:r>
      <w:r>
        <w:rPr>
          <w:rFonts w:hint="eastAsia"/>
          <w:bCs/>
          <w:lang w:val="en-US" w:eastAsia="zh-CN"/>
        </w:rPr>
        <w:t>项目合同书及验收报告完整，</w:t>
      </w:r>
      <w:r>
        <w:rPr>
          <w:rFonts w:hint="eastAsia"/>
          <w:bCs/>
        </w:rPr>
        <w:t>项目实施过程中各项请款、付款文件齐全并及时归档，项目实施的人员条件等均落实到位，制度执行有效</w:t>
      </w:r>
      <w:r>
        <w:rPr>
          <w:rFonts w:hint="eastAsia"/>
          <w:bCs/>
          <w:lang w:eastAsia="zh-CN"/>
        </w:rPr>
        <w:t>。</w:t>
      </w:r>
    </w:p>
    <w:p>
      <w:pPr>
        <w:pStyle w:val="30"/>
        <w:pageBreakBefore w:val="0"/>
        <w:widowControl w:val="0"/>
        <w:kinsoku/>
        <w:wordWrap/>
        <w:overflowPunct/>
        <w:topLinePunct w:val="0"/>
        <w:autoSpaceDE/>
        <w:autoSpaceDN/>
        <w:bidi w:val="0"/>
        <w:adjustRightInd/>
        <w:snapToGrid/>
        <w:spacing w:line="560" w:lineRule="exact"/>
        <w:ind w:firstLine="640"/>
        <w:textAlignment w:val="auto"/>
        <w:rPr>
          <w:rFonts w:hint="eastAsia"/>
        </w:rPr>
      </w:pPr>
      <w:bookmarkStart w:id="23" w:name="_Toc3380"/>
      <w:r>
        <w:rPr>
          <w:rFonts w:hint="eastAsia"/>
        </w:rPr>
        <w:t>（三）项目产出情况</w:t>
      </w:r>
      <w:bookmarkEnd w:id="23"/>
    </w:p>
    <w:p>
      <w:pPr>
        <w:pStyle w:val="26"/>
        <w:pageBreakBefore w:val="0"/>
        <w:widowControl w:val="0"/>
        <w:kinsoku/>
        <w:wordWrap/>
        <w:overflowPunct/>
        <w:topLinePunct w:val="0"/>
        <w:autoSpaceDE/>
        <w:autoSpaceDN/>
        <w:bidi w:val="0"/>
        <w:adjustRightInd/>
        <w:snapToGrid/>
        <w:spacing w:line="560" w:lineRule="exact"/>
        <w:ind w:firstLine="640"/>
        <w:textAlignment w:val="auto"/>
      </w:pPr>
      <w:r>
        <w:rPr>
          <w:rFonts w:hint="eastAsia"/>
        </w:rPr>
        <w:t>产出指标主要包括产出数量、产出质量、产出时效和产出成本</w:t>
      </w:r>
      <w:r>
        <w:t>4</w:t>
      </w:r>
      <w:r>
        <w:rPr>
          <w:rFonts w:hint="eastAsia"/>
        </w:rPr>
        <w:t>项二级指标，</w:t>
      </w:r>
      <w:r>
        <w:rPr>
          <w:rFonts w:hint="eastAsia"/>
          <w:lang w:val="en-US" w:eastAsia="zh-CN"/>
        </w:rPr>
        <w:t>13</w:t>
      </w:r>
      <w:r>
        <w:rPr>
          <w:rFonts w:hint="eastAsia"/>
        </w:rPr>
        <w:t>项三级指标，基础总分</w:t>
      </w:r>
      <w:r>
        <w:t>38</w:t>
      </w:r>
      <w:r>
        <w:rPr>
          <w:rFonts w:hint="eastAsia"/>
        </w:rPr>
        <w:t>分，合计得分</w:t>
      </w:r>
      <w:r>
        <w:rPr>
          <w:rFonts w:hint="eastAsia"/>
          <w:lang w:val="en-US" w:eastAsia="zh-CN"/>
        </w:rPr>
        <w:t>38</w:t>
      </w:r>
      <w:r>
        <w:rPr>
          <w:rFonts w:hint="eastAsia"/>
        </w:rPr>
        <w:t>分。</w:t>
      </w:r>
    </w:p>
    <w:p>
      <w:pPr>
        <w:pStyle w:val="26"/>
        <w:pageBreakBefore w:val="0"/>
        <w:widowControl w:val="0"/>
        <w:kinsoku/>
        <w:wordWrap/>
        <w:overflowPunct/>
        <w:topLinePunct w:val="0"/>
        <w:autoSpaceDE/>
        <w:autoSpaceDN/>
        <w:bidi w:val="0"/>
        <w:adjustRightInd/>
        <w:snapToGrid/>
        <w:spacing w:line="560" w:lineRule="exact"/>
        <w:ind w:firstLine="640"/>
        <w:textAlignment w:val="auto"/>
      </w:pPr>
      <w:r>
        <w:t>1</w:t>
      </w:r>
      <w:r>
        <w:rPr>
          <w:rFonts w:hint="eastAsia"/>
        </w:rPr>
        <w:t>.产出数量</w:t>
      </w:r>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lang w:eastAsia="zh-CN"/>
        </w:rPr>
      </w:pPr>
      <w:r>
        <w:rPr>
          <w:rFonts w:hint="eastAsia"/>
        </w:rPr>
        <w:t>（1）医保</w:t>
      </w:r>
      <w:r>
        <w:rPr>
          <w:rFonts w:hint="eastAsia"/>
          <w:highlight w:val="none"/>
        </w:rPr>
        <w:t>定点医药机构监督检查完成率（总分</w:t>
      </w:r>
      <w:r>
        <w:rPr>
          <w:rFonts w:hint="eastAsia"/>
          <w:highlight w:val="none"/>
          <w:lang w:val="en-US" w:eastAsia="zh-CN"/>
        </w:rPr>
        <w:t>4</w:t>
      </w:r>
      <w:r>
        <w:rPr>
          <w:rFonts w:hint="eastAsia"/>
          <w:highlight w:val="none"/>
        </w:rPr>
        <w:t>分，得分</w:t>
      </w:r>
      <w:r>
        <w:rPr>
          <w:rFonts w:hint="eastAsia"/>
          <w:highlight w:val="none"/>
          <w:lang w:val="en-US" w:eastAsia="zh-CN"/>
        </w:rPr>
        <w:t>4</w:t>
      </w:r>
      <w:r>
        <w:rPr>
          <w:rFonts w:hint="eastAsia"/>
          <w:highlight w:val="none"/>
        </w:rPr>
        <w:t>分）。根据对</w:t>
      </w:r>
      <w:r>
        <w:rPr>
          <w:rFonts w:hint="eastAsia"/>
        </w:rPr>
        <w:t>区内定点医药机构监督检查合同与2023年度医保局监督检查台账得出，2023年和平区辖区内</w:t>
      </w:r>
      <w:r>
        <w:rPr>
          <w:rFonts w:hint="eastAsia"/>
          <w:lang w:val="en-US" w:eastAsia="zh-CN"/>
        </w:rPr>
        <w:t>共有</w:t>
      </w:r>
      <w:r>
        <w:rPr>
          <w:rFonts w:hint="eastAsia"/>
        </w:rPr>
        <w:t>定点医药机构121家</w:t>
      </w:r>
      <w:r>
        <w:rPr>
          <w:rFonts w:hint="eastAsia"/>
          <w:lang w:eastAsia="zh-CN"/>
        </w:rPr>
        <w:t>，</w:t>
      </w:r>
      <w:r>
        <w:rPr>
          <w:rFonts w:hint="eastAsia"/>
          <w:lang w:val="en-US" w:eastAsia="zh-CN"/>
        </w:rPr>
        <w:t>其中医保定点医疗机构76家，医保定点药店40家，2023年已完成121家</w:t>
      </w:r>
      <w:r>
        <w:rPr>
          <w:rFonts w:hint="eastAsia"/>
        </w:rPr>
        <w:t>医保定点医药机构</w:t>
      </w:r>
      <w:r>
        <w:rPr>
          <w:rFonts w:hint="eastAsia"/>
          <w:lang w:val="en-US" w:eastAsia="zh-CN"/>
        </w:rPr>
        <w:t>的监督检查，</w:t>
      </w:r>
      <w:r>
        <w:rPr>
          <w:rFonts w:hint="eastAsia"/>
        </w:rPr>
        <w:t>医保定点医药机构监督检查完成率为100%</w:t>
      </w:r>
      <w:r>
        <w:rPr>
          <w:rFonts w:hint="eastAsia"/>
          <w:lang w:eastAsia="zh-CN"/>
        </w:rPr>
        <w:t>。</w:t>
      </w:r>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eastAsia"/>
          <w:lang w:eastAsia="zh-CN"/>
        </w:rPr>
      </w:pPr>
      <w:r>
        <w:rPr>
          <w:rFonts w:hint="eastAsia"/>
        </w:rPr>
        <w:t>（2）医保法治能力建设</w:t>
      </w:r>
      <w:r>
        <w:rPr>
          <w:rFonts w:hint="eastAsia"/>
          <w:lang w:val="en-US" w:eastAsia="zh-CN"/>
        </w:rPr>
        <w:t>工作完成</w:t>
      </w:r>
      <w:r>
        <w:rPr>
          <w:rFonts w:hint="eastAsia"/>
          <w:highlight w:val="none"/>
          <w:lang w:val="en-US" w:eastAsia="zh-CN"/>
        </w:rPr>
        <w:t>率</w:t>
      </w:r>
      <w:r>
        <w:rPr>
          <w:rFonts w:hint="eastAsia"/>
          <w:highlight w:val="none"/>
        </w:rPr>
        <w:t>（总分</w:t>
      </w:r>
      <w:r>
        <w:rPr>
          <w:rFonts w:hint="eastAsia"/>
          <w:highlight w:val="none"/>
          <w:lang w:val="en-US" w:eastAsia="zh-CN"/>
        </w:rPr>
        <w:t>4</w:t>
      </w:r>
      <w:r>
        <w:rPr>
          <w:rFonts w:hint="eastAsia"/>
          <w:highlight w:val="none"/>
        </w:rPr>
        <w:t>分，得分</w:t>
      </w:r>
      <w:r>
        <w:rPr>
          <w:rFonts w:hint="eastAsia"/>
          <w:highlight w:val="none"/>
          <w:lang w:val="en-US" w:eastAsia="zh-CN"/>
        </w:rPr>
        <w:t>4</w:t>
      </w:r>
      <w:r>
        <w:rPr>
          <w:rFonts w:hint="eastAsia"/>
          <w:highlight w:val="none"/>
        </w:rPr>
        <w:t>分）。</w:t>
      </w:r>
      <w:r>
        <w:rPr>
          <w:rFonts w:hint="eastAsia"/>
        </w:rPr>
        <w:t>根据</w:t>
      </w:r>
      <w:r>
        <w:rPr>
          <w:rFonts w:hint="eastAsia"/>
          <w:lang w:val="en-US" w:eastAsia="zh-CN"/>
        </w:rPr>
        <w:t>单位项目管理制度以及</w:t>
      </w:r>
      <w:r>
        <w:rPr>
          <w:rFonts w:hint="eastAsia"/>
        </w:rPr>
        <w:t>法律顾问聘任合同，2023年</w:t>
      </w:r>
      <w:r>
        <w:rPr>
          <w:rFonts w:hint="eastAsia"/>
          <w:lang w:val="en-US" w:eastAsia="zh-CN"/>
        </w:rPr>
        <w:t>单位</w:t>
      </w:r>
      <w:r>
        <w:rPr>
          <w:rFonts w:hint="eastAsia"/>
        </w:rPr>
        <w:t>医保法治能力建设</w:t>
      </w:r>
      <w:r>
        <w:rPr>
          <w:rFonts w:hint="eastAsia"/>
          <w:lang w:val="en-US" w:eastAsia="zh-CN"/>
        </w:rPr>
        <w:t>工作应包括日常法律咨询、开展法律知识培训以及草拟、修订、审查、修改合同、协议及法律文书。根据法律顾问服务工作总结</w:t>
      </w:r>
      <w:r>
        <w:rPr>
          <w:rFonts w:hint="eastAsia"/>
        </w:rPr>
        <w:t>得出</w:t>
      </w:r>
      <w:r>
        <w:rPr>
          <w:rFonts w:hint="eastAsia"/>
          <w:lang w:eastAsia="zh-CN"/>
        </w:rPr>
        <w:t>，</w:t>
      </w:r>
      <w:r>
        <w:rPr>
          <w:rFonts w:hint="eastAsia"/>
          <w:lang w:val="en-US" w:eastAsia="zh-CN"/>
        </w:rPr>
        <w:t>2023年区医保局聘请了2名法律顾问，法律顾问提供了日常法律咨询服务，协助开展了3场法律知识培训，完成了1份法律意见书的起草以及3份合同的审查工作，</w:t>
      </w:r>
      <w:r>
        <w:rPr>
          <w:rFonts w:hint="eastAsia"/>
        </w:rPr>
        <w:t>医保法治能力建设</w:t>
      </w:r>
      <w:r>
        <w:rPr>
          <w:rFonts w:hint="eastAsia"/>
          <w:lang w:val="en-US" w:eastAsia="zh-CN"/>
        </w:rPr>
        <w:t>工作完成率</w:t>
      </w:r>
      <w:r>
        <w:rPr>
          <w:rFonts w:hint="eastAsia"/>
        </w:rPr>
        <w:t>为100%</w:t>
      </w:r>
      <w:r>
        <w:rPr>
          <w:rFonts w:hint="eastAsia"/>
          <w:lang w:eastAsia="zh-CN"/>
        </w:rPr>
        <w:t>。</w:t>
      </w:r>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highlight w:val="none"/>
          <w:lang w:eastAsia="zh-CN"/>
        </w:rPr>
      </w:pPr>
      <w:r>
        <w:rPr>
          <w:rFonts w:hint="eastAsia"/>
        </w:rPr>
        <w:t>（</w:t>
      </w:r>
      <w:r>
        <w:rPr>
          <w:rFonts w:hint="eastAsia"/>
          <w:lang w:val="en-US" w:eastAsia="zh-CN"/>
        </w:rPr>
        <w:t>3</w:t>
      </w:r>
      <w:r>
        <w:rPr>
          <w:rFonts w:hint="eastAsia"/>
        </w:rPr>
        <w:t>）医保</w:t>
      </w:r>
      <w:r>
        <w:rPr>
          <w:rFonts w:hint="eastAsia"/>
          <w:lang w:val="en-US" w:eastAsia="zh-CN"/>
        </w:rPr>
        <w:t>宣</w:t>
      </w:r>
      <w:r>
        <w:rPr>
          <w:rFonts w:hint="eastAsia"/>
          <w:highlight w:val="none"/>
          <w:lang w:val="en-US" w:eastAsia="zh-CN"/>
        </w:rPr>
        <w:t>传工作完成率</w:t>
      </w:r>
      <w:r>
        <w:rPr>
          <w:rFonts w:hint="eastAsia"/>
          <w:highlight w:val="none"/>
        </w:rPr>
        <w:t>（总分</w:t>
      </w:r>
      <w:r>
        <w:rPr>
          <w:rFonts w:hint="eastAsia"/>
          <w:highlight w:val="none"/>
          <w:lang w:val="en-US" w:eastAsia="zh-CN"/>
        </w:rPr>
        <w:t>4</w:t>
      </w:r>
      <w:r>
        <w:rPr>
          <w:rFonts w:hint="eastAsia"/>
          <w:highlight w:val="none"/>
        </w:rPr>
        <w:t>分，得分</w:t>
      </w:r>
      <w:r>
        <w:rPr>
          <w:rFonts w:hint="eastAsia"/>
          <w:highlight w:val="none"/>
          <w:lang w:val="en-US" w:eastAsia="zh-CN"/>
        </w:rPr>
        <w:t>4</w:t>
      </w:r>
      <w:r>
        <w:rPr>
          <w:rFonts w:hint="eastAsia"/>
          <w:highlight w:val="none"/>
        </w:rPr>
        <w:t>分）。</w:t>
      </w:r>
      <w:r>
        <w:rPr>
          <w:rFonts w:hint="eastAsia"/>
        </w:rPr>
        <w:t>根据</w:t>
      </w:r>
      <w:r>
        <w:rPr>
          <w:rFonts w:hint="eastAsia"/>
          <w:lang w:val="en-US" w:eastAsia="zh-CN"/>
        </w:rPr>
        <w:t>单位项</w:t>
      </w:r>
      <w:r>
        <w:rPr>
          <w:rFonts w:hint="eastAsia"/>
          <w:highlight w:val="none"/>
          <w:lang w:val="en-US" w:eastAsia="zh-CN"/>
        </w:rPr>
        <w:t>目管理制度、宣传资料印制合同以及宣传活动服务合同</w:t>
      </w:r>
      <w:r>
        <w:rPr>
          <w:rFonts w:hint="eastAsia"/>
          <w:highlight w:val="none"/>
        </w:rPr>
        <w:t>，2023年</w:t>
      </w:r>
      <w:r>
        <w:rPr>
          <w:rFonts w:hint="eastAsia"/>
          <w:highlight w:val="none"/>
          <w:lang w:val="en-US" w:eastAsia="zh-CN"/>
        </w:rPr>
        <w:t>区医保局计划印制宣传品16000份，开</w:t>
      </w:r>
      <w:r>
        <w:rPr>
          <w:rFonts w:hint="eastAsia"/>
          <w:lang w:val="en-US" w:eastAsia="zh-CN"/>
        </w:rPr>
        <w:t>展6场线下宣传活动。根据单位宣传活动总结、宣传活动现场照片、宣传品验收单得出，2023年区医保局实际开展6场线下宣传活动，分别为“春风行动”政策宣传活动、“2023年打击欺诈骗保宣传月启动仪式”活动、跨省异地就医直接结算政策宣传活动、和平区基本医保全民参保计划集中宣传月启动活动、大同道社区医保政策宣传活动、“惠企服务进楼宇”</w:t>
      </w:r>
      <w:r>
        <w:rPr>
          <w:rFonts w:hint="eastAsia"/>
          <w:highlight w:val="none"/>
          <w:lang w:val="en-US" w:eastAsia="zh-CN"/>
        </w:rPr>
        <w:t>活动；完成了17000份宣传手册和220份海报的印制并下发至和平区各街道以及和平区教育局，</w:t>
      </w:r>
      <w:r>
        <w:rPr>
          <w:rFonts w:hint="eastAsia"/>
          <w:highlight w:val="none"/>
        </w:rPr>
        <w:t>医保</w:t>
      </w:r>
      <w:r>
        <w:rPr>
          <w:rFonts w:hint="eastAsia"/>
          <w:highlight w:val="none"/>
          <w:lang w:val="en-US" w:eastAsia="zh-CN"/>
        </w:rPr>
        <w:t>宣传工作完成率</w:t>
      </w:r>
      <w:r>
        <w:rPr>
          <w:rFonts w:hint="eastAsia"/>
          <w:highlight w:val="none"/>
        </w:rPr>
        <w:t>为100%</w:t>
      </w:r>
      <w:r>
        <w:rPr>
          <w:rFonts w:hint="eastAsia"/>
          <w:highlight w:val="none"/>
          <w:lang w:eastAsia="zh-CN"/>
        </w:rPr>
        <w:t>。</w:t>
      </w:r>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lang w:eastAsia="zh-CN"/>
        </w:rPr>
      </w:pPr>
      <w:r>
        <w:rPr>
          <w:rFonts w:hint="eastAsia"/>
        </w:rPr>
        <w:t>（</w:t>
      </w:r>
      <w:r>
        <w:rPr>
          <w:rFonts w:hint="eastAsia"/>
          <w:lang w:val="en-US" w:eastAsia="zh-CN"/>
        </w:rPr>
        <w:t>4</w:t>
      </w:r>
      <w:r>
        <w:rPr>
          <w:rFonts w:hint="eastAsia"/>
        </w:rPr>
        <w:t>）经办服务体系建设</w:t>
      </w:r>
      <w:r>
        <w:rPr>
          <w:rFonts w:hint="eastAsia"/>
          <w:lang w:val="en-US" w:eastAsia="zh-CN"/>
        </w:rPr>
        <w:t>工作</w:t>
      </w:r>
      <w:r>
        <w:rPr>
          <w:rFonts w:hint="eastAsia"/>
          <w:highlight w:val="none"/>
          <w:lang w:val="en-US" w:eastAsia="zh-CN"/>
        </w:rPr>
        <w:t>完成率</w:t>
      </w:r>
      <w:r>
        <w:rPr>
          <w:rFonts w:hint="eastAsia"/>
          <w:highlight w:val="none"/>
        </w:rPr>
        <w:t>（总分</w:t>
      </w:r>
      <w:r>
        <w:rPr>
          <w:rFonts w:hint="eastAsia"/>
          <w:highlight w:val="none"/>
          <w:lang w:val="en-US" w:eastAsia="zh-CN"/>
        </w:rPr>
        <w:t>4</w:t>
      </w:r>
      <w:r>
        <w:rPr>
          <w:rFonts w:hint="eastAsia"/>
          <w:highlight w:val="none"/>
        </w:rPr>
        <w:t>分，得分</w:t>
      </w:r>
      <w:r>
        <w:rPr>
          <w:rFonts w:hint="eastAsia"/>
          <w:highlight w:val="none"/>
          <w:lang w:val="en-US" w:eastAsia="zh-CN"/>
        </w:rPr>
        <w:t>4</w:t>
      </w:r>
      <w:r>
        <w:rPr>
          <w:rFonts w:hint="eastAsia"/>
          <w:highlight w:val="none"/>
        </w:rPr>
        <w:t>分）。</w:t>
      </w:r>
      <w:r>
        <w:rPr>
          <w:rFonts w:hint="eastAsia"/>
        </w:rPr>
        <w:t>根据</w:t>
      </w:r>
      <w:r>
        <w:rPr>
          <w:rFonts w:hint="eastAsia"/>
          <w:lang w:val="en-US" w:eastAsia="zh-CN"/>
        </w:rPr>
        <w:t>单位项目管理制度、电路施工申请单、终端采购合同、医保标识牌采购记录</w:t>
      </w:r>
      <w:r>
        <w:rPr>
          <w:rFonts w:hint="eastAsia"/>
        </w:rPr>
        <w:t>，2023年</w:t>
      </w:r>
      <w:r>
        <w:rPr>
          <w:rFonts w:hint="eastAsia"/>
          <w:lang w:val="en-US" w:eastAsia="zh-CN"/>
        </w:rPr>
        <w:t>区医保局开展</w:t>
      </w:r>
      <w:r>
        <w:rPr>
          <w:rFonts w:hint="eastAsia"/>
        </w:rPr>
        <w:t>经办服务体系建设</w:t>
      </w:r>
      <w:r>
        <w:rPr>
          <w:rFonts w:hint="eastAsia"/>
          <w:lang w:val="en-US" w:eastAsia="zh-CN"/>
        </w:rPr>
        <w:t>工作应包括完成6个街道公共服务办的医保专网铺设接入、64台医保移动便携设备的采购发放以及64个医保标识牌的制作配发工作。根据设备接入服务验收报告、设备交货验收单、医保便民服务站牌领取单得出，区医保局2023年已完成6个街道公共服务办民政科室的医保系统网络接入工作，完成了64台医保移动便携设备的采购和64个医保标识牌的制作与验收，</w:t>
      </w:r>
      <w:r>
        <w:rPr>
          <w:rFonts w:hint="eastAsia"/>
        </w:rPr>
        <w:t>四级经办服务体系建设</w:t>
      </w:r>
      <w:r>
        <w:rPr>
          <w:rFonts w:hint="eastAsia"/>
          <w:lang w:val="en-US" w:eastAsia="zh-CN"/>
        </w:rPr>
        <w:t>工作完成率</w:t>
      </w:r>
      <w:r>
        <w:rPr>
          <w:rFonts w:hint="eastAsia"/>
        </w:rPr>
        <w:t>为100%</w:t>
      </w:r>
      <w:r>
        <w:rPr>
          <w:rFonts w:hint="eastAsia"/>
          <w:lang w:eastAsia="zh-CN"/>
        </w:rPr>
        <w:t>。</w:t>
      </w:r>
    </w:p>
    <w:p>
      <w:pPr>
        <w:pStyle w:val="26"/>
        <w:pageBreakBefore w:val="0"/>
        <w:widowControl w:val="0"/>
        <w:kinsoku/>
        <w:wordWrap/>
        <w:overflowPunct/>
        <w:topLinePunct w:val="0"/>
        <w:autoSpaceDE/>
        <w:autoSpaceDN/>
        <w:bidi w:val="0"/>
        <w:adjustRightInd/>
        <w:snapToGrid/>
        <w:spacing w:line="560" w:lineRule="exact"/>
        <w:ind w:firstLine="640"/>
        <w:textAlignment w:val="auto"/>
      </w:pPr>
      <w:r>
        <w:rPr>
          <w:rFonts w:hint="eastAsia"/>
        </w:rPr>
        <w:t>2.产出质量</w:t>
      </w:r>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lang w:eastAsia="zh-CN"/>
        </w:rPr>
      </w:pPr>
      <w:r>
        <w:rPr>
          <w:rFonts w:hint="eastAsia"/>
        </w:rPr>
        <w:t>（1）医保</w:t>
      </w:r>
      <w:r>
        <w:rPr>
          <w:rFonts w:hint="eastAsia"/>
          <w:highlight w:val="none"/>
        </w:rPr>
        <w:t>定点医药机构监督检查</w:t>
      </w:r>
      <w:r>
        <w:rPr>
          <w:rFonts w:hint="eastAsia"/>
          <w:highlight w:val="none"/>
          <w:lang w:val="en-US" w:eastAsia="zh-CN"/>
        </w:rPr>
        <w:t>合规率</w:t>
      </w:r>
      <w:r>
        <w:rPr>
          <w:rFonts w:hint="eastAsia"/>
          <w:highlight w:val="none"/>
        </w:rPr>
        <w:t>（总分</w:t>
      </w:r>
      <w:r>
        <w:rPr>
          <w:rFonts w:hint="eastAsia"/>
          <w:highlight w:val="none"/>
          <w:lang w:val="en-US" w:eastAsia="zh-CN"/>
        </w:rPr>
        <w:t>2</w:t>
      </w:r>
      <w:r>
        <w:rPr>
          <w:rFonts w:hint="eastAsia"/>
          <w:highlight w:val="none"/>
        </w:rPr>
        <w:t>分，得分</w:t>
      </w:r>
      <w:r>
        <w:rPr>
          <w:rFonts w:hint="eastAsia"/>
          <w:highlight w:val="none"/>
          <w:lang w:val="en-US" w:eastAsia="zh-CN"/>
        </w:rPr>
        <w:t>2</w:t>
      </w:r>
      <w:r>
        <w:rPr>
          <w:rFonts w:hint="eastAsia"/>
          <w:highlight w:val="none"/>
        </w:rPr>
        <w:t>分）。根据</w:t>
      </w:r>
      <w:r>
        <w:rPr>
          <w:rFonts w:hint="eastAsia"/>
          <w:highlight w:val="none"/>
          <w:lang w:val="en-US" w:eastAsia="zh-CN"/>
        </w:rPr>
        <w:t>医保</w:t>
      </w:r>
      <w:r>
        <w:rPr>
          <w:rFonts w:hint="eastAsia"/>
          <w:lang w:val="en-US" w:eastAsia="zh-CN"/>
        </w:rPr>
        <w:t>定点医药机构监督检查台账及对应检查报告得出，2023年区医保局共计对辖区内121家定点医药机构开展了监督检查工作，实现了辖区内医保定点医药机构的全覆盖，检查形式包括日常检查、辖区内定点医药机构专项检查、飞行检查等常规检查及投诉举报核实、移送线索核实等临时性检查，检查内容包括药店的机构资质、机构医师资质、成药盘查、考勤表、药品盘点表、代取药登记信息以及医疗机构的营业执照、执业许可证、在岗医师资质、挂号收费窗口、医生诊室、检验外送协议、药品进销存情况等内容，符合《关于引入第三方力量参与医疗保障基金监管的办法》要求与监督检查服务合同要求，</w:t>
      </w:r>
      <w:r>
        <w:rPr>
          <w:rFonts w:hint="eastAsia"/>
        </w:rPr>
        <w:t>医保定点医药机构监督检查</w:t>
      </w:r>
      <w:r>
        <w:rPr>
          <w:rFonts w:hint="eastAsia"/>
          <w:lang w:val="en-US" w:eastAsia="zh-CN"/>
        </w:rPr>
        <w:t>合规率</w:t>
      </w:r>
      <w:r>
        <w:rPr>
          <w:rFonts w:hint="eastAsia"/>
        </w:rPr>
        <w:t>100%</w:t>
      </w:r>
      <w:r>
        <w:rPr>
          <w:rFonts w:hint="eastAsia"/>
          <w:lang w:eastAsia="zh-CN"/>
        </w:rPr>
        <w:t>。</w:t>
      </w:r>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eastAsia"/>
          <w:lang w:val="en-US" w:eastAsia="zh-CN"/>
        </w:rPr>
      </w:pPr>
      <w:r>
        <w:rPr>
          <w:rFonts w:hint="eastAsia"/>
        </w:rPr>
        <w:t>（2）</w:t>
      </w:r>
      <w:r>
        <w:rPr>
          <w:rFonts w:hint="eastAsia"/>
          <w:lang w:val="en-US" w:eastAsia="zh-CN"/>
        </w:rPr>
        <w:t>行政执法决定、合同法制审核</w:t>
      </w:r>
      <w:r>
        <w:rPr>
          <w:rFonts w:hint="eastAsia"/>
          <w:highlight w:val="none"/>
          <w:lang w:val="en-US" w:eastAsia="zh-CN"/>
        </w:rPr>
        <w:t>率</w:t>
      </w:r>
      <w:r>
        <w:rPr>
          <w:rFonts w:hint="eastAsia"/>
          <w:highlight w:val="none"/>
        </w:rPr>
        <w:t>（总分</w:t>
      </w:r>
      <w:r>
        <w:rPr>
          <w:rFonts w:hint="eastAsia"/>
          <w:highlight w:val="none"/>
          <w:lang w:val="en-US" w:eastAsia="zh-CN"/>
        </w:rPr>
        <w:t>2</w:t>
      </w:r>
      <w:r>
        <w:rPr>
          <w:rFonts w:hint="eastAsia"/>
          <w:highlight w:val="none"/>
        </w:rPr>
        <w:t>分，得分</w:t>
      </w:r>
      <w:r>
        <w:rPr>
          <w:rFonts w:hint="eastAsia"/>
          <w:highlight w:val="none"/>
          <w:lang w:val="en-US" w:eastAsia="zh-CN"/>
        </w:rPr>
        <w:t>2</w:t>
      </w:r>
      <w:r>
        <w:rPr>
          <w:rFonts w:hint="eastAsia"/>
          <w:highlight w:val="none"/>
        </w:rPr>
        <w:t>分）。</w:t>
      </w:r>
      <w:r>
        <w:rPr>
          <w:rFonts w:hint="eastAsia"/>
          <w:highlight w:val="none"/>
          <w:lang w:val="en-US" w:eastAsia="zh-CN"/>
        </w:rPr>
        <w:t>根据单位提供合同、法律意见书、行政执法记录得出，</w:t>
      </w:r>
      <w:r>
        <w:rPr>
          <w:rFonts w:hint="eastAsia"/>
          <w:lang w:val="en-US" w:eastAsia="zh-CN"/>
        </w:rPr>
        <w:t>2023年区医保局除签订法律顾问聘任合同外共签订3份服务合同，分别为《天津市和平区医疗保障局委托第三方对区内定点医药机构监督检查合同》、《和平区基本医疗保险全民参保计划集中宣传月启动仪式会务服务合同》和《天津市和平区医疗保障局四级经办终端采购合同》，合同均经法律顾问审核并出具法律意见书；2023年区医保局未做出行政处罚事项，无行政执法决定审核相关记录，行政执法决定、合同法制审核率为100%。</w:t>
      </w:r>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eastAsia"/>
          <w:highlight w:val="yellow"/>
          <w:lang w:val="en-US" w:eastAsia="zh-CN"/>
        </w:rPr>
      </w:pPr>
      <w:r>
        <w:rPr>
          <w:rFonts w:hint="eastAsia"/>
          <w:highlight w:val="none"/>
        </w:rPr>
        <w:t>（</w:t>
      </w:r>
      <w:r>
        <w:rPr>
          <w:rFonts w:hint="eastAsia"/>
          <w:highlight w:val="none"/>
          <w:lang w:val="en-US" w:eastAsia="zh-CN"/>
        </w:rPr>
        <w:t>3</w:t>
      </w:r>
      <w:r>
        <w:rPr>
          <w:rFonts w:hint="eastAsia"/>
          <w:highlight w:val="none"/>
        </w:rPr>
        <w:t>）</w:t>
      </w:r>
      <w:r>
        <w:rPr>
          <w:rFonts w:hint="eastAsia"/>
          <w:highlight w:val="none"/>
          <w:lang w:val="en-US" w:eastAsia="zh-CN"/>
        </w:rPr>
        <w:t>医保政策宣传资料发放覆盖率</w:t>
      </w:r>
      <w:r>
        <w:rPr>
          <w:rFonts w:hint="eastAsia"/>
          <w:highlight w:val="none"/>
        </w:rPr>
        <w:t>（总分</w:t>
      </w:r>
      <w:r>
        <w:rPr>
          <w:rFonts w:hint="eastAsia"/>
          <w:highlight w:val="none"/>
          <w:lang w:val="en-US" w:eastAsia="zh-CN"/>
        </w:rPr>
        <w:t>2</w:t>
      </w:r>
      <w:r>
        <w:rPr>
          <w:rFonts w:hint="eastAsia"/>
          <w:highlight w:val="none"/>
        </w:rPr>
        <w:t>分，得分</w:t>
      </w:r>
      <w:r>
        <w:rPr>
          <w:rFonts w:hint="eastAsia"/>
          <w:highlight w:val="none"/>
          <w:lang w:val="en-US" w:eastAsia="zh-CN"/>
        </w:rPr>
        <w:t>2</w:t>
      </w:r>
      <w:r>
        <w:rPr>
          <w:rFonts w:hint="eastAsia"/>
          <w:highlight w:val="none"/>
        </w:rPr>
        <w:t>分）。</w:t>
      </w:r>
      <w:r>
        <w:rPr>
          <w:rFonts w:hint="eastAsia"/>
          <w:highlight w:val="none"/>
          <w:lang w:val="en-US" w:eastAsia="zh-CN"/>
        </w:rPr>
        <w:t>根据单位提供宣传手册、海报下发记录以及相关单位在业务群内反馈的手册海报发放、张贴照片得出，区医保局2023年已将印制的宣传手册和海报发放至和平区的6个街道办事处以及和平区教育局，各街道已将宣传品下发张贴至辖区64个社区，和平区教育局已将宣传品下发张贴至辖区17所中学、18所小学以及1所大学，已覆盖辖区全部社区和学校，医保政策宣传资料发放覆盖率为100%。</w:t>
      </w:r>
    </w:p>
    <w:p>
      <w:pPr>
        <w:pStyle w:val="2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lang w:eastAsia="zh-CN"/>
        </w:rPr>
      </w:pPr>
      <w:r>
        <w:rPr>
          <w:rFonts w:hint="eastAsia"/>
        </w:rPr>
        <w:t>（</w:t>
      </w:r>
      <w:r>
        <w:rPr>
          <w:rFonts w:hint="eastAsia"/>
          <w:lang w:val="en-US" w:eastAsia="zh-CN"/>
        </w:rPr>
        <w:t>4</w:t>
      </w:r>
      <w:r>
        <w:rPr>
          <w:rFonts w:hint="eastAsia"/>
        </w:rPr>
        <w:t>）经办服务体系建设</w:t>
      </w:r>
      <w:r>
        <w:rPr>
          <w:rFonts w:hint="eastAsia"/>
          <w:lang w:val="en-US" w:eastAsia="zh-CN"/>
        </w:rPr>
        <w:t>工作覆盖</w:t>
      </w:r>
      <w:r>
        <w:rPr>
          <w:rFonts w:hint="eastAsia"/>
          <w:highlight w:val="none"/>
          <w:lang w:val="en-US" w:eastAsia="zh-CN"/>
        </w:rPr>
        <w:t>率</w:t>
      </w:r>
      <w:r>
        <w:rPr>
          <w:rFonts w:hint="eastAsia"/>
          <w:highlight w:val="none"/>
        </w:rPr>
        <w:t>（总分</w:t>
      </w:r>
      <w:r>
        <w:rPr>
          <w:rFonts w:hint="eastAsia"/>
          <w:highlight w:val="none"/>
          <w:lang w:val="en-US" w:eastAsia="zh-CN"/>
        </w:rPr>
        <w:t>2</w:t>
      </w:r>
      <w:r>
        <w:rPr>
          <w:rFonts w:hint="eastAsia"/>
          <w:highlight w:val="none"/>
        </w:rPr>
        <w:t>分，得分</w:t>
      </w:r>
      <w:r>
        <w:rPr>
          <w:rFonts w:hint="eastAsia"/>
          <w:highlight w:val="none"/>
          <w:lang w:val="en-US" w:eastAsia="zh-CN"/>
        </w:rPr>
        <w:t>2</w:t>
      </w:r>
      <w:r>
        <w:rPr>
          <w:rFonts w:hint="eastAsia"/>
          <w:highlight w:val="none"/>
        </w:rPr>
        <w:t>分）。</w:t>
      </w:r>
      <w:r>
        <w:rPr>
          <w:rFonts w:hint="eastAsia"/>
          <w:lang w:val="en-US" w:eastAsia="zh-CN"/>
        </w:rPr>
        <w:t>根据设备接入服务验收报告、设备交货验收单、医保便民服务站牌领取单得出，区医保局2023年铺设接入的医保系统网络覆盖辖区全部6个街道公共服务办民政科室，采购的64台医保移动便携设备的采购和64个医保标识牌已配发至各街道，由街道配发至各社区，辖区内64个社区均配发到位，具体配发情况见表9。</w:t>
      </w:r>
      <w:r>
        <w:rPr>
          <w:rFonts w:hint="eastAsia"/>
        </w:rPr>
        <w:t>经办服务体系建设</w:t>
      </w:r>
      <w:r>
        <w:rPr>
          <w:rFonts w:hint="eastAsia"/>
          <w:lang w:val="en-US" w:eastAsia="zh-CN"/>
        </w:rPr>
        <w:t>工作覆盖率</w:t>
      </w:r>
      <w:r>
        <w:rPr>
          <w:rFonts w:hint="eastAsia"/>
        </w:rPr>
        <w:t>为100%</w:t>
      </w:r>
      <w:r>
        <w:rPr>
          <w:rFonts w:hint="eastAsia"/>
          <w:lang w:eastAsia="zh-CN"/>
        </w:rPr>
        <w:t>。</w:t>
      </w:r>
    </w:p>
    <w:p>
      <w:pPr>
        <w:pStyle w:val="33"/>
        <w:keepNext w:val="0"/>
        <w:keepLines w:val="0"/>
        <w:pageBreakBefore w:val="0"/>
        <w:kinsoku/>
        <w:wordWrap/>
        <w:overflowPunct/>
        <w:topLinePunct w:val="0"/>
        <w:autoSpaceDE/>
        <w:autoSpaceDN/>
        <w:bidi w:val="0"/>
        <w:adjustRightInd/>
        <w:snapToGrid/>
        <w:spacing w:line="560" w:lineRule="exact"/>
        <w:jc w:val="center"/>
        <w:textAlignment w:val="auto"/>
      </w:pPr>
      <w:r>
        <w:t>表</w:t>
      </w:r>
      <w:r>
        <w:rPr>
          <w:rFonts w:hint="eastAsia"/>
          <w:lang w:val="en-US" w:eastAsia="zh-CN"/>
        </w:rPr>
        <w:t>9</w:t>
      </w:r>
      <w:r>
        <w:t xml:space="preserve">  </w:t>
      </w:r>
      <w:r>
        <w:rPr>
          <w:rFonts w:hint="eastAsia"/>
          <w:lang w:val="en-US" w:eastAsia="zh-CN"/>
        </w:rPr>
        <w:t>医保终端设备与标识牌配发</w:t>
      </w:r>
      <w:r>
        <w:rPr>
          <w:rFonts w:hint="eastAsia"/>
        </w:rPr>
        <w:t>情况表</w:t>
      </w:r>
    </w:p>
    <w:tbl>
      <w:tblPr>
        <w:tblStyle w:val="16"/>
        <w:tblW w:w="4815"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207"/>
        <w:gridCol w:w="1933"/>
        <w:gridCol w:w="2360"/>
        <w:gridCol w:w="222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blHeader/>
          <w:jc w:val="center"/>
        </w:trPr>
        <w:tc>
          <w:tcPr>
            <w:tcW w:w="1264" w:type="pct"/>
            <w:vAlign w:val="center"/>
          </w:tcPr>
          <w:p>
            <w:pPr>
              <w:pStyle w:val="36"/>
              <w:rPr>
                <w:rFonts w:hint="eastAsia" w:ascii="宋体" w:hAnsi="宋体" w:eastAsia="宋体" w:cs="宋体"/>
                <w:lang w:val="en-US" w:eastAsia="zh-CN"/>
              </w:rPr>
            </w:pPr>
            <w:r>
              <w:rPr>
                <w:rFonts w:hint="eastAsia" w:ascii="宋体" w:hAnsi="宋体" w:eastAsia="宋体" w:cs="宋体"/>
                <w:lang w:val="en-US" w:eastAsia="zh-CN"/>
              </w:rPr>
              <w:t>配发街道名称</w:t>
            </w:r>
          </w:p>
        </w:tc>
        <w:tc>
          <w:tcPr>
            <w:tcW w:w="1107" w:type="pct"/>
            <w:vAlign w:val="center"/>
          </w:tcPr>
          <w:p>
            <w:pPr>
              <w:pStyle w:val="36"/>
              <w:rPr>
                <w:rFonts w:hint="eastAsia" w:ascii="宋体" w:hAnsi="宋体" w:eastAsia="宋体" w:cs="宋体"/>
                <w:lang w:val="en-US" w:eastAsia="zh-CN"/>
              </w:rPr>
            </w:pPr>
            <w:r>
              <w:rPr>
                <w:rFonts w:hint="eastAsia" w:ascii="宋体" w:hAnsi="宋体" w:eastAsia="宋体" w:cs="宋体"/>
                <w:lang w:val="en-US" w:eastAsia="zh-CN"/>
              </w:rPr>
              <w:t>社区个数（个）</w:t>
            </w:r>
          </w:p>
        </w:tc>
        <w:tc>
          <w:tcPr>
            <w:tcW w:w="1352" w:type="pct"/>
            <w:vAlign w:val="center"/>
          </w:tcPr>
          <w:p>
            <w:pPr>
              <w:pStyle w:val="36"/>
              <w:rPr>
                <w:rFonts w:hint="eastAsia" w:ascii="宋体" w:hAnsi="宋体" w:eastAsia="宋体" w:cs="宋体"/>
                <w:lang w:val="en-US" w:eastAsia="zh-CN"/>
              </w:rPr>
            </w:pPr>
            <w:r>
              <w:rPr>
                <w:rFonts w:hint="eastAsia" w:ascii="宋体" w:hAnsi="宋体" w:eastAsia="宋体" w:cs="宋体"/>
                <w:lang w:val="en-US" w:eastAsia="zh-CN"/>
              </w:rPr>
              <w:t>配发终端数量（台）</w:t>
            </w:r>
          </w:p>
        </w:tc>
        <w:tc>
          <w:tcPr>
            <w:tcW w:w="1275" w:type="pct"/>
            <w:vAlign w:val="center"/>
          </w:tcPr>
          <w:p>
            <w:pPr>
              <w:pStyle w:val="36"/>
              <w:rPr>
                <w:rFonts w:hint="eastAsia" w:ascii="宋体" w:hAnsi="宋体" w:eastAsia="宋体" w:cs="宋体"/>
                <w:lang w:val="en-US" w:eastAsia="zh-CN"/>
              </w:rPr>
            </w:pPr>
            <w:r>
              <w:rPr>
                <w:rFonts w:hint="eastAsia" w:ascii="宋体" w:hAnsi="宋体" w:eastAsia="宋体" w:cs="宋体"/>
                <w:lang w:val="en-US" w:eastAsia="zh-CN"/>
              </w:rPr>
              <w:t>配发标识牌数量（个）</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64" w:type="pct"/>
            <w:vAlign w:val="center"/>
          </w:tcPr>
          <w:p>
            <w:pPr>
              <w:pStyle w:val="38"/>
              <w:rPr>
                <w:rFonts w:hint="eastAsia" w:eastAsia="宋体"/>
                <w:lang w:eastAsia="zh-CN"/>
              </w:rPr>
            </w:pPr>
            <w:r>
              <w:rPr>
                <w:rFonts w:hint="eastAsia"/>
                <w:lang w:val="en-US" w:eastAsia="zh-CN"/>
              </w:rPr>
              <w:t>劝业场街</w:t>
            </w:r>
          </w:p>
        </w:tc>
        <w:tc>
          <w:tcPr>
            <w:tcW w:w="1107" w:type="pct"/>
            <w:vAlign w:val="center"/>
          </w:tcPr>
          <w:p>
            <w:pPr>
              <w:pStyle w:val="38"/>
              <w:rPr>
                <w:rFonts w:hint="default" w:eastAsia="宋体"/>
                <w:lang w:val="en-US" w:eastAsia="zh-CN"/>
              </w:rPr>
            </w:pPr>
            <w:r>
              <w:rPr>
                <w:rFonts w:hint="eastAsia"/>
                <w:lang w:val="en-US" w:eastAsia="zh-CN"/>
              </w:rPr>
              <w:t>12</w:t>
            </w:r>
          </w:p>
        </w:tc>
        <w:tc>
          <w:tcPr>
            <w:tcW w:w="1352" w:type="pct"/>
            <w:vAlign w:val="center"/>
          </w:tcPr>
          <w:p>
            <w:pPr>
              <w:pStyle w:val="38"/>
              <w:ind w:firstLine="0" w:firstLineChars="0"/>
              <w:rPr>
                <w:rFonts w:hint="default" w:eastAsia="宋体"/>
                <w:lang w:val="en-US" w:eastAsia="zh-CN"/>
              </w:rPr>
            </w:pPr>
            <w:r>
              <w:rPr>
                <w:rFonts w:hint="eastAsia"/>
                <w:lang w:val="en-US" w:eastAsia="zh-CN"/>
              </w:rPr>
              <w:t>12</w:t>
            </w:r>
          </w:p>
        </w:tc>
        <w:tc>
          <w:tcPr>
            <w:tcW w:w="1275" w:type="pct"/>
            <w:vAlign w:val="center"/>
          </w:tcPr>
          <w:p>
            <w:pPr>
              <w:pStyle w:val="38"/>
              <w:ind w:firstLine="0" w:firstLineChars="0"/>
              <w:rPr>
                <w:rFonts w:hint="eastAsia" w:eastAsia="宋体"/>
                <w:lang w:val="en-US" w:eastAsia="zh-CN"/>
              </w:rPr>
            </w:pPr>
            <w:r>
              <w:rPr>
                <w:rFonts w:hint="eastAsia"/>
                <w:lang w:val="en-US" w:eastAsia="zh-CN"/>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64" w:type="pct"/>
            <w:vAlign w:val="center"/>
          </w:tcPr>
          <w:p>
            <w:pPr>
              <w:pStyle w:val="38"/>
              <w:rPr>
                <w:rFonts w:hint="eastAsia" w:ascii="Times New Roman" w:hAnsi="Times New Roman"/>
              </w:rPr>
            </w:pPr>
            <w:r>
              <w:rPr>
                <w:rFonts w:hint="eastAsia" w:ascii="Times New Roman" w:hAnsi="Times New Roman"/>
              </w:rPr>
              <w:t>南市街</w:t>
            </w:r>
          </w:p>
        </w:tc>
        <w:tc>
          <w:tcPr>
            <w:tcW w:w="1107" w:type="pct"/>
            <w:vAlign w:val="center"/>
          </w:tcPr>
          <w:p>
            <w:pPr>
              <w:pStyle w:val="38"/>
              <w:rPr>
                <w:rFonts w:hint="eastAsia" w:eastAsia="宋体"/>
                <w:lang w:val="en-US" w:eastAsia="zh-CN"/>
              </w:rPr>
            </w:pPr>
            <w:r>
              <w:rPr>
                <w:rFonts w:hint="eastAsia"/>
                <w:lang w:val="en-US" w:eastAsia="zh-CN"/>
              </w:rPr>
              <w:t>9</w:t>
            </w:r>
          </w:p>
        </w:tc>
        <w:tc>
          <w:tcPr>
            <w:tcW w:w="1352" w:type="pct"/>
            <w:vAlign w:val="center"/>
          </w:tcPr>
          <w:p>
            <w:pPr>
              <w:pStyle w:val="38"/>
              <w:ind w:firstLine="0" w:firstLineChars="0"/>
              <w:rPr>
                <w:rFonts w:hint="eastAsia" w:eastAsia="宋体"/>
                <w:lang w:val="en-US" w:eastAsia="zh-CN"/>
              </w:rPr>
            </w:pPr>
            <w:r>
              <w:rPr>
                <w:rFonts w:hint="eastAsia"/>
                <w:lang w:val="en-US" w:eastAsia="zh-CN"/>
              </w:rPr>
              <w:t>9</w:t>
            </w:r>
          </w:p>
        </w:tc>
        <w:tc>
          <w:tcPr>
            <w:tcW w:w="1275" w:type="pct"/>
            <w:vAlign w:val="center"/>
          </w:tcPr>
          <w:p>
            <w:pPr>
              <w:pStyle w:val="38"/>
              <w:ind w:firstLine="0" w:firstLineChars="0"/>
            </w:pPr>
            <w:r>
              <w:rPr>
                <w:rFonts w:hint="eastAsia"/>
                <w:lang w:val="en-US" w:eastAsia="zh-CN"/>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64" w:type="pct"/>
            <w:vAlign w:val="center"/>
          </w:tcPr>
          <w:p>
            <w:pPr>
              <w:pStyle w:val="38"/>
              <w:rPr>
                <w:rFonts w:hint="eastAsia" w:ascii="Times New Roman" w:hAnsi="Times New Roman"/>
              </w:rPr>
            </w:pPr>
            <w:r>
              <w:rPr>
                <w:rFonts w:hint="eastAsia" w:ascii="Times New Roman" w:hAnsi="Times New Roman"/>
              </w:rPr>
              <w:t>新兴街</w:t>
            </w:r>
          </w:p>
        </w:tc>
        <w:tc>
          <w:tcPr>
            <w:tcW w:w="1107" w:type="pct"/>
            <w:vAlign w:val="center"/>
          </w:tcPr>
          <w:p>
            <w:pPr>
              <w:pStyle w:val="38"/>
              <w:rPr>
                <w:rFonts w:hint="default" w:eastAsia="宋体"/>
                <w:lang w:val="en-US" w:eastAsia="zh-CN"/>
              </w:rPr>
            </w:pPr>
            <w:r>
              <w:rPr>
                <w:rFonts w:hint="eastAsia"/>
                <w:lang w:val="en-US" w:eastAsia="zh-CN"/>
              </w:rPr>
              <w:t>11</w:t>
            </w:r>
          </w:p>
        </w:tc>
        <w:tc>
          <w:tcPr>
            <w:tcW w:w="1352" w:type="pct"/>
            <w:vAlign w:val="center"/>
          </w:tcPr>
          <w:p>
            <w:pPr>
              <w:pStyle w:val="38"/>
              <w:ind w:firstLine="0" w:firstLineChars="0"/>
              <w:rPr>
                <w:rFonts w:hint="default" w:eastAsia="宋体"/>
                <w:lang w:val="en-US" w:eastAsia="zh-CN"/>
              </w:rPr>
            </w:pPr>
            <w:r>
              <w:rPr>
                <w:rFonts w:hint="eastAsia"/>
                <w:lang w:val="en-US" w:eastAsia="zh-CN"/>
              </w:rPr>
              <w:t>11</w:t>
            </w:r>
          </w:p>
        </w:tc>
        <w:tc>
          <w:tcPr>
            <w:tcW w:w="1275" w:type="pct"/>
            <w:vAlign w:val="center"/>
          </w:tcPr>
          <w:p>
            <w:pPr>
              <w:pStyle w:val="38"/>
              <w:ind w:firstLine="0" w:firstLineChars="0"/>
              <w:rPr>
                <w:rFonts w:hint="default" w:eastAsia="宋体"/>
                <w:lang w:val="en-US" w:eastAsia="zh-CN"/>
              </w:rPr>
            </w:pPr>
            <w:r>
              <w:rPr>
                <w:rFonts w:hint="eastAsia"/>
                <w:lang w:val="en-US" w:eastAsia="zh-CN"/>
              </w:rPr>
              <w:t>11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64" w:type="pct"/>
            <w:vAlign w:val="center"/>
          </w:tcPr>
          <w:p>
            <w:pPr>
              <w:pStyle w:val="38"/>
              <w:rPr>
                <w:rFonts w:hint="eastAsia" w:ascii="Times New Roman" w:hAnsi="Times New Roman"/>
              </w:rPr>
            </w:pPr>
            <w:r>
              <w:rPr>
                <w:rFonts w:hint="eastAsia" w:ascii="Times New Roman" w:hAnsi="Times New Roman"/>
              </w:rPr>
              <w:t>五大道街</w:t>
            </w:r>
          </w:p>
        </w:tc>
        <w:tc>
          <w:tcPr>
            <w:tcW w:w="1107" w:type="pct"/>
            <w:vAlign w:val="center"/>
          </w:tcPr>
          <w:p>
            <w:pPr>
              <w:pStyle w:val="38"/>
              <w:rPr>
                <w:rFonts w:hint="default" w:eastAsia="宋体"/>
                <w:lang w:val="en-US" w:eastAsia="zh-CN"/>
              </w:rPr>
            </w:pPr>
            <w:r>
              <w:rPr>
                <w:rFonts w:hint="eastAsia"/>
                <w:lang w:val="en-US" w:eastAsia="zh-CN"/>
              </w:rPr>
              <w:t>13</w:t>
            </w:r>
          </w:p>
        </w:tc>
        <w:tc>
          <w:tcPr>
            <w:tcW w:w="1352" w:type="pct"/>
            <w:vAlign w:val="center"/>
          </w:tcPr>
          <w:p>
            <w:pPr>
              <w:pStyle w:val="38"/>
              <w:ind w:firstLine="0" w:firstLineChars="0"/>
              <w:rPr>
                <w:rFonts w:hint="default" w:eastAsia="宋体"/>
                <w:lang w:val="en-US" w:eastAsia="zh-CN"/>
              </w:rPr>
            </w:pPr>
            <w:r>
              <w:rPr>
                <w:rFonts w:hint="eastAsia"/>
                <w:lang w:val="en-US" w:eastAsia="zh-CN"/>
              </w:rPr>
              <w:t>13</w:t>
            </w:r>
          </w:p>
        </w:tc>
        <w:tc>
          <w:tcPr>
            <w:tcW w:w="1275" w:type="pct"/>
            <w:vAlign w:val="center"/>
          </w:tcPr>
          <w:p>
            <w:pPr>
              <w:pStyle w:val="38"/>
              <w:ind w:firstLine="0" w:firstLineChars="0"/>
              <w:rPr>
                <w:rFonts w:hint="default" w:eastAsia="宋体"/>
                <w:lang w:val="en-US" w:eastAsia="zh-CN"/>
              </w:rPr>
            </w:pPr>
            <w:r>
              <w:rPr>
                <w:rFonts w:hint="eastAsia"/>
                <w:lang w:val="en-US" w:eastAsia="zh-CN"/>
              </w:rP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64" w:type="pct"/>
            <w:vAlign w:val="center"/>
          </w:tcPr>
          <w:p>
            <w:pPr>
              <w:pStyle w:val="38"/>
              <w:rPr>
                <w:rFonts w:hint="eastAsia" w:ascii="Times New Roman" w:hAnsi="Times New Roman"/>
              </w:rPr>
            </w:pPr>
            <w:r>
              <w:rPr>
                <w:rFonts w:hint="eastAsia" w:ascii="Times New Roman" w:hAnsi="Times New Roman"/>
              </w:rPr>
              <w:t>南营门街</w:t>
            </w:r>
          </w:p>
        </w:tc>
        <w:tc>
          <w:tcPr>
            <w:tcW w:w="1107" w:type="pct"/>
            <w:vAlign w:val="center"/>
          </w:tcPr>
          <w:p>
            <w:pPr>
              <w:pStyle w:val="38"/>
              <w:rPr>
                <w:rFonts w:hint="default" w:eastAsia="宋体"/>
                <w:lang w:val="en-US" w:eastAsia="zh-CN"/>
              </w:rPr>
            </w:pPr>
            <w:r>
              <w:rPr>
                <w:rFonts w:hint="eastAsia"/>
                <w:lang w:val="en-US" w:eastAsia="zh-CN"/>
              </w:rPr>
              <w:t>10</w:t>
            </w:r>
          </w:p>
        </w:tc>
        <w:tc>
          <w:tcPr>
            <w:tcW w:w="1352" w:type="pct"/>
            <w:vAlign w:val="center"/>
          </w:tcPr>
          <w:p>
            <w:pPr>
              <w:pStyle w:val="38"/>
              <w:ind w:firstLine="0" w:firstLineChars="0"/>
              <w:rPr>
                <w:rFonts w:hint="default" w:eastAsia="宋体"/>
                <w:lang w:val="en-US" w:eastAsia="zh-CN"/>
              </w:rPr>
            </w:pPr>
            <w:r>
              <w:rPr>
                <w:rFonts w:hint="eastAsia"/>
                <w:lang w:val="en-US" w:eastAsia="zh-CN"/>
              </w:rPr>
              <w:t>10</w:t>
            </w:r>
          </w:p>
        </w:tc>
        <w:tc>
          <w:tcPr>
            <w:tcW w:w="1275" w:type="pct"/>
            <w:vAlign w:val="center"/>
          </w:tcPr>
          <w:p>
            <w:pPr>
              <w:pStyle w:val="38"/>
              <w:ind w:firstLine="0" w:firstLineChars="0"/>
              <w:rPr>
                <w:rFonts w:hint="default" w:eastAsia="宋体"/>
                <w:lang w:val="en-US" w:eastAsia="zh-CN"/>
              </w:rPr>
            </w:pPr>
            <w:r>
              <w:rPr>
                <w:rFonts w:hint="eastAsia"/>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64" w:type="pct"/>
            <w:vAlign w:val="center"/>
          </w:tcPr>
          <w:p>
            <w:pPr>
              <w:pStyle w:val="38"/>
              <w:rPr>
                <w:rFonts w:hint="eastAsia" w:ascii="Times New Roman" w:hAnsi="Times New Roman" w:eastAsia="宋体"/>
                <w:b w:val="0"/>
                <w:bCs w:val="0"/>
                <w:lang w:val="en-US" w:eastAsia="zh-CN"/>
              </w:rPr>
            </w:pPr>
            <w:r>
              <w:rPr>
                <w:rFonts w:hint="eastAsia" w:ascii="Times New Roman" w:hAnsi="Times New Roman"/>
                <w:b w:val="0"/>
                <w:bCs w:val="0"/>
                <w:lang w:val="en-US" w:eastAsia="zh-CN"/>
              </w:rPr>
              <w:t>小白楼街</w:t>
            </w:r>
          </w:p>
        </w:tc>
        <w:tc>
          <w:tcPr>
            <w:tcW w:w="1107" w:type="pct"/>
            <w:vAlign w:val="center"/>
          </w:tcPr>
          <w:p>
            <w:pPr>
              <w:pStyle w:val="38"/>
              <w:rPr>
                <w:rFonts w:hint="default"/>
                <w:b w:val="0"/>
                <w:bCs w:val="0"/>
                <w:lang w:val="en-US" w:eastAsia="zh-CN"/>
              </w:rPr>
            </w:pPr>
            <w:r>
              <w:rPr>
                <w:rFonts w:hint="eastAsia"/>
                <w:b w:val="0"/>
                <w:bCs w:val="0"/>
                <w:lang w:val="en-US" w:eastAsia="zh-CN"/>
              </w:rPr>
              <w:t>9</w:t>
            </w:r>
          </w:p>
        </w:tc>
        <w:tc>
          <w:tcPr>
            <w:tcW w:w="1352" w:type="pct"/>
            <w:vAlign w:val="center"/>
          </w:tcPr>
          <w:p>
            <w:pPr>
              <w:pStyle w:val="38"/>
              <w:ind w:firstLine="0" w:firstLineChars="0"/>
              <w:rPr>
                <w:rFonts w:hint="default"/>
                <w:b w:val="0"/>
                <w:bCs w:val="0"/>
                <w:lang w:val="en-US" w:eastAsia="zh-CN"/>
              </w:rPr>
            </w:pPr>
            <w:r>
              <w:rPr>
                <w:rFonts w:hint="eastAsia"/>
                <w:b w:val="0"/>
                <w:bCs w:val="0"/>
                <w:lang w:val="en-US" w:eastAsia="zh-CN"/>
              </w:rPr>
              <w:t>9</w:t>
            </w:r>
          </w:p>
        </w:tc>
        <w:tc>
          <w:tcPr>
            <w:tcW w:w="1275" w:type="pct"/>
            <w:vAlign w:val="center"/>
          </w:tcPr>
          <w:p>
            <w:pPr>
              <w:pStyle w:val="38"/>
              <w:ind w:firstLine="0" w:firstLineChars="0"/>
              <w:rPr>
                <w:rFonts w:hint="default" w:eastAsia="宋体"/>
                <w:b w:val="0"/>
                <w:bCs w:val="0"/>
                <w:lang w:val="en-US" w:eastAsia="zh-CN"/>
              </w:rPr>
            </w:pPr>
            <w:r>
              <w:rPr>
                <w:rFonts w:hint="eastAsia"/>
                <w:b w:val="0"/>
                <w:bCs w:val="0"/>
                <w:lang w:val="en-US" w:eastAsia="zh-CN"/>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64" w:type="pct"/>
            <w:shd w:val="clear" w:color="auto" w:fill="auto"/>
            <w:vAlign w:val="center"/>
          </w:tcPr>
          <w:p>
            <w:pPr>
              <w:pStyle w:val="38"/>
              <w:ind w:firstLine="0" w:firstLineChars="0"/>
              <w:rPr>
                <w:rFonts w:hint="eastAsia" w:ascii="Times New Roman" w:hAnsi="Times New Roman" w:eastAsia="宋体" w:cstheme="minorBidi"/>
                <w:b/>
                <w:bCs/>
                <w:kern w:val="2"/>
                <w:sz w:val="21"/>
                <w:szCs w:val="21"/>
                <w:lang w:val="en-US" w:eastAsia="zh-CN" w:bidi="ar-SA"/>
              </w:rPr>
            </w:pPr>
            <w:r>
              <w:rPr>
                <w:rFonts w:hint="eastAsia" w:ascii="Times New Roman" w:hAnsi="Times New Roman"/>
                <w:b/>
                <w:bCs/>
                <w:lang w:val="en-US" w:eastAsia="zh-CN"/>
              </w:rPr>
              <w:t>合计</w:t>
            </w:r>
          </w:p>
        </w:tc>
        <w:tc>
          <w:tcPr>
            <w:tcW w:w="1107" w:type="pct"/>
            <w:shd w:val="clear" w:color="auto" w:fill="auto"/>
            <w:vAlign w:val="center"/>
          </w:tcPr>
          <w:p>
            <w:pPr>
              <w:pStyle w:val="38"/>
              <w:ind w:firstLine="0" w:firstLineChars="0"/>
              <w:rPr>
                <w:rFonts w:hint="default" w:ascii="Times New Roman" w:hAnsi="Times New Roman" w:eastAsia="宋体" w:cstheme="minorBidi"/>
                <w:b/>
                <w:bCs/>
                <w:kern w:val="2"/>
                <w:sz w:val="21"/>
                <w:szCs w:val="21"/>
                <w:lang w:val="en-US" w:eastAsia="zh-CN" w:bidi="ar-SA"/>
              </w:rPr>
            </w:pPr>
            <w:r>
              <w:rPr>
                <w:rFonts w:hint="eastAsia"/>
                <w:b/>
                <w:bCs/>
                <w:lang w:val="en-US" w:eastAsia="zh-CN"/>
              </w:rPr>
              <w:t>64</w:t>
            </w:r>
          </w:p>
        </w:tc>
        <w:tc>
          <w:tcPr>
            <w:tcW w:w="1352" w:type="pct"/>
            <w:shd w:val="clear" w:color="auto" w:fill="auto"/>
            <w:vAlign w:val="center"/>
          </w:tcPr>
          <w:p>
            <w:pPr>
              <w:pStyle w:val="38"/>
              <w:ind w:firstLine="0" w:firstLineChars="0"/>
              <w:rPr>
                <w:rFonts w:hint="eastAsia" w:ascii="Times New Roman" w:hAnsi="Times New Roman" w:eastAsia="宋体" w:cstheme="minorBidi"/>
                <w:b/>
                <w:bCs/>
                <w:kern w:val="2"/>
                <w:sz w:val="21"/>
                <w:szCs w:val="21"/>
                <w:lang w:val="en-US" w:eastAsia="zh-CN" w:bidi="ar-SA"/>
              </w:rPr>
            </w:pPr>
            <w:r>
              <w:rPr>
                <w:rFonts w:hint="eastAsia"/>
                <w:b/>
                <w:bCs/>
                <w:lang w:val="en-US" w:eastAsia="zh-CN"/>
              </w:rPr>
              <w:t>64</w:t>
            </w:r>
          </w:p>
        </w:tc>
        <w:tc>
          <w:tcPr>
            <w:tcW w:w="1275" w:type="pct"/>
            <w:shd w:val="clear" w:color="auto" w:fill="auto"/>
            <w:vAlign w:val="center"/>
          </w:tcPr>
          <w:p>
            <w:pPr>
              <w:pStyle w:val="38"/>
              <w:ind w:firstLine="0" w:firstLineChars="0"/>
              <w:rPr>
                <w:rFonts w:hint="eastAsia" w:ascii="Times New Roman" w:hAnsi="Times New Roman" w:eastAsia="宋体" w:cstheme="minorBidi"/>
                <w:b/>
                <w:bCs/>
                <w:kern w:val="2"/>
                <w:sz w:val="21"/>
                <w:szCs w:val="21"/>
                <w:lang w:val="en-US" w:eastAsia="zh-CN" w:bidi="ar-SA"/>
              </w:rPr>
            </w:pPr>
            <w:r>
              <w:rPr>
                <w:rFonts w:hint="eastAsia"/>
                <w:b/>
                <w:bCs/>
                <w:lang w:val="en-US" w:eastAsia="zh-CN"/>
              </w:rPr>
              <w:t>64</w:t>
            </w:r>
          </w:p>
        </w:tc>
      </w:tr>
    </w:tbl>
    <w:p>
      <w:pPr>
        <w:pStyle w:val="26"/>
        <w:keepNext w:val="0"/>
        <w:keepLines w:val="0"/>
        <w:pageBreakBefore w:val="0"/>
        <w:kinsoku/>
        <w:wordWrap/>
        <w:overflowPunct/>
        <w:topLinePunct w:val="0"/>
        <w:autoSpaceDE/>
        <w:autoSpaceDN/>
        <w:bidi w:val="0"/>
        <w:adjustRightInd/>
        <w:snapToGrid/>
        <w:spacing w:line="560" w:lineRule="exact"/>
        <w:ind w:firstLine="640"/>
        <w:textAlignment w:val="auto"/>
      </w:pPr>
      <w:r>
        <w:rPr>
          <w:rFonts w:hint="eastAsia"/>
        </w:rPr>
        <w:t>3.产出时效</w:t>
      </w:r>
    </w:p>
    <w:p>
      <w:pPr>
        <w:pStyle w:val="2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lang w:val="en-US" w:eastAsia="zh-CN"/>
        </w:rPr>
      </w:pPr>
      <w:r>
        <w:rPr>
          <w:rFonts w:hint="eastAsia"/>
        </w:rPr>
        <w:t>（1）医保定点医药机构监督检查</w:t>
      </w:r>
      <w:r>
        <w:rPr>
          <w:rFonts w:hint="eastAsia"/>
          <w:lang w:val="en-US" w:eastAsia="zh-CN"/>
        </w:rPr>
        <w:t>及时率</w:t>
      </w:r>
      <w:r>
        <w:rPr>
          <w:rFonts w:hint="eastAsia"/>
        </w:rPr>
        <w:t>（总分</w:t>
      </w:r>
      <w:r>
        <w:rPr>
          <w:rFonts w:hint="eastAsia"/>
          <w:lang w:val="en-US" w:eastAsia="zh-CN"/>
        </w:rPr>
        <w:t>2</w:t>
      </w:r>
      <w:r>
        <w:rPr>
          <w:rFonts w:hint="eastAsia"/>
        </w:rPr>
        <w:t>分，得分</w:t>
      </w:r>
      <w:r>
        <w:rPr>
          <w:rFonts w:hint="eastAsia"/>
          <w:lang w:val="en-US" w:eastAsia="zh-CN"/>
        </w:rPr>
        <w:t>2</w:t>
      </w:r>
      <w:r>
        <w:rPr>
          <w:rFonts w:hint="eastAsia"/>
        </w:rPr>
        <w:t>分）。根据</w:t>
      </w:r>
      <w:r>
        <w:rPr>
          <w:rFonts w:hint="eastAsia"/>
          <w:lang w:val="en-US" w:eastAsia="zh-CN"/>
        </w:rPr>
        <w:t>医保定点医药机构监督检查台账及对应检查报告得出，区医保局于2023年6月26日具体实施</w:t>
      </w:r>
      <w:r>
        <w:rPr>
          <w:rFonts w:hint="eastAsia"/>
        </w:rPr>
        <w:t>医保定点医药机构监督检查</w:t>
      </w:r>
      <w:r>
        <w:rPr>
          <w:rFonts w:hint="eastAsia"/>
          <w:lang w:val="en-US" w:eastAsia="zh-CN"/>
        </w:rPr>
        <w:t>工作，至2023年12月1日完成全部121家</w:t>
      </w:r>
      <w:r>
        <w:rPr>
          <w:rFonts w:hint="eastAsia"/>
        </w:rPr>
        <w:t>医保定点医药机构</w:t>
      </w:r>
      <w:r>
        <w:rPr>
          <w:rFonts w:hint="eastAsia"/>
          <w:lang w:val="en-US" w:eastAsia="zh-CN"/>
        </w:rPr>
        <w:t>的</w:t>
      </w:r>
      <w:r>
        <w:rPr>
          <w:rFonts w:hint="eastAsia"/>
        </w:rPr>
        <w:t>检查</w:t>
      </w:r>
      <w:r>
        <w:rPr>
          <w:rFonts w:hint="eastAsia"/>
          <w:lang w:val="en-US" w:eastAsia="zh-CN"/>
        </w:rPr>
        <w:t>工作，</w:t>
      </w:r>
      <w:r>
        <w:rPr>
          <w:rFonts w:hint="eastAsia"/>
        </w:rPr>
        <w:t>医保定点医药机构监督检查</w:t>
      </w:r>
      <w:r>
        <w:rPr>
          <w:rFonts w:hint="eastAsia"/>
          <w:lang w:val="en-US" w:eastAsia="zh-CN"/>
        </w:rPr>
        <w:t>及时率为100%。</w:t>
      </w:r>
    </w:p>
    <w:p>
      <w:pPr>
        <w:pStyle w:val="2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lang w:val="en-US" w:eastAsia="zh-CN"/>
        </w:rPr>
      </w:pPr>
      <w:r>
        <w:rPr>
          <w:rFonts w:hint="eastAsia"/>
        </w:rPr>
        <w:t>（2）</w:t>
      </w:r>
      <w:r>
        <w:rPr>
          <w:rFonts w:hint="eastAsia"/>
          <w:lang w:val="en-US" w:eastAsia="zh-CN"/>
        </w:rPr>
        <w:t>法律服务提供及时率</w:t>
      </w:r>
      <w:r>
        <w:rPr>
          <w:rFonts w:hint="eastAsia"/>
        </w:rPr>
        <w:t>（总分</w:t>
      </w:r>
      <w:r>
        <w:rPr>
          <w:rFonts w:hint="eastAsia"/>
          <w:lang w:val="en-US" w:eastAsia="zh-CN"/>
        </w:rPr>
        <w:t>2</w:t>
      </w:r>
      <w:r>
        <w:rPr>
          <w:rFonts w:hint="eastAsia"/>
        </w:rPr>
        <w:t>分，得分</w:t>
      </w:r>
      <w:r>
        <w:rPr>
          <w:rFonts w:hint="eastAsia"/>
          <w:lang w:val="en-US" w:eastAsia="zh-CN"/>
        </w:rPr>
        <w:t>2</w:t>
      </w:r>
      <w:r>
        <w:rPr>
          <w:rFonts w:hint="eastAsia"/>
        </w:rPr>
        <w:t>分）。根据法律顾问服务工作总结得出</w:t>
      </w:r>
      <w:r>
        <w:rPr>
          <w:rFonts w:hint="eastAsia"/>
          <w:lang w:eastAsia="zh-CN"/>
        </w:rPr>
        <w:t>，</w:t>
      </w:r>
      <w:r>
        <w:rPr>
          <w:rFonts w:hint="eastAsia"/>
          <w:lang w:val="en-US" w:eastAsia="zh-CN"/>
        </w:rPr>
        <w:t>2023年区医保局聘任的法律顾问提供了日常法律咨询服务、法律知识培训服务、法律意见书起草以及合同审查服务，日常法律咨询服务提供及时，法律意见书起草以及合同审查服务在规定时间内完成，3场法律知识培训分别于2023年6月1日、2023年6月21日、2023年12月8日开展完成，具体法律知识培训开展时间见表10，法律服务提供及时率为100%。</w:t>
      </w:r>
    </w:p>
    <w:p>
      <w:pPr>
        <w:pStyle w:val="33"/>
        <w:keepNext w:val="0"/>
        <w:keepLines w:val="0"/>
        <w:pageBreakBefore w:val="0"/>
        <w:kinsoku/>
        <w:wordWrap/>
        <w:overflowPunct/>
        <w:topLinePunct w:val="0"/>
        <w:autoSpaceDE/>
        <w:autoSpaceDN/>
        <w:bidi w:val="0"/>
        <w:adjustRightInd/>
        <w:snapToGrid/>
        <w:spacing w:line="560" w:lineRule="exact"/>
        <w:textAlignment w:val="auto"/>
      </w:pPr>
      <w:r>
        <w:t>表</w:t>
      </w:r>
      <w:r>
        <w:rPr>
          <w:rFonts w:hint="eastAsia"/>
          <w:lang w:val="en-US" w:eastAsia="zh-CN"/>
        </w:rPr>
        <w:t>10</w:t>
      </w:r>
      <w:r>
        <w:t xml:space="preserve">  </w:t>
      </w:r>
      <w:r>
        <w:rPr>
          <w:rFonts w:hint="eastAsia"/>
          <w:lang w:val="en-US" w:eastAsia="zh-CN"/>
        </w:rPr>
        <w:t>法律知识培训开展时间</w:t>
      </w:r>
      <w:r>
        <w:rPr>
          <w:rFonts w:hint="eastAsia"/>
        </w:rPr>
        <w:t>情况表</w:t>
      </w:r>
    </w:p>
    <w:tbl>
      <w:tblPr>
        <w:tblStyle w:val="16"/>
        <w:tblW w:w="4528"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5378"/>
        <w:gridCol w:w="282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blHeader/>
          <w:jc w:val="center"/>
        </w:trPr>
        <w:tc>
          <w:tcPr>
            <w:tcW w:w="3276" w:type="pct"/>
            <w:vAlign w:val="center"/>
          </w:tcPr>
          <w:p>
            <w:pPr>
              <w:pStyle w:val="36"/>
              <w:rPr>
                <w:rFonts w:hint="eastAsia" w:ascii="宋体" w:hAnsi="宋体" w:eastAsia="宋体" w:cs="宋体"/>
                <w:lang w:val="en-US" w:eastAsia="zh-CN"/>
              </w:rPr>
            </w:pPr>
            <w:r>
              <w:rPr>
                <w:rFonts w:hint="eastAsia" w:ascii="宋体" w:hAnsi="宋体" w:eastAsia="宋体" w:cs="宋体"/>
                <w:lang w:val="en-US" w:eastAsia="zh-CN"/>
              </w:rPr>
              <w:t>法律知识培训内容</w:t>
            </w:r>
          </w:p>
        </w:tc>
        <w:tc>
          <w:tcPr>
            <w:tcW w:w="1723" w:type="pct"/>
            <w:vAlign w:val="center"/>
          </w:tcPr>
          <w:p>
            <w:pPr>
              <w:pStyle w:val="36"/>
              <w:rPr>
                <w:rFonts w:hint="eastAsia" w:ascii="宋体" w:hAnsi="宋体" w:eastAsia="宋体" w:cs="宋体"/>
                <w:lang w:val="en-US" w:eastAsia="zh-CN"/>
              </w:rPr>
            </w:pPr>
            <w:r>
              <w:rPr>
                <w:rFonts w:hint="eastAsia" w:ascii="宋体" w:hAnsi="宋体" w:eastAsia="宋体" w:cs="宋体"/>
                <w:lang w:val="en-US" w:eastAsia="zh-CN"/>
              </w:rPr>
              <w:t>培训开展时间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3276" w:type="pct"/>
            <w:vAlign w:val="center"/>
          </w:tcPr>
          <w:p>
            <w:pPr>
              <w:pStyle w:val="38"/>
              <w:rPr>
                <w:rFonts w:hint="eastAsia" w:eastAsia="宋体"/>
                <w:lang w:eastAsia="zh-CN"/>
              </w:rPr>
            </w:pPr>
            <w:r>
              <w:rPr>
                <w:rFonts w:hint="eastAsia"/>
                <w:lang w:val="en-US" w:eastAsia="zh-CN"/>
              </w:rPr>
              <w:t>《民法典》婚姻家庭编培训</w:t>
            </w:r>
          </w:p>
        </w:tc>
        <w:tc>
          <w:tcPr>
            <w:tcW w:w="1723" w:type="pct"/>
            <w:vAlign w:val="center"/>
          </w:tcPr>
          <w:p>
            <w:pPr>
              <w:pStyle w:val="38"/>
              <w:ind w:firstLine="0" w:firstLineChars="0"/>
              <w:rPr>
                <w:rFonts w:hint="default" w:eastAsia="宋体"/>
                <w:lang w:val="en-US" w:eastAsia="zh-CN"/>
              </w:rPr>
            </w:pPr>
            <w:r>
              <w:rPr>
                <w:rFonts w:hint="eastAsia"/>
                <w:lang w:val="en-US" w:eastAsia="zh-CN"/>
              </w:rPr>
              <w:t>2023年6月1日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3276" w:type="pct"/>
            <w:vAlign w:val="center"/>
          </w:tcPr>
          <w:p>
            <w:pPr>
              <w:pStyle w:val="38"/>
              <w:rPr>
                <w:rFonts w:hint="eastAsia" w:ascii="Times New Roman" w:hAnsi="Times New Roman"/>
              </w:rPr>
            </w:pPr>
            <w:r>
              <w:rPr>
                <w:rFonts w:hint="eastAsia" w:ascii="Times New Roman" w:hAnsi="Times New Roman"/>
              </w:rPr>
              <w:t>执法事宜进行培训</w:t>
            </w:r>
          </w:p>
        </w:tc>
        <w:tc>
          <w:tcPr>
            <w:tcW w:w="1723" w:type="pct"/>
            <w:vAlign w:val="center"/>
          </w:tcPr>
          <w:p>
            <w:pPr>
              <w:pStyle w:val="38"/>
              <w:ind w:firstLine="0" w:firstLineChars="0"/>
              <w:rPr>
                <w:rFonts w:hint="eastAsia" w:eastAsia="宋体"/>
                <w:lang w:val="en-US" w:eastAsia="zh-CN"/>
              </w:rPr>
            </w:pPr>
            <w:r>
              <w:rPr>
                <w:rFonts w:hint="eastAsia"/>
                <w:lang w:val="en-US" w:eastAsia="zh-CN"/>
              </w:rPr>
              <w:t>2023年6月21日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3276" w:type="pct"/>
            <w:vAlign w:val="center"/>
          </w:tcPr>
          <w:p>
            <w:pPr>
              <w:pStyle w:val="38"/>
              <w:rPr>
                <w:rFonts w:hint="eastAsia" w:ascii="Times New Roman" w:hAnsi="Times New Roman" w:eastAsia="宋体"/>
                <w:lang w:val="en-US" w:eastAsia="zh-CN"/>
              </w:rPr>
            </w:pPr>
            <w:r>
              <w:rPr>
                <w:rFonts w:hint="eastAsia" w:ascii="Times New Roman" w:hAnsi="Times New Roman"/>
              </w:rPr>
              <w:t>弘扬宪法精神树立诚信理念讲座</w:t>
            </w:r>
            <w:r>
              <w:rPr>
                <w:rFonts w:hint="eastAsia" w:ascii="Times New Roman" w:hAnsi="Times New Roman"/>
                <w:lang w:val="en-US" w:eastAsia="zh-CN"/>
              </w:rPr>
              <w:t>培训</w:t>
            </w:r>
          </w:p>
        </w:tc>
        <w:tc>
          <w:tcPr>
            <w:tcW w:w="1723" w:type="pct"/>
            <w:vAlign w:val="center"/>
          </w:tcPr>
          <w:p>
            <w:pPr>
              <w:pStyle w:val="38"/>
              <w:ind w:firstLine="0" w:firstLineChars="0"/>
              <w:rPr>
                <w:rFonts w:hint="default" w:eastAsia="宋体"/>
                <w:lang w:val="en-US" w:eastAsia="zh-CN"/>
              </w:rPr>
            </w:pPr>
            <w:r>
              <w:rPr>
                <w:rFonts w:hint="eastAsia"/>
                <w:lang w:val="en-US" w:eastAsia="zh-CN"/>
              </w:rPr>
              <w:t>2023年12月8日</w:t>
            </w:r>
          </w:p>
        </w:tc>
      </w:tr>
    </w:tbl>
    <w:p>
      <w:pPr>
        <w:pStyle w:val="2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lang w:val="en-US" w:eastAsia="zh-CN"/>
        </w:rPr>
      </w:pPr>
      <w:r>
        <w:rPr>
          <w:rFonts w:hint="eastAsia"/>
        </w:rPr>
        <w:t>（</w:t>
      </w:r>
      <w:r>
        <w:rPr>
          <w:rFonts w:hint="eastAsia"/>
          <w:lang w:val="en-US" w:eastAsia="zh-CN"/>
        </w:rPr>
        <w:t>3</w:t>
      </w:r>
      <w:r>
        <w:rPr>
          <w:rFonts w:hint="eastAsia"/>
        </w:rPr>
        <w:t>）</w:t>
      </w:r>
      <w:r>
        <w:rPr>
          <w:rFonts w:hint="eastAsia"/>
          <w:lang w:val="en-US" w:eastAsia="zh-CN"/>
        </w:rPr>
        <w:t>医保宣传活动开展及时率</w:t>
      </w:r>
      <w:r>
        <w:rPr>
          <w:rFonts w:hint="eastAsia"/>
        </w:rPr>
        <w:t>（总分</w:t>
      </w:r>
      <w:r>
        <w:rPr>
          <w:rFonts w:hint="eastAsia"/>
          <w:lang w:val="en-US" w:eastAsia="zh-CN"/>
        </w:rPr>
        <w:t>2</w:t>
      </w:r>
      <w:r>
        <w:rPr>
          <w:rFonts w:hint="eastAsia"/>
        </w:rPr>
        <w:t>分，得分</w:t>
      </w:r>
      <w:r>
        <w:rPr>
          <w:rFonts w:hint="eastAsia"/>
          <w:lang w:val="en-US" w:eastAsia="zh-CN"/>
        </w:rPr>
        <w:t>2</w:t>
      </w:r>
      <w:r>
        <w:rPr>
          <w:rFonts w:hint="eastAsia"/>
        </w:rPr>
        <w:t>分）。根据单位宣传活动总结、宣传活动现场照片</w:t>
      </w:r>
      <w:r>
        <w:rPr>
          <w:rFonts w:hint="eastAsia"/>
          <w:lang w:val="en-US" w:eastAsia="zh-CN"/>
        </w:rPr>
        <w:t>得出</w:t>
      </w:r>
      <w:r>
        <w:rPr>
          <w:rFonts w:hint="eastAsia"/>
          <w:lang w:eastAsia="zh-CN"/>
        </w:rPr>
        <w:t>，</w:t>
      </w:r>
      <w:r>
        <w:rPr>
          <w:rFonts w:hint="eastAsia"/>
          <w:lang w:val="en-US" w:eastAsia="zh-CN"/>
        </w:rPr>
        <w:t>2023年区医保局共开展6场线下宣传活动，6场宣传活动均在计划时间内完成，具体医保宣传活动开展时间见表11，医保宣传活动开展及时率为100%。</w:t>
      </w:r>
    </w:p>
    <w:p>
      <w:pPr>
        <w:pStyle w:val="33"/>
        <w:keepNext w:val="0"/>
        <w:keepLines w:val="0"/>
        <w:pageBreakBefore w:val="0"/>
        <w:kinsoku/>
        <w:wordWrap/>
        <w:overflowPunct/>
        <w:topLinePunct w:val="0"/>
        <w:autoSpaceDE/>
        <w:autoSpaceDN/>
        <w:bidi w:val="0"/>
        <w:adjustRightInd/>
        <w:snapToGrid/>
        <w:spacing w:line="560" w:lineRule="exact"/>
        <w:textAlignment w:val="auto"/>
      </w:pPr>
      <w:r>
        <w:t>表</w:t>
      </w:r>
      <w:r>
        <w:rPr>
          <w:rFonts w:hint="eastAsia"/>
          <w:lang w:val="en-US" w:eastAsia="zh-CN"/>
        </w:rPr>
        <w:t>11</w:t>
      </w:r>
      <w:r>
        <w:t xml:space="preserve"> </w:t>
      </w:r>
      <w:r>
        <w:rPr>
          <w:rFonts w:hint="eastAsia"/>
          <w:lang w:val="en-US" w:eastAsia="zh-CN"/>
        </w:rPr>
        <w:t xml:space="preserve"> 医保宣传活动开展时间</w:t>
      </w:r>
      <w:r>
        <w:rPr>
          <w:rFonts w:hint="eastAsia"/>
        </w:rPr>
        <w:t>情况表</w:t>
      </w:r>
    </w:p>
    <w:tbl>
      <w:tblPr>
        <w:tblStyle w:val="16"/>
        <w:tblW w:w="4527"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5447"/>
        <w:gridCol w:w="27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blHeader/>
          <w:jc w:val="center"/>
        </w:trPr>
        <w:tc>
          <w:tcPr>
            <w:tcW w:w="3319" w:type="pct"/>
            <w:vAlign w:val="center"/>
          </w:tcPr>
          <w:p>
            <w:pPr>
              <w:pStyle w:val="36"/>
              <w:rPr>
                <w:rFonts w:hint="eastAsia" w:ascii="宋体" w:hAnsi="宋体" w:eastAsia="宋体" w:cs="宋体"/>
                <w:lang w:val="en-US" w:eastAsia="zh-CN"/>
              </w:rPr>
            </w:pPr>
            <w:r>
              <w:rPr>
                <w:rFonts w:hint="eastAsia" w:ascii="宋体" w:hAnsi="宋体" w:eastAsia="宋体" w:cs="宋体"/>
                <w:lang w:val="en-US" w:eastAsia="zh-CN"/>
              </w:rPr>
              <w:t>医保宣传活动内容</w:t>
            </w:r>
          </w:p>
        </w:tc>
        <w:tc>
          <w:tcPr>
            <w:tcW w:w="1680" w:type="pct"/>
            <w:vAlign w:val="center"/>
          </w:tcPr>
          <w:p>
            <w:pPr>
              <w:pStyle w:val="36"/>
              <w:rPr>
                <w:rFonts w:hint="eastAsia" w:ascii="宋体" w:hAnsi="宋体" w:eastAsia="宋体" w:cs="宋体"/>
                <w:lang w:val="en-US" w:eastAsia="zh-CN"/>
              </w:rPr>
            </w:pPr>
            <w:r>
              <w:rPr>
                <w:rFonts w:hint="eastAsia" w:ascii="宋体" w:hAnsi="宋体" w:eastAsia="宋体" w:cs="宋体"/>
                <w:lang w:val="en-US" w:eastAsia="zh-CN"/>
              </w:rPr>
              <w:t>宣传活动开展时间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3319" w:type="pct"/>
            <w:vAlign w:val="center"/>
          </w:tcPr>
          <w:p>
            <w:pPr>
              <w:pStyle w:val="38"/>
              <w:rPr>
                <w:rFonts w:hint="eastAsia" w:eastAsia="宋体"/>
                <w:lang w:eastAsia="zh-CN"/>
              </w:rPr>
            </w:pPr>
            <w:r>
              <w:rPr>
                <w:rFonts w:hint="eastAsia"/>
                <w:lang w:val="en-US" w:eastAsia="zh-CN"/>
              </w:rPr>
              <w:t>“春风行动”政策宣传活动</w:t>
            </w:r>
          </w:p>
        </w:tc>
        <w:tc>
          <w:tcPr>
            <w:tcW w:w="1680" w:type="pct"/>
            <w:vAlign w:val="center"/>
          </w:tcPr>
          <w:p>
            <w:pPr>
              <w:pStyle w:val="38"/>
              <w:ind w:firstLine="0" w:firstLineChars="0"/>
              <w:rPr>
                <w:rFonts w:hint="default" w:eastAsia="宋体"/>
                <w:lang w:val="en-US" w:eastAsia="zh-CN"/>
              </w:rPr>
            </w:pPr>
            <w:r>
              <w:rPr>
                <w:rFonts w:hint="eastAsia"/>
                <w:lang w:val="en-US" w:eastAsia="zh-CN"/>
              </w:rPr>
              <w:t>2023年2月24日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3319" w:type="pct"/>
            <w:vAlign w:val="center"/>
          </w:tcPr>
          <w:p>
            <w:pPr>
              <w:pStyle w:val="38"/>
              <w:rPr>
                <w:rFonts w:hint="eastAsia" w:ascii="Times New Roman" w:hAnsi="Times New Roman"/>
              </w:rPr>
            </w:pPr>
            <w:r>
              <w:rPr>
                <w:rFonts w:hint="eastAsia" w:ascii="Times New Roman" w:hAnsi="Times New Roman"/>
              </w:rPr>
              <w:t>“2023年打击欺诈骗保宣传月启动仪式”活动</w:t>
            </w:r>
          </w:p>
        </w:tc>
        <w:tc>
          <w:tcPr>
            <w:tcW w:w="1680" w:type="pct"/>
            <w:vAlign w:val="center"/>
          </w:tcPr>
          <w:p>
            <w:pPr>
              <w:pStyle w:val="38"/>
              <w:ind w:firstLine="0" w:firstLineChars="0"/>
              <w:rPr>
                <w:rFonts w:hint="eastAsia" w:eastAsia="宋体"/>
                <w:lang w:val="en-US" w:eastAsia="zh-CN"/>
              </w:rPr>
            </w:pPr>
            <w:r>
              <w:rPr>
                <w:rFonts w:hint="eastAsia"/>
                <w:lang w:val="en-US" w:eastAsia="zh-CN"/>
              </w:rPr>
              <w:t>2023年4月6日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3319" w:type="pct"/>
            <w:vAlign w:val="center"/>
          </w:tcPr>
          <w:p>
            <w:pPr>
              <w:pStyle w:val="38"/>
              <w:rPr>
                <w:rFonts w:hint="eastAsia" w:ascii="Times New Roman" w:hAnsi="Times New Roman" w:eastAsia="宋体"/>
                <w:lang w:val="en-US" w:eastAsia="zh-CN"/>
              </w:rPr>
            </w:pPr>
            <w:r>
              <w:rPr>
                <w:rFonts w:hint="eastAsia" w:ascii="Times New Roman" w:hAnsi="Times New Roman"/>
              </w:rPr>
              <w:t>跨省异地就医直接结算政策宣传活动</w:t>
            </w:r>
          </w:p>
        </w:tc>
        <w:tc>
          <w:tcPr>
            <w:tcW w:w="1680" w:type="pct"/>
            <w:vAlign w:val="center"/>
          </w:tcPr>
          <w:p>
            <w:pPr>
              <w:pStyle w:val="38"/>
              <w:ind w:firstLine="0" w:firstLineChars="0"/>
              <w:rPr>
                <w:rFonts w:hint="default" w:eastAsia="宋体"/>
                <w:lang w:val="en-US" w:eastAsia="zh-CN"/>
              </w:rPr>
            </w:pPr>
            <w:r>
              <w:rPr>
                <w:rFonts w:hint="eastAsia"/>
                <w:lang w:val="en-US" w:eastAsia="zh-CN"/>
              </w:rPr>
              <w:t>2023年6月26日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3319" w:type="pct"/>
            <w:vAlign w:val="center"/>
          </w:tcPr>
          <w:p>
            <w:pPr>
              <w:pStyle w:val="38"/>
              <w:rPr>
                <w:rFonts w:hint="eastAsia" w:ascii="Times New Roman" w:hAnsi="Times New Roman"/>
              </w:rPr>
            </w:pPr>
            <w:r>
              <w:rPr>
                <w:rFonts w:hint="eastAsia" w:ascii="Times New Roman" w:hAnsi="Times New Roman"/>
              </w:rPr>
              <w:t>和平区基本医保全民参保计划集中宣传月启动活动</w:t>
            </w:r>
          </w:p>
        </w:tc>
        <w:tc>
          <w:tcPr>
            <w:tcW w:w="1680" w:type="pct"/>
            <w:vAlign w:val="center"/>
          </w:tcPr>
          <w:p>
            <w:pPr>
              <w:pStyle w:val="38"/>
              <w:ind w:firstLine="0" w:firstLineChars="0"/>
              <w:rPr>
                <w:rFonts w:hint="eastAsia"/>
                <w:lang w:val="en-US" w:eastAsia="zh-CN"/>
              </w:rPr>
            </w:pPr>
            <w:r>
              <w:rPr>
                <w:rFonts w:hint="eastAsia"/>
                <w:lang w:val="en-US" w:eastAsia="zh-CN"/>
              </w:rPr>
              <w:t>2023年10月20日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3319" w:type="pct"/>
            <w:vAlign w:val="center"/>
          </w:tcPr>
          <w:p>
            <w:pPr>
              <w:pStyle w:val="38"/>
              <w:rPr>
                <w:rFonts w:hint="eastAsia" w:ascii="Times New Roman" w:hAnsi="Times New Roman"/>
              </w:rPr>
            </w:pPr>
            <w:r>
              <w:rPr>
                <w:rFonts w:hint="eastAsia" w:ascii="Times New Roman" w:hAnsi="Times New Roman"/>
              </w:rPr>
              <w:t>大同道社区医保政策宣传活动</w:t>
            </w:r>
          </w:p>
        </w:tc>
        <w:tc>
          <w:tcPr>
            <w:tcW w:w="1680" w:type="pct"/>
            <w:vAlign w:val="center"/>
          </w:tcPr>
          <w:p>
            <w:pPr>
              <w:pStyle w:val="38"/>
              <w:ind w:firstLine="0" w:firstLineChars="0"/>
              <w:rPr>
                <w:rFonts w:hint="eastAsia"/>
                <w:lang w:val="en-US" w:eastAsia="zh-CN"/>
              </w:rPr>
            </w:pPr>
            <w:r>
              <w:rPr>
                <w:rFonts w:hint="eastAsia"/>
                <w:lang w:val="en-US" w:eastAsia="zh-CN"/>
              </w:rPr>
              <w:t>2023年11月9日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3319" w:type="pct"/>
            <w:vAlign w:val="center"/>
          </w:tcPr>
          <w:p>
            <w:pPr>
              <w:pStyle w:val="38"/>
              <w:rPr>
                <w:rFonts w:hint="eastAsia" w:ascii="Times New Roman" w:hAnsi="Times New Roman"/>
              </w:rPr>
            </w:pPr>
            <w:r>
              <w:rPr>
                <w:rFonts w:hint="eastAsia"/>
                <w:lang w:val="en-US" w:eastAsia="zh-CN"/>
              </w:rPr>
              <w:t>“惠企服务进楼宇”活动</w:t>
            </w:r>
          </w:p>
        </w:tc>
        <w:tc>
          <w:tcPr>
            <w:tcW w:w="1680" w:type="pct"/>
            <w:vAlign w:val="center"/>
          </w:tcPr>
          <w:p>
            <w:pPr>
              <w:pStyle w:val="38"/>
              <w:ind w:firstLine="0" w:firstLineChars="0"/>
              <w:rPr>
                <w:rFonts w:hint="eastAsia"/>
                <w:lang w:val="en-US" w:eastAsia="zh-CN"/>
              </w:rPr>
            </w:pPr>
            <w:r>
              <w:rPr>
                <w:rFonts w:hint="eastAsia"/>
                <w:lang w:val="en-US" w:eastAsia="zh-CN"/>
              </w:rPr>
              <w:t>2023年11月10日</w:t>
            </w:r>
          </w:p>
        </w:tc>
      </w:tr>
    </w:tbl>
    <w:p>
      <w:pPr>
        <w:pStyle w:val="26"/>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lang w:val="en-US" w:eastAsia="zh-CN"/>
        </w:rPr>
      </w:pPr>
      <w:r>
        <w:rPr>
          <w:rFonts w:hint="eastAsia"/>
        </w:rPr>
        <w:t>（</w:t>
      </w:r>
      <w:r>
        <w:rPr>
          <w:rFonts w:hint="eastAsia"/>
          <w:lang w:val="en-US" w:eastAsia="zh-CN"/>
        </w:rPr>
        <w:t>4</w:t>
      </w:r>
      <w:r>
        <w:rPr>
          <w:rFonts w:hint="eastAsia"/>
        </w:rPr>
        <w:t>）</w:t>
      </w:r>
      <w:r>
        <w:rPr>
          <w:rFonts w:hint="eastAsia"/>
          <w:lang w:val="en-US" w:eastAsia="zh-CN"/>
        </w:rPr>
        <w:t>经办服务体系建设工作完成及时率</w:t>
      </w:r>
      <w:r>
        <w:rPr>
          <w:rFonts w:hint="eastAsia"/>
        </w:rPr>
        <w:t>（总分</w:t>
      </w:r>
      <w:r>
        <w:rPr>
          <w:rFonts w:hint="eastAsia"/>
          <w:lang w:val="en-US" w:eastAsia="zh-CN"/>
        </w:rPr>
        <w:t>2</w:t>
      </w:r>
      <w:r>
        <w:rPr>
          <w:rFonts w:hint="eastAsia"/>
        </w:rPr>
        <w:t>分，得分</w:t>
      </w:r>
      <w:r>
        <w:rPr>
          <w:rFonts w:hint="eastAsia"/>
          <w:lang w:val="en-US" w:eastAsia="zh-CN"/>
        </w:rPr>
        <w:t>2</w:t>
      </w:r>
      <w:r>
        <w:rPr>
          <w:rFonts w:hint="eastAsia"/>
        </w:rPr>
        <w:t>分）。根据设备接入</w:t>
      </w:r>
      <w:r>
        <w:rPr>
          <w:rFonts w:hint="eastAsia"/>
          <w:highlight w:val="none"/>
        </w:rPr>
        <w:t>服务验收报告、设备交货验收单、医保便民服务站牌领取单得出，6个街道公共服务办民政科室的医保系统网络接入工作</w:t>
      </w:r>
      <w:r>
        <w:rPr>
          <w:rFonts w:hint="eastAsia"/>
          <w:highlight w:val="none"/>
          <w:lang w:val="en-US" w:eastAsia="zh-CN"/>
        </w:rPr>
        <w:t>于2023年11月7日完成，6</w:t>
      </w:r>
      <w:r>
        <w:rPr>
          <w:rFonts w:hint="eastAsia"/>
          <w:lang w:val="en-US" w:eastAsia="zh-CN"/>
        </w:rPr>
        <w:t>4台医保移动便携设备的验收配发和64个医保标识牌的制作配发于2023年12月8日完成，经办服务体系建设工作完成及时率为100%。</w:t>
      </w:r>
    </w:p>
    <w:p>
      <w:pPr>
        <w:pStyle w:val="26"/>
        <w:keepNext w:val="0"/>
        <w:keepLines w:val="0"/>
        <w:pageBreakBefore w:val="0"/>
        <w:kinsoku/>
        <w:wordWrap/>
        <w:overflowPunct/>
        <w:topLinePunct w:val="0"/>
        <w:autoSpaceDE/>
        <w:autoSpaceDN/>
        <w:bidi w:val="0"/>
        <w:adjustRightInd/>
        <w:snapToGrid/>
        <w:spacing w:line="560" w:lineRule="exact"/>
        <w:ind w:firstLine="640"/>
        <w:textAlignment w:val="auto"/>
      </w:pPr>
      <w:r>
        <w:rPr>
          <w:rFonts w:hint="eastAsia"/>
        </w:rPr>
        <w:t>4.产出成本</w:t>
      </w:r>
    </w:p>
    <w:p>
      <w:pPr>
        <w:pStyle w:val="2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lang w:eastAsia="zh-CN"/>
        </w:rPr>
      </w:pPr>
      <w:r>
        <w:rPr>
          <w:rFonts w:hint="eastAsia"/>
        </w:rPr>
        <w:t>医疗服</w:t>
      </w:r>
      <w:r>
        <w:rPr>
          <w:rFonts w:hint="eastAsia"/>
          <w:highlight w:val="none"/>
        </w:rPr>
        <w:t>务与保障能力提升项目</w:t>
      </w:r>
      <w:r>
        <w:rPr>
          <w:rFonts w:hint="eastAsia"/>
          <w:highlight w:val="none"/>
          <w:lang w:val="en-US" w:eastAsia="zh-CN"/>
        </w:rPr>
        <w:t>成本节约率</w:t>
      </w:r>
      <w:r>
        <w:rPr>
          <w:rFonts w:hint="eastAsia"/>
          <w:highlight w:val="none"/>
        </w:rPr>
        <w:t>（总分</w:t>
      </w:r>
      <w:r>
        <w:rPr>
          <w:rFonts w:hint="eastAsia"/>
          <w:highlight w:val="none"/>
          <w:lang w:val="en-US" w:eastAsia="zh-CN"/>
        </w:rPr>
        <w:t>6</w:t>
      </w:r>
      <w:r>
        <w:rPr>
          <w:rFonts w:hint="eastAsia"/>
          <w:highlight w:val="none"/>
        </w:rPr>
        <w:t>分，得分</w:t>
      </w:r>
      <w:r>
        <w:rPr>
          <w:rFonts w:hint="eastAsia"/>
          <w:highlight w:val="none"/>
          <w:lang w:val="en-US" w:eastAsia="zh-CN"/>
        </w:rPr>
        <w:t>6</w:t>
      </w:r>
      <w:r>
        <w:rPr>
          <w:rFonts w:hint="eastAsia"/>
          <w:highlight w:val="none"/>
        </w:rPr>
        <w:t>分）。根据</w:t>
      </w:r>
      <w:r>
        <w:rPr>
          <w:rFonts w:hint="eastAsia"/>
        </w:rPr>
        <w:t>区医保局所提供本项目资金下达通知、项目明细账与决算表数据统计，医疗服务与保障能力提升补助资金项目计划投入资金</w:t>
      </w:r>
      <w:r>
        <w:rPr>
          <w:rFonts w:hint="eastAsia"/>
          <w:lang w:val="en-US" w:eastAsia="zh-CN"/>
        </w:rPr>
        <w:t>48.92</w:t>
      </w:r>
      <w:r>
        <w:rPr>
          <w:rFonts w:hint="eastAsia"/>
        </w:rPr>
        <w:t>万元，实际支出资金</w:t>
      </w:r>
      <w:r>
        <w:rPr>
          <w:rFonts w:hint="eastAsia"/>
          <w:lang w:val="en-US" w:eastAsia="zh-CN"/>
        </w:rPr>
        <w:t>48.43</w:t>
      </w:r>
      <w:r>
        <w:rPr>
          <w:rFonts w:hint="eastAsia"/>
        </w:rPr>
        <w:t>万元，</w:t>
      </w:r>
      <w:r>
        <w:rPr>
          <w:rFonts w:hint="eastAsia"/>
          <w:lang w:val="en-US" w:eastAsia="zh-CN"/>
        </w:rPr>
        <w:t>各分项目支出情况见表12，</w:t>
      </w:r>
      <w:r>
        <w:rPr>
          <w:rFonts w:hint="eastAsia"/>
        </w:rPr>
        <w:t>成本节约率为</w:t>
      </w:r>
      <w:r>
        <w:rPr>
          <w:rFonts w:hint="eastAsia"/>
          <w:lang w:val="en-US" w:eastAsia="zh-CN"/>
        </w:rPr>
        <w:t>1</w:t>
      </w:r>
      <w:r>
        <w:rPr>
          <w:rFonts w:hint="eastAsia"/>
        </w:rPr>
        <w:t>%</w:t>
      </w:r>
      <w:r>
        <w:rPr>
          <w:rFonts w:hint="eastAsia"/>
          <w:lang w:eastAsia="zh-CN"/>
        </w:rPr>
        <w:t>。</w:t>
      </w:r>
    </w:p>
    <w:p>
      <w:pPr>
        <w:pStyle w:val="33"/>
        <w:keepNext w:val="0"/>
        <w:keepLines w:val="0"/>
        <w:pageBreakBefore w:val="0"/>
        <w:kinsoku/>
        <w:wordWrap/>
        <w:overflowPunct/>
        <w:topLinePunct w:val="0"/>
        <w:autoSpaceDE/>
        <w:autoSpaceDN/>
        <w:bidi w:val="0"/>
        <w:adjustRightInd/>
        <w:snapToGrid/>
        <w:spacing w:line="560" w:lineRule="exact"/>
        <w:textAlignment w:val="auto"/>
      </w:pPr>
      <w:r>
        <w:t>表</w:t>
      </w:r>
      <w:r>
        <w:rPr>
          <w:rFonts w:hint="eastAsia"/>
          <w:lang w:val="en-US" w:eastAsia="zh-CN"/>
        </w:rPr>
        <w:t>12</w:t>
      </w:r>
      <w:r>
        <w:t xml:space="preserve">  </w:t>
      </w:r>
      <w:r>
        <w:rPr>
          <w:rFonts w:hint="eastAsia"/>
        </w:rPr>
        <w:t>医疗服务与保障能力提升补助资金项目</w:t>
      </w:r>
      <w:r>
        <w:rPr>
          <w:rFonts w:hint="eastAsia"/>
          <w:lang w:val="en-US" w:eastAsia="zh-CN"/>
        </w:rPr>
        <w:t>成本节约</w:t>
      </w:r>
      <w:r>
        <w:t>情况表</w:t>
      </w:r>
    </w:p>
    <w:p>
      <w:pPr>
        <w:pStyle w:val="34"/>
        <w:keepNext w:val="0"/>
        <w:keepLines w:val="0"/>
        <w:pageBreakBefore w:val="0"/>
        <w:kinsoku/>
        <w:wordWrap/>
        <w:overflowPunct/>
        <w:topLinePunct w:val="0"/>
        <w:autoSpaceDE/>
        <w:autoSpaceDN/>
        <w:bidi w:val="0"/>
        <w:adjustRightInd/>
        <w:snapToGrid/>
        <w:spacing w:line="560" w:lineRule="exact"/>
        <w:textAlignment w:val="auto"/>
      </w:pPr>
      <w:r>
        <w:rPr>
          <w:rFonts w:hint="eastAsia"/>
        </w:rPr>
        <w:t>单位：万元</w:t>
      </w:r>
    </w:p>
    <w:tbl>
      <w:tblPr>
        <w:tblStyle w:val="16"/>
        <w:tblW w:w="4997"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964"/>
        <w:gridCol w:w="2122"/>
        <w:gridCol w:w="2171"/>
        <w:gridCol w:w="179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blHeader/>
          <w:jc w:val="center"/>
        </w:trPr>
        <w:tc>
          <w:tcPr>
            <w:tcW w:w="1636" w:type="pct"/>
            <w:vAlign w:val="center"/>
          </w:tcPr>
          <w:p>
            <w:pPr>
              <w:pStyle w:val="36"/>
              <w:rPr>
                <w:rFonts w:hint="eastAsia" w:ascii="宋体" w:hAnsi="宋体" w:eastAsia="宋体" w:cs="宋体"/>
                <w:lang w:val="en-US" w:eastAsia="zh-CN"/>
              </w:rPr>
            </w:pPr>
            <w:r>
              <w:rPr>
                <w:rFonts w:hint="eastAsia" w:ascii="宋体" w:hAnsi="宋体" w:eastAsia="宋体" w:cs="宋体"/>
                <w:lang w:val="en-US" w:eastAsia="zh-CN"/>
              </w:rPr>
              <w:t>医保宣传活动内容</w:t>
            </w:r>
          </w:p>
        </w:tc>
        <w:tc>
          <w:tcPr>
            <w:tcW w:w="1171" w:type="pct"/>
            <w:vAlign w:val="center"/>
          </w:tcPr>
          <w:p>
            <w:pPr>
              <w:pStyle w:val="36"/>
              <w:rPr>
                <w:rFonts w:hint="eastAsia" w:ascii="宋体" w:hAnsi="宋体" w:eastAsia="宋体" w:cs="宋体"/>
                <w:lang w:val="en-US" w:eastAsia="zh-CN"/>
              </w:rPr>
            </w:pPr>
            <w:r>
              <w:rPr>
                <w:rFonts w:hint="eastAsia" w:ascii="宋体" w:hAnsi="宋体" w:eastAsia="宋体" w:cs="宋体"/>
                <w:lang w:val="en-US" w:eastAsia="zh-CN"/>
              </w:rPr>
              <w:t>计划投入资金</w:t>
            </w:r>
          </w:p>
        </w:tc>
        <w:tc>
          <w:tcPr>
            <w:tcW w:w="1198" w:type="pct"/>
            <w:vAlign w:val="center"/>
          </w:tcPr>
          <w:p>
            <w:pPr>
              <w:pStyle w:val="36"/>
              <w:rPr>
                <w:rFonts w:hint="eastAsia" w:ascii="宋体" w:hAnsi="宋体" w:eastAsia="宋体" w:cs="宋体"/>
                <w:lang w:val="en-US" w:eastAsia="zh-CN"/>
              </w:rPr>
            </w:pPr>
            <w:r>
              <w:rPr>
                <w:rFonts w:hint="eastAsia" w:ascii="宋体" w:hAnsi="宋体" w:eastAsia="宋体" w:cs="宋体"/>
                <w:lang w:val="en-US" w:eastAsia="zh-CN"/>
              </w:rPr>
              <w:t>实际支出资金</w:t>
            </w:r>
          </w:p>
        </w:tc>
        <w:tc>
          <w:tcPr>
            <w:tcW w:w="993" w:type="pct"/>
            <w:vAlign w:val="center"/>
          </w:tcPr>
          <w:p>
            <w:pPr>
              <w:pStyle w:val="36"/>
              <w:rPr>
                <w:rFonts w:hint="eastAsia" w:ascii="宋体" w:hAnsi="宋体" w:eastAsia="宋体" w:cs="宋体"/>
                <w:lang w:val="en-US" w:eastAsia="zh-CN"/>
              </w:rPr>
            </w:pPr>
            <w:r>
              <w:rPr>
                <w:rFonts w:hint="eastAsia" w:ascii="宋体" w:hAnsi="宋体" w:eastAsia="宋体" w:cs="宋体"/>
                <w:lang w:val="en-US" w:eastAsia="zh-CN"/>
              </w:rPr>
              <w:t>成本节约率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636" w:type="pct"/>
            <w:vAlign w:val="center"/>
          </w:tcPr>
          <w:p>
            <w:pPr>
              <w:pStyle w:val="38"/>
              <w:rPr>
                <w:rFonts w:hint="eastAsia" w:eastAsia="宋体"/>
                <w:lang w:eastAsia="zh-CN"/>
              </w:rPr>
            </w:pPr>
            <w:r>
              <w:rPr>
                <w:rFonts w:hint="eastAsia"/>
                <w:lang w:val="en-US" w:eastAsia="zh-CN"/>
              </w:rPr>
              <w:t>医保定点医药机构监督检查</w:t>
            </w:r>
          </w:p>
        </w:tc>
        <w:tc>
          <w:tcPr>
            <w:tcW w:w="1171" w:type="pct"/>
            <w:vAlign w:val="center"/>
          </w:tcPr>
          <w:p>
            <w:pPr>
              <w:pStyle w:val="38"/>
              <w:ind w:firstLine="0" w:firstLineChars="0"/>
              <w:rPr>
                <w:rFonts w:hint="default" w:eastAsia="宋体"/>
                <w:lang w:val="en-US" w:eastAsia="zh-CN"/>
              </w:rPr>
            </w:pPr>
            <w:r>
              <w:rPr>
                <w:rFonts w:hint="eastAsia"/>
                <w:lang w:val="en-US" w:eastAsia="zh-CN"/>
              </w:rPr>
              <w:t>17.00</w:t>
            </w:r>
          </w:p>
        </w:tc>
        <w:tc>
          <w:tcPr>
            <w:tcW w:w="2171" w:type="dxa"/>
            <w:vAlign w:val="center"/>
          </w:tcPr>
          <w:p>
            <w:pPr>
              <w:pStyle w:val="38"/>
              <w:ind w:firstLine="0" w:firstLineChars="0"/>
              <w:rPr>
                <w:rFonts w:hint="eastAsia"/>
                <w:lang w:val="en-US" w:eastAsia="zh-CN"/>
              </w:rPr>
            </w:pPr>
            <w:r>
              <w:rPr>
                <w:rFonts w:hint="eastAsia"/>
                <w:lang w:val="en-US" w:eastAsia="zh-CN"/>
              </w:rPr>
              <w:t>17.00</w:t>
            </w:r>
          </w:p>
        </w:tc>
        <w:tc>
          <w:tcPr>
            <w:tcW w:w="993" w:type="pct"/>
            <w:vAlign w:val="center"/>
          </w:tcPr>
          <w:p>
            <w:pPr>
              <w:pStyle w:val="38"/>
              <w:ind w:firstLine="0" w:firstLineChars="0"/>
              <w:rPr>
                <w:rFonts w:hint="default"/>
                <w:lang w:val="en-US" w:eastAsia="zh-CN"/>
              </w:rPr>
            </w:pPr>
            <w:r>
              <w:rPr>
                <w:rFonts w:hint="eastAsia"/>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636" w:type="pct"/>
            <w:vAlign w:val="center"/>
          </w:tcPr>
          <w:p>
            <w:pPr>
              <w:pStyle w:val="38"/>
              <w:rPr>
                <w:rFonts w:hint="eastAsia" w:ascii="Times New Roman" w:hAnsi="Times New Roman"/>
              </w:rPr>
            </w:pPr>
            <w:r>
              <w:rPr>
                <w:rFonts w:hint="eastAsia" w:ascii="Times New Roman" w:hAnsi="Times New Roman"/>
              </w:rPr>
              <w:t>医保法治能力建设</w:t>
            </w:r>
          </w:p>
        </w:tc>
        <w:tc>
          <w:tcPr>
            <w:tcW w:w="1171" w:type="pct"/>
            <w:vAlign w:val="center"/>
          </w:tcPr>
          <w:p>
            <w:pPr>
              <w:pStyle w:val="38"/>
              <w:ind w:firstLine="0" w:firstLineChars="0"/>
              <w:rPr>
                <w:rFonts w:hint="default" w:eastAsia="宋体"/>
                <w:lang w:val="en-US" w:eastAsia="zh-CN"/>
              </w:rPr>
            </w:pPr>
            <w:r>
              <w:rPr>
                <w:rFonts w:hint="eastAsia"/>
                <w:lang w:val="en-US" w:eastAsia="zh-CN"/>
              </w:rPr>
              <w:t>8.92</w:t>
            </w:r>
          </w:p>
        </w:tc>
        <w:tc>
          <w:tcPr>
            <w:tcW w:w="2171" w:type="dxa"/>
            <w:vAlign w:val="center"/>
          </w:tcPr>
          <w:p>
            <w:pPr>
              <w:pStyle w:val="38"/>
              <w:ind w:firstLine="0" w:firstLineChars="0"/>
              <w:rPr>
                <w:rFonts w:hint="default"/>
                <w:lang w:val="en-US" w:eastAsia="zh-CN"/>
              </w:rPr>
            </w:pPr>
            <w:r>
              <w:rPr>
                <w:rFonts w:hint="eastAsia"/>
                <w:lang w:val="en-US" w:eastAsia="zh-CN"/>
              </w:rPr>
              <w:t>8.91</w:t>
            </w:r>
          </w:p>
        </w:tc>
        <w:tc>
          <w:tcPr>
            <w:tcW w:w="993" w:type="pct"/>
            <w:vAlign w:val="center"/>
          </w:tcPr>
          <w:p>
            <w:pPr>
              <w:pStyle w:val="38"/>
              <w:ind w:firstLine="0" w:firstLineChars="0"/>
              <w:rPr>
                <w:rFonts w:hint="default"/>
                <w:lang w:val="en-US" w:eastAsia="zh-CN"/>
              </w:rPr>
            </w:pPr>
            <w:r>
              <w:rPr>
                <w:rFonts w:hint="eastAsia"/>
                <w:lang w:val="en-US" w:eastAsia="zh-CN"/>
              </w:rPr>
              <w:t>0.01%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636" w:type="pct"/>
            <w:vAlign w:val="center"/>
          </w:tcPr>
          <w:p>
            <w:pPr>
              <w:pStyle w:val="38"/>
              <w:rPr>
                <w:rFonts w:hint="eastAsia" w:ascii="Times New Roman" w:hAnsi="Times New Roman" w:eastAsia="宋体"/>
                <w:lang w:val="en-US" w:eastAsia="zh-CN"/>
              </w:rPr>
            </w:pPr>
            <w:r>
              <w:rPr>
                <w:rFonts w:hint="eastAsia" w:ascii="Times New Roman" w:hAnsi="Times New Roman"/>
              </w:rPr>
              <w:t>医保政策宣传</w:t>
            </w:r>
          </w:p>
        </w:tc>
        <w:tc>
          <w:tcPr>
            <w:tcW w:w="1171" w:type="pct"/>
            <w:vAlign w:val="center"/>
          </w:tcPr>
          <w:p>
            <w:pPr>
              <w:pStyle w:val="38"/>
              <w:ind w:firstLine="0" w:firstLineChars="0"/>
              <w:rPr>
                <w:rFonts w:hint="default" w:eastAsia="宋体"/>
                <w:lang w:val="en-US" w:eastAsia="zh-CN"/>
              </w:rPr>
            </w:pPr>
            <w:r>
              <w:rPr>
                <w:rFonts w:hint="eastAsia"/>
                <w:lang w:val="en-US" w:eastAsia="zh-CN"/>
              </w:rPr>
              <w:t>2.00</w:t>
            </w:r>
          </w:p>
        </w:tc>
        <w:tc>
          <w:tcPr>
            <w:tcW w:w="2171" w:type="dxa"/>
            <w:vAlign w:val="center"/>
          </w:tcPr>
          <w:p>
            <w:pPr>
              <w:pStyle w:val="38"/>
              <w:ind w:firstLine="0" w:firstLineChars="0"/>
              <w:rPr>
                <w:rFonts w:hint="eastAsia"/>
                <w:lang w:val="en-US" w:eastAsia="zh-CN"/>
              </w:rPr>
            </w:pPr>
            <w:r>
              <w:rPr>
                <w:rFonts w:hint="eastAsia"/>
                <w:lang w:val="en-US" w:eastAsia="zh-CN"/>
              </w:rPr>
              <w:t>2.00</w:t>
            </w:r>
          </w:p>
        </w:tc>
        <w:tc>
          <w:tcPr>
            <w:tcW w:w="993" w:type="pct"/>
            <w:vAlign w:val="center"/>
          </w:tcPr>
          <w:p>
            <w:pPr>
              <w:pStyle w:val="38"/>
              <w:ind w:firstLine="0" w:firstLineChars="0"/>
              <w:rPr>
                <w:rFonts w:hint="eastAsia"/>
                <w:lang w:val="en-US" w:eastAsia="zh-CN"/>
              </w:rPr>
            </w:pPr>
            <w:r>
              <w:rPr>
                <w:rFonts w:hint="eastAsia"/>
                <w:lang w:val="en-US" w:eastAsia="zh-CN"/>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636" w:type="pct"/>
            <w:vAlign w:val="center"/>
          </w:tcPr>
          <w:p>
            <w:pPr>
              <w:pStyle w:val="38"/>
              <w:rPr>
                <w:rFonts w:hint="eastAsia" w:ascii="Times New Roman" w:hAnsi="Times New Roman"/>
              </w:rPr>
            </w:pPr>
            <w:r>
              <w:rPr>
                <w:rFonts w:hint="eastAsia" w:ascii="Times New Roman" w:hAnsi="Times New Roman"/>
              </w:rPr>
              <w:t>依申请救助经办服务能力提升</w:t>
            </w:r>
          </w:p>
        </w:tc>
        <w:tc>
          <w:tcPr>
            <w:tcW w:w="1171" w:type="pct"/>
            <w:vAlign w:val="center"/>
          </w:tcPr>
          <w:p>
            <w:pPr>
              <w:pStyle w:val="38"/>
              <w:ind w:firstLine="0" w:firstLineChars="0"/>
              <w:rPr>
                <w:rFonts w:hint="eastAsia"/>
                <w:lang w:val="en-US" w:eastAsia="zh-CN"/>
              </w:rPr>
            </w:pPr>
            <w:r>
              <w:rPr>
                <w:rFonts w:hint="eastAsia"/>
                <w:lang w:val="en-US" w:eastAsia="zh-CN"/>
              </w:rPr>
              <w:t>1.00</w:t>
            </w:r>
          </w:p>
        </w:tc>
        <w:tc>
          <w:tcPr>
            <w:tcW w:w="2171" w:type="dxa"/>
            <w:vAlign w:val="center"/>
          </w:tcPr>
          <w:p>
            <w:pPr>
              <w:pStyle w:val="38"/>
              <w:ind w:firstLine="0" w:firstLineChars="0"/>
              <w:rPr>
                <w:rFonts w:hint="default"/>
                <w:lang w:val="en-US" w:eastAsia="zh-CN"/>
              </w:rPr>
            </w:pPr>
            <w:r>
              <w:rPr>
                <w:rFonts w:hint="eastAsia"/>
                <w:lang w:val="en-US" w:eastAsia="zh-CN"/>
              </w:rPr>
              <w:t>0.96</w:t>
            </w:r>
          </w:p>
        </w:tc>
        <w:tc>
          <w:tcPr>
            <w:tcW w:w="993" w:type="pct"/>
            <w:vAlign w:val="center"/>
          </w:tcPr>
          <w:p>
            <w:pPr>
              <w:pStyle w:val="38"/>
              <w:ind w:firstLine="0" w:firstLineChars="0"/>
              <w:rPr>
                <w:rFonts w:hint="default"/>
                <w:lang w:val="en-US" w:eastAsia="zh-CN"/>
              </w:rPr>
            </w:pPr>
            <w:r>
              <w:rPr>
                <w:rFonts w:hint="eastAsia"/>
                <w:lang w:val="en-US" w:eastAsia="zh-CN"/>
              </w:rPr>
              <w:t>4.00%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636" w:type="pct"/>
            <w:vAlign w:val="center"/>
          </w:tcPr>
          <w:p>
            <w:pPr>
              <w:pStyle w:val="38"/>
              <w:rPr>
                <w:rFonts w:hint="eastAsia" w:ascii="Times New Roman" w:hAnsi="Times New Roman"/>
              </w:rPr>
            </w:pPr>
            <w:r>
              <w:rPr>
                <w:rFonts w:hint="eastAsia" w:ascii="Times New Roman" w:hAnsi="Times New Roman"/>
              </w:rPr>
              <w:t>四级经办服务体系建设</w:t>
            </w:r>
          </w:p>
        </w:tc>
        <w:tc>
          <w:tcPr>
            <w:tcW w:w="1171" w:type="pct"/>
            <w:vAlign w:val="center"/>
          </w:tcPr>
          <w:p>
            <w:pPr>
              <w:pStyle w:val="38"/>
              <w:ind w:firstLine="0" w:firstLineChars="0"/>
              <w:rPr>
                <w:rFonts w:hint="default"/>
                <w:lang w:val="en-US" w:eastAsia="zh-CN"/>
              </w:rPr>
            </w:pPr>
            <w:r>
              <w:rPr>
                <w:rFonts w:hint="eastAsia"/>
                <w:lang w:val="en-US" w:eastAsia="zh-CN"/>
              </w:rPr>
              <w:t>20.00</w:t>
            </w:r>
          </w:p>
        </w:tc>
        <w:tc>
          <w:tcPr>
            <w:tcW w:w="2171" w:type="dxa"/>
            <w:vAlign w:val="center"/>
          </w:tcPr>
          <w:p>
            <w:pPr>
              <w:pStyle w:val="38"/>
              <w:ind w:firstLine="0" w:firstLineChars="0"/>
              <w:rPr>
                <w:rFonts w:hint="default"/>
                <w:lang w:val="en-US" w:eastAsia="zh-CN"/>
              </w:rPr>
            </w:pPr>
            <w:r>
              <w:rPr>
                <w:rFonts w:hint="eastAsia"/>
                <w:lang w:val="en-US" w:eastAsia="zh-CN"/>
              </w:rPr>
              <w:t>19.56</w:t>
            </w:r>
          </w:p>
        </w:tc>
        <w:tc>
          <w:tcPr>
            <w:tcW w:w="993" w:type="pct"/>
            <w:vAlign w:val="center"/>
          </w:tcPr>
          <w:p>
            <w:pPr>
              <w:pStyle w:val="38"/>
              <w:ind w:firstLine="0" w:firstLineChars="0"/>
              <w:rPr>
                <w:rFonts w:hint="default"/>
                <w:lang w:val="en-US" w:eastAsia="zh-CN"/>
              </w:rPr>
            </w:pPr>
            <w:r>
              <w:rPr>
                <w:rFonts w:hint="eastAsia"/>
                <w:lang w:val="en-US" w:eastAsia="zh-CN"/>
              </w:rPr>
              <w:t>2.20%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636" w:type="pct"/>
            <w:vAlign w:val="center"/>
          </w:tcPr>
          <w:p>
            <w:pPr>
              <w:pStyle w:val="38"/>
              <w:rPr>
                <w:rFonts w:hint="eastAsia" w:ascii="Times New Roman" w:hAnsi="Times New Roman"/>
              </w:rPr>
            </w:pPr>
            <w:r>
              <w:rPr>
                <w:rFonts w:hint="eastAsia"/>
                <w:lang w:val="en-US" w:eastAsia="zh-CN"/>
              </w:rPr>
              <w:t>合计</w:t>
            </w:r>
          </w:p>
        </w:tc>
        <w:tc>
          <w:tcPr>
            <w:tcW w:w="1171" w:type="pct"/>
            <w:vAlign w:val="center"/>
          </w:tcPr>
          <w:p>
            <w:pPr>
              <w:pStyle w:val="38"/>
              <w:ind w:firstLine="0" w:firstLineChars="0"/>
              <w:rPr>
                <w:rFonts w:hint="default"/>
                <w:lang w:val="en-US" w:eastAsia="zh-CN"/>
              </w:rPr>
            </w:pPr>
            <w:r>
              <w:rPr>
                <w:rFonts w:hint="eastAsia"/>
                <w:lang w:val="en-US" w:eastAsia="zh-CN"/>
              </w:rPr>
              <w:t>48.92</w:t>
            </w:r>
          </w:p>
        </w:tc>
        <w:tc>
          <w:tcPr>
            <w:tcW w:w="2171" w:type="dxa"/>
            <w:vAlign w:val="center"/>
          </w:tcPr>
          <w:p>
            <w:pPr>
              <w:pStyle w:val="38"/>
              <w:ind w:firstLine="0" w:firstLineChars="0"/>
              <w:rPr>
                <w:rFonts w:hint="default"/>
                <w:lang w:val="en-US" w:eastAsia="zh-CN"/>
              </w:rPr>
            </w:pPr>
            <w:r>
              <w:rPr>
                <w:rFonts w:hint="eastAsia"/>
                <w:lang w:val="en-US" w:eastAsia="zh-CN"/>
              </w:rPr>
              <w:t>48.43</w:t>
            </w:r>
          </w:p>
        </w:tc>
        <w:tc>
          <w:tcPr>
            <w:tcW w:w="993" w:type="pct"/>
            <w:vAlign w:val="center"/>
          </w:tcPr>
          <w:p>
            <w:pPr>
              <w:pStyle w:val="38"/>
              <w:ind w:firstLine="0" w:firstLineChars="0"/>
              <w:rPr>
                <w:rFonts w:hint="default"/>
                <w:lang w:val="en-US" w:eastAsia="zh-CN"/>
              </w:rPr>
            </w:pPr>
            <w:r>
              <w:rPr>
                <w:rFonts w:hint="eastAsia"/>
                <w:lang w:val="en-US" w:eastAsia="zh-CN"/>
              </w:rPr>
              <w:t>1.00%</w:t>
            </w:r>
          </w:p>
        </w:tc>
      </w:tr>
    </w:tbl>
    <w:p>
      <w:pPr>
        <w:pStyle w:val="30"/>
        <w:pageBreakBefore w:val="0"/>
        <w:widowControl w:val="0"/>
        <w:kinsoku/>
        <w:wordWrap/>
        <w:overflowPunct/>
        <w:topLinePunct w:val="0"/>
        <w:autoSpaceDE/>
        <w:autoSpaceDN/>
        <w:bidi w:val="0"/>
        <w:adjustRightInd/>
        <w:snapToGrid/>
        <w:spacing w:line="560" w:lineRule="exact"/>
        <w:ind w:firstLine="640"/>
        <w:textAlignment w:val="auto"/>
        <w:rPr>
          <w:rFonts w:hint="eastAsia"/>
        </w:rPr>
      </w:pPr>
      <w:bookmarkStart w:id="24" w:name="_Toc22023"/>
      <w:r>
        <w:rPr>
          <w:rFonts w:hint="eastAsia"/>
        </w:rPr>
        <w:t>（四）项目效益情况</w:t>
      </w:r>
      <w:bookmarkEnd w:id="24"/>
    </w:p>
    <w:p>
      <w:pPr>
        <w:pStyle w:val="26"/>
        <w:pageBreakBefore w:val="0"/>
        <w:widowControl w:val="0"/>
        <w:kinsoku/>
        <w:wordWrap/>
        <w:overflowPunct/>
        <w:topLinePunct w:val="0"/>
        <w:autoSpaceDE/>
        <w:autoSpaceDN/>
        <w:bidi w:val="0"/>
        <w:adjustRightInd/>
        <w:snapToGrid/>
        <w:spacing w:line="560" w:lineRule="exact"/>
        <w:ind w:firstLine="640"/>
        <w:textAlignment w:val="auto"/>
      </w:pPr>
      <w:r>
        <w:rPr>
          <w:rFonts w:hint="eastAsia"/>
        </w:rPr>
        <w:t>效益指标主要包括社会效益、服务对象满意度</w:t>
      </w:r>
      <w:r>
        <w:rPr>
          <w:rFonts w:hint="eastAsia"/>
          <w:lang w:val="en-US" w:eastAsia="zh-CN"/>
        </w:rPr>
        <w:t>2</w:t>
      </w:r>
      <w:r>
        <w:rPr>
          <w:rFonts w:hint="eastAsia"/>
        </w:rPr>
        <w:t>项二级指标，</w:t>
      </w:r>
      <w:r>
        <w:rPr>
          <w:rFonts w:hint="eastAsia"/>
          <w:lang w:val="en-US" w:eastAsia="zh-CN"/>
        </w:rPr>
        <w:t>6</w:t>
      </w:r>
      <w:r>
        <w:rPr>
          <w:rFonts w:hint="eastAsia"/>
        </w:rPr>
        <w:t>项三级指标，基础总分</w:t>
      </w:r>
      <w:r>
        <w:t>22</w:t>
      </w:r>
      <w:r>
        <w:rPr>
          <w:rFonts w:hint="eastAsia"/>
        </w:rPr>
        <w:t>分，合计得分</w:t>
      </w:r>
      <w:r>
        <w:rPr>
          <w:rFonts w:hint="eastAsia"/>
          <w:lang w:val="en-US" w:eastAsia="zh-CN"/>
        </w:rPr>
        <w:t>19.92</w:t>
      </w:r>
      <w:r>
        <w:rPr>
          <w:rFonts w:hint="eastAsia"/>
        </w:rPr>
        <w:t>分。</w:t>
      </w:r>
    </w:p>
    <w:p>
      <w:pPr>
        <w:pStyle w:val="26"/>
        <w:pageBreakBefore w:val="0"/>
        <w:widowControl w:val="0"/>
        <w:kinsoku/>
        <w:wordWrap/>
        <w:overflowPunct/>
        <w:topLinePunct w:val="0"/>
        <w:autoSpaceDE/>
        <w:autoSpaceDN/>
        <w:bidi w:val="0"/>
        <w:adjustRightInd/>
        <w:snapToGrid/>
        <w:spacing w:line="560" w:lineRule="exact"/>
        <w:ind w:firstLine="640"/>
        <w:textAlignment w:val="auto"/>
      </w:pPr>
      <w:r>
        <w:rPr>
          <w:rFonts w:hint="eastAsia"/>
        </w:rPr>
        <w:t>1.社会效益</w:t>
      </w:r>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eastAsia"/>
          <w:lang w:val="en-US" w:eastAsia="zh-CN"/>
        </w:rPr>
      </w:pPr>
      <w:r>
        <w:rPr>
          <w:rFonts w:hint="eastAsia"/>
        </w:rPr>
        <w:t>（1）监督检查问题处理率（总分</w:t>
      </w:r>
      <w:r>
        <w:rPr>
          <w:rFonts w:hint="eastAsia"/>
          <w:lang w:val="en-US" w:eastAsia="zh-CN"/>
        </w:rPr>
        <w:t>4</w:t>
      </w:r>
      <w:r>
        <w:rPr>
          <w:rFonts w:hint="eastAsia"/>
        </w:rPr>
        <w:t>分，得分</w:t>
      </w:r>
      <w:r>
        <w:rPr>
          <w:rFonts w:hint="eastAsia"/>
          <w:lang w:val="en-US" w:eastAsia="zh-CN"/>
        </w:rPr>
        <w:t>4</w:t>
      </w:r>
      <w:r>
        <w:rPr>
          <w:rFonts w:hint="eastAsia"/>
        </w:rPr>
        <w:t>分）。</w:t>
      </w:r>
      <w:r>
        <w:rPr>
          <w:rFonts w:hint="eastAsia"/>
          <w:lang w:val="en-US" w:eastAsia="zh-CN"/>
        </w:rPr>
        <w:t>2023年区医保局共计检查121家医保定点医药机构，包括定点零售药店45家、二级定点医疗机构7家、一级定点医疗机构69家，经检查共有10家零售药店、14家医疗机构违反医保相关规定，根据《医疗保障基金使用监督管理条例》等相关管理规定以及各机构的违规情况对涉事24家医疗机构全部进行了处理，其中进行约谈整改的零售药店5家、医疗机构9家，建议移交医保和平分中心的零售药店5家、医疗机构5家，</w:t>
      </w:r>
      <w:r>
        <w:rPr>
          <w:rFonts w:hint="eastAsia"/>
        </w:rPr>
        <w:t>监督检查问题处理率</w:t>
      </w:r>
      <w:r>
        <w:rPr>
          <w:rFonts w:hint="eastAsia"/>
          <w:lang w:val="en-US" w:eastAsia="zh-CN"/>
        </w:rPr>
        <w:t>为100%，促进了医疗保障基金使用的规范性。</w:t>
      </w:r>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default"/>
          <w:lang w:val="en-US" w:eastAsia="zh-CN"/>
        </w:rPr>
      </w:pPr>
      <w:r>
        <w:rPr>
          <w:rFonts w:hint="eastAsia"/>
        </w:rPr>
        <w:t>（</w:t>
      </w:r>
      <w:r>
        <w:rPr>
          <w:rFonts w:hint="eastAsia"/>
          <w:lang w:val="en-US" w:eastAsia="zh-CN"/>
        </w:rPr>
        <w:t>2</w:t>
      </w:r>
      <w:r>
        <w:rPr>
          <w:rFonts w:hint="eastAsia"/>
        </w:rPr>
        <w:t>）</w:t>
      </w:r>
      <w:r>
        <w:rPr>
          <w:rFonts w:hint="eastAsia"/>
          <w:lang w:val="en-US" w:eastAsia="zh-CN"/>
        </w:rPr>
        <w:t>医保法治能力提升情况</w:t>
      </w:r>
      <w:r>
        <w:rPr>
          <w:rFonts w:hint="eastAsia"/>
        </w:rPr>
        <w:t>（总分</w:t>
      </w:r>
      <w:r>
        <w:rPr>
          <w:rFonts w:hint="eastAsia"/>
          <w:lang w:val="en-US" w:eastAsia="zh-CN"/>
        </w:rPr>
        <w:t>4</w:t>
      </w:r>
      <w:r>
        <w:rPr>
          <w:rFonts w:hint="eastAsia"/>
        </w:rPr>
        <w:t>分，得分</w:t>
      </w:r>
      <w:r>
        <w:rPr>
          <w:rFonts w:hint="eastAsia"/>
          <w:lang w:val="en-US" w:eastAsia="zh-CN"/>
        </w:rPr>
        <w:t>4</w:t>
      </w:r>
      <w:r>
        <w:rPr>
          <w:rFonts w:hint="eastAsia"/>
        </w:rPr>
        <w:t>分）。</w:t>
      </w:r>
      <w:r>
        <w:rPr>
          <w:rFonts w:hint="eastAsia"/>
          <w:lang w:val="en-US" w:eastAsia="zh-CN"/>
        </w:rPr>
        <w:t>区医保局2023年通过聘请法律顾问，为单位提供了日常法律咨询、法律知识培训、草拟、修订、审查、修改合同、协议及法律文书等法律服务，提升了单位依法行政能力。经核实，区医保局2023年未发生因行政执法不合规造成的行政诉讼败诉情况，未产生因合同签订不规范造成的合同纠纷问题，医保法治能力建设工作达到了预期效果。</w:t>
      </w:r>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eastAsia"/>
          <w:lang w:val="en-US" w:eastAsia="zh-CN"/>
        </w:rPr>
      </w:pPr>
      <w:r>
        <w:rPr>
          <w:rFonts w:hint="eastAsia"/>
        </w:rPr>
        <w:t>（</w:t>
      </w:r>
      <w:r>
        <w:rPr>
          <w:rFonts w:hint="eastAsia"/>
          <w:lang w:val="en-US" w:eastAsia="zh-CN"/>
        </w:rPr>
        <w:t>3</w:t>
      </w:r>
      <w:r>
        <w:rPr>
          <w:rFonts w:hint="eastAsia"/>
        </w:rPr>
        <w:t>）</w:t>
      </w:r>
      <w:r>
        <w:rPr>
          <w:rFonts w:hint="eastAsia"/>
          <w:lang w:val="en-US" w:eastAsia="zh-CN"/>
        </w:rPr>
        <w:t>居民医保参保扩面任务完成率</w:t>
      </w:r>
      <w:r>
        <w:rPr>
          <w:rFonts w:hint="eastAsia"/>
        </w:rPr>
        <w:t>（总分</w:t>
      </w:r>
      <w:r>
        <w:rPr>
          <w:rFonts w:hint="eastAsia"/>
          <w:lang w:val="en-US" w:eastAsia="zh-CN"/>
        </w:rPr>
        <w:t>4</w:t>
      </w:r>
      <w:r>
        <w:rPr>
          <w:rFonts w:hint="eastAsia"/>
        </w:rPr>
        <w:t>分，得分</w:t>
      </w:r>
      <w:r>
        <w:rPr>
          <w:rFonts w:hint="eastAsia"/>
          <w:lang w:val="en-US" w:eastAsia="zh-CN"/>
        </w:rPr>
        <w:t>3.92</w:t>
      </w:r>
      <w:r>
        <w:rPr>
          <w:rFonts w:hint="eastAsia"/>
        </w:rPr>
        <w:t>分）。</w:t>
      </w:r>
      <w:r>
        <w:rPr>
          <w:rFonts w:hint="eastAsia"/>
          <w:lang w:val="en-US" w:eastAsia="zh-CN"/>
        </w:rPr>
        <w:t>区医保局2023年通过开展医保政策宣传活动以及经办服务体系建设工作，一定程度推动了居民医保参保扩面任务的落实，但根据天津市医保局最终通报数据显示，2023年度和平区基本医疗保险参保计划指标数为79.42万人，实际参保人数77.74万人，完成率97.88%，未能完成居民医保参保扩面任务。</w:t>
      </w:r>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default"/>
          <w:lang w:val="en-US" w:eastAsia="zh-CN"/>
        </w:rPr>
      </w:pPr>
      <w:r>
        <w:rPr>
          <w:rFonts w:hint="eastAsia"/>
        </w:rPr>
        <w:t>（</w:t>
      </w:r>
      <w:r>
        <w:rPr>
          <w:rFonts w:hint="eastAsia"/>
          <w:lang w:val="en-US" w:eastAsia="zh-CN"/>
        </w:rPr>
        <w:t>4</w:t>
      </w:r>
      <w:r>
        <w:rPr>
          <w:rFonts w:hint="eastAsia"/>
        </w:rPr>
        <w:t>）</w:t>
      </w:r>
      <w:r>
        <w:rPr>
          <w:rFonts w:hint="eastAsia"/>
          <w:lang w:val="en-US" w:eastAsia="zh-CN"/>
        </w:rPr>
        <w:t>医保经办服务能力提升情</w:t>
      </w:r>
      <w:r>
        <w:rPr>
          <w:rFonts w:hint="eastAsia"/>
          <w:highlight w:val="none"/>
          <w:lang w:val="en-US" w:eastAsia="zh-CN"/>
        </w:rPr>
        <w:t>况</w:t>
      </w:r>
      <w:r>
        <w:rPr>
          <w:rFonts w:hint="eastAsia"/>
          <w:highlight w:val="none"/>
        </w:rPr>
        <w:t>（总分</w:t>
      </w:r>
      <w:r>
        <w:rPr>
          <w:rFonts w:hint="eastAsia"/>
          <w:highlight w:val="none"/>
          <w:lang w:val="en-US" w:eastAsia="zh-CN"/>
        </w:rPr>
        <w:t>4</w:t>
      </w:r>
      <w:r>
        <w:rPr>
          <w:rFonts w:hint="eastAsia"/>
          <w:highlight w:val="none"/>
        </w:rPr>
        <w:t>分，得分</w:t>
      </w:r>
      <w:r>
        <w:rPr>
          <w:rFonts w:hint="eastAsia"/>
          <w:highlight w:val="none"/>
          <w:lang w:val="en-US" w:eastAsia="zh-CN"/>
        </w:rPr>
        <w:t>2</w:t>
      </w:r>
      <w:r>
        <w:rPr>
          <w:rFonts w:hint="eastAsia"/>
          <w:highlight w:val="none"/>
        </w:rPr>
        <w:t>分）。</w:t>
      </w:r>
      <w:r>
        <w:rPr>
          <w:rFonts w:hint="eastAsia"/>
          <w:lang w:val="en-US" w:eastAsia="zh-CN"/>
        </w:rPr>
        <w:t>根据设备交货验收单、设备领用单以及实地核查结果得出，区医保局2023年制作的64个医保标识牌已布置在64个社区的医保便民服务站，64台医保终端设备已全部投入使用，同时区医保局联合供货商对街道进行了医保经办服务软件操作培训，并由街道对所辖社区进行二次培训，医保专网的铺设接入使依申请救助经办人员能够在自己科室完成相关业务经办工作，方便群众提交救助申请，提升了工作效率，加快了救助信息录入审批和救助金发放进度，但在2023年天津市医保经办系统练兵比武大赛中，区医保局未能进入决赛或取得名次，医保经办服务能力有待进一步提升。</w:t>
      </w:r>
    </w:p>
    <w:p>
      <w:pPr>
        <w:pStyle w:val="26"/>
        <w:pageBreakBefore w:val="0"/>
        <w:widowControl w:val="0"/>
        <w:kinsoku/>
        <w:wordWrap/>
        <w:overflowPunct/>
        <w:topLinePunct w:val="0"/>
        <w:autoSpaceDE/>
        <w:autoSpaceDN/>
        <w:bidi w:val="0"/>
        <w:adjustRightInd/>
        <w:snapToGrid/>
        <w:spacing w:line="560" w:lineRule="exact"/>
        <w:ind w:firstLine="640"/>
        <w:textAlignment w:val="auto"/>
      </w:pPr>
      <w:r>
        <w:rPr>
          <w:rFonts w:hint="eastAsia"/>
          <w:lang w:val="en-US" w:eastAsia="zh-CN"/>
        </w:rPr>
        <w:t>2</w:t>
      </w:r>
      <w:r>
        <w:rPr>
          <w:rFonts w:hint="eastAsia"/>
        </w:rPr>
        <w:t>.服务对象满意度</w:t>
      </w:r>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highlight w:val="none"/>
          <w:lang w:eastAsia="zh-CN"/>
        </w:rPr>
      </w:pPr>
      <w:r>
        <w:rPr>
          <w:rFonts w:hint="eastAsia"/>
          <w:highlight w:val="none"/>
        </w:rPr>
        <w:t>（1）</w:t>
      </w:r>
      <w:r>
        <w:rPr>
          <w:rFonts w:hint="eastAsia"/>
          <w:highlight w:val="none"/>
          <w:lang w:val="en-US" w:eastAsia="zh-CN"/>
        </w:rPr>
        <w:t>辖区参保人员满意度</w:t>
      </w:r>
      <w:r>
        <w:rPr>
          <w:rFonts w:hint="eastAsia"/>
          <w:highlight w:val="none"/>
        </w:rPr>
        <w:t>（总分</w:t>
      </w:r>
      <w:r>
        <w:rPr>
          <w:rFonts w:hint="eastAsia"/>
          <w:highlight w:val="none"/>
          <w:lang w:val="en-US" w:eastAsia="zh-CN"/>
        </w:rPr>
        <w:t>3</w:t>
      </w:r>
      <w:r>
        <w:rPr>
          <w:rFonts w:hint="eastAsia"/>
          <w:highlight w:val="none"/>
        </w:rPr>
        <w:t>分，得分</w:t>
      </w:r>
      <w:r>
        <w:rPr>
          <w:rFonts w:hint="eastAsia"/>
          <w:highlight w:val="none"/>
          <w:lang w:val="en-US" w:eastAsia="zh-CN"/>
        </w:rPr>
        <w:t>3</w:t>
      </w:r>
      <w:r>
        <w:rPr>
          <w:rFonts w:hint="eastAsia"/>
          <w:highlight w:val="none"/>
        </w:rPr>
        <w:t>分）。依据医疗服务与保障能力提升补助资金项目主要实施内容，项目实际受益</w:t>
      </w:r>
      <w:r>
        <w:rPr>
          <w:rFonts w:hint="eastAsia"/>
          <w:highlight w:val="none"/>
          <w:lang w:val="en-US" w:eastAsia="zh-CN"/>
        </w:rPr>
        <w:t>包括辖区内参保人员</w:t>
      </w:r>
      <w:r>
        <w:rPr>
          <w:rFonts w:hint="eastAsia"/>
          <w:highlight w:val="none"/>
        </w:rPr>
        <w:t>，评价组对</w:t>
      </w:r>
      <w:r>
        <w:rPr>
          <w:rFonts w:hint="eastAsia"/>
          <w:highlight w:val="none"/>
          <w:lang w:val="en-US" w:eastAsia="zh-CN"/>
        </w:rPr>
        <w:t>2</w:t>
      </w:r>
      <w:r>
        <w:rPr>
          <w:rFonts w:hint="eastAsia"/>
          <w:highlight w:val="none"/>
        </w:rPr>
        <w:t>00名</w:t>
      </w:r>
      <w:r>
        <w:rPr>
          <w:rFonts w:hint="eastAsia"/>
          <w:highlight w:val="none"/>
          <w:lang w:val="en-US" w:eastAsia="zh-CN"/>
        </w:rPr>
        <w:t>辖区参保人员</w:t>
      </w:r>
      <w:r>
        <w:rPr>
          <w:rFonts w:hint="eastAsia"/>
          <w:highlight w:val="none"/>
        </w:rPr>
        <w:t>进行随机满意度调查，共发放</w:t>
      </w:r>
      <w:r>
        <w:rPr>
          <w:rFonts w:hint="eastAsia"/>
          <w:highlight w:val="none"/>
          <w:lang w:val="en-US" w:eastAsia="zh-CN"/>
        </w:rPr>
        <w:t>2</w:t>
      </w:r>
      <w:r>
        <w:rPr>
          <w:rFonts w:hint="eastAsia"/>
          <w:highlight w:val="none"/>
        </w:rPr>
        <w:t>00份问卷，实际收回有效问卷共1</w:t>
      </w:r>
      <w:r>
        <w:rPr>
          <w:rFonts w:hint="eastAsia"/>
          <w:highlight w:val="none"/>
          <w:lang w:val="en-US" w:eastAsia="zh-CN"/>
        </w:rPr>
        <w:t>92</w:t>
      </w:r>
      <w:r>
        <w:rPr>
          <w:rFonts w:hint="eastAsia"/>
          <w:highlight w:val="none"/>
        </w:rPr>
        <w:t>份，针对</w:t>
      </w:r>
      <w:r>
        <w:rPr>
          <w:rFonts w:hint="eastAsia"/>
          <w:highlight w:val="none"/>
          <w:lang w:val="en-US" w:eastAsia="zh-CN"/>
        </w:rPr>
        <w:t>医保政策宣传效果</w:t>
      </w:r>
      <w:r>
        <w:rPr>
          <w:rFonts w:hint="eastAsia"/>
          <w:highlight w:val="none"/>
        </w:rPr>
        <w:t>、</w:t>
      </w:r>
      <w:r>
        <w:rPr>
          <w:rFonts w:hint="eastAsia"/>
          <w:highlight w:val="none"/>
          <w:lang w:val="en-US" w:eastAsia="zh-CN"/>
        </w:rPr>
        <w:t>医保定点医药机构服务质量</w:t>
      </w:r>
      <w:r>
        <w:rPr>
          <w:rFonts w:hint="eastAsia"/>
          <w:highlight w:val="none"/>
        </w:rPr>
        <w:t>、</w:t>
      </w:r>
      <w:r>
        <w:rPr>
          <w:rFonts w:hint="eastAsia"/>
          <w:highlight w:val="none"/>
          <w:lang w:val="en-US" w:eastAsia="zh-CN"/>
        </w:rPr>
        <w:t>医保经办服务质量</w:t>
      </w:r>
      <w:r>
        <w:rPr>
          <w:rFonts w:hint="eastAsia"/>
          <w:highlight w:val="none"/>
        </w:rPr>
        <w:t>、</w:t>
      </w:r>
      <w:r>
        <w:rPr>
          <w:rFonts w:hint="eastAsia"/>
          <w:highlight w:val="none"/>
          <w:lang w:val="en-US" w:eastAsia="zh-CN"/>
        </w:rPr>
        <w:t>医保经办服务处理时效</w:t>
      </w:r>
      <w:r>
        <w:rPr>
          <w:rFonts w:hint="eastAsia"/>
          <w:highlight w:val="none"/>
        </w:rPr>
        <w:t>等问题进行满意度调查，</w:t>
      </w:r>
      <w:r>
        <w:rPr>
          <w:rFonts w:hint="eastAsia"/>
          <w:highlight w:val="none"/>
          <w:lang w:val="en-US" w:eastAsia="zh-CN"/>
        </w:rPr>
        <w:t>辖区参保人员</w:t>
      </w:r>
      <w:r>
        <w:rPr>
          <w:rFonts w:hint="eastAsia"/>
          <w:highlight w:val="none"/>
        </w:rPr>
        <w:t>的综合满意度为</w:t>
      </w:r>
      <w:r>
        <w:rPr>
          <w:rFonts w:hint="eastAsia"/>
          <w:highlight w:val="none"/>
          <w:lang w:val="en-US" w:eastAsia="zh-CN"/>
        </w:rPr>
        <w:t>93.23</w:t>
      </w:r>
      <w:r>
        <w:rPr>
          <w:rFonts w:hint="eastAsia"/>
          <w:highlight w:val="none"/>
        </w:rPr>
        <w:t>%</w:t>
      </w:r>
      <w:r>
        <w:rPr>
          <w:rFonts w:hint="eastAsia"/>
          <w:highlight w:val="none"/>
          <w:lang w:eastAsia="zh-CN"/>
        </w:rPr>
        <w:t>。</w:t>
      </w:r>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highlight w:val="none"/>
          <w:lang w:eastAsia="zh-CN"/>
        </w:rPr>
      </w:pPr>
      <w:r>
        <w:rPr>
          <w:rFonts w:hint="eastAsia"/>
        </w:rPr>
        <w:t>（2）</w:t>
      </w:r>
      <w:r>
        <w:rPr>
          <w:rFonts w:hint="eastAsia"/>
          <w:lang w:val="en-US" w:eastAsia="zh-CN"/>
        </w:rPr>
        <w:t>医保经办人员满意度</w:t>
      </w:r>
      <w:r>
        <w:rPr>
          <w:rFonts w:hint="eastAsia"/>
        </w:rPr>
        <w:t>（总分</w:t>
      </w:r>
      <w:r>
        <w:rPr>
          <w:rFonts w:hint="eastAsia"/>
          <w:lang w:val="en-US" w:eastAsia="zh-CN"/>
        </w:rPr>
        <w:t>3</w:t>
      </w:r>
      <w:r>
        <w:rPr>
          <w:rFonts w:hint="eastAsia"/>
        </w:rPr>
        <w:t>分，得分</w:t>
      </w:r>
      <w:r>
        <w:rPr>
          <w:rFonts w:hint="eastAsia"/>
          <w:lang w:val="en-US" w:eastAsia="zh-CN"/>
        </w:rPr>
        <w:t>3</w:t>
      </w:r>
      <w:r>
        <w:rPr>
          <w:rFonts w:hint="eastAsia"/>
        </w:rPr>
        <w:t>分）。</w:t>
      </w:r>
      <w:r>
        <w:rPr>
          <w:rFonts w:hint="eastAsia"/>
          <w:highlight w:val="none"/>
        </w:rPr>
        <w:t>依据医疗服务与保障能力提升补助资金项目主要实施内容，项目实际受益</w:t>
      </w:r>
      <w:r>
        <w:rPr>
          <w:rFonts w:hint="eastAsia"/>
          <w:highlight w:val="none"/>
          <w:lang w:val="en-US" w:eastAsia="zh-CN"/>
        </w:rPr>
        <w:t>包括</w:t>
      </w:r>
      <w:r>
        <w:rPr>
          <w:rFonts w:hint="eastAsia"/>
          <w:lang w:val="en-US" w:eastAsia="zh-CN"/>
        </w:rPr>
        <w:t>医保经办人员</w:t>
      </w:r>
      <w:r>
        <w:rPr>
          <w:rFonts w:hint="eastAsia"/>
          <w:highlight w:val="none"/>
        </w:rPr>
        <w:t>，评价组对</w:t>
      </w:r>
      <w:r>
        <w:rPr>
          <w:rFonts w:hint="eastAsia"/>
          <w:highlight w:val="none"/>
          <w:lang w:val="en-US" w:eastAsia="zh-CN"/>
        </w:rPr>
        <w:t>50</w:t>
      </w:r>
      <w:r>
        <w:rPr>
          <w:rFonts w:hint="eastAsia"/>
          <w:highlight w:val="none"/>
        </w:rPr>
        <w:t>名</w:t>
      </w:r>
      <w:r>
        <w:rPr>
          <w:rFonts w:hint="eastAsia"/>
          <w:highlight w:val="none"/>
          <w:lang w:val="en-US" w:eastAsia="zh-CN"/>
        </w:rPr>
        <w:t>医保经办人员</w:t>
      </w:r>
      <w:r>
        <w:rPr>
          <w:rFonts w:hint="eastAsia"/>
          <w:highlight w:val="none"/>
        </w:rPr>
        <w:t>进行随机满意度调查，共发放</w:t>
      </w:r>
      <w:r>
        <w:rPr>
          <w:rFonts w:hint="eastAsia"/>
          <w:highlight w:val="none"/>
          <w:lang w:val="en-US" w:eastAsia="zh-CN"/>
        </w:rPr>
        <w:t>50</w:t>
      </w:r>
      <w:r>
        <w:rPr>
          <w:rFonts w:hint="eastAsia"/>
          <w:highlight w:val="none"/>
        </w:rPr>
        <w:t>份问卷，实际收回有效问卷共</w:t>
      </w:r>
      <w:r>
        <w:rPr>
          <w:rFonts w:hint="eastAsia"/>
          <w:highlight w:val="none"/>
          <w:lang w:val="en-US" w:eastAsia="zh-CN"/>
        </w:rPr>
        <w:t>50</w:t>
      </w:r>
      <w:r>
        <w:rPr>
          <w:rFonts w:hint="eastAsia"/>
          <w:highlight w:val="none"/>
        </w:rPr>
        <w:t>份，针对</w:t>
      </w:r>
      <w:r>
        <w:rPr>
          <w:rFonts w:hint="eastAsia"/>
          <w:highlight w:val="none"/>
          <w:lang w:val="en-US" w:eastAsia="zh-CN"/>
        </w:rPr>
        <w:t>法律咨询意见回复时效</w:t>
      </w:r>
      <w:r>
        <w:rPr>
          <w:rFonts w:hint="eastAsia"/>
          <w:highlight w:val="none"/>
        </w:rPr>
        <w:t>、</w:t>
      </w:r>
      <w:r>
        <w:rPr>
          <w:rFonts w:hint="eastAsia"/>
          <w:highlight w:val="none"/>
          <w:lang w:val="en-US" w:eastAsia="zh-CN"/>
        </w:rPr>
        <w:t>医保专网运行稳定情况</w:t>
      </w:r>
      <w:r>
        <w:rPr>
          <w:rFonts w:hint="eastAsia"/>
          <w:highlight w:val="none"/>
        </w:rPr>
        <w:t>、</w:t>
      </w:r>
      <w:r>
        <w:rPr>
          <w:rFonts w:hint="eastAsia"/>
          <w:highlight w:val="none"/>
          <w:lang w:val="en-US" w:eastAsia="zh-CN"/>
        </w:rPr>
        <w:t>医保终端使用便利情况</w:t>
      </w:r>
      <w:r>
        <w:rPr>
          <w:rFonts w:hint="eastAsia"/>
          <w:highlight w:val="none"/>
        </w:rPr>
        <w:t>、</w:t>
      </w:r>
      <w:r>
        <w:rPr>
          <w:rFonts w:hint="eastAsia"/>
          <w:highlight w:val="none"/>
          <w:lang w:val="en-US" w:eastAsia="zh-CN"/>
        </w:rPr>
        <w:t>医保专网、设备问题处理时效</w:t>
      </w:r>
      <w:r>
        <w:rPr>
          <w:rFonts w:hint="eastAsia"/>
          <w:highlight w:val="none"/>
        </w:rPr>
        <w:t>等问题进行满意度调查，</w:t>
      </w:r>
      <w:r>
        <w:rPr>
          <w:rFonts w:hint="eastAsia"/>
          <w:lang w:val="en-US" w:eastAsia="zh-CN"/>
        </w:rPr>
        <w:t>医保经办人员</w:t>
      </w:r>
      <w:r>
        <w:rPr>
          <w:rFonts w:hint="eastAsia"/>
          <w:highlight w:val="none"/>
        </w:rPr>
        <w:t>的综合满意度为</w:t>
      </w:r>
      <w:r>
        <w:rPr>
          <w:rFonts w:hint="eastAsia"/>
          <w:highlight w:val="none"/>
          <w:lang w:val="en-US" w:eastAsia="zh-CN"/>
        </w:rPr>
        <w:t>95.5</w:t>
      </w:r>
      <w:r>
        <w:rPr>
          <w:rFonts w:hint="eastAsia"/>
          <w:highlight w:val="none"/>
        </w:rPr>
        <w:t>%</w:t>
      </w:r>
      <w:r>
        <w:rPr>
          <w:rFonts w:hint="eastAsia"/>
          <w:highlight w:val="none"/>
          <w:lang w:eastAsia="zh-CN"/>
        </w:rPr>
        <w:t>。</w:t>
      </w:r>
    </w:p>
    <w:p>
      <w:pPr>
        <w:pStyle w:val="28"/>
        <w:pageBreakBefore w:val="0"/>
        <w:widowControl w:val="0"/>
        <w:kinsoku/>
        <w:wordWrap/>
        <w:overflowPunct/>
        <w:topLinePunct w:val="0"/>
        <w:autoSpaceDE/>
        <w:autoSpaceDN/>
        <w:bidi w:val="0"/>
        <w:adjustRightInd/>
        <w:snapToGrid/>
        <w:spacing w:line="560" w:lineRule="exact"/>
        <w:textAlignment w:val="auto"/>
      </w:pPr>
      <w:bookmarkStart w:id="25" w:name="_Toc19911"/>
      <w:r>
        <w:rPr>
          <w:rFonts w:hint="eastAsia"/>
        </w:rPr>
        <w:t>五、存在的主要问题</w:t>
      </w:r>
      <w:bookmarkEnd w:id="25"/>
    </w:p>
    <w:p>
      <w:pPr>
        <w:pStyle w:val="30"/>
        <w:pageBreakBefore w:val="0"/>
        <w:widowControl w:val="0"/>
        <w:kinsoku/>
        <w:wordWrap/>
        <w:overflowPunct/>
        <w:topLinePunct w:val="0"/>
        <w:autoSpaceDE/>
        <w:autoSpaceDN/>
        <w:bidi w:val="0"/>
        <w:adjustRightInd/>
        <w:snapToGrid/>
        <w:spacing w:line="560" w:lineRule="exact"/>
        <w:ind w:firstLine="640"/>
        <w:textAlignment w:val="auto"/>
        <w:rPr>
          <w:rFonts w:hint="eastAsia" w:eastAsia="楷体_GB2312"/>
          <w:lang w:val="en-US" w:eastAsia="zh-CN"/>
        </w:rPr>
      </w:pPr>
      <w:bookmarkStart w:id="26" w:name="_Toc13072"/>
      <w:bookmarkStart w:id="27" w:name="_Hlk91875531"/>
      <w:r>
        <w:rPr>
          <w:rFonts w:hint="eastAsia"/>
        </w:rPr>
        <w:t>（一）绩效管理工作有待</w:t>
      </w:r>
      <w:r>
        <w:rPr>
          <w:rFonts w:hint="eastAsia"/>
          <w:lang w:val="en-US" w:eastAsia="zh-CN"/>
        </w:rPr>
        <w:t>提升</w:t>
      </w:r>
      <w:bookmarkEnd w:id="26"/>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default" w:eastAsia="仿宋_GB2312"/>
          <w:lang w:val="en-US" w:eastAsia="zh-CN"/>
        </w:rPr>
      </w:pPr>
      <w:r>
        <w:rPr>
          <w:rFonts w:hint="eastAsia"/>
          <w:lang w:val="en-US" w:eastAsia="zh-CN"/>
        </w:rPr>
        <w:t>为便于项目管理，区医保局将</w:t>
      </w:r>
      <w:r>
        <w:rPr>
          <w:rFonts w:hint="eastAsia"/>
          <w:highlight w:val="none"/>
        </w:rPr>
        <w:t>医疗服务与保障能力提升补助资金项目</w:t>
      </w:r>
      <w:r>
        <w:rPr>
          <w:rFonts w:hint="eastAsia"/>
          <w:lang w:val="en-US" w:eastAsia="zh-CN"/>
        </w:rPr>
        <w:t>分解为5个子项目，分别设置了绩效目标及绩效指标。但存在部分指标设置不规范、与项目实施内容相关性不足的问题，具体为：“四级经办服务体系建设”项目中设置数量指标“开展社区级医保服务、有网点提供帮办、代办服务的社区覆盖率”不符合数量指标的量化要求，未明确具体社区数量，难以体现该子项目工作量；“依申请救助经办服务能力提升”项目中实际工作内容为医保网络铺设接入工作，设置时效指标为“依申请救助救助金发放及时率=100%”，与该子项目内容无相关性。</w:t>
      </w:r>
    </w:p>
    <w:p>
      <w:pPr>
        <w:pStyle w:val="30"/>
        <w:pageBreakBefore w:val="0"/>
        <w:widowControl w:val="0"/>
        <w:kinsoku/>
        <w:wordWrap/>
        <w:overflowPunct/>
        <w:topLinePunct w:val="0"/>
        <w:autoSpaceDE/>
        <w:autoSpaceDN/>
        <w:bidi w:val="0"/>
        <w:adjustRightInd/>
        <w:snapToGrid/>
        <w:spacing w:line="560" w:lineRule="exact"/>
        <w:ind w:firstLine="640"/>
        <w:textAlignment w:val="auto"/>
        <w:rPr>
          <w:rFonts w:hint="default" w:eastAsia="楷体_GB2312"/>
          <w:lang w:val="en-US" w:eastAsia="zh-CN"/>
        </w:rPr>
      </w:pPr>
      <w:bookmarkStart w:id="28" w:name="_Toc5124"/>
      <w:r>
        <w:rPr>
          <w:rFonts w:hint="eastAsia"/>
        </w:rPr>
        <w:t>（二）</w:t>
      </w:r>
      <w:r>
        <w:rPr>
          <w:rFonts w:hint="eastAsia"/>
          <w:lang w:val="en-US" w:eastAsia="zh-CN"/>
        </w:rPr>
        <w:t>项目资产管理不规范</w:t>
      </w:r>
      <w:bookmarkEnd w:id="28"/>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bCs/>
          <w:lang w:eastAsia="zh-CN"/>
        </w:rPr>
      </w:pPr>
      <w:r>
        <w:rPr>
          <w:rFonts w:hint="eastAsia"/>
          <w:bCs/>
        </w:rPr>
        <w:t>医疗服务与保障能力提升补助资金项目中“四级经办服务体系建设”项目购置的64台平板电脑符合固定资产入账条件，资产已</w:t>
      </w:r>
      <w:r>
        <w:rPr>
          <w:rFonts w:hint="eastAsia"/>
          <w:bCs/>
          <w:lang w:eastAsia="zh-CN"/>
        </w:rPr>
        <w:t>记入</w:t>
      </w:r>
      <w:r>
        <w:rPr>
          <w:rFonts w:hint="eastAsia"/>
          <w:bCs/>
        </w:rPr>
        <w:t>固定资产账簿，后续已调拨至各街道使用，但</w:t>
      </w:r>
      <w:r>
        <w:rPr>
          <w:rFonts w:hint="eastAsia"/>
          <w:bCs/>
          <w:lang w:val="en-US" w:eastAsia="zh-CN"/>
        </w:rPr>
        <w:t>单位</w:t>
      </w:r>
      <w:r>
        <w:rPr>
          <w:rFonts w:hint="eastAsia"/>
          <w:bCs/>
        </w:rPr>
        <w:t>暂无资产管理系统，未履行资产调拨手续，未做到账实相符、账账相符，资产管理合规性较差</w:t>
      </w:r>
      <w:r>
        <w:rPr>
          <w:rFonts w:hint="eastAsia"/>
          <w:bCs/>
          <w:lang w:eastAsia="zh-CN"/>
        </w:rPr>
        <w:t>。</w:t>
      </w:r>
    </w:p>
    <w:p>
      <w:pPr>
        <w:pStyle w:val="30"/>
        <w:pageBreakBefore w:val="0"/>
        <w:widowControl w:val="0"/>
        <w:kinsoku/>
        <w:wordWrap/>
        <w:overflowPunct/>
        <w:topLinePunct w:val="0"/>
        <w:autoSpaceDE/>
        <w:autoSpaceDN/>
        <w:bidi w:val="0"/>
        <w:adjustRightInd/>
        <w:snapToGrid/>
        <w:spacing w:line="560" w:lineRule="exact"/>
        <w:ind w:firstLine="640"/>
        <w:textAlignment w:val="auto"/>
        <w:rPr>
          <w:rFonts w:hint="default" w:eastAsia="楷体_GB2312"/>
          <w:lang w:val="en-US" w:eastAsia="zh-CN"/>
        </w:rPr>
      </w:pPr>
      <w:bookmarkStart w:id="29" w:name="_Toc7019"/>
      <w:r>
        <w:rPr>
          <w:rFonts w:hint="eastAsia"/>
        </w:rPr>
        <w:t>（</w:t>
      </w:r>
      <w:r>
        <w:rPr>
          <w:rFonts w:hint="eastAsia"/>
          <w:lang w:val="en-US" w:eastAsia="zh-CN"/>
        </w:rPr>
        <w:t>三</w:t>
      </w:r>
      <w:r>
        <w:rPr>
          <w:rFonts w:hint="eastAsia"/>
        </w:rPr>
        <w:t>）</w:t>
      </w:r>
      <w:r>
        <w:rPr>
          <w:rFonts w:hint="eastAsia"/>
          <w:lang w:val="en-US" w:eastAsia="zh-CN"/>
        </w:rPr>
        <w:t>单位管理制度不完善</w:t>
      </w:r>
      <w:bookmarkEnd w:id="29"/>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default" w:eastAsia="仿宋_GB2312"/>
          <w:bCs/>
          <w:lang w:val="en-US" w:eastAsia="zh-CN"/>
        </w:rPr>
      </w:pPr>
      <w:r>
        <w:rPr>
          <w:rFonts w:hint="eastAsia"/>
          <w:bCs/>
          <w:lang w:val="en-US" w:eastAsia="zh-CN"/>
        </w:rPr>
        <w:t>区医保局暂未制定完备的内控管理制度，虽已制定《和平区医保局关于“医疗服务与保障能力提升补助资金”项目管理制度》，并结合单位财务管理制度对本项目进行管理，但具体制度细节仍存在不完善的情况，如购置的平板电脑调拨无相关管理制度进行约束，“依申请救助经办服务能力提升”项目铺设的网络管理权限不明确，不但会对项目开展的效率与效果产生不利影响，更影响单位整体工作的开展，单位内部控制风险较高。</w:t>
      </w:r>
    </w:p>
    <w:p>
      <w:pPr>
        <w:pStyle w:val="30"/>
        <w:pageBreakBefore w:val="0"/>
        <w:widowControl w:val="0"/>
        <w:kinsoku/>
        <w:wordWrap/>
        <w:overflowPunct/>
        <w:topLinePunct w:val="0"/>
        <w:autoSpaceDE/>
        <w:autoSpaceDN/>
        <w:bidi w:val="0"/>
        <w:adjustRightInd/>
        <w:snapToGrid/>
        <w:spacing w:line="560" w:lineRule="exact"/>
        <w:ind w:firstLine="640"/>
        <w:textAlignment w:val="auto"/>
        <w:rPr>
          <w:rFonts w:hint="default" w:eastAsia="楷体_GB2312"/>
          <w:lang w:val="en-US" w:eastAsia="zh-CN"/>
        </w:rPr>
      </w:pPr>
      <w:bookmarkStart w:id="30" w:name="_Toc12386"/>
      <w:r>
        <w:rPr>
          <w:rFonts w:hint="eastAsia"/>
        </w:rPr>
        <w:t>（</w:t>
      </w:r>
      <w:r>
        <w:rPr>
          <w:rFonts w:hint="eastAsia"/>
          <w:lang w:val="en-US" w:eastAsia="zh-CN"/>
        </w:rPr>
        <w:t>四</w:t>
      </w:r>
      <w:r>
        <w:rPr>
          <w:rFonts w:hint="eastAsia"/>
        </w:rPr>
        <w:t>）</w:t>
      </w:r>
      <w:r>
        <w:rPr>
          <w:rFonts w:hint="eastAsia"/>
          <w:lang w:val="en-US" w:eastAsia="zh-CN"/>
        </w:rPr>
        <w:t>项目实现效益有待加强</w:t>
      </w:r>
      <w:bookmarkEnd w:id="30"/>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default" w:eastAsia="仿宋_GB2312"/>
          <w:bCs/>
          <w:lang w:val="en-US" w:eastAsia="zh-CN"/>
        </w:rPr>
      </w:pPr>
      <w:r>
        <w:rPr>
          <w:rFonts w:hint="eastAsia"/>
          <w:bCs/>
          <w:lang w:val="en-US" w:eastAsia="zh-CN"/>
        </w:rPr>
        <w:t>项目的实施客观上促进了医疗服务与保障能力的提升，但在2023年天津市医保经办系统练兵比武大赛中区医保局未能进入决赛或取得名次，能力提升效果不显著，同时2023年度和平区基本医疗保险参保计划指标完成率为97.88%，未能完成居民医保参保扩面任务。</w:t>
      </w:r>
    </w:p>
    <w:bookmarkEnd w:id="27"/>
    <w:p>
      <w:pPr>
        <w:pStyle w:val="28"/>
        <w:pageBreakBefore w:val="0"/>
        <w:widowControl w:val="0"/>
        <w:kinsoku/>
        <w:wordWrap/>
        <w:overflowPunct/>
        <w:topLinePunct w:val="0"/>
        <w:autoSpaceDE/>
        <w:autoSpaceDN/>
        <w:bidi w:val="0"/>
        <w:adjustRightInd/>
        <w:snapToGrid/>
        <w:spacing w:line="560" w:lineRule="exact"/>
        <w:textAlignment w:val="auto"/>
      </w:pPr>
      <w:bookmarkStart w:id="31" w:name="_Toc12843"/>
      <w:r>
        <w:rPr>
          <w:rFonts w:hint="eastAsia"/>
        </w:rPr>
        <w:t>六、相关建议</w:t>
      </w:r>
      <w:bookmarkEnd w:id="31"/>
    </w:p>
    <w:p>
      <w:pPr>
        <w:pStyle w:val="30"/>
        <w:pageBreakBefore w:val="0"/>
        <w:widowControl w:val="0"/>
        <w:kinsoku/>
        <w:wordWrap/>
        <w:overflowPunct/>
        <w:topLinePunct w:val="0"/>
        <w:autoSpaceDE/>
        <w:autoSpaceDN/>
        <w:bidi w:val="0"/>
        <w:adjustRightInd/>
        <w:snapToGrid/>
        <w:spacing w:line="560" w:lineRule="exact"/>
        <w:ind w:firstLine="640"/>
        <w:textAlignment w:val="auto"/>
        <w:rPr>
          <w:rFonts w:hint="default" w:eastAsia="楷体_GB2312"/>
          <w:lang w:val="en-US" w:eastAsia="zh-CN"/>
        </w:rPr>
      </w:pPr>
      <w:bookmarkStart w:id="32" w:name="_Toc25651"/>
      <w:r>
        <w:rPr>
          <w:rFonts w:hint="eastAsia"/>
        </w:rPr>
        <w:t>（一）</w:t>
      </w:r>
      <w:r>
        <w:rPr>
          <w:rFonts w:hint="eastAsia"/>
          <w:lang w:val="en-US" w:eastAsia="zh-CN"/>
        </w:rPr>
        <w:t>提升</w:t>
      </w:r>
      <w:r>
        <w:rPr>
          <w:rFonts w:hint="eastAsia"/>
        </w:rPr>
        <w:t>绩效</w:t>
      </w:r>
      <w:r>
        <w:rPr>
          <w:rFonts w:hint="eastAsia"/>
          <w:lang w:val="en-US" w:eastAsia="zh-CN"/>
        </w:rPr>
        <w:t>管理工作质量</w:t>
      </w:r>
      <w:bookmarkEnd w:id="32"/>
    </w:p>
    <w:p>
      <w:pPr>
        <w:pStyle w:val="26"/>
        <w:pageBreakBefore w:val="0"/>
        <w:widowControl w:val="0"/>
        <w:kinsoku/>
        <w:wordWrap/>
        <w:overflowPunct/>
        <w:topLinePunct w:val="0"/>
        <w:autoSpaceDE/>
        <w:autoSpaceDN/>
        <w:bidi w:val="0"/>
        <w:adjustRightInd/>
        <w:snapToGrid/>
        <w:spacing w:line="560" w:lineRule="exact"/>
        <w:ind w:firstLine="640"/>
        <w:textAlignment w:val="auto"/>
      </w:pPr>
      <w:r>
        <w:rPr>
          <w:rFonts w:hint="eastAsia"/>
        </w:rPr>
        <w:t>建议</w:t>
      </w:r>
      <w:r>
        <w:rPr>
          <w:rFonts w:hint="eastAsia"/>
          <w:lang w:val="en-US" w:eastAsia="zh-CN"/>
        </w:rPr>
        <w:t>区医保局</w:t>
      </w:r>
      <w:r>
        <w:rPr>
          <w:rFonts w:hint="eastAsia"/>
        </w:rPr>
        <w:t>定期组织各业务科室开展预算绩效管理培训，深化理解预算绩效管理</w:t>
      </w:r>
      <w:r>
        <w:rPr>
          <w:rFonts w:hint="eastAsia"/>
          <w:lang w:val="en-US" w:eastAsia="zh-CN"/>
        </w:rPr>
        <w:t>工作的意义</w:t>
      </w:r>
      <w:r>
        <w:rPr>
          <w:rFonts w:hint="eastAsia"/>
        </w:rPr>
        <w:t>，贯彻落实</w:t>
      </w:r>
      <w:r>
        <w:rPr>
          <w:rFonts w:hint="eastAsia"/>
          <w:lang w:val="en-US" w:eastAsia="zh-CN"/>
        </w:rPr>
        <w:t>预算</w:t>
      </w:r>
      <w:r>
        <w:rPr>
          <w:rFonts w:hint="eastAsia"/>
        </w:rPr>
        <w:t>绩效管理工作要求，规范绩效目标指标制定。一是在绩效指标设置时充分考虑项目实施内容，</w:t>
      </w:r>
      <w:r>
        <w:rPr>
          <w:rFonts w:hint="eastAsia"/>
          <w:lang w:val="en-US" w:eastAsia="zh-CN"/>
        </w:rPr>
        <w:t>针对项目的实施</w:t>
      </w:r>
      <w:bookmarkStart w:id="42" w:name="_GoBack"/>
      <w:bookmarkEnd w:id="42"/>
      <w:r>
        <w:rPr>
          <w:rFonts w:hint="eastAsia"/>
          <w:lang w:val="en-US" w:eastAsia="zh-CN"/>
        </w:rPr>
        <w:t>内容对应设置绩效指标，如“依申请救助经办服务能力提升”项目的时效指标设置为“医保专网铺设接入完成时间”，准确反映项目实施以及资金支出进度计划</w:t>
      </w:r>
      <w:r>
        <w:rPr>
          <w:rFonts w:hint="eastAsia"/>
        </w:rPr>
        <w:t>；二是提升绩效指标设置规范性，</w:t>
      </w:r>
      <w:r>
        <w:rPr>
          <w:rFonts w:hint="eastAsia"/>
          <w:lang w:val="en-US" w:eastAsia="zh-CN"/>
        </w:rPr>
        <w:t>明确各指标定义和设置要求，对于数量指标需明确具体工作量，尽量避免通过比率表示，如“四级经办服务体系建设”项目中数量指标设置为“提供医保经办服务社区数量”。</w:t>
      </w:r>
    </w:p>
    <w:p>
      <w:pPr>
        <w:pStyle w:val="30"/>
        <w:pageBreakBefore w:val="0"/>
        <w:widowControl w:val="0"/>
        <w:kinsoku/>
        <w:wordWrap/>
        <w:overflowPunct/>
        <w:topLinePunct w:val="0"/>
        <w:autoSpaceDE/>
        <w:autoSpaceDN/>
        <w:bidi w:val="0"/>
        <w:adjustRightInd/>
        <w:snapToGrid/>
        <w:spacing w:line="560" w:lineRule="exact"/>
        <w:ind w:firstLine="640"/>
        <w:textAlignment w:val="auto"/>
        <w:rPr>
          <w:rFonts w:hint="default" w:eastAsia="楷体_GB2312"/>
          <w:lang w:val="en-US" w:eastAsia="zh-CN"/>
        </w:rPr>
      </w:pPr>
      <w:bookmarkStart w:id="33" w:name="_Toc31654"/>
      <w:r>
        <w:rPr>
          <w:rFonts w:hint="eastAsia"/>
        </w:rPr>
        <w:t>（二）</w:t>
      </w:r>
      <w:r>
        <w:rPr>
          <w:rFonts w:hint="eastAsia"/>
          <w:lang w:val="en-US" w:eastAsia="zh-CN"/>
        </w:rPr>
        <w:t>完善单位资产管理体系</w:t>
      </w:r>
      <w:bookmarkEnd w:id="33"/>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default" w:eastAsia="仿宋_GB2312"/>
          <w:bCs/>
          <w:lang w:val="en-US" w:eastAsia="zh-CN"/>
        </w:rPr>
      </w:pPr>
      <w:r>
        <w:rPr>
          <w:rFonts w:hint="eastAsia"/>
          <w:bCs/>
          <w:lang w:val="en-US" w:eastAsia="zh-CN"/>
        </w:rPr>
        <w:t>一是建议区医保局及时与负责行政事业性国有资产管理系统管理的相关部门取得联系，尽快落实本单位资产管理系统的接入工作，以便于本单位开展资产管理工作。在资产管理系统接入前建议与医保终端设备调拨单位签订临时协议，明确各方对于该批设备的权利与义务，包括设备的使用、维护、处置等内容，降低单位资产管理风险。二是建议区医保局在接入系统后尽快按照相关资产管理规定履行资产调拨手续，同时对单位其他固定资产进行梳理汇总，进行资产盘点等工作，将盘点梳理后的资产信息及时录入资产管理系统并对应调整单位的资产账与财务账，确保账实相符、账账相符。</w:t>
      </w:r>
    </w:p>
    <w:p>
      <w:pPr>
        <w:pStyle w:val="30"/>
        <w:pageBreakBefore w:val="0"/>
        <w:widowControl w:val="0"/>
        <w:kinsoku/>
        <w:wordWrap/>
        <w:overflowPunct/>
        <w:topLinePunct w:val="0"/>
        <w:autoSpaceDE/>
        <w:autoSpaceDN/>
        <w:bidi w:val="0"/>
        <w:adjustRightInd/>
        <w:snapToGrid/>
        <w:spacing w:line="560" w:lineRule="exact"/>
        <w:ind w:firstLine="640"/>
        <w:textAlignment w:val="auto"/>
        <w:rPr>
          <w:rFonts w:hint="default" w:eastAsia="楷体_GB2312"/>
          <w:lang w:val="en-US" w:eastAsia="zh-CN"/>
        </w:rPr>
      </w:pPr>
      <w:bookmarkStart w:id="34" w:name="_Toc29080"/>
      <w:r>
        <w:rPr>
          <w:rFonts w:hint="eastAsia"/>
        </w:rPr>
        <w:t>（</w:t>
      </w:r>
      <w:r>
        <w:rPr>
          <w:rFonts w:hint="eastAsia"/>
          <w:lang w:val="en-US" w:eastAsia="zh-CN"/>
        </w:rPr>
        <w:t>三</w:t>
      </w:r>
      <w:r>
        <w:rPr>
          <w:rFonts w:hint="eastAsia"/>
        </w:rPr>
        <w:t>）</w:t>
      </w:r>
      <w:r>
        <w:rPr>
          <w:rFonts w:hint="eastAsia"/>
          <w:lang w:val="en-US" w:eastAsia="zh-CN"/>
        </w:rPr>
        <w:t>建立单位内部控制制度</w:t>
      </w:r>
      <w:bookmarkEnd w:id="34"/>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default" w:eastAsia="仿宋_GB2312"/>
          <w:bCs/>
          <w:lang w:val="en-US" w:eastAsia="zh-CN"/>
        </w:rPr>
      </w:pPr>
      <w:r>
        <w:rPr>
          <w:rFonts w:hint="eastAsia"/>
          <w:bCs/>
          <w:lang w:val="en-US" w:eastAsia="zh-CN"/>
        </w:rPr>
        <w:t>建议区医保局树立内部控制制度建设“第一责任人”的主体意识，充分认识到内部控制对于提高单位内部管理水平、规范业务流程、加强廉政风险防控的重要性。在进行充分调研与集体研究后，根据国家相关法律法规要求，结合本部门实际情况，制定涵盖预算管理、资产管理、收支业务、财务管理、政府采购、建设项目等方面的内控制度。制度应具有可操作性和约束力，确保各项业务活动有章可循、有据可查，必要时可聘请具有资质与经验的第三方开展相关制度建设工作。同时，完善内部审计工作机制并有效开展内部审计工作，通过经常性、连续性的审计监督，促进单位逐步加强和完善内控制度建设。</w:t>
      </w:r>
    </w:p>
    <w:p>
      <w:pPr>
        <w:pStyle w:val="30"/>
        <w:pageBreakBefore w:val="0"/>
        <w:widowControl w:val="0"/>
        <w:kinsoku/>
        <w:wordWrap/>
        <w:overflowPunct/>
        <w:topLinePunct w:val="0"/>
        <w:autoSpaceDE/>
        <w:autoSpaceDN/>
        <w:bidi w:val="0"/>
        <w:adjustRightInd/>
        <w:snapToGrid/>
        <w:spacing w:line="560" w:lineRule="exact"/>
        <w:ind w:firstLine="640"/>
        <w:textAlignment w:val="auto"/>
        <w:rPr>
          <w:rFonts w:hint="default" w:eastAsia="楷体_GB2312"/>
          <w:lang w:val="en-US" w:eastAsia="zh-CN"/>
        </w:rPr>
      </w:pPr>
      <w:bookmarkStart w:id="35" w:name="_Toc19473"/>
      <w:r>
        <w:rPr>
          <w:rFonts w:hint="eastAsia"/>
        </w:rPr>
        <w:t>（</w:t>
      </w:r>
      <w:r>
        <w:rPr>
          <w:rFonts w:hint="eastAsia"/>
          <w:lang w:val="en-US" w:eastAsia="zh-CN"/>
        </w:rPr>
        <w:t>四</w:t>
      </w:r>
      <w:r>
        <w:rPr>
          <w:rFonts w:hint="eastAsia"/>
        </w:rPr>
        <w:t>）</w:t>
      </w:r>
      <w:r>
        <w:rPr>
          <w:rFonts w:hint="eastAsia"/>
          <w:lang w:val="en-US" w:eastAsia="zh-CN"/>
        </w:rPr>
        <w:t>加强经办人员培训与政策宣传力度</w:t>
      </w:r>
      <w:bookmarkEnd w:id="35"/>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eastAsia"/>
          <w:bCs/>
          <w:lang w:val="en-US" w:eastAsia="zh-CN"/>
        </w:rPr>
      </w:pPr>
      <w:r>
        <w:rPr>
          <w:rFonts w:hint="eastAsia"/>
          <w:bCs/>
          <w:lang w:val="en-US" w:eastAsia="zh-CN"/>
        </w:rPr>
        <w:t>针对经办能力提升效果不显著的问题，建议区医保局加大组织开展系统</w:t>
      </w:r>
      <w:r>
        <w:rPr>
          <w:rFonts w:hint="eastAsia"/>
          <w:bCs/>
          <w:highlight w:val="none"/>
          <w:lang w:val="en-US" w:eastAsia="zh-CN"/>
        </w:rPr>
        <w:t>的业务培训力度，提升经办人员业务能力和综合素质，培训内容可涵盖经办服务事项办理、经办内控管理、协议管理、支付方式改革落地等方面；设</w:t>
      </w:r>
      <w:r>
        <w:rPr>
          <w:rFonts w:hint="eastAsia"/>
          <w:bCs/>
          <w:lang w:val="en-US" w:eastAsia="zh-CN"/>
        </w:rPr>
        <w:t>立奖励机制，对在练兵比武大赛中表现突出的个人或团队给予表彰和奖励，激发经办人员的积极性和创造力；邀请外部专家或优秀团队进行经验分享和交流，学习先进的理念和方法，提升医保经办服务质效。</w:t>
      </w:r>
    </w:p>
    <w:p>
      <w:pPr>
        <w:pStyle w:val="26"/>
        <w:pageBreakBefore w:val="0"/>
        <w:widowControl w:val="0"/>
        <w:kinsoku/>
        <w:wordWrap/>
        <w:overflowPunct/>
        <w:topLinePunct w:val="0"/>
        <w:autoSpaceDE/>
        <w:autoSpaceDN/>
        <w:bidi w:val="0"/>
        <w:adjustRightInd/>
        <w:snapToGrid/>
        <w:spacing w:line="560" w:lineRule="exact"/>
        <w:ind w:firstLine="640"/>
        <w:textAlignment w:val="auto"/>
        <w:rPr>
          <w:rFonts w:hint="eastAsia"/>
          <w:bCs/>
          <w:lang w:val="en-US" w:eastAsia="zh-CN"/>
        </w:rPr>
      </w:pPr>
      <w:r>
        <w:rPr>
          <w:rFonts w:hint="eastAsia"/>
          <w:bCs/>
          <w:lang w:val="en-US" w:eastAsia="zh-CN"/>
        </w:rPr>
        <w:t>针对居民医保参保扩面任务未完成的问题，建议区医保局加大宣传力度，采用“线上+线下”相结合的方式，广泛宣传医保政策，提高居民对医保制度的认知度和参保意识；优化医保经办流程，简化参保手续，提高服务效率和质量；加强与民政、税务、教育等部门的协作，实现数据共享和互通互联，提高参保信息的准确性和完整性；借鉴其他区的经验，结合本地实际情况，推广创新性的参保扩面举措。</w:t>
      </w:r>
    </w:p>
    <w:p>
      <w:pPr>
        <w:pStyle w:val="28"/>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heme="minorBidi"/>
          <w:b w:val="0"/>
          <w:kern w:val="2"/>
          <w:sz w:val="32"/>
          <w:szCs w:val="21"/>
          <w:lang w:val="en-US" w:eastAsia="zh-CN" w:bidi="ar-SA"/>
        </w:rPr>
      </w:pPr>
      <w:bookmarkStart w:id="36" w:name="_Toc29735"/>
      <w:bookmarkStart w:id="37" w:name="_Toc29032"/>
      <w:bookmarkStart w:id="38" w:name="_Toc20252"/>
      <w:r>
        <w:rPr>
          <w:rFonts w:hint="eastAsia" w:ascii="Times New Roman" w:hAnsi="Times New Roman"/>
          <w:lang w:val="en-US" w:eastAsia="zh-CN"/>
        </w:rPr>
        <w:t>其他需要说明的问题</w:t>
      </w:r>
      <w:bookmarkEnd w:id="36"/>
      <w:bookmarkEnd w:id="37"/>
      <w:bookmarkEnd w:id="38"/>
    </w:p>
    <w:p>
      <w:pPr>
        <w:pStyle w:val="26"/>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lang w:val="en-US" w:eastAsia="zh-CN"/>
        </w:rPr>
      </w:pPr>
      <w:r>
        <w:rPr>
          <w:rFonts w:hint="eastAsia" w:ascii="Times New Roman" w:hAnsi="Times New Roman"/>
          <w:lang w:val="en-US" w:eastAsia="zh-CN"/>
        </w:rPr>
        <w:t>无</w:t>
      </w:r>
    </w:p>
    <w:p>
      <w:pPr>
        <w:pStyle w:val="28"/>
        <w:pageBreakBefore w:val="0"/>
        <w:widowControl w:val="0"/>
        <w:numPr>
          <w:ilvl w:val="0"/>
          <w:numId w:val="1"/>
        </w:numPr>
        <w:kinsoku/>
        <w:wordWrap/>
        <w:overflowPunct/>
        <w:topLinePunct w:val="0"/>
        <w:autoSpaceDE/>
        <w:autoSpaceDN/>
        <w:bidi w:val="0"/>
        <w:adjustRightInd/>
        <w:snapToGrid/>
        <w:spacing w:line="560" w:lineRule="exact"/>
        <w:textAlignment w:val="auto"/>
        <w:rPr>
          <w:rFonts w:hint="default"/>
          <w:bCs/>
          <w:lang w:val="en-US" w:eastAsia="zh-CN"/>
        </w:rPr>
      </w:pPr>
      <w:bookmarkStart w:id="39" w:name="_Toc1672"/>
      <w:bookmarkStart w:id="40" w:name="_Toc31979"/>
      <w:bookmarkStart w:id="41" w:name="_Toc20503"/>
      <w:r>
        <w:rPr>
          <w:rFonts w:hint="eastAsia"/>
          <w:lang w:val="en-US" w:eastAsia="zh-CN"/>
        </w:rPr>
        <w:t>相关</w:t>
      </w:r>
      <w:r>
        <w:rPr>
          <w:rFonts w:hint="eastAsia" w:ascii="Times New Roman" w:hAnsi="Times New Roman"/>
          <w:lang w:val="en-US" w:eastAsia="zh-CN"/>
        </w:rPr>
        <w:t>附件</w:t>
      </w:r>
      <w:bookmarkEnd w:id="39"/>
      <w:bookmarkEnd w:id="40"/>
      <w:bookmarkEnd w:id="41"/>
    </w:p>
    <w:p>
      <w:pPr>
        <w:pStyle w:val="26"/>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eastAsia="仿宋_GB2312"/>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医疗保障服务能力建设-01中央直达资金-2023年医疗服务与保障能力提升补助资金</w:t>
      </w:r>
      <w:r>
        <w:rPr>
          <w:color w:val="000000" w:themeColor="text1"/>
          <w14:textFill>
            <w14:solidFill>
              <w14:schemeClr w14:val="tx1"/>
            </w14:solidFill>
          </w14:textFill>
        </w:rPr>
        <w:t>项目绩效评价指标体系及评分表</w:t>
      </w:r>
    </w:p>
    <w:sectPr>
      <w:footerReference r:id="rId11" w:type="default"/>
      <w:pgSz w:w="11906" w:h="16838"/>
      <w:pgMar w:top="2098" w:right="1474" w:bottom="1984" w:left="1587"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center"/>
      <w:rPr>
        <w:rFonts w:hint="eastAsia"/>
      </w:rPr>
    </w:pPr>
  </w:p>
  <w:p>
    <w:pPr>
      <w:ind w:firstLine="42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宋体" w:hAnsi="宋体" w:eastAsia="宋体" w:cs="宋体"/>
        <w:sz w:val="28"/>
        <w:szCs w:val="28"/>
      </w:rPr>
      <w:id w:val="-1087775189"/>
      <w:docPartObj>
        <w:docPartGallery w:val="autotext"/>
      </w:docPartObj>
    </w:sdtPr>
    <w:sdtEndPr>
      <w:rPr>
        <w:rFonts w:hint="eastAsia" w:ascii="宋体" w:hAnsi="宋体" w:eastAsia="宋体" w:cs="宋体"/>
        <w:sz w:val="28"/>
        <w:szCs w:val="28"/>
      </w:rPr>
    </w:sdtEndPr>
    <w:sdtContent>
      <w:p>
        <w:pPr>
          <w:pStyle w:val="11"/>
          <w:ind w:firstLine="360"/>
          <w:jc w:val="center"/>
          <w:rPr>
            <w:rFonts w:hint="eastAsia"/>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2</w:t>
        </w:r>
        <w:r>
          <w:rPr>
            <w:rFonts w:hint="eastAsia" w:ascii="宋体" w:hAnsi="宋体" w:eastAsia="宋体" w:cs="宋体"/>
            <w:sz w:val="28"/>
            <w:szCs w:val="28"/>
          </w:rPr>
          <w:fldChar w:fldCharType="end"/>
        </w:r>
      </w:p>
    </w:sdtContent>
  </w:sdt>
  <w:p>
    <w:pPr>
      <w:ind w:firstLine="420"/>
      <w:jc w:val="cen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F5182C"/>
    <w:multiLevelType w:val="singleLevel"/>
    <w:tmpl w:val="25F5182C"/>
    <w:lvl w:ilvl="0" w:tentative="0">
      <w:start w:val="7"/>
      <w:numFmt w:val="chineseCounting"/>
      <w:suff w:val="nothing"/>
      <w:lvlText w:val="%1、"/>
      <w:lvlJc w:val="left"/>
      <w:rPr>
        <w:rFonts w:hint="eastAsia" w:ascii="黑体" w:hAnsi="黑体" w:eastAsia="黑体" w:cs="黑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hkZWM4YjIxYThkNmM0YzhiZDBkMGJiNDM5ZWY2ZGQifQ=="/>
  </w:docVars>
  <w:rsids>
    <w:rsidRoot w:val="00661057"/>
    <w:rsid w:val="00010865"/>
    <w:rsid w:val="00015C05"/>
    <w:rsid w:val="00017921"/>
    <w:rsid w:val="00021949"/>
    <w:rsid w:val="00024AFD"/>
    <w:rsid w:val="000315D7"/>
    <w:rsid w:val="000320CF"/>
    <w:rsid w:val="00041A50"/>
    <w:rsid w:val="00053EC5"/>
    <w:rsid w:val="0007429F"/>
    <w:rsid w:val="000746D9"/>
    <w:rsid w:val="000751CF"/>
    <w:rsid w:val="00090B22"/>
    <w:rsid w:val="000966C1"/>
    <w:rsid w:val="000B12D4"/>
    <w:rsid w:val="000B57FD"/>
    <w:rsid w:val="000B765C"/>
    <w:rsid w:val="000C161F"/>
    <w:rsid w:val="000C677C"/>
    <w:rsid w:val="000D0CBC"/>
    <w:rsid w:val="000D1B8A"/>
    <w:rsid w:val="000D4798"/>
    <w:rsid w:val="000D59C4"/>
    <w:rsid w:val="000E09D3"/>
    <w:rsid w:val="000E1645"/>
    <w:rsid w:val="000E60B5"/>
    <w:rsid w:val="000F5749"/>
    <w:rsid w:val="000F57C3"/>
    <w:rsid w:val="00100141"/>
    <w:rsid w:val="0010563C"/>
    <w:rsid w:val="001144A3"/>
    <w:rsid w:val="00133A6C"/>
    <w:rsid w:val="0014294F"/>
    <w:rsid w:val="00142FBC"/>
    <w:rsid w:val="00150419"/>
    <w:rsid w:val="00156000"/>
    <w:rsid w:val="00162746"/>
    <w:rsid w:val="001704F7"/>
    <w:rsid w:val="0017117B"/>
    <w:rsid w:val="0017581B"/>
    <w:rsid w:val="0017673E"/>
    <w:rsid w:val="00185478"/>
    <w:rsid w:val="001871E9"/>
    <w:rsid w:val="0019129E"/>
    <w:rsid w:val="00191749"/>
    <w:rsid w:val="00195E1D"/>
    <w:rsid w:val="001A2DD7"/>
    <w:rsid w:val="001A5D0F"/>
    <w:rsid w:val="001C455A"/>
    <w:rsid w:val="001C68F0"/>
    <w:rsid w:val="001D0C4F"/>
    <w:rsid w:val="001D4D25"/>
    <w:rsid w:val="001D598D"/>
    <w:rsid w:val="00201EAB"/>
    <w:rsid w:val="00202699"/>
    <w:rsid w:val="00206ED6"/>
    <w:rsid w:val="00210763"/>
    <w:rsid w:val="00213586"/>
    <w:rsid w:val="00223431"/>
    <w:rsid w:val="00231B10"/>
    <w:rsid w:val="002362E6"/>
    <w:rsid w:val="0025214F"/>
    <w:rsid w:val="00252F45"/>
    <w:rsid w:val="00254126"/>
    <w:rsid w:val="00255788"/>
    <w:rsid w:val="00256F67"/>
    <w:rsid w:val="002606BD"/>
    <w:rsid w:val="00264F7B"/>
    <w:rsid w:val="00265D4E"/>
    <w:rsid w:val="002678A4"/>
    <w:rsid w:val="0027222E"/>
    <w:rsid w:val="002753AA"/>
    <w:rsid w:val="002815AF"/>
    <w:rsid w:val="00282482"/>
    <w:rsid w:val="00285E85"/>
    <w:rsid w:val="00297E04"/>
    <w:rsid w:val="002A3D27"/>
    <w:rsid w:val="002A425C"/>
    <w:rsid w:val="002B6E5F"/>
    <w:rsid w:val="002C23B2"/>
    <w:rsid w:val="002C2ECC"/>
    <w:rsid w:val="002D741B"/>
    <w:rsid w:val="002E0D16"/>
    <w:rsid w:val="002E3C4E"/>
    <w:rsid w:val="002F077A"/>
    <w:rsid w:val="002F2542"/>
    <w:rsid w:val="002F31E3"/>
    <w:rsid w:val="002F7F21"/>
    <w:rsid w:val="003029A1"/>
    <w:rsid w:val="003032A9"/>
    <w:rsid w:val="00303D5F"/>
    <w:rsid w:val="00304E75"/>
    <w:rsid w:val="00307E6B"/>
    <w:rsid w:val="00310651"/>
    <w:rsid w:val="00325B50"/>
    <w:rsid w:val="00335C30"/>
    <w:rsid w:val="0033624F"/>
    <w:rsid w:val="003502BF"/>
    <w:rsid w:val="003606F4"/>
    <w:rsid w:val="003652D2"/>
    <w:rsid w:val="0037372D"/>
    <w:rsid w:val="0038049A"/>
    <w:rsid w:val="0038053D"/>
    <w:rsid w:val="00380E46"/>
    <w:rsid w:val="00381F5C"/>
    <w:rsid w:val="003854CE"/>
    <w:rsid w:val="00386038"/>
    <w:rsid w:val="00386369"/>
    <w:rsid w:val="003920E7"/>
    <w:rsid w:val="00395D8F"/>
    <w:rsid w:val="00396581"/>
    <w:rsid w:val="0039718C"/>
    <w:rsid w:val="003A2940"/>
    <w:rsid w:val="003A2F91"/>
    <w:rsid w:val="003A30C9"/>
    <w:rsid w:val="003B4F6C"/>
    <w:rsid w:val="003C3423"/>
    <w:rsid w:val="003D42E6"/>
    <w:rsid w:val="003D5E93"/>
    <w:rsid w:val="003E5D8A"/>
    <w:rsid w:val="003E7C97"/>
    <w:rsid w:val="003F12E1"/>
    <w:rsid w:val="003F4C3B"/>
    <w:rsid w:val="003F61ED"/>
    <w:rsid w:val="00407F2A"/>
    <w:rsid w:val="004132DE"/>
    <w:rsid w:val="004174C2"/>
    <w:rsid w:val="004201E7"/>
    <w:rsid w:val="0043312F"/>
    <w:rsid w:val="00440EAF"/>
    <w:rsid w:val="004429F6"/>
    <w:rsid w:val="00442C96"/>
    <w:rsid w:val="0044422D"/>
    <w:rsid w:val="00455F34"/>
    <w:rsid w:val="0046745A"/>
    <w:rsid w:val="004746B7"/>
    <w:rsid w:val="00481085"/>
    <w:rsid w:val="0048792B"/>
    <w:rsid w:val="004A5987"/>
    <w:rsid w:val="004A6BE4"/>
    <w:rsid w:val="004C0450"/>
    <w:rsid w:val="004C1741"/>
    <w:rsid w:val="004C3057"/>
    <w:rsid w:val="004C37DD"/>
    <w:rsid w:val="004C4A72"/>
    <w:rsid w:val="004C5E4A"/>
    <w:rsid w:val="004D10A8"/>
    <w:rsid w:val="004D3BC4"/>
    <w:rsid w:val="004E0D4E"/>
    <w:rsid w:val="004E51AA"/>
    <w:rsid w:val="004F7B1D"/>
    <w:rsid w:val="00500272"/>
    <w:rsid w:val="0050309A"/>
    <w:rsid w:val="00506277"/>
    <w:rsid w:val="00507119"/>
    <w:rsid w:val="00513E56"/>
    <w:rsid w:val="00517695"/>
    <w:rsid w:val="005227CB"/>
    <w:rsid w:val="0052280F"/>
    <w:rsid w:val="005301DF"/>
    <w:rsid w:val="0053130C"/>
    <w:rsid w:val="00532532"/>
    <w:rsid w:val="005375FD"/>
    <w:rsid w:val="00541337"/>
    <w:rsid w:val="00563B61"/>
    <w:rsid w:val="00573B4A"/>
    <w:rsid w:val="00575954"/>
    <w:rsid w:val="00577671"/>
    <w:rsid w:val="00590B7F"/>
    <w:rsid w:val="005978EB"/>
    <w:rsid w:val="005A02D6"/>
    <w:rsid w:val="005A7556"/>
    <w:rsid w:val="005C4163"/>
    <w:rsid w:val="005C4F23"/>
    <w:rsid w:val="005C5F21"/>
    <w:rsid w:val="005C66DA"/>
    <w:rsid w:val="005D2B39"/>
    <w:rsid w:val="005E0A86"/>
    <w:rsid w:val="005E3B63"/>
    <w:rsid w:val="005F72E1"/>
    <w:rsid w:val="00601702"/>
    <w:rsid w:val="0060374B"/>
    <w:rsid w:val="006207A7"/>
    <w:rsid w:val="00635391"/>
    <w:rsid w:val="00642B6B"/>
    <w:rsid w:val="006509C0"/>
    <w:rsid w:val="006555B4"/>
    <w:rsid w:val="00661057"/>
    <w:rsid w:val="0066490F"/>
    <w:rsid w:val="0066557D"/>
    <w:rsid w:val="00665A76"/>
    <w:rsid w:val="00677282"/>
    <w:rsid w:val="0068007F"/>
    <w:rsid w:val="00680FC8"/>
    <w:rsid w:val="006A1A15"/>
    <w:rsid w:val="006A2799"/>
    <w:rsid w:val="006B33B3"/>
    <w:rsid w:val="006B6D9D"/>
    <w:rsid w:val="006B6F79"/>
    <w:rsid w:val="006C3511"/>
    <w:rsid w:val="006D0238"/>
    <w:rsid w:val="006D642B"/>
    <w:rsid w:val="006E7F0D"/>
    <w:rsid w:val="006F71A1"/>
    <w:rsid w:val="0071296D"/>
    <w:rsid w:val="00712F83"/>
    <w:rsid w:val="00713AFA"/>
    <w:rsid w:val="00716ABF"/>
    <w:rsid w:val="0072230F"/>
    <w:rsid w:val="0072315E"/>
    <w:rsid w:val="00726B01"/>
    <w:rsid w:val="00743FB6"/>
    <w:rsid w:val="00747CF7"/>
    <w:rsid w:val="00774788"/>
    <w:rsid w:val="00781ADF"/>
    <w:rsid w:val="007823FB"/>
    <w:rsid w:val="00783F5D"/>
    <w:rsid w:val="007903CE"/>
    <w:rsid w:val="00793670"/>
    <w:rsid w:val="007A0119"/>
    <w:rsid w:val="007A7BE7"/>
    <w:rsid w:val="007D330F"/>
    <w:rsid w:val="007E1792"/>
    <w:rsid w:val="007F5AC1"/>
    <w:rsid w:val="007F68E4"/>
    <w:rsid w:val="007F7F99"/>
    <w:rsid w:val="008059C4"/>
    <w:rsid w:val="008104FF"/>
    <w:rsid w:val="00811D5D"/>
    <w:rsid w:val="00814D5C"/>
    <w:rsid w:val="0081535C"/>
    <w:rsid w:val="008202A4"/>
    <w:rsid w:val="0082624D"/>
    <w:rsid w:val="00831798"/>
    <w:rsid w:val="008329B3"/>
    <w:rsid w:val="00840466"/>
    <w:rsid w:val="008509FA"/>
    <w:rsid w:val="00855D04"/>
    <w:rsid w:val="00860004"/>
    <w:rsid w:val="00862FEA"/>
    <w:rsid w:val="008712EC"/>
    <w:rsid w:val="00871A31"/>
    <w:rsid w:val="0087558E"/>
    <w:rsid w:val="00890929"/>
    <w:rsid w:val="008924A7"/>
    <w:rsid w:val="00895AEA"/>
    <w:rsid w:val="008A759E"/>
    <w:rsid w:val="008B0066"/>
    <w:rsid w:val="008B59A6"/>
    <w:rsid w:val="008D2D00"/>
    <w:rsid w:val="008D7880"/>
    <w:rsid w:val="008E5E84"/>
    <w:rsid w:val="008F0212"/>
    <w:rsid w:val="008F062C"/>
    <w:rsid w:val="008F417A"/>
    <w:rsid w:val="008F5986"/>
    <w:rsid w:val="008F7880"/>
    <w:rsid w:val="009040D7"/>
    <w:rsid w:val="009061EE"/>
    <w:rsid w:val="009103B4"/>
    <w:rsid w:val="00910630"/>
    <w:rsid w:val="00912ED4"/>
    <w:rsid w:val="00913830"/>
    <w:rsid w:val="00913E98"/>
    <w:rsid w:val="00934AD2"/>
    <w:rsid w:val="00935816"/>
    <w:rsid w:val="009363BB"/>
    <w:rsid w:val="00941CE3"/>
    <w:rsid w:val="0095347B"/>
    <w:rsid w:val="00955B84"/>
    <w:rsid w:val="00976240"/>
    <w:rsid w:val="00977C36"/>
    <w:rsid w:val="00985716"/>
    <w:rsid w:val="009866A6"/>
    <w:rsid w:val="00990F30"/>
    <w:rsid w:val="00992019"/>
    <w:rsid w:val="009C1629"/>
    <w:rsid w:val="009C2C2E"/>
    <w:rsid w:val="009C4DCE"/>
    <w:rsid w:val="009D402B"/>
    <w:rsid w:val="009E109E"/>
    <w:rsid w:val="009E204A"/>
    <w:rsid w:val="009E4267"/>
    <w:rsid w:val="009E768A"/>
    <w:rsid w:val="009E79DC"/>
    <w:rsid w:val="009F6318"/>
    <w:rsid w:val="00A061D0"/>
    <w:rsid w:val="00A06C54"/>
    <w:rsid w:val="00A103A0"/>
    <w:rsid w:val="00A207D3"/>
    <w:rsid w:val="00A25B3A"/>
    <w:rsid w:val="00A25CC2"/>
    <w:rsid w:val="00A308A4"/>
    <w:rsid w:val="00A31C1E"/>
    <w:rsid w:val="00A414FB"/>
    <w:rsid w:val="00A46147"/>
    <w:rsid w:val="00A4688B"/>
    <w:rsid w:val="00A6224E"/>
    <w:rsid w:val="00A709F4"/>
    <w:rsid w:val="00A74304"/>
    <w:rsid w:val="00A8117E"/>
    <w:rsid w:val="00A86391"/>
    <w:rsid w:val="00A90D9B"/>
    <w:rsid w:val="00A91945"/>
    <w:rsid w:val="00A96557"/>
    <w:rsid w:val="00A96AAB"/>
    <w:rsid w:val="00AB2391"/>
    <w:rsid w:val="00AB65E0"/>
    <w:rsid w:val="00AC02F2"/>
    <w:rsid w:val="00AC0D86"/>
    <w:rsid w:val="00AC3016"/>
    <w:rsid w:val="00AC41C7"/>
    <w:rsid w:val="00AE03EE"/>
    <w:rsid w:val="00AE0785"/>
    <w:rsid w:val="00AE44A0"/>
    <w:rsid w:val="00AE4B56"/>
    <w:rsid w:val="00AF00D2"/>
    <w:rsid w:val="00AF55D3"/>
    <w:rsid w:val="00AF57C9"/>
    <w:rsid w:val="00B002BF"/>
    <w:rsid w:val="00B03444"/>
    <w:rsid w:val="00B1013E"/>
    <w:rsid w:val="00B15D0A"/>
    <w:rsid w:val="00B22276"/>
    <w:rsid w:val="00B238F1"/>
    <w:rsid w:val="00B23EF4"/>
    <w:rsid w:val="00B23F0C"/>
    <w:rsid w:val="00B26714"/>
    <w:rsid w:val="00B35E24"/>
    <w:rsid w:val="00B43992"/>
    <w:rsid w:val="00B4638E"/>
    <w:rsid w:val="00B5638F"/>
    <w:rsid w:val="00B6027A"/>
    <w:rsid w:val="00B60A6B"/>
    <w:rsid w:val="00B62C18"/>
    <w:rsid w:val="00B66CC2"/>
    <w:rsid w:val="00B841DD"/>
    <w:rsid w:val="00B8712D"/>
    <w:rsid w:val="00B906BE"/>
    <w:rsid w:val="00B976F1"/>
    <w:rsid w:val="00BA3E3D"/>
    <w:rsid w:val="00BB25CA"/>
    <w:rsid w:val="00BB59FC"/>
    <w:rsid w:val="00BE05CF"/>
    <w:rsid w:val="00BE0603"/>
    <w:rsid w:val="00BE208E"/>
    <w:rsid w:val="00BE5B7E"/>
    <w:rsid w:val="00BE5C78"/>
    <w:rsid w:val="00BE65F5"/>
    <w:rsid w:val="00BF08E7"/>
    <w:rsid w:val="00BF42E6"/>
    <w:rsid w:val="00BF6478"/>
    <w:rsid w:val="00C04CAE"/>
    <w:rsid w:val="00C061DB"/>
    <w:rsid w:val="00C06924"/>
    <w:rsid w:val="00C07B2B"/>
    <w:rsid w:val="00C1073E"/>
    <w:rsid w:val="00C10AC5"/>
    <w:rsid w:val="00C116C8"/>
    <w:rsid w:val="00C2225A"/>
    <w:rsid w:val="00C36200"/>
    <w:rsid w:val="00C362F8"/>
    <w:rsid w:val="00C5133E"/>
    <w:rsid w:val="00C51B32"/>
    <w:rsid w:val="00C53E45"/>
    <w:rsid w:val="00C54DC3"/>
    <w:rsid w:val="00C65AB2"/>
    <w:rsid w:val="00C66FD3"/>
    <w:rsid w:val="00C84297"/>
    <w:rsid w:val="00C85726"/>
    <w:rsid w:val="00C86CC8"/>
    <w:rsid w:val="00C87832"/>
    <w:rsid w:val="00C91F96"/>
    <w:rsid w:val="00C96A15"/>
    <w:rsid w:val="00CA012D"/>
    <w:rsid w:val="00CB137E"/>
    <w:rsid w:val="00CC12EF"/>
    <w:rsid w:val="00CC5CAC"/>
    <w:rsid w:val="00CC704D"/>
    <w:rsid w:val="00CD188A"/>
    <w:rsid w:val="00CD2BE9"/>
    <w:rsid w:val="00CD4757"/>
    <w:rsid w:val="00CD6F4C"/>
    <w:rsid w:val="00CE1B8A"/>
    <w:rsid w:val="00CE3AF2"/>
    <w:rsid w:val="00CE6F29"/>
    <w:rsid w:val="00CE77D0"/>
    <w:rsid w:val="00CF22DB"/>
    <w:rsid w:val="00D02A23"/>
    <w:rsid w:val="00D054B1"/>
    <w:rsid w:val="00D07A9E"/>
    <w:rsid w:val="00D1019C"/>
    <w:rsid w:val="00D12E9B"/>
    <w:rsid w:val="00D13CE2"/>
    <w:rsid w:val="00D217CE"/>
    <w:rsid w:val="00D21DCB"/>
    <w:rsid w:val="00D23322"/>
    <w:rsid w:val="00D351A7"/>
    <w:rsid w:val="00D42233"/>
    <w:rsid w:val="00D42400"/>
    <w:rsid w:val="00D43049"/>
    <w:rsid w:val="00D47E28"/>
    <w:rsid w:val="00D56DD6"/>
    <w:rsid w:val="00D57A11"/>
    <w:rsid w:val="00D61993"/>
    <w:rsid w:val="00D7101A"/>
    <w:rsid w:val="00D730F8"/>
    <w:rsid w:val="00D7729E"/>
    <w:rsid w:val="00D77B0C"/>
    <w:rsid w:val="00D84F79"/>
    <w:rsid w:val="00D8540E"/>
    <w:rsid w:val="00D85EDA"/>
    <w:rsid w:val="00D96687"/>
    <w:rsid w:val="00DA0BF0"/>
    <w:rsid w:val="00DB0A45"/>
    <w:rsid w:val="00DC0184"/>
    <w:rsid w:val="00DC2003"/>
    <w:rsid w:val="00DC48BE"/>
    <w:rsid w:val="00DD15F6"/>
    <w:rsid w:val="00DF2687"/>
    <w:rsid w:val="00DF6D0A"/>
    <w:rsid w:val="00E05FE5"/>
    <w:rsid w:val="00E06041"/>
    <w:rsid w:val="00E11346"/>
    <w:rsid w:val="00E178BD"/>
    <w:rsid w:val="00E269B8"/>
    <w:rsid w:val="00E33B46"/>
    <w:rsid w:val="00E56741"/>
    <w:rsid w:val="00E719AC"/>
    <w:rsid w:val="00E744B0"/>
    <w:rsid w:val="00E752B7"/>
    <w:rsid w:val="00E76319"/>
    <w:rsid w:val="00E87E19"/>
    <w:rsid w:val="00EA32EF"/>
    <w:rsid w:val="00EB012E"/>
    <w:rsid w:val="00EB35C3"/>
    <w:rsid w:val="00EC2367"/>
    <w:rsid w:val="00EC73A6"/>
    <w:rsid w:val="00ED153D"/>
    <w:rsid w:val="00ED6EF6"/>
    <w:rsid w:val="00ED7AA6"/>
    <w:rsid w:val="00EE5FF0"/>
    <w:rsid w:val="00EF447D"/>
    <w:rsid w:val="00EF5DA5"/>
    <w:rsid w:val="00EF72FF"/>
    <w:rsid w:val="00F00CA5"/>
    <w:rsid w:val="00F01F08"/>
    <w:rsid w:val="00F04803"/>
    <w:rsid w:val="00F064CE"/>
    <w:rsid w:val="00F07D83"/>
    <w:rsid w:val="00F22538"/>
    <w:rsid w:val="00F24D75"/>
    <w:rsid w:val="00F25493"/>
    <w:rsid w:val="00F2621D"/>
    <w:rsid w:val="00F5341C"/>
    <w:rsid w:val="00F54EC4"/>
    <w:rsid w:val="00F55003"/>
    <w:rsid w:val="00F624C0"/>
    <w:rsid w:val="00F73404"/>
    <w:rsid w:val="00F73AC3"/>
    <w:rsid w:val="00F73C16"/>
    <w:rsid w:val="00F73FEC"/>
    <w:rsid w:val="00F75B3D"/>
    <w:rsid w:val="00F8291C"/>
    <w:rsid w:val="00F82FB7"/>
    <w:rsid w:val="00F840B1"/>
    <w:rsid w:val="00F973E5"/>
    <w:rsid w:val="00FA3A53"/>
    <w:rsid w:val="00FA5929"/>
    <w:rsid w:val="00FB2C9E"/>
    <w:rsid w:val="00FB66CB"/>
    <w:rsid w:val="00FC3A6B"/>
    <w:rsid w:val="00FC77B3"/>
    <w:rsid w:val="00FD3B3A"/>
    <w:rsid w:val="00FD4D14"/>
    <w:rsid w:val="00FE27D0"/>
    <w:rsid w:val="00FF5079"/>
    <w:rsid w:val="01BA79D3"/>
    <w:rsid w:val="01CF4DA5"/>
    <w:rsid w:val="020F0807"/>
    <w:rsid w:val="0294340A"/>
    <w:rsid w:val="03610525"/>
    <w:rsid w:val="04091C00"/>
    <w:rsid w:val="06197B2C"/>
    <w:rsid w:val="06B74473"/>
    <w:rsid w:val="08B64D04"/>
    <w:rsid w:val="09392A3E"/>
    <w:rsid w:val="0A64793E"/>
    <w:rsid w:val="0A9D1B58"/>
    <w:rsid w:val="0AF65F34"/>
    <w:rsid w:val="0B333119"/>
    <w:rsid w:val="0BEA6069"/>
    <w:rsid w:val="0C111F83"/>
    <w:rsid w:val="0F5D0014"/>
    <w:rsid w:val="0FEB5D1D"/>
    <w:rsid w:val="0FFB2DDD"/>
    <w:rsid w:val="1088779C"/>
    <w:rsid w:val="11D01CF2"/>
    <w:rsid w:val="128939BE"/>
    <w:rsid w:val="144D1CA6"/>
    <w:rsid w:val="14940DB2"/>
    <w:rsid w:val="14BF6760"/>
    <w:rsid w:val="14FD4BBD"/>
    <w:rsid w:val="154B38E5"/>
    <w:rsid w:val="15B36D47"/>
    <w:rsid w:val="19870660"/>
    <w:rsid w:val="1A144979"/>
    <w:rsid w:val="1B755865"/>
    <w:rsid w:val="1E68773F"/>
    <w:rsid w:val="1E7B36BE"/>
    <w:rsid w:val="1FDF5F05"/>
    <w:rsid w:val="212128B9"/>
    <w:rsid w:val="219C61DD"/>
    <w:rsid w:val="21CA3D24"/>
    <w:rsid w:val="231C5EB2"/>
    <w:rsid w:val="232B093F"/>
    <w:rsid w:val="247F61E9"/>
    <w:rsid w:val="24A75516"/>
    <w:rsid w:val="25D07FAA"/>
    <w:rsid w:val="27161D71"/>
    <w:rsid w:val="28015487"/>
    <w:rsid w:val="290E33DD"/>
    <w:rsid w:val="29403E1A"/>
    <w:rsid w:val="2A1928DB"/>
    <w:rsid w:val="2D367D5B"/>
    <w:rsid w:val="2E157669"/>
    <w:rsid w:val="2E677BCC"/>
    <w:rsid w:val="2E9F2148"/>
    <w:rsid w:val="2FA441EC"/>
    <w:rsid w:val="34154474"/>
    <w:rsid w:val="34D66196"/>
    <w:rsid w:val="34FE5B60"/>
    <w:rsid w:val="35C375B8"/>
    <w:rsid w:val="35DE6264"/>
    <w:rsid w:val="38447158"/>
    <w:rsid w:val="388B2F57"/>
    <w:rsid w:val="38A30837"/>
    <w:rsid w:val="3998357F"/>
    <w:rsid w:val="39AB33A6"/>
    <w:rsid w:val="3AA5172E"/>
    <w:rsid w:val="3BA1126C"/>
    <w:rsid w:val="3BB6703A"/>
    <w:rsid w:val="3BF37791"/>
    <w:rsid w:val="3CBC1403"/>
    <w:rsid w:val="3D1150AD"/>
    <w:rsid w:val="3DD93624"/>
    <w:rsid w:val="3DE01402"/>
    <w:rsid w:val="3E6A5CCC"/>
    <w:rsid w:val="3EEC6ED0"/>
    <w:rsid w:val="3F316F4E"/>
    <w:rsid w:val="3F8D2B3F"/>
    <w:rsid w:val="418C616B"/>
    <w:rsid w:val="429A0661"/>
    <w:rsid w:val="42BA2923"/>
    <w:rsid w:val="43D320DB"/>
    <w:rsid w:val="44180954"/>
    <w:rsid w:val="4422622C"/>
    <w:rsid w:val="446A68AD"/>
    <w:rsid w:val="449B2AF7"/>
    <w:rsid w:val="449C564F"/>
    <w:rsid w:val="45094CA5"/>
    <w:rsid w:val="455B692F"/>
    <w:rsid w:val="45DB6779"/>
    <w:rsid w:val="46E42955"/>
    <w:rsid w:val="47DC7C92"/>
    <w:rsid w:val="488053A6"/>
    <w:rsid w:val="4890364B"/>
    <w:rsid w:val="494F4F27"/>
    <w:rsid w:val="4A080708"/>
    <w:rsid w:val="4CA364D9"/>
    <w:rsid w:val="4F820DF9"/>
    <w:rsid w:val="50D46947"/>
    <w:rsid w:val="51BD715A"/>
    <w:rsid w:val="541914D1"/>
    <w:rsid w:val="54B35618"/>
    <w:rsid w:val="556837EE"/>
    <w:rsid w:val="564E11CD"/>
    <w:rsid w:val="56E33031"/>
    <w:rsid w:val="56ED39A0"/>
    <w:rsid w:val="572E2BE8"/>
    <w:rsid w:val="57C53387"/>
    <w:rsid w:val="589113DD"/>
    <w:rsid w:val="5906349C"/>
    <w:rsid w:val="592C332E"/>
    <w:rsid w:val="59C41E96"/>
    <w:rsid w:val="5A9F45C6"/>
    <w:rsid w:val="5AB24873"/>
    <w:rsid w:val="5B094891"/>
    <w:rsid w:val="5B7D3065"/>
    <w:rsid w:val="5BCA7EC0"/>
    <w:rsid w:val="5CB17D56"/>
    <w:rsid w:val="603A492B"/>
    <w:rsid w:val="61C9019A"/>
    <w:rsid w:val="61D76EE6"/>
    <w:rsid w:val="641C6154"/>
    <w:rsid w:val="64D771FD"/>
    <w:rsid w:val="663918FF"/>
    <w:rsid w:val="66D53EA9"/>
    <w:rsid w:val="67750A3B"/>
    <w:rsid w:val="68C83334"/>
    <w:rsid w:val="68CB12D9"/>
    <w:rsid w:val="68CF6B8B"/>
    <w:rsid w:val="68EA7D83"/>
    <w:rsid w:val="692B45F0"/>
    <w:rsid w:val="69754AF9"/>
    <w:rsid w:val="69C872B8"/>
    <w:rsid w:val="6A1E5247"/>
    <w:rsid w:val="6B313789"/>
    <w:rsid w:val="6BDF5191"/>
    <w:rsid w:val="6C5472FA"/>
    <w:rsid w:val="6CD21A0F"/>
    <w:rsid w:val="6CFA66BC"/>
    <w:rsid w:val="6E9812C4"/>
    <w:rsid w:val="6EDC0F0D"/>
    <w:rsid w:val="6F2E197E"/>
    <w:rsid w:val="6FB43477"/>
    <w:rsid w:val="707F017C"/>
    <w:rsid w:val="71C13CE9"/>
    <w:rsid w:val="71CA0BB8"/>
    <w:rsid w:val="71CB7B06"/>
    <w:rsid w:val="71D5174B"/>
    <w:rsid w:val="720F7ACF"/>
    <w:rsid w:val="7241585D"/>
    <w:rsid w:val="739143A0"/>
    <w:rsid w:val="742477E0"/>
    <w:rsid w:val="758D4329"/>
    <w:rsid w:val="76003A8D"/>
    <w:rsid w:val="76B16DEA"/>
    <w:rsid w:val="7712194F"/>
    <w:rsid w:val="77561F9B"/>
    <w:rsid w:val="779A5013"/>
    <w:rsid w:val="782D309F"/>
    <w:rsid w:val="792C4F25"/>
    <w:rsid w:val="7CD83000"/>
    <w:rsid w:val="7D73234A"/>
    <w:rsid w:val="7D801438"/>
    <w:rsid w:val="7FA11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name="heading 1"/>
    <w:lsdException w:qFormat="1" w:unhideWhenUsed="0" w:uiPriority="9" w:name="heading 2"/>
    <w:lsdException w:qFormat="1" w:unhideWhenUsed="0" w:uiPriority="9" w:name="heading 3"/>
    <w:lsdException w:qFormat="1" w:unhideWhenUsed="0" w:uiPriority="9" w:name="heading 4"/>
    <w:lsdException w:qFormat="1" w:unhideWhenUsed="0" w:uiPriority="9" w:name="heading 5"/>
    <w:lsdException w:qFormat="1" w:unhideWhenUsed="0" w:uiPriority="9" w:name="heading 6"/>
    <w:lsdException w:qFormat="1" w:unhideWhenUsed="0" w:uiPriority="9" w:name="heading 7"/>
    <w:lsdException w:qFormat="1" w:unhideWhenUsed="0" w:uiPriority="9" w:name="heading 8"/>
    <w:lsdException w:qFormat="1" w:unhideWhenUsed="0" w:uiPriority="9" w:name="heading 9"/>
    <w:lsdException w:unhideWhenUsed="0" w:uiPriority="99" w:name="index 1"/>
    <w:lsdException w:unhideWhenUsed="0" w:uiPriority="99" w:name="index 2"/>
    <w:lsdException w:unhideWhenUsed="0" w:uiPriority="99" w:name="index 3"/>
    <w:lsdException w:unhideWhenUsed="0" w:uiPriority="99" w:name="index 4"/>
    <w:lsdException w:unhideWhenUsed="0" w:uiPriority="99" w:name="index 5"/>
    <w:lsdException w:unhideWhenUsed="0" w:uiPriority="99" w:name="index 6"/>
    <w:lsdException w:unhideWhenUsed="0" w:uiPriority="99" w:name="index 7"/>
    <w:lsdException w:unhideWhenUsed="0" w:uiPriority="99" w:name="index 8"/>
    <w:lsdException w:unhideWhenUsed="0"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name="toc 4"/>
    <w:lsdException w:unhideWhenUsed="0" w:uiPriority="39" w:name="toc 5"/>
    <w:lsdException w:unhideWhenUsed="0" w:uiPriority="39" w:name="toc 6"/>
    <w:lsdException w:unhideWhenUsed="0" w:uiPriority="39" w:name="toc 7"/>
    <w:lsdException w:unhideWhenUsed="0" w:uiPriority="39" w:name="toc 8"/>
    <w:lsdException w:unhideWhenUsed="0" w:uiPriority="39" w:name="toc 9"/>
    <w:lsdException w:unhideWhenUsed="0" w:uiPriority="99" w:name="Normal Indent"/>
    <w:lsdException w:unhideWhenUsed="0" w:uiPriority="99" w:name="footnote text"/>
    <w:lsdException w:qFormat="1" w:unhideWhenUsed="0" w:uiPriority="99" w:name="annotation text"/>
    <w:lsdException w:unhideWhenUsed="0" w:uiPriority="99" w:name="header"/>
    <w:lsdException w:qFormat="1" w:unhideWhenUsed="0" w:uiPriority="99" w:semiHidden="0" w:name="footer"/>
    <w:lsdException w:unhideWhenUsed="0" w:uiPriority="99" w:name="index heading"/>
    <w:lsdException w:qFormat="1" w:unhideWhenUsed="0" w:uiPriority="35" w:name="caption"/>
    <w:lsdException w:unhideWhenUsed="0" w:uiPriority="99" w:name="table of figures"/>
    <w:lsdException w:unhideWhenUsed="0" w:uiPriority="99" w:name="envelope address"/>
    <w:lsdException w:unhideWhenUsed="0" w:uiPriority="99" w:name="envelope return"/>
    <w:lsdException w:unhideWhenUsed="0" w:uiPriority="99" w:name="footnote reference"/>
    <w:lsdException w:qFormat="1" w:unhideWhenUsed="0" w:uiPriority="99" w:name="annotation reference"/>
    <w:lsdException w:unhideWhenUsed="0" w:uiPriority="99" w:name="line number"/>
    <w:lsdException w:unhideWhenUsed="0" w:uiPriority="99" w:name="page number"/>
    <w:lsdException w:unhideWhenUsed="0" w:uiPriority="99" w:name="endnote reference"/>
    <w:lsdException w:unhideWhenUsed="0" w:uiPriority="99" w:name="endnote text"/>
    <w:lsdException w:unhideWhenUsed="0" w:uiPriority="99" w:name="table of authorities"/>
    <w:lsdException w:unhideWhenUsed="0" w:uiPriority="99" w:name="macro"/>
    <w:lsdException w:unhideWhenUsed="0" w:uiPriority="99" w:name="toa heading"/>
    <w:lsdException w:unhideWhenUsed="0" w:uiPriority="99" w:name="List"/>
    <w:lsdException w:unhideWhenUsed="0" w:uiPriority="99" w:name="List Bullet"/>
    <w:lsdException w:unhideWhenUsed="0" w:uiPriority="99" w:name="List Number"/>
    <w:lsdException w:unhideWhenUsed="0" w:uiPriority="99" w:name="List 2"/>
    <w:lsdException w:unhideWhenUsed="0" w:uiPriority="99" w:name="List 3"/>
    <w:lsdException w:unhideWhenUsed="0" w:uiPriority="99" w:name="List 4"/>
    <w:lsdException w:unhideWhenUsed="0" w:uiPriority="99" w:name="List 5"/>
    <w:lsdException w:unhideWhenUsed="0" w:uiPriority="99" w:name="List Bullet 2"/>
    <w:lsdException w:unhideWhenUsed="0" w:uiPriority="99" w:name="List Bullet 3"/>
    <w:lsdException w:unhideWhenUsed="0" w:uiPriority="99" w:name="List Bullet 4"/>
    <w:lsdException w:unhideWhenUsed="0" w:uiPriority="99" w:name="List Bullet 5"/>
    <w:lsdException w:unhideWhenUsed="0" w:uiPriority="99" w:name="List Number 2"/>
    <w:lsdException w:unhideWhenUsed="0" w:uiPriority="99" w:name="List Number 3"/>
    <w:lsdException w:unhideWhenUsed="0" w:uiPriority="99" w:name="List Number 4"/>
    <w:lsdException w:unhideWhenUsed="0" w:uiPriority="99" w:name="List Number 5"/>
    <w:lsdException w:qFormat="1" w:unhideWhenUsed="0" w:uiPriority="10" w:name="Title"/>
    <w:lsdException w:unhideWhenUsed="0" w:uiPriority="99" w:name="Closing"/>
    <w:lsdException w:unhideWhenUsed="0" w:uiPriority="99" w:name="Signature"/>
    <w:lsdException w:qFormat="1" w:uiPriority="1" w:name="Default Paragraph Font"/>
    <w:lsdException w:qFormat="1" w:unhideWhenUsed="0" w:uiPriority="0" w:semiHidden="0" w:name="Body Text"/>
    <w:lsdException w:unhideWhenUsed="0" w:uiPriority="99" w:name="Body Text Indent"/>
    <w:lsdException w:unhideWhenUsed="0" w:uiPriority="99" w:name="List Continue"/>
    <w:lsdException w:unhideWhenUsed="0" w:uiPriority="99" w:name="List Continue 2"/>
    <w:lsdException w:unhideWhenUsed="0" w:uiPriority="99" w:name="List Continue 3"/>
    <w:lsdException w:unhideWhenUsed="0" w:uiPriority="99" w:name="List Continue 4"/>
    <w:lsdException w:unhideWhenUsed="0" w:uiPriority="99" w:name="List Continue 5"/>
    <w:lsdException w:unhideWhenUsed="0" w:uiPriority="99" w:name="Message Header"/>
    <w:lsdException w:qFormat="1" w:unhideWhenUsed="0" w:uiPriority="11" w:name="Subtitle"/>
    <w:lsdException w:unhideWhenUsed="0" w:uiPriority="99" w:name="Salutation"/>
    <w:lsdException w:unhideWhenUsed="0" w:uiPriority="99" w:name="Date"/>
    <w:lsdException w:unhideWhenUsed="0" w:uiPriority="99" w:name="Body Text First Indent"/>
    <w:lsdException w:unhideWhenUsed="0" w:uiPriority="99" w:name="Body Text First Indent 2"/>
    <w:lsdException w:unhideWhenUsed="0" w:uiPriority="99" w:name="Note Heading"/>
    <w:lsdException w:unhideWhenUsed="0" w:uiPriority="99" w:name="Body Text 2"/>
    <w:lsdException w:unhideWhenUsed="0" w:uiPriority="99" w:name="Body Text 3"/>
    <w:lsdException w:unhideWhenUsed="0" w:uiPriority="99" w:name="Body Text Indent 2"/>
    <w:lsdException w:unhideWhenUsed="0" w:uiPriority="99" w:name="Body Text Indent 3"/>
    <w:lsdException w:unhideWhenUsed="0" w:uiPriority="99" w:name="Block Text"/>
    <w:lsdException w:qFormat="1" w:uiPriority="99" w:semiHidden="0" w:name="Hyperlink"/>
    <w:lsdException w:unhideWhenUsed="0" w:uiPriority="99" w:name="FollowedHyperlink"/>
    <w:lsdException w:qFormat="1" w:unhideWhenUsed="0" w:uiPriority="22" w:name="Strong"/>
    <w:lsdException w:qFormat="1" w:unhideWhenUsed="0" w:uiPriority="20" w:name="Emphasis"/>
    <w:lsdException w:unhideWhenUsed="0" w:uiPriority="99" w:name="Document Map"/>
    <w:lsdException w:unhideWhenUsed="0" w:uiPriority="99" w:name="Plain Text"/>
    <w:lsdException w:unhideWhenUsed="0" w:uiPriority="99" w:name="E-mail Signature"/>
    <w:lsdException w:unhideWhenUsed="0" w:uiPriority="99" w:name="Normal (Web)"/>
    <w:lsdException w:unhideWhenUsed="0" w:uiPriority="99" w:name="HTML Acronym"/>
    <w:lsdException w:unhideWhenUsed="0" w:uiPriority="99" w:name="HTML Address"/>
    <w:lsdException w:unhideWhenUsed="0" w:uiPriority="99" w:name="HTML Cite"/>
    <w:lsdException w:unhideWhenUsed="0" w:uiPriority="99" w:name="HTML Code"/>
    <w:lsdException w:unhideWhenUsed="0" w:uiPriority="99" w:name="HTML Definition"/>
    <w:lsdException w:unhideWhenUsed="0" w:uiPriority="99" w:name="HTML Keyboard"/>
    <w:lsdException w:unhideWhenUsed="0" w:uiPriority="99" w:name="HTML Preformatted"/>
    <w:lsdException w:unhideWhenUsed="0" w:uiPriority="99" w:name="HTML Sample"/>
    <w:lsdException w:unhideWhenUsed="0" w:uiPriority="99" w:name="HTML Typewriter"/>
    <w:lsdException w:unhideWhenUsed="0"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20"/>
    <w:semiHidden/>
    <w:qFormat/>
    <w:uiPriority w:val="9"/>
    <w:pPr>
      <w:keepNext/>
      <w:keepLines/>
      <w:spacing w:before="340" w:after="330" w:line="578" w:lineRule="auto"/>
      <w:ind w:firstLine="0" w:firstLineChars="0"/>
      <w:jc w:val="center"/>
      <w:outlineLvl w:val="0"/>
    </w:pPr>
    <w:rPr>
      <w:b/>
      <w:bCs/>
      <w:kern w:val="44"/>
      <w:sz w:val="44"/>
      <w:szCs w:val="44"/>
    </w:rPr>
  </w:style>
  <w:style w:type="paragraph" w:styleId="3">
    <w:name w:val="heading 2"/>
    <w:basedOn w:val="1"/>
    <w:next w:val="1"/>
    <w:link w:val="21"/>
    <w:semiHidden/>
    <w:qFormat/>
    <w:uiPriority w:val="9"/>
    <w:pPr>
      <w:keepNext/>
      <w:keepLines/>
      <w:spacing w:before="260" w:after="260"/>
      <w:ind w:firstLine="0" w:firstLineChars="0"/>
      <w:outlineLvl w:val="1"/>
    </w:pPr>
    <w:rPr>
      <w:rFonts w:asciiTheme="majorHAnsi" w:hAnsiTheme="majorHAnsi" w:cstheme="majorBidi"/>
      <w:b/>
      <w:bCs/>
      <w:sz w:val="32"/>
      <w:szCs w:val="32"/>
    </w:rPr>
  </w:style>
  <w:style w:type="paragraph" w:styleId="4">
    <w:name w:val="heading 3"/>
    <w:basedOn w:val="1"/>
    <w:next w:val="1"/>
    <w:link w:val="22"/>
    <w:semiHidden/>
    <w:qFormat/>
    <w:uiPriority w:val="9"/>
    <w:pPr>
      <w:keepNext/>
      <w:keepLines/>
      <w:spacing w:before="260" w:after="260"/>
      <w:ind w:firstLine="0" w:firstLineChars="0"/>
      <w:outlineLvl w:val="2"/>
    </w:pPr>
    <w:rPr>
      <w:b/>
      <w:bCs/>
      <w:sz w:val="30"/>
      <w:szCs w:val="32"/>
    </w:rPr>
  </w:style>
  <w:style w:type="paragraph" w:styleId="5">
    <w:name w:val="heading 4"/>
    <w:basedOn w:val="1"/>
    <w:next w:val="1"/>
    <w:link w:val="24"/>
    <w:semiHidden/>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qFormat/>
    <w:uiPriority w:val="9"/>
    <w:pPr>
      <w:keepNext/>
      <w:keepLines/>
      <w:spacing w:before="280" w:after="290" w:line="480" w:lineRule="auto"/>
      <w:ind w:firstLine="0" w:firstLineChars="0"/>
      <w:outlineLvl w:val="4"/>
    </w:pPr>
    <w:rPr>
      <w:b/>
      <w:bCs/>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45"/>
    <w:semiHidden/>
    <w:qFormat/>
    <w:uiPriority w:val="99"/>
  </w:style>
  <w:style w:type="paragraph" w:styleId="8">
    <w:name w:val="Body Text"/>
    <w:basedOn w:val="1"/>
    <w:next w:val="1"/>
    <w:qFormat/>
    <w:uiPriority w:val="0"/>
  </w:style>
  <w:style w:type="paragraph" w:styleId="9">
    <w:name w:val="toc 3"/>
    <w:basedOn w:val="1"/>
    <w:next w:val="1"/>
    <w:qFormat/>
    <w:uiPriority w:val="39"/>
    <w:pPr>
      <w:tabs>
        <w:tab w:val="right" w:leader="dot" w:pos="8834"/>
      </w:tabs>
      <w:spacing w:line="600" w:lineRule="exact"/>
      <w:ind w:left="400" w:leftChars="136" w:hanging="264" w:hangingChars="264"/>
    </w:pPr>
    <w:rPr>
      <w:rFonts w:eastAsia="仿宋_GB2312"/>
      <w:sz w:val="32"/>
    </w:rPr>
  </w:style>
  <w:style w:type="paragraph" w:styleId="10">
    <w:name w:val="Balloon Text"/>
    <w:basedOn w:val="1"/>
    <w:link w:val="42"/>
    <w:semiHidden/>
    <w:qFormat/>
    <w:uiPriority w:val="99"/>
    <w:pPr>
      <w:spacing w:line="240" w:lineRule="auto"/>
    </w:pPr>
    <w:rPr>
      <w:sz w:val="18"/>
      <w:szCs w:val="18"/>
    </w:rPr>
  </w:style>
  <w:style w:type="paragraph" w:styleId="11">
    <w:name w:val="footer"/>
    <w:basedOn w:val="1"/>
    <w:link w:val="41"/>
    <w:qFormat/>
    <w:uiPriority w:val="99"/>
    <w:pPr>
      <w:tabs>
        <w:tab w:val="center" w:pos="4153"/>
        <w:tab w:val="right" w:pos="8306"/>
      </w:tabs>
      <w:snapToGrid w:val="0"/>
      <w:spacing w:line="240" w:lineRule="auto"/>
    </w:pPr>
    <w:rPr>
      <w:sz w:val="18"/>
      <w:szCs w:val="18"/>
    </w:rPr>
  </w:style>
  <w:style w:type="paragraph" w:styleId="12">
    <w:name w:val="toc 1"/>
    <w:basedOn w:val="1"/>
    <w:next w:val="1"/>
    <w:qFormat/>
    <w:uiPriority w:val="39"/>
  </w:style>
  <w:style w:type="paragraph" w:styleId="13">
    <w:name w:val="toc 2"/>
    <w:basedOn w:val="1"/>
    <w:next w:val="1"/>
    <w:qFormat/>
    <w:uiPriority w:val="39"/>
    <w:pPr>
      <w:tabs>
        <w:tab w:val="right" w:leader="dot" w:pos="8834"/>
      </w:tabs>
      <w:spacing w:line="600" w:lineRule="exact"/>
      <w:ind w:left="640" w:hanging="640" w:hangingChars="200"/>
    </w:pPr>
    <w:rPr>
      <w:rFonts w:ascii="Times New Roman" w:hAnsi="Times New Roman" w:eastAsia="仿宋_GB2312"/>
      <w:b/>
      <w:sz w:val="32"/>
    </w:rPr>
  </w:style>
  <w:style w:type="paragraph" w:styleId="14">
    <w:name w:val="annotation subject"/>
    <w:basedOn w:val="7"/>
    <w:next w:val="7"/>
    <w:link w:val="46"/>
    <w:semiHidden/>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563C1" w:themeColor="hyperlink"/>
      <w:u w:val="single"/>
      <w14:textFill>
        <w14:solidFill>
          <w14:schemeClr w14:val="hlink"/>
        </w14:solidFill>
      </w14:textFill>
    </w:rPr>
  </w:style>
  <w:style w:type="character" w:styleId="19">
    <w:name w:val="annotation reference"/>
    <w:basedOn w:val="17"/>
    <w:semiHidden/>
    <w:qFormat/>
    <w:uiPriority w:val="99"/>
    <w:rPr>
      <w:sz w:val="21"/>
      <w:szCs w:val="21"/>
    </w:rPr>
  </w:style>
  <w:style w:type="character" w:customStyle="1" w:styleId="20">
    <w:name w:val="标题 1 字符"/>
    <w:basedOn w:val="17"/>
    <w:link w:val="2"/>
    <w:semiHidden/>
    <w:qFormat/>
    <w:uiPriority w:val="9"/>
    <w:rPr>
      <w:b/>
      <w:bCs/>
      <w:kern w:val="44"/>
      <w:sz w:val="44"/>
      <w:szCs w:val="44"/>
    </w:rPr>
  </w:style>
  <w:style w:type="character" w:customStyle="1" w:styleId="21">
    <w:name w:val="标题 2 字符"/>
    <w:basedOn w:val="17"/>
    <w:link w:val="3"/>
    <w:semiHidden/>
    <w:qFormat/>
    <w:uiPriority w:val="9"/>
    <w:rPr>
      <w:rFonts w:asciiTheme="majorHAnsi" w:hAnsiTheme="majorHAnsi" w:cstheme="majorBidi"/>
      <w:b/>
      <w:bCs/>
      <w:sz w:val="32"/>
      <w:szCs w:val="32"/>
    </w:rPr>
  </w:style>
  <w:style w:type="character" w:customStyle="1" w:styleId="22">
    <w:name w:val="标题 3 字符"/>
    <w:basedOn w:val="17"/>
    <w:link w:val="4"/>
    <w:semiHidden/>
    <w:qFormat/>
    <w:uiPriority w:val="9"/>
    <w:rPr>
      <w:b/>
      <w:bCs/>
      <w:sz w:val="30"/>
      <w:szCs w:val="32"/>
    </w:rPr>
  </w:style>
  <w:style w:type="character" w:customStyle="1" w:styleId="23">
    <w:name w:val="标题 5 字符"/>
    <w:basedOn w:val="17"/>
    <w:link w:val="6"/>
    <w:semiHidden/>
    <w:qFormat/>
    <w:uiPriority w:val="9"/>
    <w:rPr>
      <w:b/>
      <w:bCs/>
      <w:szCs w:val="28"/>
    </w:rPr>
  </w:style>
  <w:style w:type="character" w:customStyle="1" w:styleId="24">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25">
    <w:name w:val="市局绩效-标题"/>
    <w:basedOn w:val="2"/>
    <w:link w:val="27"/>
    <w:qFormat/>
    <w:uiPriority w:val="0"/>
    <w:pPr>
      <w:spacing w:line="600" w:lineRule="exact"/>
    </w:pPr>
    <w:rPr>
      <w:rFonts w:ascii="方正小标宋简体" w:hAnsi="方正小标宋简体" w:eastAsia="方正小标宋简体"/>
      <w:b w:val="0"/>
    </w:rPr>
  </w:style>
  <w:style w:type="paragraph" w:customStyle="1" w:styleId="26">
    <w:name w:val="市局绩效-正文"/>
    <w:basedOn w:val="1"/>
    <w:link w:val="29"/>
    <w:qFormat/>
    <w:uiPriority w:val="0"/>
    <w:pPr>
      <w:spacing w:line="600" w:lineRule="exact"/>
      <w:jc w:val="both"/>
    </w:pPr>
    <w:rPr>
      <w:rFonts w:ascii="Times New Roman" w:hAnsi="Times New Roman" w:eastAsia="仿宋_GB2312"/>
      <w:sz w:val="32"/>
    </w:rPr>
  </w:style>
  <w:style w:type="character" w:customStyle="1" w:styleId="27">
    <w:name w:val="市局绩效-标题 字符"/>
    <w:basedOn w:val="20"/>
    <w:link w:val="25"/>
    <w:qFormat/>
    <w:uiPriority w:val="0"/>
    <w:rPr>
      <w:rFonts w:ascii="方正小标宋简体" w:hAnsi="方正小标宋简体" w:eastAsia="方正小标宋简体"/>
      <w:b w:val="0"/>
      <w:kern w:val="44"/>
      <w:sz w:val="44"/>
      <w:szCs w:val="44"/>
    </w:rPr>
  </w:style>
  <w:style w:type="paragraph" w:customStyle="1" w:styleId="28">
    <w:name w:val="市局绩效-一级标题"/>
    <w:basedOn w:val="3"/>
    <w:link w:val="31"/>
    <w:qFormat/>
    <w:uiPriority w:val="0"/>
    <w:pPr>
      <w:spacing w:before="0" w:after="0" w:line="600" w:lineRule="exact"/>
      <w:ind w:firstLine="641"/>
      <w:jc w:val="both"/>
    </w:pPr>
    <w:rPr>
      <w:rFonts w:ascii="Times New Roman" w:hAnsi="Times New Roman" w:eastAsia="黑体"/>
      <w:b w:val="0"/>
    </w:rPr>
  </w:style>
  <w:style w:type="character" w:customStyle="1" w:styleId="29">
    <w:name w:val="市局绩效-正文 字符"/>
    <w:basedOn w:val="17"/>
    <w:link w:val="26"/>
    <w:qFormat/>
    <w:uiPriority w:val="0"/>
    <w:rPr>
      <w:rFonts w:ascii="Times New Roman" w:hAnsi="Times New Roman" w:eastAsia="仿宋_GB2312"/>
      <w:sz w:val="32"/>
    </w:rPr>
  </w:style>
  <w:style w:type="paragraph" w:customStyle="1" w:styleId="30">
    <w:name w:val="市局绩效-二级标题"/>
    <w:basedOn w:val="4"/>
    <w:link w:val="32"/>
    <w:qFormat/>
    <w:uiPriority w:val="0"/>
    <w:pPr>
      <w:spacing w:before="0" w:after="0" w:line="600" w:lineRule="exact"/>
      <w:ind w:firstLine="200" w:firstLineChars="200"/>
      <w:jc w:val="both"/>
    </w:pPr>
    <w:rPr>
      <w:rFonts w:eastAsia="楷体_GB2312"/>
      <w:b w:val="0"/>
      <w:sz w:val="32"/>
    </w:rPr>
  </w:style>
  <w:style w:type="character" w:customStyle="1" w:styleId="31">
    <w:name w:val="市局绩效-一级标题 字符"/>
    <w:basedOn w:val="21"/>
    <w:link w:val="28"/>
    <w:qFormat/>
    <w:uiPriority w:val="0"/>
    <w:rPr>
      <w:rFonts w:ascii="Times New Roman" w:hAnsi="Times New Roman" w:eastAsia="黑体" w:cstheme="majorBidi"/>
      <w:b w:val="0"/>
      <w:sz w:val="32"/>
      <w:szCs w:val="32"/>
    </w:rPr>
  </w:style>
  <w:style w:type="character" w:customStyle="1" w:styleId="32">
    <w:name w:val="市局绩效-二级标题 字符"/>
    <w:basedOn w:val="22"/>
    <w:link w:val="30"/>
    <w:qFormat/>
    <w:uiPriority w:val="0"/>
    <w:rPr>
      <w:rFonts w:eastAsia="楷体_GB2312"/>
      <w:b w:val="0"/>
      <w:sz w:val="32"/>
      <w:szCs w:val="32"/>
    </w:rPr>
  </w:style>
  <w:style w:type="paragraph" w:customStyle="1" w:styleId="33">
    <w:name w:val="市局绩效-表格标题"/>
    <w:basedOn w:val="1"/>
    <w:link w:val="35"/>
    <w:qFormat/>
    <w:uiPriority w:val="0"/>
    <w:pPr>
      <w:widowControl/>
      <w:spacing w:line="600" w:lineRule="exact"/>
      <w:ind w:firstLine="0" w:firstLineChars="0"/>
      <w:jc w:val="center"/>
    </w:pPr>
    <w:rPr>
      <w:rFonts w:ascii="Times New Roman" w:hAnsi="Times New Roman" w:eastAsia="黑体" w:cs="Times New Roman"/>
      <w:bCs/>
      <w:sz w:val="28"/>
      <w:szCs w:val="24"/>
    </w:rPr>
  </w:style>
  <w:style w:type="paragraph" w:customStyle="1" w:styleId="34">
    <w:name w:val="市局绩效-表格单位"/>
    <w:basedOn w:val="1"/>
    <w:link w:val="37"/>
    <w:qFormat/>
    <w:uiPriority w:val="0"/>
    <w:pPr>
      <w:widowControl/>
      <w:spacing w:line="240" w:lineRule="auto"/>
      <w:ind w:firstLine="0" w:firstLineChars="0"/>
      <w:jc w:val="right"/>
    </w:pPr>
    <w:rPr>
      <w:rFonts w:ascii="Times New Roman" w:hAnsi="Times New Roman" w:eastAsia="宋体"/>
      <w:bCs/>
      <w:szCs w:val="18"/>
    </w:rPr>
  </w:style>
  <w:style w:type="character" w:customStyle="1" w:styleId="35">
    <w:name w:val="市局绩效-表格标题 字符"/>
    <w:basedOn w:val="17"/>
    <w:link w:val="33"/>
    <w:qFormat/>
    <w:uiPriority w:val="0"/>
    <w:rPr>
      <w:rFonts w:ascii="Times New Roman" w:hAnsi="Times New Roman" w:eastAsia="黑体" w:cs="Times New Roman"/>
      <w:bCs/>
      <w:sz w:val="28"/>
      <w:szCs w:val="24"/>
    </w:rPr>
  </w:style>
  <w:style w:type="paragraph" w:customStyle="1" w:styleId="36">
    <w:name w:val="市局绩效-表格表头"/>
    <w:basedOn w:val="26"/>
    <w:link w:val="39"/>
    <w:qFormat/>
    <w:uiPriority w:val="0"/>
    <w:pPr>
      <w:spacing w:line="240" w:lineRule="auto"/>
      <w:ind w:firstLine="0" w:firstLineChars="0"/>
      <w:jc w:val="center"/>
    </w:pPr>
    <w:rPr>
      <w:rFonts w:eastAsia="黑体"/>
      <w:b/>
      <w:sz w:val="21"/>
    </w:rPr>
  </w:style>
  <w:style w:type="character" w:customStyle="1" w:styleId="37">
    <w:name w:val="市局绩效-表格单位 字符"/>
    <w:basedOn w:val="17"/>
    <w:link w:val="34"/>
    <w:qFormat/>
    <w:uiPriority w:val="0"/>
    <w:rPr>
      <w:rFonts w:ascii="Times New Roman" w:hAnsi="Times New Roman" w:eastAsia="宋体"/>
      <w:bCs/>
      <w:szCs w:val="18"/>
    </w:rPr>
  </w:style>
  <w:style w:type="paragraph" w:customStyle="1" w:styleId="38">
    <w:name w:val="市局绩效-表格内容"/>
    <w:basedOn w:val="26"/>
    <w:link w:val="40"/>
    <w:qFormat/>
    <w:uiPriority w:val="0"/>
    <w:pPr>
      <w:spacing w:line="360" w:lineRule="auto"/>
      <w:ind w:firstLine="0" w:firstLineChars="0"/>
      <w:jc w:val="center"/>
    </w:pPr>
    <w:rPr>
      <w:rFonts w:eastAsia="宋体"/>
      <w:sz w:val="21"/>
    </w:rPr>
  </w:style>
  <w:style w:type="character" w:customStyle="1" w:styleId="39">
    <w:name w:val="市局绩效-表格表头 字符"/>
    <w:basedOn w:val="29"/>
    <w:link w:val="36"/>
    <w:qFormat/>
    <w:uiPriority w:val="0"/>
    <w:rPr>
      <w:rFonts w:ascii="Times New Roman" w:hAnsi="Times New Roman" w:eastAsia="黑体"/>
      <w:b/>
      <w:sz w:val="32"/>
    </w:rPr>
  </w:style>
  <w:style w:type="character" w:customStyle="1" w:styleId="40">
    <w:name w:val="市局绩效-表格内容 字符"/>
    <w:basedOn w:val="29"/>
    <w:link w:val="38"/>
    <w:qFormat/>
    <w:uiPriority w:val="0"/>
    <w:rPr>
      <w:rFonts w:ascii="Times New Roman" w:hAnsi="Times New Roman" w:eastAsia="宋体"/>
      <w:sz w:val="32"/>
    </w:rPr>
  </w:style>
  <w:style w:type="character" w:customStyle="1" w:styleId="41">
    <w:name w:val="页脚 字符"/>
    <w:basedOn w:val="17"/>
    <w:link w:val="11"/>
    <w:qFormat/>
    <w:uiPriority w:val="99"/>
    <w:rPr>
      <w:sz w:val="18"/>
      <w:szCs w:val="18"/>
    </w:rPr>
  </w:style>
  <w:style w:type="character" w:customStyle="1" w:styleId="42">
    <w:name w:val="批注框文本 字符"/>
    <w:basedOn w:val="17"/>
    <w:link w:val="10"/>
    <w:semiHidden/>
    <w:qFormat/>
    <w:uiPriority w:val="99"/>
    <w:rPr>
      <w:sz w:val="18"/>
      <w:szCs w:val="18"/>
    </w:rPr>
  </w:style>
  <w:style w:type="paragraph" w:customStyle="1" w:styleId="43">
    <w:name w:val="市局绩效-注"/>
    <w:basedOn w:val="26"/>
    <w:link w:val="44"/>
    <w:qFormat/>
    <w:uiPriority w:val="0"/>
    <w:pPr>
      <w:ind w:firstLine="0" w:firstLineChars="0"/>
    </w:pPr>
    <w:rPr>
      <w:rFonts w:eastAsia="宋体"/>
      <w:bCs/>
      <w:sz w:val="21"/>
    </w:rPr>
  </w:style>
  <w:style w:type="character" w:customStyle="1" w:styleId="44">
    <w:name w:val="市局绩效-注 字符"/>
    <w:basedOn w:val="29"/>
    <w:link w:val="43"/>
    <w:qFormat/>
    <w:uiPriority w:val="0"/>
    <w:rPr>
      <w:rFonts w:ascii="Times New Roman" w:hAnsi="Times New Roman" w:eastAsia="宋体"/>
      <w:bCs/>
      <w:sz w:val="32"/>
    </w:rPr>
  </w:style>
  <w:style w:type="character" w:customStyle="1" w:styleId="45">
    <w:name w:val="批注文字 字符"/>
    <w:basedOn w:val="17"/>
    <w:link w:val="7"/>
    <w:semiHidden/>
    <w:qFormat/>
    <w:uiPriority w:val="99"/>
  </w:style>
  <w:style w:type="character" w:customStyle="1" w:styleId="46">
    <w:name w:val="批注主题 字符"/>
    <w:basedOn w:val="45"/>
    <w:link w:val="14"/>
    <w:semiHidden/>
    <w:qFormat/>
    <w:uiPriority w:val="99"/>
    <w:rPr>
      <w:b/>
      <w:bCs/>
    </w:rPr>
  </w:style>
  <w:style w:type="paragraph" w:customStyle="1" w:styleId="4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4B483-C2D3-4AB4-B5F0-58CD4BA64F47}">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18493</Words>
  <Characters>19463</Characters>
  <Lines>34</Lines>
  <Paragraphs>9</Paragraphs>
  <TotalTime>3</TotalTime>
  <ScaleCrop>false</ScaleCrop>
  <LinksUpToDate>false</LinksUpToDate>
  <CharactersWithSpaces>19786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2021-10-05T04:17:00Z</dcterms:created>
  <dc:creator>忠晔 张</dc:creator>
  <cp:lastModifiedBy>Admin</cp:lastModifiedBy>
  <cp:lastPrinted>2022-04-28T03:26:00Z</cp:lastPrinted>
  <dcterms:modified xsi:type="dcterms:W3CDTF">2024-11-15T04:17:05Z</dcterms:modified>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178668288F4F4AEB840005EE423B1D80_12</vt:lpwstr>
  </property>
</Properties>
</file>