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jc w:val="center"/>
        <w:rPr>
          <w:rFonts w:ascii="Times New Roman" w:hAnsi="Times New Roman" w:eastAsia="方正小标宋简体"/>
          <w:sz w:val="52"/>
          <w:szCs w:val="52"/>
        </w:rPr>
      </w:pPr>
      <w:r>
        <w:rPr>
          <w:rFonts w:hint="eastAsia" w:ascii="Times New Roman" w:hAnsi="Times New Roman" w:eastAsia="方正小标宋简体"/>
          <w:sz w:val="52"/>
          <w:szCs w:val="52"/>
          <w:lang w:eastAsia="zh-Hans"/>
        </w:rPr>
        <w:t>项目</w:t>
      </w:r>
      <w:r>
        <w:rPr>
          <w:rFonts w:ascii="Times New Roman" w:hAnsi="Times New Roman" w:eastAsia="方正小标宋简体"/>
          <w:sz w:val="52"/>
          <w:szCs w:val="52"/>
        </w:rPr>
        <w:t>支出</w:t>
      </w:r>
      <w:r>
        <w:rPr>
          <w:rFonts w:hint="eastAsia" w:ascii="Times New Roman" w:hAnsi="Times New Roman" w:eastAsia="方正小标宋简体"/>
          <w:sz w:val="52"/>
          <w:szCs w:val="52"/>
        </w:rPr>
        <w:t>绩效评价</w:t>
      </w:r>
      <w:r>
        <w:rPr>
          <w:rFonts w:ascii="Times New Roman" w:hAnsi="Times New Roman" w:eastAsia="方正小标宋简体"/>
          <w:sz w:val="52"/>
          <w:szCs w:val="52"/>
        </w:rPr>
        <w:t>报告</w:t>
      </w:r>
    </w:p>
    <w:p>
      <w:pPr>
        <w:spacing w:line="800" w:lineRule="exact"/>
        <w:ind w:firstLine="0" w:firstLineChars="0"/>
        <w:jc w:val="center"/>
        <w:rPr>
          <w:rFonts w:ascii="Times New Roman" w:hAnsi="Times New Roman" w:eastAsia="方正小标宋简体"/>
          <w:sz w:val="48"/>
          <w:szCs w:val="44"/>
        </w:rPr>
      </w:pPr>
      <w:r>
        <w:rPr>
          <w:rFonts w:ascii="Times New Roman" w:hAnsi="Times New Roman" w:eastAsia="方正小标宋简体"/>
          <w:sz w:val="40"/>
          <w:szCs w:val="36"/>
        </w:rPr>
        <w:t>（</w:t>
      </w:r>
      <w:r>
        <w:rPr>
          <w:rFonts w:ascii="Times New Roman" w:hAnsi="Times New Roman" w:eastAsia="方正小标宋简体" w:cs="Times New Roman"/>
          <w:sz w:val="40"/>
          <w:szCs w:val="40"/>
        </w:rPr>
        <w:t>202</w:t>
      </w:r>
      <w:r>
        <w:rPr>
          <w:rFonts w:hint="eastAsia" w:ascii="Times New Roman" w:hAnsi="Times New Roman" w:eastAsia="方正小标宋简体" w:cs="Times New Roman"/>
          <w:sz w:val="40"/>
          <w:szCs w:val="40"/>
        </w:rPr>
        <w:t>3</w:t>
      </w:r>
      <w:r>
        <w:rPr>
          <w:rFonts w:ascii="Times New Roman" w:hAnsi="Times New Roman" w:eastAsia="方正小标宋简体"/>
          <w:sz w:val="40"/>
          <w:szCs w:val="36"/>
        </w:rPr>
        <w:t>年度）</w:t>
      </w: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900" w:lineRule="exact"/>
        <w:ind w:firstLine="0" w:firstLineChars="0"/>
        <w:rPr>
          <w:rFonts w:ascii="Times New Roman" w:hAnsi="Times New Roman" w:eastAsia="仿宋_GB2312"/>
          <w:sz w:val="32"/>
          <w:szCs w:val="32"/>
        </w:rPr>
      </w:pPr>
      <w:r>
        <w:rPr>
          <w:rFonts w:hint="eastAsia" w:ascii="Times New Roman" w:hAnsi="Times New Roman" w:eastAsia="仿宋_GB2312"/>
          <w:sz w:val="32"/>
          <w:szCs w:val="32"/>
        </w:rPr>
        <w:t>项 目 名 称：</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hint="eastAsia" w:ascii="Times New Roman" w:hAnsi="Times New Roman" w:eastAsia="仿宋_GB2312"/>
          <w:sz w:val="32"/>
          <w:szCs w:val="32"/>
          <w:u w:val="single"/>
        </w:rPr>
        <w:t xml:space="preserve">普惠性民办幼儿园生均经费补助项目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p>
    <w:p>
      <w:pPr>
        <w:spacing w:line="900" w:lineRule="exact"/>
        <w:ind w:firstLine="0" w:firstLineChars="0"/>
        <w:rPr>
          <w:rFonts w:ascii="Times New Roman" w:hAnsi="Times New Roman" w:eastAsia="仿宋_GB2312" w:cs="Times New Roman"/>
          <w:spacing w:val="-20"/>
          <w:sz w:val="32"/>
          <w:szCs w:val="32"/>
          <w:u w:val="single"/>
        </w:rPr>
      </w:pPr>
      <w:r>
        <w:rPr>
          <w:rFonts w:hint="eastAsia" w:ascii="Times New Roman" w:hAnsi="Times New Roman" w:eastAsia="仿宋_GB2312"/>
          <w:sz w:val="32"/>
          <w:szCs w:val="32"/>
        </w:rPr>
        <w:t>项 目 单 位</w:t>
      </w:r>
      <w:r>
        <w:rPr>
          <w:rFonts w:ascii="Times New Roman" w:hAnsi="Times New Roman" w:eastAsia="仿宋_GB2312"/>
          <w:sz w:val="32"/>
          <w:szCs w:val="32"/>
        </w:rPr>
        <w:t>：</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hint="eastAsia" w:ascii="Times New Roman" w:hAnsi="Times New Roman" w:eastAsia="仿宋_GB2312"/>
          <w:sz w:val="32"/>
          <w:szCs w:val="32"/>
          <w:u w:val="single"/>
        </w:rPr>
        <w:t xml:space="preserve">   天津市和平区教育局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p>
    <w:p>
      <w:pPr>
        <w:spacing w:line="900" w:lineRule="exact"/>
        <w:ind w:left="2240" w:hanging="2240" w:hangingChars="700"/>
        <w:rPr>
          <w:rFonts w:ascii="Times New Roman" w:hAnsi="Times New Roman" w:eastAsia="仿宋_GB2312"/>
          <w:sz w:val="32"/>
          <w:szCs w:val="32"/>
          <w:u w:val="single"/>
        </w:rPr>
      </w:pPr>
      <w:r>
        <w:rPr>
          <w:rFonts w:hint="eastAsia" w:ascii="Times New Roman" w:hAnsi="Times New Roman" w:eastAsia="仿宋_GB2312"/>
          <w:sz w:val="32"/>
          <w:szCs w:val="32"/>
        </w:rPr>
        <w:t>主 管 部 门：</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天津市和平区教育局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 xml:space="preserve">价 </w:t>
      </w:r>
      <w:r>
        <w:rPr>
          <w:rFonts w:ascii="Times New Roman" w:hAnsi="Times New Roman" w:eastAsia="仿宋_GB2312"/>
          <w:sz w:val="32"/>
          <w:szCs w:val="32"/>
        </w:rPr>
        <w:t>机 构</w:t>
      </w:r>
      <w:r>
        <w:rPr>
          <w:rFonts w:hint="eastAsia" w:ascii="Times New Roman" w:hAnsi="Times New Roman" w:eastAsia="仿宋_GB2312"/>
          <w:sz w:val="32"/>
          <w:szCs w:val="32"/>
        </w:rPr>
        <w:t>：</w:t>
      </w:r>
      <w:r>
        <w:rPr>
          <w:rFonts w:ascii="Times New Roman" w:hAnsi="Times New Roman" w:eastAsia="仿宋_GB2312"/>
          <w:sz w:val="32"/>
          <w:szCs w:val="32"/>
          <w:u w:val="single"/>
        </w:rPr>
        <w:t xml:space="preserve">         天津</w:t>
      </w:r>
      <w:r>
        <w:rPr>
          <w:rFonts w:hint="eastAsia" w:ascii="Times New Roman" w:hAnsi="Times New Roman" w:eastAsia="仿宋_GB2312"/>
          <w:sz w:val="32"/>
          <w:szCs w:val="32"/>
          <w:u w:val="single"/>
        </w:rPr>
        <w:t>安信管理咨询</w:t>
      </w:r>
      <w:r>
        <w:rPr>
          <w:rFonts w:ascii="Times New Roman" w:hAnsi="Times New Roman" w:eastAsia="仿宋_GB2312"/>
          <w:sz w:val="32"/>
          <w:szCs w:val="32"/>
          <w:u w:val="single"/>
        </w:rPr>
        <w:t>有限公司</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u w:val="single"/>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价</w:t>
      </w:r>
      <w:r>
        <w:rPr>
          <w:rFonts w:ascii="Times New Roman" w:hAnsi="Times New Roman" w:eastAsia="仿宋_GB2312"/>
          <w:sz w:val="32"/>
          <w:szCs w:val="32"/>
        </w:rPr>
        <w:t xml:space="preserve"> 日 期：</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cs="Times New Roman"/>
          <w:sz w:val="32"/>
          <w:szCs w:val="32"/>
          <w:u w:val="single"/>
        </w:rPr>
        <w:t>202</w:t>
      </w:r>
      <w:r>
        <w:rPr>
          <w:rFonts w:hint="eastAsia" w:ascii="Times New Roman" w:hAnsi="Times New Roman" w:eastAsia="仿宋_GB2312" w:cs="Times New Roman"/>
          <w:sz w:val="32"/>
          <w:szCs w:val="32"/>
          <w:u w:val="single"/>
        </w:rPr>
        <w:t>4</w:t>
      </w:r>
      <w:r>
        <w:rPr>
          <w:rFonts w:hint="eastAsia" w:ascii="Times New Roman" w:hAnsi="Times New Roman" w:eastAsia="仿宋_GB2312"/>
          <w:sz w:val="32"/>
          <w:szCs w:val="32"/>
          <w:u w:val="single"/>
        </w:rPr>
        <w:t>年</w:t>
      </w:r>
      <w:r>
        <w:rPr>
          <w:rFonts w:hint="eastAsia" w:ascii="Times New Roman" w:hAnsi="Times New Roman" w:eastAsia="仿宋_GB2312" w:cs="Times New Roman"/>
          <w:sz w:val="32"/>
          <w:szCs w:val="32"/>
          <w:u w:val="single"/>
        </w:rPr>
        <w:t>8</w:t>
      </w:r>
      <w:r>
        <w:rPr>
          <w:rFonts w:hint="eastAsia" w:ascii="Times New Roman" w:hAnsi="Times New Roman" w:eastAsia="仿宋_GB2312"/>
          <w:sz w:val="32"/>
          <w:szCs w:val="32"/>
          <w:u w:val="single"/>
        </w:rPr>
        <w:t xml:space="preserve">月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widowControl/>
        <w:spacing w:line="240" w:lineRule="auto"/>
        <w:ind w:firstLine="0" w:firstLineChars="0"/>
        <w:rPr>
          <w:rFonts w:ascii="Times New Roman" w:hAnsi="Times New Roman" w:eastAsia="方正小标宋简体"/>
          <w:bCs/>
          <w:color w:val="000000" w:themeColor="text1"/>
          <w:kern w:val="44"/>
          <w:sz w:val="44"/>
          <w:szCs w:val="44"/>
          <w14:textFill>
            <w14:solidFill>
              <w14:schemeClr w14:val="tx1"/>
            </w14:solidFill>
          </w14:textFill>
        </w:rPr>
      </w:pPr>
      <w:r>
        <w:rPr>
          <w:rFonts w:ascii="Times New Roman" w:hAnsi="Times New Roman" w:eastAsia="方正小标宋简体"/>
          <w:bCs/>
          <w:color w:val="000000" w:themeColor="text1"/>
          <w:kern w:val="44"/>
          <w:sz w:val="44"/>
          <w:szCs w:val="44"/>
          <w14:textFill>
            <w14:solidFill>
              <w14:schemeClr w14:val="tx1"/>
            </w14:solidFill>
          </w14:textFill>
        </w:rPr>
        <w:br w:type="page"/>
      </w:r>
    </w:p>
    <w:p>
      <w:pPr>
        <w:pStyle w:val="48"/>
        <w:spacing w:before="0" w:line="560" w:lineRule="exact"/>
        <w:ind w:firstLine="640"/>
        <w:jc w:val="center"/>
        <w:rPr>
          <w:rFonts w:ascii="Times New Roman" w:hAnsi="Times New Roman" w:eastAsia="仿宋_GB2312" w:cs="黑体"/>
          <w:b w:val="0"/>
          <w:bCs w:val="0"/>
          <w:color w:val="2F5597" w:themeColor="accent1" w:themeShade="BF"/>
          <w:kern w:val="0"/>
          <w:sz w:val="32"/>
          <w:szCs w:val="32"/>
          <w:lang w:val="en-US" w:eastAsia="zh-CN" w:bidi="ar-SA"/>
        </w:rPr>
      </w:pPr>
      <w:bookmarkStart w:id="31" w:name="_GoBack"/>
      <w:bookmarkEnd w:id="31"/>
      <w:r>
        <w:rPr>
          <w:rFonts w:hint="eastAsia" w:ascii="黑体" w:hAnsi="黑体" w:eastAsia="黑体" w:cs="黑体"/>
          <w:color w:val="auto"/>
          <w:sz w:val="36"/>
          <w:szCs w:val="36"/>
        </w:rPr>
        <w:t>目 录</w:t>
      </w:r>
      <w:r>
        <w:rPr>
          <w:rFonts w:ascii="Times New Roman" w:hAnsi="Times New Roman" w:eastAsia="仿宋_GB2312" w:cs="黑体"/>
        </w:rPr>
        <w:fldChar w:fldCharType="begin"/>
      </w:r>
      <w:r>
        <w:rPr>
          <w:rFonts w:ascii="Times New Roman" w:hAnsi="Times New Roman" w:eastAsia="仿宋_GB2312" w:cs="黑体"/>
        </w:rPr>
        <w:instrText xml:space="preserve"> </w:instrText>
      </w:r>
      <w:r>
        <w:rPr>
          <w:rFonts w:hint="eastAsia" w:ascii="Times New Roman" w:hAnsi="Times New Roman" w:eastAsia="仿宋_GB2312" w:cs="黑体"/>
        </w:rPr>
        <w:instrText xml:space="preserve">TOC \o "1-3" \h \z \u</w:instrText>
      </w:r>
      <w:r>
        <w:rPr>
          <w:rFonts w:ascii="Times New Roman" w:hAnsi="Times New Roman" w:eastAsia="仿宋_GB2312" w:cs="黑体"/>
        </w:rPr>
        <w:instrText xml:space="preserve"> </w:instrText>
      </w:r>
      <w:r>
        <w:rPr>
          <w:rFonts w:ascii="Times New Roman" w:hAnsi="Times New Roman" w:eastAsia="仿宋_GB2312" w:cs="黑体"/>
        </w:rPr>
        <w:fldChar w:fldCharType="separate"/>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_Toc20171 </w:instrText>
      </w:r>
      <w:r>
        <w:rPr>
          <w:rFonts w:ascii="Times New Roman" w:hAnsi="Times New Roman" w:eastAsia="仿宋_GB2312" w:cs="黑体"/>
          <w:sz w:val="32"/>
        </w:rPr>
        <w:fldChar w:fldCharType="separate"/>
      </w:r>
      <w:r>
        <w:rPr>
          <w:rFonts w:hint="eastAsia" w:ascii="Times New Roman" w:hAnsi="Times New Roman" w:eastAsia="仿宋_GB2312"/>
          <w:sz w:val="32"/>
        </w:rPr>
        <w:t>一、项目基本情况</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_Toc20171 \h </w:instrText>
      </w:r>
      <w:r>
        <w:rPr>
          <w:rFonts w:ascii="Times New Roman" w:hAnsi="Times New Roman" w:eastAsia="仿宋_GB2312"/>
          <w:sz w:val="32"/>
        </w:rPr>
        <w:fldChar w:fldCharType="separate"/>
      </w:r>
      <w:r>
        <w:rPr>
          <w:rFonts w:ascii="Times New Roman" w:hAnsi="Times New Roman" w:eastAsia="仿宋_GB2312"/>
          <w:sz w:val="32"/>
        </w:rPr>
        <w:t>- 1 -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_Toc12245 </w:instrText>
      </w:r>
      <w:r>
        <w:rPr>
          <w:rFonts w:ascii="Times New Roman" w:hAnsi="Times New Roman" w:eastAsia="仿宋_GB2312" w:cs="黑体"/>
          <w:sz w:val="32"/>
        </w:rPr>
        <w:fldChar w:fldCharType="separate"/>
      </w:r>
      <w:r>
        <w:rPr>
          <w:rFonts w:hint="eastAsia" w:ascii="Times New Roman" w:hAnsi="Times New Roman" w:eastAsia="仿宋_GB2312"/>
          <w:sz w:val="32"/>
        </w:rPr>
        <w:t>（一）项目概况</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_Toc12245 \h </w:instrText>
      </w:r>
      <w:r>
        <w:rPr>
          <w:rFonts w:ascii="Times New Roman" w:hAnsi="Times New Roman" w:eastAsia="仿宋_GB2312"/>
          <w:sz w:val="32"/>
        </w:rPr>
        <w:fldChar w:fldCharType="separate"/>
      </w:r>
      <w:r>
        <w:rPr>
          <w:rFonts w:ascii="Times New Roman" w:hAnsi="Times New Roman" w:eastAsia="仿宋_GB2312"/>
          <w:sz w:val="32"/>
        </w:rPr>
        <w:t>- 1 -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_Toc5440 </w:instrText>
      </w:r>
      <w:r>
        <w:rPr>
          <w:rFonts w:ascii="Times New Roman" w:hAnsi="Times New Roman" w:eastAsia="仿宋_GB2312" w:cs="黑体"/>
          <w:sz w:val="32"/>
        </w:rPr>
        <w:fldChar w:fldCharType="separate"/>
      </w:r>
      <w:r>
        <w:rPr>
          <w:rFonts w:hint="eastAsia" w:ascii="Times New Roman" w:hAnsi="Times New Roman" w:eastAsia="仿宋_GB2312"/>
          <w:sz w:val="32"/>
        </w:rPr>
        <w:t>（二）项目绩效目标</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_Toc5440 \h </w:instrText>
      </w:r>
      <w:r>
        <w:rPr>
          <w:rFonts w:ascii="Times New Roman" w:hAnsi="Times New Roman" w:eastAsia="仿宋_GB2312"/>
          <w:sz w:val="32"/>
        </w:rPr>
        <w:fldChar w:fldCharType="separate"/>
      </w:r>
      <w:r>
        <w:rPr>
          <w:rFonts w:ascii="Times New Roman" w:hAnsi="Times New Roman" w:eastAsia="仿宋_GB2312"/>
          <w:sz w:val="32"/>
        </w:rPr>
        <w:t>- 4 -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_Toc19478 </w:instrText>
      </w:r>
      <w:r>
        <w:rPr>
          <w:rFonts w:ascii="Times New Roman" w:hAnsi="Times New Roman" w:eastAsia="仿宋_GB2312" w:cs="黑体"/>
          <w:sz w:val="32"/>
        </w:rPr>
        <w:fldChar w:fldCharType="separate"/>
      </w:r>
      <w:r>
        <w:rPr>
          <w:rFonts w:hint="eastAsia" w:ascii="Times New Roman" w:hAnsi="Times New Roman" w:eastAsia="仿宋_GB2312"/>
          <w:sz w:val="32"/>
        </w:rPr>
        <w:t>二、绩效评价工作开展情况</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_Toc19478 \h </w:instrText>
      </w:r>
      <w:r>
        <w:rPr>
          <w:rFonts w:ascii="Times New Roman" w:hAnsi="Times New Roman" w:eastAsia="仿宋_GB2312"/>
          <w:sz w:val="32"/>
        </w:rPr>
        <w:fldChar w:fldCharType="separate"/>
      </w:r>
      <w:r>
        <w:rPr>
          <w:rFonts w:ascii="Times New Roman" w:hAnsi="Times New Roman" w:eastAsia="仿宋_GB2312"/>
          <w:sz w:val="32"/>
        </w:rPr>
        <w:t>- 4 -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_Toc12353 </w:instrText>
      </w:r>
      <w:r>
        <w:rPr>
          <w:rFonts w:ascii="Times New Roman" w:hAnsi="Times New Roman" w:eastAsia="仿宋_GB2312" w:cs="黑体"/>
          <w:sz w:val="32"/>
        </w:rPr>
        <w:fldChar w:fldCharType="separate"/>
      </w:r>
      <w:r>
        <w:rPr>
          <w:rFonts w:hint="eastAsia" w:ascii="Times New Roman" w:hAnsi="Times New Roman" w:eastAsia="仿宋_GB2312"/>
          <w:sz w:val="32"/>
        </w:rPr>
        <w:t>（一）绩效评价的目的、对象和范围</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_Toc12353 \h </w:instrText>
      </w:r>
      <w:r>
        <w:rPr>
          <w:rFonts w:ascii="Times New Roman" w:hAnsi="Times New Roman" w:eastAsia="仿宋_GB2312"/>
          <w:sz w:val="32"/>
        </w:rPr>
        <w:fldChar w:fldCharType="separate"/>
      </w:r>
      <w:r>
        <w:rPr>
          <w:rFonts w:ascii="Times New Roman" w:hAnsi="Times New Roman" w:eastAsia="仿宋_GB2312"/>
          <w:sz w:val="32"/>
        </w:rPr>
        <w:t>- 4 -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_Toc28654 </w:instrText>
      </w:r>
      <w:r>
        <w:rPr>
          <w:rFonts w:ascii="Times New Roman" w:hAnsi="Times New Roman" w:eastAsia="仿宋_GB2312" w:cs="黑体"/>
          <w:sz w:val="32"/>
        </w:rPr>
        <w:fldChar w:fldCharType="separate"/>
      </w:r>
      <w:r>
        <w:rPr>
          <w:rFonts w:hint="eastAsia" w:ascii="Times New Roman" w:hAnsi="Times New Roman" w:eastAsia="仿宋_GB2312"/>
          <w:sz w:val="32"/>
        </w:rPr>
        <w:t>（二）</w:t>
      </w:r>
      <w:r>
        <w:rPr>
          <w:rFonts w:hint="eastAsia" w:ascii="Times New Roman" w:hAnsi="Times New Roman" w:eastAsia="仿宋_GB2312" w:cs="楷体_GB2312"/>
          <w:bCs w:val="0"/>
          <w:sz w:val="32"/>
        </w:rPr>
        <w:t>绩效评价原则、评价指标体系、评价方法</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_Toc28654 \h </w:instrText>
      </w:r>
      <w:r>
        <w:rPr>
          <w:rFonts w:ascii="Times New Roman" w:hAnsi="Times New Roman" w:eastAsia="仿宋_GB2312"/>
          <w:sz w:val="32"/>
        </w:rPr>
        <w:fldChar w:fldCharType="separate"/>
      </w:r>
      <w:r>
        <w:rPr>
          <w:rFonts w:ascii="Times New Roman" w:hAnsi="Times New Roman" w:eastAsia="仿宋_GB2312"/>
          <w:sz w:val="32"/>
        </w:rPr>
        <w:t>- 6 -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_Toc6609 </w:instrText>
      </w:r>
      <w:r>
        <w:rPr>
          <w:rFonts w:ascii="Times New Roman" w:hAnsi="Times New Roman" w:eastAsia="仿宋_GB2312" w:cs="黑体"/>
          <w:sz w:val="32"/>
        </w:rPr>
        <w:fldChar w:fldCharType="separate"/>
      </w:r>
      <w:r>
        <w:rPr>
          <w:rFonts w:hint="eastAsia" w:ascii="Times New Roman" w:hAnsi="Times New Roman" w:eastAsia="仿宋_GB2312"/>
          <w:sz w:val="32"/>
        </w:rPr>
        <w:t>（三）绩效评价工作过程</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_Toc6609 \h </w:instrText>
      </w:r>
      <w:r>
        <w:rPr>
          <w:rFonts w:ascii="Times New Roman" w:hAnsi="Times New Roman" w:eastAsia="仿宋_GB2312"/>
          <w:sz w:val="32"/>
        </w:rPr>
        <w:fldChar w:fldCharType="separate"/>
      </w:r>
      <w:r>
        <w:rPr>
          <w:rFonts w:ascii="Times New Roman" w:hAnsi="Times New Roman" w:eastAsia="仿宋_GB2312"/>
          <w:sz w:val="32"/>
        </w:rPr>
        <w:t>- 11 -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_Toc6425 </w:instrText>
      </w:r>
      <w:r>
        <w:rPr>
          <w:rFonts w:ascii="Times New Roman" w:hAnsi="Times New Roman" w:eastAsia="仿宋_GB2312" w:cs="黑体"/>
          <w:sz w:val="32"/>
        </w:rPr>
        <w:fldChar w:fldCharType="separate"/>
      </w:r>
      <w:r>
        <w:rPr>
          <w:rFonts w:hint="eastAsia" w:ascii="Times New Roman" w:hAnsi="Times New Roman" w:eastAsia="仿宋_GB2312"/>
          <w:sz w:val="32"/>
        </w:rPr>
        <w:t>三、综合评价情况及评价结论</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_Toc6425 \h </w:instrText>
      </w:r>
      <w:r>
        <w:rPr>
          <w:rFonts w:ascii="Times New Roman" w:hAnsi="Times New Roman" w:eastAsia="仿宋_GB2312"/>
          <w:sz w:val="32"/>
        </w:rPr>
        <w:fldChar w:fldCharType="separate"/>
      </w:r>
      <w:r>
        <w:rPr>
          <w:rFonts w:ascii="Times New Roman" w:hAnsi="Times New Roman" w:eastAsia="仿宋_GB2312"/>
          <w:sz w:val="32"/>
        </w:rPr>
        <w:t>- 13 -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_Toc15709 </w:instrText>
      </w:r>
      <w:r>
        <w:rPr>
          <w:rFonts w:ascii="Times New Roman" w:hAnsi="Times New Roman" w:eastAsia="仿宋_GB2312" w:cs="黑体"/>
          <w:sz w:val="32"/>
        </w:rPr>
        <w:fldChar w:fldCharType="separate"/>
      </w:r>
      <w:r>
        <w:rPr>
          <w:rFonts w:hint="eastAsia" w:ascii="Times New Roman" w:hAnsi="Times New Roman" w:eastAsia="仿宋_GB2312"/>
          <w:sz w:val="32"/>
        </w:rPr>
        <w:t>四、绩效评价指标分析</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_Toc15709 \h </w:instrText>
      </w:r>
      <w:r>
        <w:rPr>
          <w:rFonts w:ascii="Times New Roman" w:hAnsi="Times New Roman" w:eastAsia="仿宋_GB2312"/>
          <w:sz w:val="32"/>
        </w:rPr>
        <w:fldChar w:fldCharType="separate"/>
      </w:r>
      <w:r>
        <w:rPr>
          <w:rFonts w:ascii="Times New Roman" w:hAnsi="Times New Roman" w:eastAsia="仿宋_GB2312"/>
          <w:sz w:val="32"/>
        </w:rPr>
        <w:t>- 14 -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_Toc24430 </w:instrText>
      </w:r>
      <w:r>
        <w:rPr>
          <w:rFonts w:ascii="Times New Roman" w:hAnsi="Times New Roman" w:eastAsia="仿宋_GB2312" w:cs="黑体"/>
          <w:sz w:val="32"/>
        </w:rPr>
        <w:fldChar w:fldCharType="separate"/>
      </w:r>
      <w:r>
        <w:rPr>
          <w:rFonts w:hint="eastAsia" w:ascii="Times New Roman" w:hAnsi="Times New Roman" w:eastAsia="仿宋_GB2312"/>
          <w:sz w:val="32"/>
        </w:rPr>
        <w:t>（一）项目决策情况</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_Toc24430 \h </w:instrText>
      </w:r>
      <w:r>
        <w:rPr>
          <w:rFonts w:ascii="Times New Roman" w:hAnsi="Times New Roman" w:eastAsia="仿宋_GB2312"/>
          <w:sz w:val="32"/>
        </w:rPr>
        <w:fldChar w:fldCharType="separate"/>
      </w:r>
      <w:r>
        <w:rPr>
          <w:rFonts w:ascii="Times New Roman" w:hAnsi="Times New Roman" w:eastAsia="仿宋_GB2312"/>
          <w:sz w:val="32"/>
        </w:rPr>
        <w:t>- 14 -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_Toc11538 </w:instrText>
      </w:r>
      <w:r>
        <w:rPr>
          <w:rFonts w:ascii="Times New Roman" w:hAnsi="Times New Roman" w:eastAsia="仿宋_GB2312" w:cs="黑体"/>
          <w:sz w:val="32"/>
        </w:rPr>
        <w:fldChar w:fldCharType="separate"/>
      </w:r>
      <w:r>
        <w:rPr>
          <w:rFonts w:hint="eastAsia" w:ascii="Times New Roman" w:hAnsi="Times New Roman" w:eastAsia="仿宋_GB2312"/>
          <w:sz w:val="32"/>
        </w:rPr>
        <w:t>（二）项目过程情况</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_Toc11538 \h </w:instrText>
      </w:r>
      <w:r>
        <w:rPr>
          <w:rFonts w:ascii="Times New Roman" w:hAnsi="Times New Roman" w:eastAsia="仿宋_GB2312"/>
          <w:sz w:val="32"/>
        </w:rPr>
        <w:fldChar w:fldCharType="separate"/>
      </w:r>
      <w:r>
        <w:rPr>
          <w:rFonts w:ascii="Times New Roman" w:hAnsi="Times New Roman" w:eastAsia="仿宋_GB2312"/>
          <w:sz w:val="32"/>
        </w:rPr>
        <w:t>- 18 -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_Toc18255 </w:instrText>
      </w:r>
      <w:r>
        <w:rPr>
          <w:rFonts w:ascii="Times New Roman" w:hAnsi="Times New Roman" w:eastAsia="仿宋_GB2312" w:cs="黑体"/>
          <w:sz w:val="32"/>
        </w:rPr>
        <w:fldChar w:fldCharType="separate"/>
      </w:r>
      <w:r>
        <w:rPr>
          <w:rFonts w:hint="eastAsia" w:ascii="Times New Roman" w:hAnsi="Times New Roman" w:eastAsia="仿宋_GB2312"/>
          <w:sz w:val="32"/>
        </w:rPr>
        <w:t>（三）项目产出情况</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_Toc18255 \h </w:instrText>
      </w:r>
      <w:r>
        <w:rPr>
          <w:rFonts w:ascii="Times New Roman" w:hAnsi="Times New Roman" w:eastAsia="仿宋_GB2312"/>
          <w:sz w:val="32"/>
        </w:rPr>
        <w:fldChar w:fldCharType="separate"/>
      </w:r>
      <w:r>
        <w:rPr>
          <w:rFonts w:ascii="Times New Roman" w:hAnsi="Times New Roman" w:eastAsia="仿宋_GB2312"/>
          <w:sz w:val="32"/>
        </w:rPr>
        <w:t>- 20 -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_Toc21264 </w:instrText>
      </w:r>
      <w:r>
        <w:rPr>
          <w:rFonts w:ascii="Times New Roman" w:hAnsi="Times New Roman" w:eastAsia="仿宋_GB2312" w:cs="黑体"/>
          <w:sz w:val="32"/>
        </w:rPr>
        <w:fldChar w:fldCharType="separate"/>
      </w:r>
      <w:r>
        <w:rPr>
          <w:rFonts w:hint="eastAsia" w:ascii="Times New Roman" w:hAnsi="Times New Roman" w:eastAsia="仿宋_GB2312"/>
          <w:sz w:val="32"/>
        </w:rPr>
        <w:t>（四）项目效益情况</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_Toc21264 \h </w:instrText>
      </w:r>
      <w:r>
        <w:rPr>
          <w:rFonts w:ascii="Times New Roman" w:hAnsi="Times New Roman" w:eastAsia="仿宋_GB2312"/>
          <w:sz w:val="32"/>
        </w:rPr>
        <w:fldChar w:fldCharType="separate"/>
      </w:r>
      <w:r>
        <w:rPr>
          <w:rFonts w:ascii="Times New Roman" w:hAnsi="Times New Roman" w:eastAsia="仿宋_GB2312"/>
          <w:sz w:val="32"/>
        </w:rPr>
        <w:t>- 24 -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_Toc13463 </w:instrText>
      </w:r>
      <w:r>
        <w:rPr>
          <w:rFonts w:ascii="Times New Roman" w:hAnsi="Times New Roman" w:eastAsia="仿宋_GB2312" w:cs="黑体"/>
          <w:sz w:val="32"/>
        </w:rPr>
        <w:fldChar w:fldCharType="separate"/>
      </w:r>
      <w:r>
        <w:rPr>
          <w:rFonts w:hint="eastAsia" w:ascii="Times New Roman" w:hAnsi="Times New Roman" w:eastAsia="仿宋_GB2312"/>
          <w:sz w:val="32"/>
        </w:rPr>
        <w:t>五、存在的主要问题</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_Toc13463 \h </w:instrText>
      </w:r>
      <w:r>
        <w:rPr>
          <w:rFonts w:ascii="Times New Roman" w:hAnsi="Times New Roman" w:eastAsia="仿宋_GB2312"/>
          <w:sz w:val="32"/>
        </w:rPr>
        <w:fldChar w:fldCharType="separate"/>
      </w:r>
      <w:r>
        <w:rPr>
          <w:rFonts w:ascii="Times New Roman" w:hAnsi="Times New Roman" w:eastAsia="仿宋_GB2312"/>
          <w:sz w:val="32"/>
        </w:rPr>
        <w:t>- 26 -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_Toc1300 </w:instrText>
      </w:r>
      <w:r>
        <w:rPr>
          <w:rFonts w:ascii="Times New Roman" w:hAnsi="Times New Roman" w:eastAsia="仿宋_GB2312" w:cs="黑体"/>
          <w:sz w:val="32"/>
        </w:rPr>
        <w:fldChar w:fldCharType="separate"/>
      </w:r>
      <w:r>
        <w:rPr>
          <w:rFonts w:hint="eastAsia" w:ascii="Times New Roman" w:hAnsi="Times New Roman" w:eastAsia="仿宋_GB2312"/>
          <w:sz w:val="32"/>
        </w:rPr>
        <w:t>（一）项目绩效指标</w:t>
      </w:r>
      <w:r>
        <w:rPr>
          <w:rFonts w:hint="eastAsia" w:ascii="Times New Roman" w:hAnsi="Times New Roman" w:eastAsia="仿宋_GB2312"/>
          <w:sz w:val="32"/>
          <w:lang w:eastAsia="zh-CN"/>
        </w:rPr>
        <w:t>设置质量有待提高</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_Toc1300 \h </w:instrText>
      </w:r>
      <w:r>
        <w:rPr>
          <w:rFonts w:ascii="Times New Roman" w:hAnsi="Times New Roman" w:eastAsia="仿宋_GB2312"/>
          <w:sz w:val="32"/>
        </w:rPr>
        <w:fldChar w:fldCharType="separate"/>
      </w:r>
      <w:r>
        <w:rPr>
          <w:rFonts w:ascii="Times New Roman" w:hAnsi="Times New Roman" w:eastAsia="仿宋_GB2312"/>
          <w:sz w:val="32"/>
        </w:rPr>
        <w:t>- 26 -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_Toc27159 </w:instrText>
      </w:r>
      <w:r>
        <w:rPr>
          <w:rFonts w:ascii="Times New Roman" w:hAnsi="Times New Roman" w:eastAsia="仿宋_GB2312" w:cs="黑体"/>
          <w:sz w:val="32"/>
        </w:rPr>
        <w:fldChar w:fldCharType="separate"/>
      </w:r>
      <w:r>
        <w:rPr>
          <w:rFonts w:hint="eastAsia" w:ascii="Times New Roman" w:hAnsi="Times New Roman" w:eastAsia="仿宋_GB2312"/>
          <w:sz w:val="32"/>
        </w:rPr>
        <w:t>六、相关建议</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_Toc27159 \h </w:instrText>
      </w:r>
      <w:r>
        <w:rPr>
          <w:rFonts w:ascii="Times New Roman" w:hAnsi="Times New Roman" w:eastAsia="仿宋_GB2312"/>
          <w:sz w:val="32"/>
        </w:rPr>
        <w:fldChar w:fldCharType="separate"/>
      </w:r>
      <w:r>
        <w:rPr>
          <w:rFonts w:ascii="Times New Roman" w:hAnsi="Times New Roman" w:eastAsia="仿宋_GB2312"/>
          <w:sz w:val="32"/>
        </w:rPr>
        <w:t>- 27 -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_Toc22155 </w:instrText>
      </w:r>
      <w:r>
        <w:rPr>
          <w:rFonts w:ascii="Times New Roman" w:hAnsi="Times New Roman" w:eastAsia="仿宋_GB2312" w:cs="黑体"/>
          <w:sz w:val="32"/>
        </w:rPr>
        <w:fldChar w:fldCharType="separate"/>
      </w:r>
      <w:r>
        <w:rPr>
          <w:rFonts w:hint="eastAsia" w:ascii="Times New Roman" w:hAnsi="Times New Roman" w:eastAsia="仿宋_GB2312"/>
          <w:sz w:val="32"/>
        </w:rPr>
        <w:t>（一）科学设置目标指标，提升绩效管理水平</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_Toc22155 \h </w:instrText>
      </w:r>
      <w:r>
        <w:rPr>
          <w:rFonts w:ascii="Times New Roman" w:hAnsi="Times New Roman" w:eastAsia="仿宋_GB2312"/>
          <w:sz w:val="32"/>
        </w:rPr>
        <w:fldChar w:fldCharType="separate"/>
      </w:r>
      <w:r>
        <w:rPr>
          <w:rFonts w:ascii="Times New Roman" w:hAnsi="Times New Roman" w:eastAsia="仿宋_GB2312"/>
          <w:sz w:val="32"/>
        </w:rPr>
        <w:t>- 27 -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_Toc8675 </w:instrText>
      </w:r>
      <w:r>
        <w:rPr>
          <w:rFonts w:ascii="Times New Roman" w:hAnsi="Times New Roman" w:eastAsia="仿宋_GB2312" w:cs="黑体"/>
          <w:sz w:val="32"/>
        </w:rPr>
        <w:fldChar w:fldCharType="separate"/>
      </w:r>
      <w:r>
        <w:rPr>
          <w:rFonts w:hint="eastAsia" w:ascii="Times New Roman" w:hAnsi="Times New Roman" w:eastAsia="仿宋_GB2312" w:cs="黑体"/>
          <w:sz w:val="32"/>
          <w:szCs w:val="21"/>
        </w:rPr>
        <w:t xml:space="preserve">七、 </w:t>
      </w:r>
      <w:r>
        <w:rPr>
          <w:rFonts w:hint="eastAsia" w:ascii="Times New Roman" w:hAnsi="Times New Roman" w:eastAsia="仿宋_GB2312"/>
          <w:sz w:val="32"/>
        </w:rPr>
        <w:t>其他需要说明的问题</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_Toc8675 \h </w:instrText>
      </w:r>
      <w:r>
        <w:rPr>
          <w:rFonts w:ascii="Times New Roman" w:hAnsi="Times New Roman" w:eastAsia="仿宋_GB2312"/>
          <w:sz w:val="32"/>
        </w:rPr>
        <w:fldChar w:fldCharType="separate"/>
      </w:r>
      <w:r>
        <w:rPr>
          <w:rFonts w:ascii="Times New Roman" w:hAnsi="Times New Roman" w:eastAsia="仿宋_GB2312"/>
          <w:sz w:val="32"/>
        </w:rPr>
        <w:t>- 27 -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eastAsia="仿宋_GB2312"/>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_Toc9265 </w:instrText>
      </w:r>
      <w:r>
        <w:rPr>
          <w:rFonts w:ascii="Times New Roman" w:hAnsi="Times New Roman" w:eastAsia="仿宋_GB2312" w:cs="黑体"/>
          <w:sz w:val="32"/>
        </w:rPr>
        <w:fldChar w:fldCharType="separate"/>
      </w:r>
      <w:r>
        <w:rPr>
          <w:rFonts w:hint="eastAsia" w:ascii="Times New Roman" w:hAnsi="Times New Roman" w:eastAsia="仿宋_GB2312" w:cs="黑体"/>
          <w:sz w:val="32"/>
        </w:rPr>
        <w:t xml:space="preserve">八、 </w:t>
      </w:r>
      <w:r>
        <w:rPr>
          <w:rFonts w:hint="eastAsia" w:ascii="Times New Roman" w:hAnsi="Times New Roman" w:eastAsia="仿宋_GB2312"/>
          <w:sz w:val="32"/>
        </w:rPr>
        <w:t>相关附件</w:t>
      </w:r>
      <w:r>
        <w:rPr>
          <w:rFonts w:ascii="Times New Roman" w:hAnsi="Times New Roman" w:eastAsia="仿宋_GB2312"/>
          <w:sz w:val="32"/>
        </w:rPr>
        <w:tab/>
      </w:r>
      <w:r>
        <w:rPr>
          <w:rFonts w:ascii="Times New Roman" w:hAnsi="Times New Roman" w:eastAsia="仿宋_GB2312"/>
          <w:sz w:val="32"/>
        </w:rPr>
        <w:fldChar w:fldCharType="begin"/>
      </w:r>
      <w:r>
        <w:rPr>
          <w:rFonts w:ascii="Times New Roman" w:hAnsi="Times New Roman" w:eastAsia="仿宋_GB2312"/>
          <w:sz w:val="32"/>
        </w:rPr>
        <w:instrText xml:space="preserve"> PAGEREF _Toc9265 \h </w:instrText>
      </w:r>
      <w:r>
        <w:rPr>
          <w:rFonts w:ascii="Times New Roman" w:hAnsi="Times New Roman" w:eastAsia="仿宋_GB2312"/>
          <w:sz w:val="32"/>
        </w:rPr>
        <w:fldChar w:fldCharType="separate"/>
      </w:r>
      <w:r>
        <w:rPr>
          <w:rFonts w:ascii="Times New Roman" w:hAnsi="Times New Roman" w:eastAsia="仿宋_GB2312"/>
          <w:sz w:val="32"/>
        </w:rPr>
        <w:t>- 27 -</w:t>
      </w:r>
      <w:r>
        <w:rPr>
          <w:rFonts w:ascii="Times New Roman" w:hAnsi="Times New Roman" w:eastAsia="仿宋_GB2312"/>
          <w:sz w:val="32"/>
        </w:rPr>
        <w:fldChar w:fldCharType="end"/>
      </w:r>
      <w:r>
        <w:rPr>
          <w:rFonts w:ascii="Times New Roman" w:hAnsi="Times New Roman" w:eastAsia="仿宋_GB2312" w:cs="黑体"/>
          <w:sz w:val="32"/>
        </w:rPr>
        <w:fldChar w:fldCharType="end"/>
      </w:r>
    </w:p>
    <w:p>
      <w:pPr>
        <w:spacing w:before="0" w:line="560" w:lineRule="exact"/>
        <w:ind w:firstLine="0" w:firstLineChars="0"/>
        <w:jc w:val="center"/>
        <w:rPr>
          <w:rFonts w:ascii="Times New Roman" w:hAnsi="Times New Roman" w:eastAsia="仿宋_GB2312"/>
          <w:b/>
          <w:bCs/>
          <w:lang w:val="zh-CN"/>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pgNumType w:fmt="numberInDash" w:start="1"/>
          <w:cols w:space="425" w:num="1"/>
          <w:docGrid w:type="lines" w:linePitch="312" w:charSpace="0"/>
        </w:sectPr>
      </w:pPr>
      <w:r>
        <w:rPr>
          <w:rFonts w:ascii="Times New Roman" w:hAnsi="Times New Roman" w:eastAsia="仿宋_GB2312" w:cs="黑体"/>
        </w:rPr>
        <w:fldChar w:fldCharType="end"/>
      </w:r>
    </w:p>
    <w:p>
      <w:pPr>
        <w:pStyle w:val="34"/>
        <w:spacing w:line="560" w:lineRule="exact"/>
        <w:rPr>
          <w:rFonts w:ascii="方正小标宋简体" w:eastAsia="方正小标宋简体"/>
          <w:sz w:val="44"/>
          <w:szCs w:val="44"/>
        </w:rPr>
      </w:pPr>
      <w:bookmarkStart w:id="0" w:name="_Toc173496797"/>
      <w:r>
        <w:rPr>
          <w:rFonts w:hint="eastAsia" w:ascii="方正小标宋简体" w:eastAsia="方正小标宋简体"/>
          <w:sz w:val="44"/>
          <w:szCs w:val="44"/>
        </w:rPr>
        <w:t>普惠性民办幼儿园生均经费补助</w:t>
      </w:r>
    </w:p>
    <w:p>
      <w:pPr>
        <w:pStyle w:val="34"/>
        <w:spacing w:line="560" w:lineRule="exact"/>
        <w:rPr>
          <w:rFonts w:ascii="方正小标宋简体" w:eastAsia="方正小标宋简体"/>
          <w:sz w:val="44"/>
          <w:szCs w:val="44"/>
        </w:rPr>
      </w:pPr>
      <w:r>
        <w:rPr>
          <w:rFonts w:hint="eastAsia" w:ascii="方正小标宋简体" w:eastAsia="方正小标宋简体"/>
          <w:sz w:val="44"/>
          <w:szCs w:val="44"/>
        </w:rPr>
        <w:t>项目绩效评价报告</w:t>
      </w:r>
      <w:bookmarkEnd w:id="0"/>
    </w:p>
    <w:p>
      <w:pPr>
        <w:pStyle w:val="27"/>
        <w:spacing w:line="560" w:lineRule="exact"/>
        <w:ind w:firstLine="640"/>
      </w:pPr>
    </w:p>
    <w:p>
      <w:pPr>
        <w:pStyle w:val="27"/>
        <w:spacing w:line="560" w:lineRule="exact"/>
        <w:ind w:firstLine="640"/>
        <w:rPr>
          <w:color w:val="000000" w:themeColor="text1"/>
          <w14:textFill>
            <w14:solidFill>
              <w14:schemeClr w14:val="tx1"/>
            </w14:solidFill>
          </w14:textFill>
        </w:rPr>
      </w:pPr>
      <w:r>
        <w:rPr>
          <w:color w:val="000000" w:themeColor="text1"/>
          <w14:textFill>
            <w14:solidFill>
              <w14:schemeClr w14:val="tx1"/>
            </w14:solidFill>
          </w14:textFill>
        </w:rPr>
        <w:t>为提高财政资金使用效益，合理配置公共财政资源，根据市委、市政府关于全面推进预算绩效管理的实施方案和《天津市市级财政项目支出绩效评价管理办法》（津财绩效〔2020〕12号）等文件要求，天津市</w:t>
      </w:r>
      <w:r>
        <w:rPr>
          <w:rFonts w:hint="eastAsia"/>
          <w:color w:val="000000" w:themeColor="text1"/>
          <w14:textFill>
            <w14:solidFill>
              <w14:schemeClr w14:val="tx1"/>
            </w14:solidFill>
          </w14:textFill>
        </w:rPr>
        <w:t>和平区</w:t>
      </w:r>
      <w:r>
        <w:rPr>
          <w:color w:val="000000" w:themeColor="text1"/>
          <w14:textFill>
            <w14:solidFill>
              <w14:schemeClr w14:val="tx1"/>
            </w14:solidFill>
          </w14:textFill>
        </w:rPr>
        <w:t>财政局引入第三方专业机构成立了绩效评价组，于2024年7月-8月，对</w:t>
      </w:r>
      <w:r>
        <w:rPr>
          <w:rFonts w:hint="eastAsia"/>
          <w:color w:val="000000" w:themeColor="text1"/>
          <w14:textFill>
            <w14:solidFill>
              <w14:schemeClr w14:val="tx1"/>
            </w14:solidFill>
          </w14:textFill>
        </w:rPr>
        <w:t>天津市和平区教育局</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普惠性民办幼儿园生均经费补助</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开展了绩效评价。该项目评价结果</w:t>
      </w:r>
      <w:r>
        <w:rPr>
          <w:color w:val="000000" w:themeColor="text1"/>
          <w:highlight w:val="none"/>
          <w14:textFill>
            <w14:solidFill>
              <w14:schemeClr w14:val="tx1"/>
            </w14:solidFill>
          </w14:textFill>
        </w:rPr>
        <w:t>为99分</w:t>
      </w:r>
      <w:r>
        <w:rPr>
          <w:color w:val="000000" w:themeColor="text1"/>
          <w14:textFill>
            <w14:solidFill>
              <w14:schemeClr w14:val="tx1"/>
            </w14:solidFill>
          </w14:textFill>
        </w:rPr>
        <w:t>，评价等级为“</w:t>
      </w:r>
      <w:r>
        <w:rPr>
          <w:rFonts w:hint="eastAsia"/>
          <w:color w:val="000000" w:themeColor="text1"/>
          <w14:textFill>
            <w14:solidFill>
              <w14:schemeClr w14:val="tx1"/>
            </w14:solidFill>
          </w14:textFill>
        </w:rPr>
        <w:t>优</w:t>
      </w:r>
      <w:r>
        <w:rPr>
          <w:color w:val="000000" w:themeColor="text1"/>
          <w14:textFill>
            <w14:solidFill>
              <w14:schemeClr w14:val="tx1"/>
            </w14:solidFill>
          </w14:textFill>
        </w:rPr>
        <w:t>”，有关情况如下。</w:t>
      </w:r>
    </w:p>
    <w:p>
      <w:pPr>
        <w:pStyle w:val="29"/>
        <w:spacing w:line="560" w:lineRule="exact"/>
      </w:pPr>
      <w:bookmarkStart w:id="1" w:name="_Toc20171"/>
      <w:bookmarkStart w:id="2" w:name="_Hlk91875033"/>
      <w:r>
        <w:rPr>
          <w:rFonts w:hint="eastAsia"/>
        </w:rPr>
        <w:t>一、项目基本情况</w:t>
      </w:r>
      <w:bookmarkEnd w:id="1"/>
    </w:p>
    <w:p>
      <w:pPr>
        <w:pStyle w:val="31"/>
        <w:spacing w:line="560" w:lineRule="exact"/>
        <w:ind w:firstLine="640"/>
      </w:pPr>
      <w:bookmarkStart w:id="3" w:name="_Toc12245"/>
      <w:r>
        <w:rPr>
          <w:rFonts w:hint="eastAsia"/>
        </w:rPr>
        <w:t>（一）项目概况</w:t>
      </w:r>
      <w:bookmarkEnd w:id="3"/>
    </w:p>
    <w:p>
      <w:pPr>
        <w:pStyle w:val="27"/>
        <w:spacing w:line="560" w:lineRule="exact"/>
        <w:ind w:firstLine="640"/>
      </w:pPr>
      <w:r>
        <w:rPr>
          <w:rFonts w:hint="eastAsia"/>
        </w:rPr>
        <w:t>1.项目背景</w:t>
      </w:r>
    </w:p>
    <w:p>
      <w:pPr>
        <w:spacing w:line="560" w:lineRule="exact"/>
        <w:ind w:firstLine="640"/>
        <w:jc w:val="both"/>
        <w:rPr>
          <w:rFonts w:ascii="Times New Roman" w:hAnsi="Times New Roman" w:eastAsia="仿宋_GB2312" w:cs="仿宋_GB2312"/>
          <w:sz w:val="32"/>
          <w:szCs w:val="32"/>
        </w:rPr>
      </w:pPr>
      <w:r>
        <w:rPr>
          <w:rFonts w:hint="eastAsia" w:ascii="仿宋_GB2312" w:hAnsi="仿宋_GB2312" w:eastAsia="仿宋_GB2312" w:cs="仿宋_GB2312"/>
          <w:sz w:val="32"/>
          <w:szCs w:val="32"/>
        </w:rPr>
        <w:t>学前教育发展，关系亿万儿童健康成长，关系社会和谐稳定，高质量学前教育，不仅促进个体发展，办好学前教育、实现幼有所育，是党的十九大作出的重大决策部署，是党和政府为老百姓办实事的重大民生工程。但是学前教育仍是教育发展中的薄弱环节，主要表现为教育资源短缺、投入不足，师资队伍不健全，体制</w:t>
      </w:r>
      <w:r>
        <w:rPr>
          <w:rFonts w:ascii="仿宋_GB2312" w:hAnsi="仿宋_GB2312" w:eastAsia="仿宋_GB2312" w:cs="仿宋_GB2312"/>
          <w:sz w:val="32"/>
          <w:szCs w:val="32"/>
        </w:rPr>
        <w:t>机制不完善，城乡区域发展不平衡，一些地方“入园难”“入园贵”问题突出</w:t>
      </w:r>
      <w:r>
        <w:rPr>
          <w:rFonts w:hint="eastAsia" w:ascii="仿宋_GB2312" w:hAnsi="仿宋_GB2312" w:eastAsia="仿宋_GB2312" w:cs="仿宋_GB2312"/>
          <w:sz w:val="32"/>
          <w:szCs w:val="32"/>
        </w:rPr>
        <w:t>。为解决上述问题，</w:t>
      </w:r>
      <w:r>
        <w:rPr>
          <w:rFonts w:ascii="仿宋_GB2312" w:hAnsi="仿宋_GB2312" w:eastAsia="仿宋_GB2312" w:cs="仿宋_GB2312"/>
          <w:sz w:val="32"/>
          <w:szCs w:val="32"/>
        </w:rPr>
        <w:t>党中央、国务院</w:t>
      </w:r>
      <w:r>
        <w:rPr>
          <w:rFonts w:hint="eastAsia" w:ascii="仿宋_GB2312" w:hAnsi="仿宋_GB2312" w:eastAsia="仿宋_GB2312" w:cs="仿宋_GB2312"/>
          <w:sz w:val="32"/>
          <w:szCs w:val="32"/>
        </w:rPr>
        <w:t>印发《国家中长期教育改革和发展规划纲要（</w:t>
      </w:r>
      <w:r>
        <w:rPr>
          <w:rFonts w:ascii="Times New Roman" w:hAnsi="Times New Roman" w:eastAsia="仿宋_GB2312"/>
          <w:sz w:val="32"/>
          <w:szCs w:val="32"/>
        </w:rPr>
        <w:t>2010</w:t>
      </w:r>
      <w:r>
        <w:rPr>
          <w:rFonts w:hint="eastAsia" w:ascii="仿宋_GB2312" w:hAnsi="仿宋_GB2312" w:eastAsia="仿宋_GB2312" w:cs="仿宋_GB2312"/>
          <w:sz w:val="32"/>
          <w:szCs w:val="32"/>
        </w:rPr>
        <w:t>-</w:t>
      </w:r>
      <w:r>
        <w:rPr>
          <w:rFonts w:ascii="Times New Roman" w:hAnsi="Times New Roman" w:eastAsia="仿宋_GB2312"/>
          <w:sz w:val="32"/>
          <w:szCs w:val="32"/>
        </w:rPr>
        <w:t>2020</w:t>
      </w:r>
      <w:r>
        <w:rPr>
          <w:rFonts w:hint="eastAsia" w:ascii="仿宋_GB2312" w:hAnsi="仿宋_GB2312" w:eastAsia="仿宋_GB2312" w:cs="仿宋_GB2312"/>
          <w:sz w:val="32"/>
          <w:szCs w:val="32"/>
        </w:rPr>
        <w:t>年）》《国务院关于当前发展学前教育的若干意见》等文件，</w:t>
      </w:r>
      <w:r>
        <w:rPr>
          <w:rFonts w:ascii="仿宋_GB2312" w:hAnsi="仿宋_GB2312" w:eastAsia="仿宋_GB2312" w:cs="仿宋_GB2312"/>
          <w:sz w:val="32"/>
          <w:szCs w:val="32"/>
        </w:rPr>
        <w:t>指出要积极扶持</w:t>
      </w:r>
      <w:r>
        <w:rPr>
          <w:rFonts w:hint="eastAsia" w:ascii="仿宋_GB2312" w:hAnsi="仿宋_GB2312" w:eastAsia="仿宋_GB2312" w:cs="仿宋_GB2312"/>
          <w:sz w:val="32"/>
          <w:szCs w:val="32"/>
        </w:rPr>
        <w:t>面向大众、收费较低的民办非营利性幼儿园纳入</w:t>
      </w:r>
      <w:r>
        <w:rPr>
          <w:rFonts w:ascii="仿宋_GB2312" w:hAnsi="仿宋_GB2312" w:eastAsia="仿宋_GB2312" w:cs="仿宋_GB2312"/>
          <w:sz w:val="32"/>
          <w:szCs w:val="32"/>
        </w:rPr>
        <w:t>普惠性民办幼儿园</w:t>
      </w:r>
      <w:r>
        <w:rPr>
          <w:rFonts w:hint="eastAsia" w:ascii="仿宋_GB2312" w:hAnsi="仿宋_GB2312" w:eastAsia="仿宋_GB2312" w:cs="仿宋_GB2312"/>
          <w:sz w:val="32"/>
          <w:szCs w:val="32"/>
        </w:rPr>
        <w:t>行列，</w:t>
      </w:r>
      <w:r>
        <w:rPr>
          <w:rFonts w:ascii="仿宋_GB2312" w:hAnsi="仿宋_GB2312" w:eastAsia="仿宋_GB2312" w:cs="仿宋_GB2312"/>
          <w:sz w:val="32"/>
          <w:szCs w:val="32"/>
        </w:rPr>
        <w:t>采取政府购买服务、减免租金、以奖代补、派驻公办教师等方式，引导和支持民办幼儿园提供普惠性服务</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推进</w:t>
      </w:r>
      <w:r>
        <w:rPr>
          <w:rFonts w:hint="eastAsia" w:ascii="仿宋_GB2312" w:hAnsi="仿宋_GB2312" w:eastAsia="仿宋_GB2312" w:cs="仿宋_GB2312"/>
          <w:sz w:val="32"/>
          <w:szCs w:val="32"/>
        </w:rPr>
        <w:t>学前教育</w:t>
      </w:r>
      <w:r>
        <w:rPr>
          <w:rFonts w:ascii="仿宋_GB2312" w:hAnsi="仿宋_GB2312" w:eastAsia="仿宋_GB2312" w:cs="仿宋_GB2312"/>
          <w:sz w:val="32"/>
          <w:szCs w:val="32"/>
        </w:rPr>
        <w:t>综合改革，坚持公益性和普惠性，构建覆盖城乡、布局合理的学前教育公共服务体系，为幼儿和家长提供方便就近、灵活多样、多种层次的学前教育服务，促进学前教育事业科学发展。</w:t>
      </w:r>
      <w:r>
        <w:rPr>
          <w:rFonts w:hint="eastAsia" w:ascii="仿宋_GB2312" w:hAnsi="仿宋_GB2312" w:eastAsia="仿宋_GB2312" w:cs="仿宋_GB2312"/>
          <w:sz w:val="32"/>
          <w:szCs w:val="32"/>
        </w:rPr>
        <w:t>为进一步加大对普惠性民办幼儿园扶持力度，鼓励多种形式扩大普惠性学前教育资源，保障适龄儿童接受有质量的学前教育，天津市设立了普惠性民办幼</w:t>
      </w:r>
      <w:r>
        <w:rPr>
          <w:rFonts w:hint="eastAsia" w:ascii="Times New Roman" w:hAnsi="Times New Roman" w:eastAsia="仿宋_GB2312" w:cs="仿宋_GB2312"/>
          <w:sz w:val="32"/>
          <w:szCs w:val="32"/>
        </w:rPr>
        <w:t>儿园补助专项资金。</w:t>
      </w:r>
    </w:p>
    <w:p>
      <w:pPr>
        <w:spacing w:line="560" w:lineRule="exact"/>
        <w:ind w:firstLine="64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天津市和平</w:t>
      </w:r>
      <w:r>
        <w:rPr>
          <w:rFonts w:ascii="Times New Roman" w:hAnsi="Times New Roman" w:eastAsia="仿宋_GB2312" w:cs="仿宋_GB2312"/>
          <w:sz w:val="32"/>
          <w:szCs w:val="32"/>
        </w:rPr>
        <w:t>区教育</w:t>
      </w:r>
      <w:r>
        <w:rPr>
          <w:rFonts w:hint="eastAsia" w:ascii="Times New Roman" w:hAnsi="Times New Roman" w:eastAsia="仿宋_GB2312" w:cs="仿宋_GB2312"/>
          <w:sz w:val="32"/>
          <w:szCs w:val="32"/>
        </w:rPr>
        <w:t>局（以下简称“区教育局”）根据《市教委市财政局关于调整天津市普惠性民办幼儿园生均经费补助项目和资金管理办法的通知》（津教政〔2022〕20号）、</w:t>
      </w:r>
      <w:r>
        <w:rPr>
          <w:rFonts w:ascii="Times New Roman" w:hAnsi="Times New Roman" w:eastAsia="仿宋_GB2312" w:cs="仿宋_GB2312"/>
          <w:sz w:val="32"/>
          <w:szCs w:val="32"/>
        </w:rPr>
        <w:t>《天津市普惠性民办幼儿园认定办法》</w:t>
      </w:r>
      <w:r>
        <w:rPr>
          <w:rFonts w:hint="eastAsia" w:ascii="Times New Roman" w:hAnsi="Times New Roman" w:eastAsia="仿宋_GB2312" w:cs="仿宋_GB2312"/>
          <w:sz w:val="32"/>
          <w:szCs w:val="32"/>
        </w:rPr>
        <w:t>文件要求，为实现</w:t>
      </w:r>
      <w:r>
        <w:rPr>
          <w:rFonts w:ascii="Times New Roman" w:hAnsi="Times New Roman" w:eastAsia="仿宋_GB2312" w:cs="仿宋_GB2312"/>
          <w:sz w:val="32"/>
          <w:szCs w:val="32"/>
        </w:rPr>
        <w:t>促进学前教育普及普惠安全优质发展，</w:t>
      </w:r>
      <w:r>
        <w:rPr>
          <w:rFonts w:hint="eastAsia" w:ascii="Times New Roman" w:hAnsi="Times New Roman" w:eastAsia="仿宋_GB2312" w:cs="仿宋_GB2312"/>
          <w:sz w:val="32"/>
          <w:szCs w:val="32"/>
        </w:rPr>
        <w:t>提供更优质的普惠性学前教育服务</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申报普惠性民办幼儿园生均经费</w:t>
      </w:r>
      <w:r>
        <w:rPr>
          <w:rFonts w:ascii="Times New Roman" w:hAnsi="Times New Roman" w:eastAsia="仿宋_GB2312" w:cs="仿宋_GB2312"/>
          <w:sz w:val="32"/>
          <w:szCs w:val="32"/>
        </w:rPr>
        <w:t>补助</w:t>
      </w:r>
      <w:r>
        <w:rPr>
          <w:rFonts w:hint="eastAsia" w:ascii="Times New Roman" w:hAnsi="Times New Roman" w:eastAsia="仿宋_GB2312" w:cs="仿宋_GB2312"/>
          <w:sz w:val="32"/>
          <w:szCs w:val="32"/>
        </w:rPr>
        <w:t>项目。</w:t>
      </w:r>
    </w:p>
    <w:p>
      <w:pPr>
        <w:pStyle w:val="27"/>
        <w:spacing w:line="560" w:lineRule="exact"/>
        <w:ind w:firstLine="640"/>
      </w:pPr>
      <w:r>
        <w:rPr>
          <w:rFonts w:hint="eastAsia"/>
        </w:rPr>
        <w:t>2.主要内容</w:t>
      </w:r>
    </w:p>
    <w:p>
      <w:pPr>
        <w:pStyle w:val="27"/>
        <w:spacing w:line="560" w:lineRule="exact"/>
        <w:ind w:firstLine="640"/>
      </w:pPr>
      <w:r>
        <w:rPr>
          <w:szCs w:val="32"/>
        </w:rPr>
        <w:t>普惠性民办幼儿园生均经费补助</w:t>
      </w:r>
      <w:r>
        <w:rPr>
          <w:rFonts w:hint="eastAsia"/>
        </w:rPr>
        <w:t>项目主要内容是：</w:t>
      </w:r>
      <w:r>
        <w:rPr>
          <w:rFonts w:hint="eastAsia" w:ascii="仿宋_GB2312" w:hAnsi="仿宋_GB2312" w:cs="仿宋_GB2312"/>
          <w:szCs w:val="32"/>
        </w:rPr>
        <w:t>开展普惠性幼儿园等级认定工作，对已完成认定的普惠性民办幼儿园发放生均经费补助</w:t>
      </w:r>
      <w:r>
        <w:rPr>
          <w:rFonts w:hint="eastAsia"/>
          <w:szCs w:val="32"/>
        </w:rPr>
        <w:t>，</w:t>
      </w:r>
      <w:r>
        <w:rPr>
          <w:szCs w:val="32"/>
        </w:rPr>
        <w:t>用于</w:t>
      </w:r>
      <w:r>
        <w:rPr>
          <w:rFonts w:hint="eastAsia"/>
          <w:szCs w:val="32"/>
        </w:rPr>
        <w:t>支持</w:t>
      </w:r>
      <w:r>
        <w:rPr>
          <w:szCs w:val="32"/>
        </w:rPr>
        <w:t>普惠性民办幼儿园</w:t>
      </w:r>
      <w:r>
        <w:rPr>
          <w:rFonts w:hint="eastAsia"/>
          <w:szCs w:val="32"/>
        </w:rPr>
        <w:t>正常运转及健康</w:t>
      </w:r>
      <w:r>
        <w:rPr>
          <w:szCs w:val="32"/>
        </w:rPr>
        <w:t>发展</w:t>
      </w:r>
      <w:r>
        <w:rPr>
          <w:rFonts w:hint="eastAsia"/>
          <w:szCs w:val="32"/>
        </w:rPr>
        <w:t>，</w:t>
      </w:r>
      <w:r>
        <w:rPr>
          <w:szCs w:val="32"/>
        </w:rPr>
        <w:t>引导和扶持民办</w:t>
      </w:r>
      <w:r>
        <w:rPr>
          <w:rFonts w:hint="eastAsia"/>
          <w:szCs w:val="32"/>
        </w:rPr>
        <w:t>幼儿</w:t>
      </w:r>
      <w:r>
        <w:rPr>
          <w:szCs w:val="32"/>
        </w:rPr>
        <w:t>园向社会提供</w:t>
      </w:r>
      <w:r>
        <w:rPr>
          <w:rFonts w:hint="eastAsia"/>
          <w:szCs w:val="32"/>
        </w:rPr>
        <w:t>优质</w:t>
      </w:r>
      <w:r>
        <w:rPr>
          <w:szCs w:val="32"/>
        </w:rPr>
        <w:t>普惠性学前教育服务</w:t>
      </w:r>
      <w:r>
        <w:rPr>
          <w:rFonts w:hint="eastAsia"/>
          <w:szCs w:val="32"/>
        </w:rPr>
        <w:t>。</w:t>
      </w:r>
    </w:p>
    <w:p>
      <w:pPr>
        <w:pStyle w:val="27"/>
        <w:spacing w:line="560" w:lineRule="exact"/>
        <w:ind w:firstLine="640"/>
      </w:pPr>
      <w:r>
        <w:rPr>
          <w:rFonts w:hint="eastAsia"/>
        </w:rPr>
        <w:t>3.项目组织管理</w:t>
      </w:r>
    </w:p>
    <w:p>
      <w:pPr>
        <w:spacing w:line="560" w:lineRule="exact"/>
        <w:ind w:firstLine="640"/>
        <w:jc w:val="both"/>
        <w:rPr>
          <w:rFonts w:ascii="Times New Roman" w:hAnsi="Times New Roman" w:eastAsia="仿宋_GB2312"/>
          <w:sz w:val="32"/>
        </w:rPr>
      </w:pPr>
      <w:r>
        <w:rPr>
          <w:rFonts w:hint="eastAsia" w:ascii="Times New Roman" w:hAnsi="Times New Roman" w:eastAsia="仿宋_GB2312"/>
          <w:sz w:val="32"/>
        </w:rPr>
        <w:t>项目主管部门和实施单位为区教育局，负责统筹监督管理</w:t>
      </w:r>
      <w:r>
        <w:rPr>
          <w:rFonts w:eastAsia="仿宋_GB2312"/>
          <w:sz w:val="32"/>
          <w:szCs w:val="32"/>
        </w:rPr>
        <w:t>普惠性民办幼儿园生均经费补助</w:t>
      </w:r>
      <w:r>
        <w:rPr>
          <w:rFonts w:hint="eastAsia" w:ascii="Times New Roman" w:hAnsi="Times New Roman" w:eastAsia="仿宋_GB2312"/>
          <w:sz w:val="32"/>
        </w:rPr>
        <w:t>资金拨付、资金管理，制定本区工作方案，组织专家队伍对普惠性民办园开展条件审核、等级认定和信息公布等工作。</w:t>
      </w:r>
    </w:p>
    <w:p>
      <w:pPr>
        <w:spacing w:line="560" w:lineRule="exact"/>
        <w:ind w:firstLine="640"/>
        <w:jc w:val="both"/>
        <w:rPr>
          <w:rFonts w:ascii="Times New Roman" w:hAnsi="Times New Roman" w:eastAsia="仿宋_GB2312"/>
          <w:sz w:val="32"/>
          <w:shd w:val="clear" w:color="auto" w:fill="FFFFFF" w:themeFill="background1"/>
        </w:rPr>
      </w:pPr>
      <w:r>
        <w:rPr>
          <w:rFonts w:hint="eastAsia" w:ascii="Times New Roman" w:hAnsi="Times New Roman" w:eastAsia="仿宋_GB2312"/>
          <w:sz w:val="32"/>
          <w:shd w:val="clear" w:color="auto" w:fill="FFFFFF" w:themeFill="background1"/>
        </w:rPr>
        <w:t>天津市和平区合美幼儿园、天津市和平区华夏未来实验幼儿园、天津和平郡童幼儿园、天津市和平区摇篮幼儿园、天津市和平区阳光宝贝幼儿园、天津市和平区卓美天使幼儿园、天津市和平区合美实验幼儿园、天津市和平区学仕林幼儿园为被补助单位，负责按照区教育局要求申报认定资料、编制资金使用计划，及时反馈资金使用情况，配合区教育局审查项目资金使用情况等项目具体实施工作。</w:t>
      </w:r>
    </w:p>
    <w:p>
      <w:pPr>
        <w:pStyle w:val="27"/>
        <w:spacing w:line="560" w:lineRule="exact"/>
        <w:ind w:firstLine="640"/>
      </w:pPr>
      <w:r>
        <w:rPr>
          <w:rFonts w:hint="eastAsia"/>
        </w:rPr>
        <w:t>4.资金投入和使用情况</w:t>
      </w:r>
    </w:p>
    <w:p>
      <w:pPr>
        <w:pStyle w:val="27"/>
        <w:spacing w:line="560" w:lineRule="exact"/>
        <w:ind w:firstLine="640"/>
        <w:rPr>
          <w:szCs w:val="32"/>
        </w:rPr>
      </w:pPr>
      <w:r>
        <w:rPr>
          <w:rFonts w:hint="eastAsia"/>
          <w:szCs w:val="32"/>
        </w:rPr>
        <w:t>普惠性民办幼儿园生均经费由市、区两级统筹解决，按事权划分原则，由市级、区级财政分别安排补贴资金。项目安排预算资金1</w:t>
      </w:r>
      <w:r>
        <w:rPr>
          <w:szCs w:val="32"/>
        </w:rPr>
        <w:t>062.74</w:t>
      </w:r>
      <w:r>
        <w:rPr>
          <w:rFonts w:hint="eastAsia"/>
          <w:szCs w:val="32"/>
        </w:rPr>
        <w:t>万元（其中：年初预算</w:t>
      </w:r>
      <w:r>
        <w:rPr>
          <w:rFonts w:hint="eastAsia"/>
        </w:rPr>
        <w:t>5</w:t>
      </w:r>
      <w:r>
        <w:t>00.42</w:t>
      </w:r>
      <w:r>
        <w:rPr>
          <w:rFonts w:hint="eastAsia"/>
          <w:szCs w:val="32"/>
        </w:rPr>
        <w:t>万元</w:t>
      </w:r>
      <w:r>
        <w:rPr>
          <w:rFonts w:hint="eastAsia"/>
        </w:rPr>
        <w:t>，执行中追加预算5</w:t>
      </w:r>
      <w:r>
        <w:t>62.32</w:t>
      </w:r>
      <w:r>
        <w:rPr>
          <w:rFonts w:hint="eastAsia"/>
        </w:rPr>
        <w:t>万元），</w:t>
      </w:r>
      <w:r>
        <w:rPr>
          <w:rFonts w:hint="eastAsia"/>
          <w:szCs w:val="32"/>
        </w:rPr>
        <w:t>包括市级资金</w:t>
      </w:r>
      <w:r>
        <w:rPr>
          <w:szCs w:val="32"/>
        </w:rPr>
        <w:t>531.37</w:t>
      </w:r>
      <w:r>
        <w:rPr>
          <w:rFonts w:hint="eastAsia"/>
          <w:szCs w:val="32"/>
        </w:rPr>
        <w:t>万元，区级资金</w:t>
      </w:r>
      <w:r>
        <w:rPr>
          <w:szCs w:val="32"/>
        </w:rPr>
        <w:t>531.37</w:t>
      </w:r>
      <w:r>
        <w:rPr>
          <w:rFonts w:hint="eastAsia"/>
          <w:szCs w:val="32"/>
        </w:rPr>
        <w:t>万元。实际安排资金</w:t>
      </w:r>
      <w:r>
        <w:rPr>
          <w:szCs w:val="32"/>
        </w:rPr>
        <w:t>1062.74</w:t>
      </w:r>
      <w:r>
        <w:rPr>
          <w:rFonts w:hint="eastAsia"/>
          <w:szCs w:val="32"/>
        </w:rPr>
        <w:t>万元，包括市级资金</w:t>
      </w:r>
      <w:r>
        <w:rPr>
          <w:szCs w:val="32"/>
        </w:rPr>
        <w:t>531.37</w:t>
      </w:r>
      <w:r>
        <w:rPr>
          <w:rFonts w:hint="eastAsia"/>
          <w:szCs w:val="32"/>
        </w:rPr>
        <w:t>万元，区级资金</w:t>
      </w:r>
      <w:r>
        <w:rPr>
          <w:szCs w:val="32"/>
        </w:rPr>
        <w:t>531.37</w:t>
      </w:r>
      <w:r>
        <w:rPr>
          <w:rFonts w:hint="eastAsia"/>
          <w:szCs w:val="32"/>
        </w:rPr>
        <w:t>万元，资金到位率为</w:t>
      </w:r>
      <w:r>
        <w:rPr>
          <w:szCs w:val="32"/>
        </w:rPr>
        <w:t>100%</w:t>
      </w:r>
      <w:r>
        <w:rPr>
          <w:rFonts w:hint="eastAsia"/>
          <w:szCs w:val="32"/>
        </w:rPr>
        <w:t>。</w:t>
      </w:r>
    </w:p>
    <w:p>
      <w:pPr>
        <w:pStyle w:val="27"/>
        <w:spacing w:line="560" w:lineRule="exact"/>
        <w:ind w:firstLine="640"/>
      </w:pPr>
      <w:r>
        <w:rPr>
          <w:rFonts w:hint="eastAsia"/>
          <w:szCs w:val="32"/>
        </w:rPr>
        <w:t>区教育局拨付至普惠性民办幼儿园生均补助资金为</w:t>
      </w:r>
      <w:r>
        <w:rPr>
          <w:szCs w:val="32"/>
        </w:rPr>
        <w:t>1062.74</w:t>
      </w:r>
      <w:r>
        <w:rPr>
          <w:rFonts w:hint="eastAsia"/>
          <w:szCs w:val="32"/>
        </w:rPr>
        <w:t>万元，包括市级资金</w:t>
      </w:r>
      <w:r>
        <w:rPr>
          <w:szCs w:val="32"/>
        </w:rPr>
        <w:t>531.37</w:t>
      </w:r>
      <w:r>
        <w:rPr>
          <w:rFonts w:hint="eastAsia"/>
          <w:szCs w:val="32"/>
        </w:rPr>
        <w:t>万元，区级资金</w:t>
      </w:r>
      <w:r>
        <w:rPr>
          <w:szCs w:val="32"/>
        </w:rPr>
        <w:t>531.37</w:t>
      </w:r>
      <w:r>
        <w:rPr>
          <w:rFonts w:hint="eastAsia"/>
          <w:szCs w:val="32"/>
        </w:rPr>
        <w:t>万元，普惠性民办幼儿园实际支出</w:t>
      </w:r>
      <w:r>
        <w:rPr>
          <w:szCs w:val="32"/>
        </w:rPr>
        <w:t>1062.74</w:t>
      </w:r>
      <w:r>
        <w:rPr>
          <w:rFonts w:hint="eastAsia"/>
          <w:szCs w:val="32"/>
        </w:rPr>
        <w:t>万元，包括市级资金</w:t>
      </w:r>
      <w:r>
        <w:rPr>
          <w:szCs w:val="32"/>
        </w:rPr>
        <w:t>531.37</w:t>
      </w:r>
      <w:r>
        <w:rPr>
          <w:rFonts w:hint="eastAsia"/>
          <w:szCs w:val="32"/>
        </w:rPr>
        <w:t>万元，区级资金</w:t>
      </w:r>
      <w:r>
        <w:rPr>
          <w:szCs w:val="32"/>
        </w:rPr>
        <w:t>531.37</w:t>
      </w:r>
      <w:r>
        <w:rPr>
          <w:rFonts w:hint="eastAsia"/>
          <w:szCs w:val="32"/>
        </w:rPr>
        <w:t>万元，预算执行率为</w:t>
      </w:r>
      <w:r>
        <w:rPr>
          <w:szCs w:val="32"/>
        </w:rPr>
        <w:t>100%</w:t>
      </w:r>
      <w:r>
        <w:rPr>
          <w:rFonts w:hint="eastAsia"/>
          <w:szCs w:val="32"/>
        </w:rPr>
        <w:t>。</w:t>
      </w:r>
      <w:r>
        <w:rPr>
          <w:rFonts w:hint="eastAsia"/>
        </w:rPr>
        <w:t>资金具体情况见表1。</w:t>
      </w:r>
    </w:p>
    <w:p>
      <w:pPr>
        <w:pStyle w:val="34"/>
        <w:spacing w:line="560" w:lineRule="exact"/>
      </w:pPr>
      <w:r>
        <w:t>表1</w:t>
      </w:r>
      <w:r>
        <w:rPr>
          <w:rFonts w:hint="eastAsia"/>
        </w:rPr>
        <w:t xml:space="preserve">  </w:t>
      </w:r>
      <w:r>
        <w:t>资金预算执行率情况表</w:t>
      </w:r>
    </w:p>
    <w:p>
      <w:pPr>
        <w:pStyle w:val="35"/>
        <w:spacing w:line="560" w:lineRule="exact"/>
      </w:pPr>
      <w:r>
        <w:rPr>
          <w:rFonts w:hint="eastAsia"/>
        </w:rPr>
        <w:t>单位：万元</w:t>
      </w:r>
    </w:p>
    <w:tbl>
      <w:tblPr>
        <w:tblStyle w:val="16"/>
        <w:tblW w:w="4945"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09"/>
        <w:gridCol w:w="1511"/>
        <w:gridCol w:w="1510"/>
        <w:gridCol w:w="1510"/>
        <w:gridCol w:w="1510"/>
        <w:gridCol w:w="141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blHeader/>
          <w:jc w:val="center"/>
        </w:trPr>
        <w:tc>
          <w:tcPr>
            <w:tcW w:w="842" w:type="pct"/>
            <w:vAlign w:val="center"/>
          </w:tcPr>
          <w:p>
            <w:pPr>
              <w:pStyle w:val="37"/>
              <w:rPr>
                <w:rFonts w:ascii="宋体" w:hAnsi="宋体" w:eastAsia="宋体" w:cs="宋体"/>
              </w:rPr>
            </w:pPr>
            <w:r>
              <w:rPr>
                <w:rFonts w:hint="eastAsia" w:ascii="宋体" w:hAnsi="宋体" w:eastAsia="宋体" w:cs="宋体"/>
              </w:rPr>
              <w:t>资金计划</w:t>
            </w:r>
          </w:p>
          <w:p>
            <w:pPr>
              <w:pStyle w:val="37"/>
              <w:rPr>
                <w:rFonts w:ascii="宋体" w:hAnsi="宋体" w:eastAsia="宋体" w:cs="宋体"/>
              </w:rPr>
            </w:pPr>
            <w:r>
              <w:rPr>
                <w:rFonts w:hint="eastAsia" w:ascii="宋体" w:hAnsi="宋体" w:eastAsia="宋体" w:cs="宋体"/>
              </w:rPr>
              <w:t>下达时间</w:t>
            </w:r>
          </w:p>
        </w:tc>
        <w:tc>
          <w:tcPr>
            <w:tcW w:w="843" w:type="pct"/>
            <w:vAlign w:val="center"/>
          </w:tcPr>
          <w:p>
            <w:pPr>
              <w:pStyle w:val="37"/>
              <w:rPr>
                <w:rFonts w:ascii="宋体" w:hAnsi="宋体" w:eastAsia="宋体" w:cs="宋体"/>
              </w:rPr>
            </w:pPr>
            <w:r>
              <w:rPr>
                <w:rFonts w:hint="eastAsia" w:ascii="宋体" w:hAnsi="宋体" w:eastAsia="宋体" w:cs="宋体"/>
              </w:rPr>
              <w:t>资金计划</w:t>
            </w:r>
          </w:p>
          <w:p>
            <w:pPr>
              <w:pStyle w:val="37"/>
              <w:rPr>
                <w:rFonts w:ascii="宋体" w:hAnsi="宋体" w:eastAsia="宋体" w:cs="宋体"/>
              </w:rPr>
            </w:pPr>
            <w:r>
              <w:rPr>
                <w:rFonts w:hint="eastAsia" w:ascii="宋体" w:hAnsi="宋体" w:eastAsia="宋体" w:cs="宋体"/>
              </w:rPr>
              <w:t>下达金额</w:t>
            </w:r>
          </w:p>
        </w:tc>
        <w:tc>
          <w:tcPr>
            <w:tcW w:w="842" w:type="pct"/>
            <w:vAlign w:val="center"/>
          </w:tcPr>
          <w:p>
            <w:pPr>
              <w:pStyle w:val="37"/>
              <w:rPr>
                <w:rFonts w:ascii="宋体" w:hAnsi="宋体" w:eastAsia="宋体" w:cs="宋体"/>
              </w:rPr>
            </w:pPr>
            <w:r>
              <w:rPr>
                <w:rFonts w:hint="eastAsia" w:ascii="宋体" w:hAnsi="宋体" w:eastAsia="宋体" w:cs="宋体"/>
              </w:rPr>
              <w:t>实际到位资金</w:t>
            </w:r>
          </w:p>
        </w:tc>
        <w:tc>
          <w:tcPr>
            <w:tcW w:w="842" w:type="pct"/>
            <w:vAlign w:val="center"/>
          </w:tcPr>
          <w:p>
            <w:pPr>
              <w:pStyle w:val="37"/>
              <w:rPr>
                <w:rFonts w:ascii="宋体" w:hAnsi="宋体" w:eastAsia="宋体" w:cs="宋体"/>
              </w:rPr>
            </w:pPr>
            <w:r>
              <w:rPr>
                <w:rFonts w:hint="eastAsia" w:ascii="宋体" w:hAnsi="宋体" w:eastAsia="宋体" w:cs="宋体"/>
              </w:rPr>
              <w:t>资金到位率</w:t>
            </w:r>
          </w:p>
        </w:tc>
        <w:tc>
          <w:tcPr>
            <w:tcW w:w="842" w:type="pct"/>
            <w:vAlign w:val="center"/>
          </w:tcPr>
          <w:p>
            <w:pPr>
              <w:pStyle w:val="37"/>
              <w:rPr>
                <w:rFonts w:ascii="宋体" w:hAnsi="宋体" w:eastAsia="宋体" w:cs="宋体"/>
              </w:rPr>
            </w:pPr>
            <w:r>
              <w:rPr>
                <w:rFonts w:hint="eastAsia" w:ascii="宋体" w:hAnsi="宋体" w:eastAsia="宋体" w:cs="宋体"/>
              </w:rPr>
              <w:t>实际支付资金</w:t>
            </w:r>
          </w:p>
        </w:tc>
        <w:tc>
          <w:tcPr>
            <w:tcW w:w="787" w:type="pct"/>
            <w:vAlign w:val="center"/>
          </w:tcPr>
          <w:p>
            <w:pPr>
              <w:pStyle w:val="37"/>
              <w:rPr>
                <w:rFonts w:ascii="宋体" w:hAnsi="宋体" w:eastAsia="宋体" w:cs="宋体"/>
              </w:rPr>
            </w:pPr>
            <w:r>
              <w:rPr>
                <w:rFonts w:hint="eastAsia" w:ascii="宋体" w:hAnsi="宋体" w:eastAsia="宋体" w:cs="宋体"/>
              </w:rPr>
              <w:t>预算执行率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842" w:type="pct"/>
            <w:vAlign w:val="center"/>
          </w:tcPr>
          <w:p>
            <w:pPr>
              <w:pStyle w:val="39"/>
            </w:pPr>
            <w:r>
              <w:rPr>
                <w:rFonts w:hint="eastAsia"/>
              </w:rPr>
              <w:t>2</w:t>
            </w:r>
            <w:r>
              <w:t>023</w:t>
            </w:r>
            <w:r>
              <w:rPr>
                <w:rFonts w:hint="eastAsia"/>
              </w:rPr>
              <w:t>年</w:t>
            </w:r>
          </w:p>
        </w:tc>
        <w:tc>
          <w:tcPr>
            <w:tcW w:w="843" w:type="pct"/>
            <w:vAlign w:val="center"/>
          </w:tcPr>
          <w:p>
            <w:pPr>
              <w:pStyle w:val="39"/>
            </w:pPr>
            <w:r>
              <w:rPr>
                <w:rFonts w:hint="eastAsia"/>
              </w:rPr>
              <w:t>1</w:t>
            </w:r>
            <w:r>
              <w:t>062.74</w:t>
            </w:r>
          </w:p>
        </w:tc>
        <w:tc>
          <w:tcPr>
            <w:tcW w:w="842" w:type="pct"/>
            <w:vAlign w:val="center"/>
          </w:tcPr>
          <w:p>
            <w:pPr>
              <w:pStyle w:val="39"/>
            </w:pPr>
            <w:r>
              <w:rPr>
                <w:rFonts w:hint="eastAsia"/>
              </w:rPr>
              <w:t>1</w:t>
            </w:r>
            <w:r>
              <w:t>062.74</w:t>
            </w:r>
          </w:p>
        </w:tc>
        <w:tc>
          <w:tcPr>
            <w:tcW w:w="842" w:type="pct"/>
            <w:vAlign w:val="center"/>
          </w:tcPr>
          <w:p>
            <w:pPr>
              <w:pStyle w:val="39"/>
            </w:pPr>
            <w:r>
              <w:rPr>
                <w:rFonts w:hint="eastAsia"/>
              </w:rPr>
              <w:t>1</w:t>
            </w:r>
            <w:r>
              <w:t>00%</w:t>
            </w:r>
          </w:p>
        </w:tc>
        <w:tc>
          <w:tcPr>
            <w:tcW w:w="842" w:type="pct"/>
            <w:vAlign w:val="center"/>
          </w:tcPr>
          <w:p>
            <w:pPr>
              <w:pStyle w:val="39"/>
            </w:pPr>
            <w:r>
              <w:rPr>
                <w:rFonts w:hint="eastAsia"/>
              </w:rPr>
              <w:t>1</w:t>
            </w:r>
            <w:r>
              <w:t>062.74</w:t>
            </w:r>
          </w:p>
        </w:tc>
        <w:tc>
          <w:tcPr>
            <w:tcW w:w="787" w:type="pct"/>
            <w:vAlign w:val="center"/>
          </w:tcPr>
          <w:p>
            <w:pPr>
              <w:pStyle w:val="39"/>
            </w:pPr>
            <w:r>
              <w:rPr>
                <w:rFonts w:hint="eastAsia"/>
              </w:rPr>
              <w:t>1</w:t>
            </w:r>
            <w:r>
              <w:t>00%</w:t>
            </w:r>
          </w:p>
        </w:tc>
      </w:tr>
    </w:tbl>
    <w:p>
      <w:pPr>
        <w:pStyle w:val="31"/>
        <w:spacing w:line="560" w:lineRule="exact"/>
        <w:ind w:firstLine="640"/>
      </w:pPr>
      <w:bookmarkStart w:id="4" w:name="_Toc5440"/>
      <w:r>
        <w:rPr>
          <w:rFonts w:hint="eastAsia"/>
        </w:rPr>
        <w:t>（二）项目绩效目标</w:t>
      </w:r>
      <w:bookmarkEnd w:id="4"/>
    </w:p>
    <w:p>
      <w:pPr>
        <w:pStyle w:val="27"/>
        <w:spacing w:line="560" w:lineRule="exact"/>
        <w:ind w:firstLine="640"/>
      </w:pPr>
      <w:r>
        <w:rPr>
          <w:szCs w:val="32"/>
        </w:rPr>
        <w:t>普惠性民办幼儿园生均经费补助</w:t>
      </w:r>
      <w:r>
        <w:rPr>
          <w:rFonts w:hint="eastAsia"/>
        </w:rPr>
        <w:t>项目总体绩效目标为：为普惠性民办幼儿园发放生均补助，促进学前教育普及普惠安全优质发展，鼓励多种形式扩大普惠性学前教育资源，满足人民群众对幼有所育的美好期盼。绩效指标具体情况见表</w:t>
      </w:r>
      <w:r>
        <w:t>2</w:t>
      </w:r>
      <w:r>
        <w:rPr>
          <w:rFonts w:hint="eastAsia"/>
        </w:rPr>
        <w:t>。</w:t>
      </w:r>
    </w:p>
    <w:p>
      <w:pPr>
        <w:pStyle w:val="34"/>
        <w:spacing w:line="560" w:lineRule="exact"/>
      </w:pPr>
      <w:r>
        <w:t>表2</w:t>
      </w:r>
      <w:r>
        <w:rPr>
          <w:rFonts w:hint="eastAsia"/>
        </w:rPr>
        <w:t xml:space="preserve">  绩效指标制定</w:t>
      </w:r>
      <w:r>
        <w:t>情况表</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1912"/>
        <w:gridCol w:w="3316"/>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82" w:type="pct"/>
            <w:vAlign w:val="center"/>
          </w:tcPr>
          <w:p>
            <w:pPr>
              <w:widowControl/>
              <w:spacing w:line="240" w:lineRule="auto"/>
              <w:ind w:firstLine="0" w:firstLineChars="0"/>
              <w:jc w:val="center"/>
              <w:rPr>
                <w:rFonts w:ascii="宋体" w:hAnsi="宋体" w:eastAsia="宋体" w:cs="宋体"/>
                <w:b/>
                <w:kern w:val="0"/>
              </w:rPr>
            </w:pPr>
            <w:r>
              <w:rPr>
                <w:rFonts w:hint="eastAsia" w:ascii="宋体" w:hAnsi="宋体" w:eastAsia="宋体" w:cs="宋体"/>
                <w:b/>
              </w:rPr>
              <w:t>一级指标</w:t>
            </w:r>
          </w:p>
        </w:tc>
        <w:tc>
          <w:tcPr>
            <w:tcW w:w="1055" w:type="pct"/>
            <w:vAlign w:val="center"/>
          </w:tcPr>
          <w:p>
            <w:pPr>
              <w:ind w:firstLine="0" w:firstLineChars="0"/>
              <w:jc w:val="center"/>
              <w:rPr>
                <w:rFonts w:ascii="宋体" w:hAnsi="宋体" w:eastAsia="宋体" w:cs="宋体"/>
                <w:b/>
              </w:rPr>
            </w:pPr>
            <w:r>
              <w:rPr>
                <w:rFonts w:hint="eastAsia" w:ascii="宋体" w:hAnsi="宋体" w:eastAsia="宋体" w:cs="宋体"/>
                <w:b/>
              </w:rPr>
              <w:t>二级指标</w:t>
            </w:r>
          </w:p>
        </w:tc>
        <w:tc>
          <w:tcPr>
            <w:tcW w:w="1830" w:type="pct"/>
            <w:vAlign w:val="center"/>
          </w:tcPr>
          <w:p>
            <w:pPr>
              <w:ind w:firstLine="0" w:firstLineChars="0"/>
              <w:jc w:val="center"/>
              <w:rPr>
                <w:rFonts w:ascii="宋体" w:hAnsi="宋体" w:eastAsia="宋体" w:cs="宋体"/>
                <w:b/>
              </w:rPr>
            </w:pPr>
            <w:r>
              <w:rPr>
                <w:rFonts w:hint="eastAsia" w:ascii="宋体" w:hAnsi="宋体" w:eastAsia="宋体" w:cs="宋体"/>
                <w:b/>
              </w:rPr>
              <w:t>三级指标</w:t>
            </w:r>
          </w:p>
        </w:tc>
        <w:tc>
          <w:tcPr>
            <w:tcW w:w="1133" w:type="pct"/>
            <w:vAlign w:val="center"/>
          </w:tcPr>
          <w:p>
            <w:pPr>
              <w:ind w:firstLine="0" w:firstLineChars="0"/>
              <w:jc w:val="center"/>
              <w:rPr>
                <w:rFonts w:ascii="宋体" w:hAnsi="宋体" w:eastAsia="宋体" w:cs="宋体"/>
                <w:b/>
              </w:rPr>
            </w:pPr>
            <w:r>
              <w:rPr>
                <w:rFonts w:hint="eastAsia" w:ascii="宋体" w:hAnsi="宋体" w:eastAsia="宋体" w:cs="宋体"/>
                <w:b/>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82" w:type="pct"/>
            <w:vMerge w:val="restart"/>
            <w:vAlign w:val="center"/>
          </w:tcPr>
          <w:p>
            <w:pPr>
              <w:pStyle w:val="39"/>
              <w:spacing w:line="240" w:lineRule="auto"/>
              <w:rPr>
                <w:rFonts w:hint="eastAsia"/>
              </w:rPr>
            </w:pPr>
            <w:r>
              <w:rPr>
                <w:rFonts w:hint="eastAsia"/>
              </w:rPr>
              <w:t>产出指标</w:t>
            </w:r>
          </w:p>
        </w:tc>
        <w:tc>
          <w:tcPr>
            <w:tcW w:w="1055" w:type="pct"/>
            <w:vAlign w:val="center"/>
          </w:tcPr>
          <w:p>
            <w:pPr>
              <w:pStyle w:val="39"/>
              <w:spacing w:line="240" w:lineRule="auto"/>
            </w:pPr>
            <w:r>
              <w:rPr>
                <w:rFonts w:hint="eastAsia"/>
              </w:rPr>
              <w:t>数量指标</w:t>
            </w:r>
          </w:p>
        </w:tc>
        <w:tc>
          <w:tcPr>
            <w:tcW w:w="1830" w:type="pct"/>
            <w:vAlign w:val="center"/>
          </w:tcPr>
          <w:p>
            <w:pPr>
              <w:pStyle w:val="39"/>
              <w:spacing w:line="240" w:lineRule="auto"/>
            </w:pPr>
            <w:r>
              <w:rPr>
                <w:rFonts w:hint="eastAsia"/>
              </w:rPr>
              <w:t>补助普惠性民办幼儿园数量</w:t>
            </w:r>
          </w:p>
        </w:tc>
        <w:tc>
          <w:tcPr>
            <w:tcW w:w="1133" w:type="pct"/>
            <w:vAlign w:val="center"/>
          </w:tcPr>
          <w:p>
            <w:pPr>
              <w:pStyle w:val="39"/>
              <w:spacing w:line="240" w:lineRule="auto"/>
            </w:pPr>
            <w:r>
              <w:rPr>
                <w:rFonts w:hint="eastAsia"/>
              </w:rPr>
              <w:t>≥</w:t>
            </w:r>
            <w:r>
              <w:t>7</w:t>
            </w:r>
            <w:r>
              <w:rPr>
                <w:rFonts w:hint="eastAsi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82" w:type="pct"/>
            <w:vMerge w:val="continue"/>
            <w:vAlign w:val="center"/>
          </w:tcPr>
          <w:p>
            <w:pPr>
              <w:pStyle w:val="39"/>
              <w:spacing w:line="240" w:lineRule="auto"/>
            </w:pPr>
          </w:p>
        </w:tc>
        <w:tc>
          <w:tcPr>
            <w:tcW w:w="1055" w:type="pct"/>
            <w:vAlign w:val="center"/>
          </w:tcPr>
          <w:p>
            <w:pPr>
              <w:pStyle w:val="39"/>
              <w:spacing w:line="240" w:lineRule="auto"/>
            </w:pPr>
            <w:r>
              <w:rPr>
                <w:rFonts w:hint="eastAsia"/>
              </w:rPr>
              <w:t>质量指标</w:t>
            </w:r>
          </w:p>
        </w:tc>
        <w:tc>
          <w:tcPr>
            <w:tcW w:w="1830" w:type="pct"/>
            <w:vAlign w:val="center"/>
          </w:tcPr>
          <w:p>
            <w:pPr>
              <w:pStyle w:val="39"/>
              <w:spacing w:line="240" w:lineRule="auto"/>
            </w:pPr>
            <w:r>
              <w:rPr>
                <w:rFonts w:hint="eastAsia"/>
              </w:rPr>
              <w:t>资金发放合规率</w:t>
            </w:r>
          </w:p>
        </w:tc>
        <w:tc>
          <w:tcPr>
            <w:tcW w:w="1133" w:type="pct"/>
            <w:vAlign w:val="center"/>
          </w:tcPr>
          <w:p>
            <w:pPr>
              <w:pStyle w:val="39"/>
              <w:spacing w:line="240" w:lineRule="auto"/>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82" w:type="pct"/>
            <w:vMerge w:val="continue"/>
            <w:vAlign w:val="center"/>
          </w:tcPr>
          <w:p>
            <w:pPr>
              <w:pStyle w:val="39"/>
              <w:spacing w:line="240" w:lineRule="auto"/>
            </w:pPr>
          </w:p>
        </w:tc>
        <w:tc>
          <w:tcPr>
            <w:tcW w:w="1055" w:type="pct"/>
            <w:vAlign w:val="center"/>
          </w:tcPr>
          <w:p>
            <w:pPr>
              <w:pStyle w:val="39"/>
              <w:spacing w:line="240" w:lineRule="auto"/>
            </w:pPr>
            <w:r>
              <w:rPr>
                <w:rFonts w:hint="eastAsia"/>
              </w:rPr>
              <w:t>时效指标</w:t>
            </w:r>
          </w:p>
        </w:tc>
        <w:tc>
          <w:tcPr>
            <w:tcW w:w="1830" w:type="pct"/>
            <w:vAlign w:val="center"/>
          </w:tcPr>
          <w:p>
            <w:pPr>
              <w:pStyle w:val="39"/>
              <w:spacing w:line="240" w:lineRule="auto"/>
            </w:pPr>
            <w:r>
              <w:rPr>
                <w:rFonts w:hint="eastAsia"/>
              </w:rPr>
              <w:t>资金发放及时率</w:t>
            </w:r>
          </w:p>
        </w:tc>
        <w:tc>
          <w:tcPr>
            <w:tcW w:w="1133" w:type="pct"/>
            <w:vAlign w:val="center"/>
          </w:tcPr>
          <w:p>
            <w:pPr>
              <w:pStyle w:val="39"/>
              <w:spacing w:line="240" w:lineRule="auto"/>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82" w:type="pct"/>
            <w:vMerge w:val="continue"/>
            <w:vAlign w:val="center"/>
          </w:tcPr>
          <w:p>
            <w:pPr>
              <w:pStyle w:val="39"/>
              <w:spacing w:line="240" w:lineRule="auto"/>
            </w:pPr>
          </w:p>
        </w:tc>
        <w:tc>
          <w:tcPr>
            <w:tcW w:w="1055" w:type="pct"/>
            <w:vMerge w:val="restart"/>
            <w:vAlign w:val="center"/>
          </w:tcPr>
          <w:p>
            <w:pPr>
              <w:pStyle w:val="39"/>
              <w:spacing w:line="240" w:lineRule="auto"/>
              <w:rPr>
                <w:rFonts w:hint="eastAsia"/>
                <w:highlight w:val="none"/>
              </w:rPr>
            </w:pPr>
            <w:r>
              <w:rPr>
                <w:rFonts w:hint="eastAsia"/>
                <w:highlight w:val="none"/>
              </w:rPr>
              <w:t>成本指标</w:t>
            </w:r>
          </w:p>
        </w:tc>
        <w:tc>
          <w:tcPr>
            <w:tcW w:w="1830" w:type="pct"/>
            <w:vAlign w:val="center"/>
          </w:tcPr>
          <w:p>
            <w:pPr>
              <w:pStyle w:val="39"/>
              <w:spacing w:line="240" w:lineRule="auto"/>
              <w:rPr>
                <w:rFonts w:ascii="宋体" w:hAnsi="宋体"/>
                <w:highlight w:val="none"/>
              </w:rPr>
            </w:pPr>
            <w:r>
              <w:rPr>
                <w:rFonts w:hint="eastAsia"/>
                <w:highlight w:val="none"/>
              </w:rPr>
              <w:t>普惠性民办幼儿园市级补助经费</w:t>
            </w:r>
          </w:p>
        </w:tc>
        <w:tc>
          <w:tcPr>
            <w:tcW w:w="1133" w:type="pct"/>
            <w:vAlign w:val="center"/>
          </w:tcPr>
          <w:p>
            <w:pPr>
              <w:pStyle w:val="39"/>
              <w:spacing w:line="240" w:lineRule="auto"/>
              <w:rPr>
                <w:rFonts w:ascii="宋体" w:hAnsi="宋体"/>
                <w:highlight w:val="none"/>
              </w:rPr>
            </w:pPr>
            <w:r>
              <w:rPr>
                <w:rFonts w:hint="eastAsia"/>
                <w:highlight w:val="none"/>
              </w:rPr>
              <w:t>≤</w:t>
            </w:r>
            <w:r>
              <w:rPr>
                <w:highlight w:val="none"/>
              </w:rPr>
              <w:t>531.37</w:t>
            </w:r>
            <w:r>
              <w:rPr>
                <w:rFonts w:hint="eastAsia"/>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982" w:type="pct"/>
            <w:vMerge w:val="continue"/>
            <w:vAlign w:val="center"/>
          </w:tcPr>
          <w:p>
            <w:pPr>
              <w:pStyle w:val="39"/>
              <w:spacing w:line="240" w:lineRule="auto"/>
            </w:pPr>
          </w:p>
        </w:tc>
        <w:tc>
          <w:tcPr>
            <w:tcW w:w="1055" w:type="pct"/>
            <w:vMerge w:val="continue"/>
            <w:vAlign w:val="center"/>
          </w:tcPr>
          <w:p>
            <w:pPr>
              <w:pStyle w:val="39"/>
              <w:spacing w:line="240" w:lineRule="auto"/>
              <w:rPr>
                <w:highlight w:val="none"/>
              </w:rPr>
            </w:pPr>
          </w:p>
        </w:tc>
        <w:tc>
          <w:tcPr>
            <w:tcW w:w="1830" w:type="pct"/>
            <w:vAlign w:val="center"/>
          </w:tcPr>
          <w:p>
            <w:pPr>
              <w:pStyle w:val="39"/>
              <w:spacing w:line="240" w:lineRule="auto"/>
              <w:rPr>
                <w:rFonts w:ascii="宋体" w:hAnsi="宋体"/>
                <w:highlight w:val="none"/>
              </w:rPr>
            </w:pPr>
            <w:r>
              <w:rPr>
                <w:rFonts w:hint="eastAsia"/>
                <w:highlight w:val="none"/>
              </w:rPr>
              <w:t>普惠性民办幼儿园区级补助经费</w:t>
            </w:r>
          </w:p>
        </w:tc>
        <w:tc>
          <w:tcPr>
            <w:tcW w:w="1133" w:type="pct"/>
            <w:vAlign w:val="center"/>
          </w:tcPr>
          <w:p>
            <w:pPr>
              <w:pStyle w:val="39"/>
              <w:spacing w:line="240" w:lineRule="auto"/>
              <w:rPr>
                <w:highlight w:val="none"/>
              </w:rPr>
            </w:pPr>
            <w:r>
              <w:rPr>
                <w:rFonts w:hint="eastAsia"/>
                <w:highlight w:val="none"/>
              </w:rPr>
              <w:t>≤</w:t>
            </w:r>
            <w:r>
              <w:rPr>
                <w:highlight w:val="none"/>
              </w:rPr>
              <w:t>531.37</w:t>
            </w:r>
            <w:r>
              <w:rPr>
                <w:rFonts w:hint="eastAsia"/>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82" w:type="pct"/>
            <w:vAlign w:val="center"/>
          </w:tcPr>
          <w:p>
            <w:pPr>
              <w:pStyle w:val="39"/>
              <w:spacing w:line="240" w:lineRule="auto"/>
            </w:pPr>
            <w:r>
              <w:rPr>
                <w:rFonts w:hint="eastAsia"/>
              </w:rPr>
              <w:t>效益指标</w:t>
            </w:r>
          </w:p>
        </w:tc>
        <w:tc>
          <w:tcPr>
            <w:tcW w:w="1055" w:type="pct"/>
            <w:vAlign w:val="center"/>
          </w:tcPr>
          <w:p>
            <w:pPr>
              <w:pStyle w:val="39"/>
              <w:spacing w:line="240" w:lineRule="auto"/>
            </w:pPr>
            <w:r>
              <w:rPr>
                <w:rFonts w:hint="eastAsia"/>
              </w:rPr>
              <w:t>社会效益指标</w:t>
            </w:r>
          </w:p>
        </w:tc>
        <w:tc>
          <w:tcPr>
            <w:tcW w:w="1830" w:type="pct"/>
            <w:vAlign w:val="center"/>
          </w:tcPr>
          <w:p>
            <w:pPr>
              <w:pStyle w:val="39"/>
              <w:spacing w:line="240" w:lineRule="auto"/>
            </w:pPr>
            <w:r>
              <w:rPr>
                <w:rFonts w:hint="eastAsia"/>
              </w:rPr>
              <w:t>提高学前教育普惠保障水平</w:t>
            </w:r>
          </w:p>
        </w:tc>
        <w:tc>
          <w:tcPr>
            <w:tcW w:w="1133" w:type="pct"/>
            <w:vAlign w:val="center"/>
          </w:tcPr>
          <w:p>
            <w:pPr>
              <w:pStyle w:val="39"/>
              <w:spacing w:line="240" w:lineRule="auto"/>
            </w:pPr>
            <w:r>
              <w:rPr>
                <w:rFonts w:hint="eastAsia"/>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982" w:type="pct"/>
            <w:vMerge w:val="restart"/>
            <w:vAlign w:val="center"/>
          </w:tcPr>
          <w:p>
            <w:pPr>
              <w:pStyle w:val="39"/>
              <w:spacing w:line="240" w:lineRule="auto"/>
            </w:pPr>
            <w:r>
              <w:rPr>
                <w:rFonts w:hint="eastAsia"/>
              </w:rPr>
              <w:t>满意度指标</w:t>
            </w:r>
          </w:p>
        </w:tc>
        <w:tc>
          <w:tcPr>
            <w:tcW w:w="1055" w:type="pct"/>
            <w:vMerge w:val="restart"/>
            <w:vAlign w:val="center"/>
          </w:tcPr>
          <w:p>
            <w:pPr>
              <w:pStyle w:val="39"/>
              <w:spacing w:line="240" w:lineRule="auto"/>
            </w:pPr>
            <w:r>
              <w:rPr>
                <w:rFonts w:hint="eastAsia"/>
              </w:rPr>
              <w:t>服务对象满意度指标</w:t>
            </w:r>
          </w:p>
        </w:tc>
        <w:tc>
          <w:tcPr>
            <w:tcW w:w="1830" w:type="pct"/>
            <w:vAlign w:val="center"/>
          </w:tcPr>
          <w:p>
            <w:pPr>
              <w:pStyle w:val="39"/>
              <w:spacing w:line="240" w:lineRule="auto"/>
            </w:pPr>
            <w:r>
              <w:rPr>
                <w:rFonts w:hint="eastAsia"/>
              </w:rPr>
              <w:t>学生满意度</w:t>
            </w:r>
          </w:p>
        </w:tc>
        <w:tc>
          <w:tcPr>
            <w:tcW w:w="1133" w:type="pct"/>
            <w:vAlign w:val="center"/>
          </w:tcPr>
          <w:p>
            <w:pPr>
              <w:pStyle w:val="39"/>
              <w:spacing w:line="240" w:lineRule="auto"/>
            </w:pPr>
            <w:r>
              <w:rPr>
                <w:rFonts w:hint="eastAsia"/>
              </w:rPr>
              <w:t>≥</w:t>
            </w: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982" w:type="pct"/>
            <w:vMerge w:val="continue"/>
            <w:vAlign w:val="center"/>
          </w:tcPr>
          <w:p>
            <w:pPr>
              <w:pStyle w:val="39"/>
              <w:spacing w:line="240" w:lineRule="auto"/>
            </w:pPr>
          </w:p>
        </w:tc>
        <w:tc>
          <w:tcPr>
            <w:tcW w:w="1055" w:type="pct"/>
            <w:vMerge w:val="continue"/>
            <w:vAlign w:val="center"/>
          </w:tcPr>
          <w:p>
            <w:pPr>
              <w:pStyle w:val="39"/>
              <w:spacing w:line="240" w:lineRule="auto"/>
            </w:pPr>
          </w:p>
        </w:tc>
        <w:tc>
          <w:tcPr>
            <w:tcW w:w="1830" w:type="pct"/>
            <w:vAlign w:val="center"/>
          </w:tcPr>
          <w:p>
            <w:pPr>
              <w:pStyle w:val="39"/>
              <w:spacing w:line="240" w:lineRule="auto"/>
            </w:pPr>
            <w:r>
              <w:rPr>
                <w:rFonts w:hint="eastAsia"/>
              </w:rPr>
              <w:t>家长满意度</w:t>
            </w:r>
          </w:p>
        </w:tc>
        <w:tc>
          <w:tcPr>
            <w:tcW w:w="1133" w:type="pct"/>
            <w:vAlign w:val="center"/>
          </w:tcPr>
          <w:p>
            <w:pPr>
              <w:pStyle w:val="39"/>
              <w:spacing w:line="240" w:lineRule="auto"/>
            </w:pPr>
            <w:r>
              <w:rPr>
                <w:rFonts w:hint="eastAsia"/>
              </w:rPr>
              <w:t>≥</w:t>
            </w:r>
            <w:r>
              <w:t>95</w:t>
            </w:r>
            <w:r>
              <w:rPr>
                <w:rFonts w:hint="eastAsia"/>
              </w:rPr>
              <w:t>%</w:t>
            </w:r>
          </w:p>
        </w:tc>
      </w:tr>
      <w:bookmarkEnd w:id="2"/>
    </w:tbl>
    <w:p>
      <w:pPr>
        <w:pStyle w:val="29"/>
        <w:spacing w:line="560" w:lineRule="exact"/>
      </w:pPr>
      <w:bookmarkStart w:id="5" w:name="_Toc19478"/>
      <w:r>
        <w:rPr>
          <w:rFonts w:hint="eastAsia"/>
        </w:rPr>
        <w:t>二、绩效评价工作开展情况</w:t>
      </w:r>
      <w:bookmarkEnd w:id="5"/>
    </w:p>
    <w:p>
      <w:pPr>
        <w:pStyle w:val="31"/>
        <w:spacing w:line="560" w:lineRule="exact"/>
        <w:ind w:firstLine="640"/>
      </w:pPr>
      <w:bookmarkStart w:id="6" w:name="_Toc12353"/>
      <w:r>
        <w:rPr>
          <w:rFonts w:hint="eastAsia"/>
        </w:rPr>
        <w:t>（一）绩效评价的目的、对象和范围</w:t>
      </w:r>
      <w:bookmarkEnd w:id="6"/>
    </w:p>
    <w:p>
      <w:pPr>
        <w:pStyle w:val="27"/>
        <w:spacing w:line="560" w:lineRule="exact"/>
        <w:ind w:firstLine="640"/>
      </w:pPr>
      <w:r>
        <w:rPr>
          <w:rFonts w:hint="eastAsia"/>
        </w:rPr>
        <w:t>1.绩效评价目的</w:t>
      </w:r>
    </w:p>
    <w:p>
      <w:pPr>
        <w:pStyle w:val="27"/>
        <w:spacing w:line="560" w:lineRule="exact"/>
        <w:ind w:firstLine="640"/>
      </w:pPr>
      <w:r>
        <w:rPr>
          <w:rFonts w:hint="eastAsia"/>
        </w:rPr>
        <w:t>本次评价以《财政部关于印发〈项目支出绩效评价管理办法〉的通知》（</w:t>
      </w:r>
      <w:r>
        <w:rPr>
          <w:rFonts w:hint="eastAsia" w:cs="仿宋_GB2312"/>
        </w:rPr>
        <w:t>财预</w:t>
      </w:r>
      <w:r>
        <w:rPr>
          <w:rFonts w:hint="eastAsia"/>
        </w:rPr>
        <w:t>〔</w:t>
      </w:r>
      <w:r>
        <w:t>2020</w:t>
      </w:r>
      <w:r>
        <w:rPr>
          <w:rFonts w:hint="eastAsia"/>
        </w:rPr>
        <w:t>〕1</w:t>
      </w:r>
      <w:r>
        <w:t>0</w:t>
      </w:r>
      <w:r>
        <w:rPr>
          <w:rFonts w:hint="eastAsia"/>
        </w:rPr>
        <w:t>号）、《中共天津市委</w:t>
      </w:r>
      <w:r>
        <w:t>天津市人民政府印发〈关于全面推进预算绩效管理的实施方案〉的通知》（津党发〔2019〕25号）</w:t>
      </w:r>
      <w:r>
        <w:rPr>
          <w:rFonts w:hint="eastAsia"/>
        </w:rPr>
        <w:t>、《天津市市级财政项目支出绩效评价管理办法》（</w:t>
      </w:r>
      <w:r>
        <w:t>津财绩效〔2020〕12号</w:t>
      </w:r>
      <w:r>
        <w:rPr>
          <w:rFonts w:hint="eastAsia"/>
        </w:rPr>
        <w:t>）、《市教委市财政局市发展改革委关于印发天津市普惠性民办幼儿园认定办法的通知》（津教规范〔2019〕10号）、《市教委关于印发天津市普惠性民办幼儿园等级评定标准的通知》（津教政〔2021〕5号）、《市教委市财政局关于调整天津市普惠性民办幼儿园生均经费补助项目和资金管理办法的通知》（津教政〔2022〕20号）、《和平区区级部门预算绩效管理办法》《天津市和平区普惠性民办幼儿园生均经费补助项目和资金管理办法》等文件为依据，对</w:t>
      </w:r>
      <w:r>
        <w:t>普惠性民办幼儿园生均经费补助</w:t>
      </w:r>
      <w:r>
        <w:rPr>
          <w:rFonts w:hint="eastAsia"/>
        </w:rPr>
        <w:t>项目财政专项资金使用绩效情况进行评价。开展此次评价工作的目的在于：</w:t>
      </w:r>
    </w:p>
    <w:p>
      <w:pPr>
        <w:pStyle w:val="27"/>
        <w:numPr>
          <w:ilvl w:val="0"/>
          <w:numId w:val="1"/>
        </w:numPr>
        <w:spacing w:line="560" w:lineRule="exact"/>
        <w:ind w:firstLine="640"/>
      </w:pPr>
      <w:r>
        <w:rPr>
          <w:rFonts w:hint="eastAsia"/>
        </w:rPr>
        <w:t>通过对</w:t>
      </w:r>
      <w:r>
        <w:rPr>
          <w:szCs w:val="32"/>
        </w:rPr>
        <w:t>普惠性民办幼儿园生均经费补助</w:t>
      </w:r>
      <w:r>
        <w:rPr>
          <w:rFonts w:hint="eastAsia"/>
        </w:rPr>
        <w:t>项目的实施情况进行核实评价，了解掌握项目的实施情况。</w:t>
      </w:r>
    </w:p>
    <w:p>
      <w:pPr>
        <w:pStyle w:val="27"/>
        <w:numPr>
          <w:ilvl w:val="0"/>
          <w:numId w:val="1"/>
        </w:numPr>
        <w:spacing w:line="560" w:lineRule="exact"/>
        <w:ind w:firstLine="640"/>
      </w:pPr>
      <w:r>
        <w:rPr>
          <w:rFonts w:hint="eastAsia"/>
        </w:rPr>
        <w:t>根据</w:t>
      </w:r>
      <w:r>
        <w:rPr>
          <w:szCs w:val="32"/>
        </w:rPr>
        <w:t>普惠性民办幼儿园生均经费补助</w:t>
      </w:r>
      <w:r>
        <w:rPr>
          <w:rFonts w:hint="eastAsia"/>
        </w:rPr>
        <w:t>项目实施的具体情况，评价其项目资金安排的科学性、合理性、规范性，完善项目管理办法，提高项目管理水平和资金的使用效率。</w:t>
      </w:r>
    </w:p>
    <w:p>
      <w:pPr>
        <w:numPr>
          <w:ilvl w:val="0"/>
          <w:numId w:val="1"/>
        </w:numPr>
        <w:spacing w:line="560" w:lineRule="exact"/>
        <w:ind w:firstLine="640"/>
        <w:jc w:val="both"/>
        <w:rPr>
          <w:rFonts w:ascii="Times New Roman" w:hAnsi="Times New Roman" w:eastAsia="仿宋_GB2312"/>
          <w:sz w:val="32"/>
        </w:rPr>
      </w:pPr>
      <w:r>
        <w:rPr>
          <w:rFonts w:hint="eastAsia" w:ascii="Times New Roman" w:hAnsi="Times New Roman" w:eastAsia="仿宋_GB2312"/>
          <w:sz w:val="32"/>
        </w:rPr>
        <w:t>本次从决策、过程、产出、效益四个方面对本项目进行客观、公正的评价；总结项目管理与执行经验，发现项目管理和预算管理中存在的问题，提出改进意见和建议，为相关部门决策、管理提供参考依据。</w:t>
      </w:r>
    </w:p>
    <w:p>
      <w:pPr>
        <w:pStyle w:val="27"/>
        <w:spacing w:line="560" w:lineRule="exact"/>
        <w:ind w:firstLine="640"/>
      </w:pPr>
      <w:r>
        <w:rPr>
          <w:rFonts w:hint="eastAsia"/>
        </w:rPr>
        <w:t>（4）进一步丰富和完善本项目绩效评价方法体系，推动建立以绩效评价结果为导向的财政资金分配与管理制度，提升财政资金科学化、精细化管理水平，为</w:t>
      </w:r>
      <w:r>
        <w:rPr>
          <w:szCs w:val="32"/>
        </w:rPr>
        <w:t>普惠性民办幼儿园生均经费补助</w:t>
      </w:r>
      <w:r>
        <w:rPr>
          <w:rFonts w:hint="eastAsia"/>
        </w:rPr>
        <w:t>项目专项资金的安排提供重要依据。</w:t>
      </w:r>
    </w:p>
    <w:p>
      <w:pPr>
        <w:pStyle w:val="27"/>
        <w:spacing w:line="560" w:lineRule="exact"/>
        <w:ind w:firstLine="640"/>
      </w:pPr>
      <w:r>
        <w:rPr>
          <w:rFonts w:hint="eastAsia"/>
        </w:rPr>
        <w:t>2.绩效评价对象和范围</w:t>
      </w:r>
    </w:p>
    <w:p>
      <w:pPr>
        <w:pStyle w:val="27"/>
        <w:spacing w:line="560" w:lineRule="exact"/>
        <w:ind w:firstLine="640"/>
      </w:pPr>
      <w:r>
        <w:rPr>
          <w:rFonts w:hint="eastAsia"/>
        </w:rPr>
        <w:t>本次绩效评价针对区教育局</w:t>
      </w:r>
      <w:r>
        <w:rPr>
          <w:szCs w:val="32"/>
        </w:rPr>
        <w:t>普惠性民办幼儿园生均经费补助</w:t>
      </w:r>
      <w:r>
        <w:rPr>
          <w:rFonts w:hint="eastAsia"/>
        </w:rPr>
        <w:t>项目展开，主要评价内容及范围如下：</w:t>
      </w:r>
    </w:p>
    <w:p>
      <w:pPr>
        <w:pStyle w:val="27"/>
        <w:spacing w:line="560" w:lineRule="exact"/>
        <w:ind w:firstLine="640"/>
      </w:pPr>
      <w:r>
        <w:rPr>
          <w:rFonts w:hint="eastAsia"/>
        </w:rPr>
        <w:t>（</w:t>
      </w:r>
      <w:r>
        <w:t>1</w:t>
      </w:r>
      <w:r>
        <w:rPr>
          <w:rFonts w:hint="eastAsia"/>
        </w:rPr>
        <w:t>）立项依据和立项程序情况；</w:t>
      </w:r>
    </w:p>
    <w:p>
      <w:pPr>
        <w:pStyle w:val="27"/>
        <w:spacing w:line="560" w:lineRule="exact"/>
        <w:ind w:firstLine="640"/>
      </w:pPr>
      <w:r>
        <w:rPr>
          <w:rFonts w:hint="eastAsia"/>
        </w:rPr>
        <w:t>（</w:t>
      </w:r>
      <w:r>
        <w:t>2</w:t>
      </w:r>
      <w:r>
        <w:rPr>
          <w:rFonts w:hint="eastAsia"/>
        </w:rPr>
        <w:t>）绩效目标和指标设定情况；</w:t>
      </w:r>
    </w:p>
    <w:p>
      <w:pPr>
        <w:pStyle w:val="27"/>
        <w:spacing w:line="560" w:lineRule="exact"/>
        <w:ind w:firstLine="640"/>
      </w:pPr>
      <w:r>
        <w:rPr>
          <w:rFonts w:hint="eastAsia"/>
        </w:rPr>
        <w:t>（</w:t>
      </w:r>
      <w:r>
        <w:t>3</w:t>
      </w:r>
      <w:r>
        <w:rPr>
          <w:rFonts w:hint="eastAsia"/>
        </w:rPr>
        <w:t>）预算编制和资金分配情况；</w:t>
      </w:r>
    </w:p>
    <w:p>
      <w:pPr>
        <w:pStyle w:val="27"/>
        <w:spacing w:line="560" w:lineRule="exact"/>
        <w:ind w:firstLine="640"/>
      </w:pPr>
      <w:r>
        <w:rPr>
          <w:rFonts w:hint="eastAsia"/>
        </w:rPr>
        <w:t>（</w:t>
      </w:r>
      <w:r>
        <w:t>4</w:t>
      </w:r>
      <w:r>
        <w:rPr>
          <w:rFonts w:hint="eastAsia"/>
        </w:rPr>
        <w:t>）资金管理和使用情况；</w:t>
      </w:r>
    </w:p>
    <w:p>
      <w:pPr>
        <w:pStyle w:val="27"/>
        <w:spacing w:line="560" w:lineRule="exact"/>
        <w:ind w:firstLine="640"/>
      </w:pPr>
      <w:r>
        <w:rPr>
          <w:rFonts w:hint="eastAsia"/>
        </w:rPr>
        <w:t>（</w:t>
      </w:r>
      <w:r>
        <w:t>5</w:t>
      </w:r>
      <w:r>
        <w:rPr>
          <w:rFonts w:hint="eastAsia"/>
        </w:rPr>
        <w:t>）相关制度办法的健全性及执行情况；</w:t>
      </w:r>
    </w:p>
    <w:p>
      <w:pPr>
        <w:pStyle w:val="27"/>
        <w:spacing w:line="560" w:lineRule="exact"/>
        <w:ind w:firstLine="640"/>
      </w:pPr>
      <w:r>
        <w:rPr>
          <w:rFonts w:hint="eastAsia"/>
        </w:rPr>
        <w:t>（</w:t>
      </w:r>
      <w:r>
        <w:t>6</w:t>
      </w:r>
      <w:r>
        <w:rPr>
          <w:rFonts w:hint="eastAsia"/>
        </w:rPr>
        <w:t>）实现的产出情况；</w:t>
      </w:r>
    </w:p>
    <w:p>
      <w:pPr>
        <w:pStyle w:val="27"/>
        <w:spacing w:line="560" w:lineRule="exact"/>
        <w:ind w:firstLine="640"/>
      </w:pPr>
      <w:r>
        <w:rPr>
          <w:rFonts w:hint="eastAsia"/>
        </w:rPr>
        <w:t>（</w:t>
      </w:r>
      <w:r>
        <w:t>7</w:t>
      </w:r>
      <w:r>
        <w:rPr>
          <w:rFonts w:hint="eastAsia"/>
        </w:rPr>
        <w:t>）取得的效益情况；</w:t>
      </w:r>
    </w:p>
    <w:p>
      <w:pPr>
        <w:pStyle w:val="27"/>
        <w:spacing w:line="560" w:lineRule="exact"/>
        <w:ind w:firstLine="640"/>
      </w:pPr>
      <w:r>
        <w:rPr>
          <w:rFonts w:hint="eastAsia"/>
        </w:rPr>
        <w:t>（</w:t>
      </w:r>
      <w:r>
        <w:t>8</w:t>
      </w:r>
      <w:r>
        <w:rPr>
          <w:rFonts w:hint="eastAsia"/>
        </w:rPr>
        <w:t>）其他相关内容。</w:t>
      </w:r>
    </w:p>
    <w:p>
      <w:pPr>
        <w:pStyle w:val="31"/>
        <w:spacing w:line="560" w:lineRule="exact"/>
        <w:ind w:firstLine="640"/>
      </w:pPr>
      <w:bookmarkStart w:id="7" w:name="_Toc28654"/>
      <w:r>
        <w:rPr>
          <w:rFonts w:hint="eastAsia"/>
        </w:rPr>
        <w:t>（二）</w:t>
      </w:r>
      <w:r>
        <w:rPr>
          <w:rFonts w:hint="eastAsia" w:ascii="楷体_GB2312" w:hAnsi="Times New Roman" w:cs="楷体_GB2312"/>
          <w:bCs w:val="0"/>
        </w:rPr>
        <w:t>绩效评价原则、评价指标体系、评价方法</w:t>
      </w:r>
      <w:bookmarkEnd w:id="7"/>
    </w:p>
    <w:p>
      <w:pPr>
        <w:pStyle w:val="27"/>
        <w:spacing w:line="560" w:lineRule="exact"/>
        <w:ind w:firstLine="640"/>
      </w:pPr>
      <w:r>
        <w:t>1.</w:t>
      </w:r>
      <w:r>
        <w:rPr>
          <w:rFonts w:hint="eastAsia"/>
        </w:rPr>
        <w:t>绩效评价原则</w:t>
      </w:r>
    </w:p>
    <w:p>
      <w:pPr>
        <w:pStyle w:val="27"/>
        <w:spacing w:line="560" w:lineRule="exact"/>
        <w:ind w:firstLine="640"/>
      </w:pPr>
      <w:r>
        <w:rPr>
          <w:rFonts w:hint="eastAsia"/>
        </w:rPr>
        <w:t>（</w:t>
      </w:r>
      <w:r>
        <w:t>1</w:t>
      </w:r>
      <w:r>
        <w:rPr>
          <w:rFonts w:hint="eastAsia"/>
        </w:rPr>
        <w:t>）坚持科学规范的原则。此次绩效评价运用科学合理的评价指标体系和方法，按照规范的程序，对支出绩效进行客观、公正的反映。</w:t>
      </w:r>
    </w:p>
    <w:p>
      <w:pPr>
        <w:pStyle w:val="27"/>
        <w:spacing w:line="560" w:lineRule="exact"/>
        <w:ind w:firstLine="640"/>
      </w:pPr>
      <w:r>
        <w:rPr>
          <w:rFonts w:hint="eastAsia"/>
        </w:rPr>
        <w:t>（</w:t>
      </w:r>
      <w:r>
        <w:t>2</w:t>
      </w:r>
      <w:r>
        <w:rPr>
          <w:rFonts w:hint="eastAsia"/>
        </w:rPr>
        <w:t>）坚持统筹兼顾的原则。此次评价委托第三方机构在单位自评的基础上开展。</w:t>
      </w:r>
    </w:p>
    <w:p>
      <w:pPr>
        <w:pStyle w:val="27"/>
        <w:spacing w:line="560" w:lineRule="exact"/>
        <w:ind w:firstLine="640"/>
      </w:pPr>
      <w:bookmarkStart w:id="8" w:name="_Hlk91689355"/>
      <w:r>
        <w:rPr>
          <w:rFonts w:hint="eastAsia"/>
        </w:rPr>
        <w:t>（</w:t>
      </w:r>
      <w:r>
        <w:t>3</w:t>
      </w:r>
      <w:r>
        <w:rPr>
          <w:rFonts w:hint="eastAsia"/>
        </w:rPr>
        <w:t>）坚持激励约束的原则。本次绩效评价结果可以作为预算安排、政策调整、改进管理的参考，绩效评价工作将体现奖优罚劣和激励相容导向，有效要安排、低效要压减、无效要问责。</w:t>
      </w:r>
    </w:p>
    <w:p>
      <w:pPr>
        <w:pStyle w:val="27"/>
        <w:spacing w:line="560" w:lineRule="exact"/>
        <w:ind w:firstLine="640"/>
      </w:pPr>
      <w:r>
        <w:rPr>
          <w:rFonts w:hint="eastAsia"/>
        </w:rPr>
        <w:t>（</w:t>
      </w:r>
      <w:r>
        <w:t>4</w:t>
      </w:r>
      <w:r>
        <w:rPr>
          <w:rFonts w:hint="eastAsia"/>
        </w:rPr>
        <w:t>）坚持公开透明的原则。承诺绩效评价结果依法依规公开，自觉接受有关机构和社会监督。</w:t>
      </w:r>
    </w:p>
    <w:p>
      <w:pPr>
        <w:pStyle w:val="27"/>
        <w:spacing w:line="560" w:lineRule="exact"/>
        <w:ind w:firstLine="640"/>
      </w:pPr>
      <w:r>
        <w:rPr>
          <w:rFonts w:hint="eastAsia"/>
        </w:rPr>
        <w:t>（</w:t>
      </w:r>
      <w:r>
        <w:t>5</w:t>
      </w:r>
      <w:r>
        <w:rPr>
          <w:rFonts w:hint="eastAsia"/>
        </w:rPr>
        <w:t>）坚持综合绩效评价，定量分析与定性分析相结合的原则。</w:t>
      </w:r>
    </w:p>
    <w:p>
      <w:pPr>
        <w:pStyle w:val="27"/>
        <w:spacing w:line="560" w:lineRule="exact"/>
        <w:ind w:firstLine="640"/>
      </w:pPr>
      <w:r>
        <w:rPr>
          <w:rFonts w:hint="eastAsia"/>
        </w:rPr>
        <w:t>（</w:t>
      </w:r>
      <w:r>
        <w:t>6</w:t>
      </w:r>
      <w:r>
        <w:rPr>
          <w:rFonts w:hint="eastAsia"/>
        </w:rPr>
        <w:t>）坚持绩效相关性原则。此次绩效评价将针对具体支出及其产出绩效进行，评价结果将清晰反映支出和产出绩效之间的紧密对应关系。</w:t>
      </w:r>
      <w:bookmarkEnd w:id="8"/>
    </w:p>
    <w:p>
      <w:pPr>
        <w:pStyle w:val="27"/>
        <w:spacing w:line="560" w:lineRule="exact"/>
        <w:ind w:firstLine="640"/>
      </w:pPr>
      <w:r>
        <w:t>2.</w:t>
      </w:r>
      <w:r>
        <w:rPr>
          <w:rFonts w:hint="eastAsia"/>
        </w:rPr>
        <w:t>评价指标体系</w:t>
      </w:r>
    </w:p>
    <w:p>
      <w:pPr>
        <w:pStyle w:val="27"/>
        <w:spacing w:line="560" w:lineRule="exact"/>
        <w:ind w:firstLine="640"/>
      </w:pPr>
      <w:r>
        <w:rPr>
          <w:rFonts w:hint="eastAsia"/>
        </w:rPr>
        <w:t>针对项目情况，从决策、过程、产出及效益四大方面拟定绩效评价指标，其中：</w:t>
      </w:r>
    </w:p>
    <w:p>
      <w:pPr>
        <w:pStyle w:val="27"/>
        <w:spacing w:line="560" w:lineRule="exact"/>
        <w:ind w:firstLine="640"/>
        <w:rPr>
          <w:rFonts w:cs="仿宋_GB2312"/>
        </w:rPr>
      </w:pPr>
      <w:r>
        <w:rPr>
          <w:rFonts w:hint="eastAsia"/>
        </w:rPr>
        <w:t>（1）</w:t>
      </w:r>
      <w:r>
        <w:rPr>
          <w:rFonts w:hint="eastAsia" w:cs="仿宋_GB2312"/>
        </w:rPr>
        <w:t>项目决策指标</w:t>
      </w:r>
    </w:p>
    <w:p>
      <w:pPr>
        <w:pStyle w:val="27"/>
        <w:spacing w:line="560" w:lineRule="exact"/>
        <w:ind w:firstLine="640"/>
      </w:pPr>
      <w:r>
        <w:rPr>
          <w:rFonts w:hint="eastAsia"/>
        </w:rPr>
        <w:t>①项目立项</w:t>
      </w:r>
    </w:p>
    <w:p>
      <w:pPr>
        <w:pStyle w:val="27"/>
        <w:spacing w:line="560" w:lineRule="exact"/>
        <w:ind w:firstLine="640"/>
      </w:pPr>
      <w:r>
        <w:t>a.</w:t>
      </w:r>
      <w:r>
        <w:rPr>
          <w:rFonts w:hint="eastAsia"/>
        </w:rPr>
        <w:t>立项依据充分性。项目立项是否符合法律法规、相关政策、发展规划以及部门职责，用于反映和考核项目立项依据情况。</w:t>
      </w:r>
    </w:p>
    <w:p>
      <w:pPr>
        <w:pStyle w:val="27"/>
        <w:spacing w:line="560" w:lineRule="exact"/>
        <w:ind w:firstLine="640"/>
      </w:pPr>
      <w:r>
        <w:t>b.</w:t>
      </w:r>
      <w:r>
        <w:rPr>
          <w:rFonts w:hint="eastAsia"/>
        </w:rPr>
        <w:t>立项程序规范性。项目申请、设立过程是否符合相关要求，用以反映和考核项目立项的规范情况。</w:t>
      </w:r>
    </w:p>
    <w:p>
      <w:pPr>
        <w:pStyle w:val="27"/>
        <w:spacing w:line="560" w:lineRule="exact"/>
        <w:ind w:firstLine="640"/>
      </w:pPr>
      <w:r>
        <w:rPr>
          <w:rFonts w:hint="eastAsia"/>
        </w:rPr>
        <w:t>②绩效目标</w:t>
      </w:r>
    </w:p>
    <w:p>
      <w:pPr>
        <w:pStyle w:val="27"/>
        <w:spacing w:line="560" w:lineRule="exact"/>
        <w:ind w:firstLine="640"/>
      </w:pPr>
      <w:r>
        <w:rPr>
          <w:rFonts w:hint="eastAsia"/>
        </w:rPr>
        <w:t>a</w:t>
      </w:r>
      <w:r>
        <w:t>.</w:t>
      </w:r>
      <w:r>
        <w:rPr>
          <w:rFonts w:hint="eastAsia"/>
        </w:rPr>
        <w:t>绩效目标明确性。依据绩效目标设定的绩效指标是否清晰、细化、可衡量等，用以反映和考核项目绩效目标的明细化情况。</w:t>
      </w:r>
    </w:p>
    <w:p>
      <w:pPr>
        <w:pStyle w:val="27"/>
        <w:spacing w:line="560" w:lineRule="exact"/>
        <w:ind w:firstLine="640"/>
      </w:pPr>
      <w:r>
        <w:t>b.</w:t>
      </w:r>
      <w:r>
        <w:rPr>
          <w:rFonts w:hint="eastAsia"/>
        </w:rPr>
        <w:t>绩效目标合理性。项目所设定的绩效目标是否依据充分，是否符合客观实际，用以反映和考核项目绩效目标与项目实施的相符情况。</w:t>
      </w:r>
    </w:p>
    <w:p>
      <w:pPr>
        <w:pStyle w:val="27"/>
        <w:spacing w:line="560" w:lineRule="exact"/>
        <w:ind w:firstLine="640"/>
      </w:pPr>
      <w:r>
        <w:rPr>
          <w:rFonts w:hint="eastAsia"/>
        </w:rPr>
        <w:t>③预算编制</w:t>
      </w:r>
    </w:p>
    <w:p>
      <w:pPr>
        <w:pStyle w:val="27"/>
        <w:spacing w:line="560" w:lineRule="exact"/>
        <w:ind w:firstLine="640"/>
      </w:pPr>
      <w:r>
        <w:rPr>
          <w:rFonts w:hint="eastAsia"/>
        </w:rPr>
        <w:t>a</w:t>
      </w:r>
      <w:r>
        <w:t>.</w:t>
      </w:r>
      <w:r>
        <w:rPr>
          <w:rFonts w:hint="eastAsia"/>
        </w:rPr>
        <w:t>测算内容合规性。项目预算测算内容是否符合相关政策文件规定范围。</w:t>
      </w:r>
    </w:p>
    <w:p>
      <w:pPr>
        <w:pStyle w:val="27"/>
        <w:spacing w:line="560" w:lineRule="exact"/>
        <w:ind w:firstLine="640"/>
      </w:pPr>
      <w:r>
        <w:rPr>
          <w:rFonts w:hint="eastAsia"/>
        </w:rPr>
        <w:t>b</w:t>
      </w:r>
      <w:r>
        <w:t>.</w:t>
      </w:r>
      <w:r>
        <w:rPr>
          <w:rFonts w:hint="eastAsia"/>
        </w:rPr>
        <w:t>测算标准合理性。项目预算测算项目支出标准是否符合相关政策制度或行业、领域规定。</w:t>
      </w:r>
    </w:p>
    <w:p>
      <w:pPr>
        <w:pStyle w:val="27"/>
        <w:spacing w:line="560" w:lineRule="exact"/>
        <w:ind w:firstLine="640"/>
      </w:pPr>
      <w:r>
        <w:rPr>
          <w:rFonts w:hint="eastAsia"/>
        </w:rPr>
        <w:t>c</w:t>
      </w:r>
      <w:r>
        <w:t>.</w:t>
      </w:r>
      <w:r>
        <w:rPr>
          <w:rFonts w:hint="eastAsia"/>
        </w:rPr>
        <w:t>测算数据客观性。项目预算测算数据是否客观、真实、准确。</w:t>
      </w:r>
    </w:p>
    <w:p>
      <w:pPr>
        <w:pStyle w:val="27"/>
        <w:spacing w:line="560" w:lineRule="exact"/>
        <w:ind w:firstLine="640"/>
      </w:pPr>
      <w:r>
        <w:rPr>
          <w:rFonts w:hint="eastAsia"/>
        </w:rPr>
        <w:t>d</w:t>
      </w:r>
      <w:r>
        <w:t>.</w:t>
      </w:r>
      <w:r>
        <w:rPr>
          <w:rFonts w:hint="eastAsia"/>
        </w:rPr>
        <w:t>测算过程细化度。测算过程是否细化清晰。</w:t>
      </w:r>
    </w:p>
    <w:p>
      <w:pPr>
        <w:pStyle w:val="27"/>
        <w:spacing w:line="560" w:lineRule="exact"/>
        <w:ind w:firstLine="640"/>
      </w:pPr>
      <w:r>
        <w:rPr>
          <w:rFonts w:hint="eastAsia"/>
        </w:rPr>
        <w:t>（2）项目过程指标</w:t>
      </w:r>
    </w:p>
    <w:p>
      <w:pPr>
        <w:pStyle w:val="27"/>
        <w:spacing w:line="560" w:lineRule="exact"/>
        <w:ind w:firstLine="640"/>
      </w:pPr>
      <w:r>
        <w:rPr>
          <w:rFonts w:hint="eastAsia"/>
        </w:rPr>
        <w:t>①资金管理</w:t>
      </w:r>
    </w:p>
    <w:p>
      <w:pPr>
        <w:pStyle w:val="27"/>
        <w:spacing w:line="560" w:lineRule="exact"/>
        <w:ind w:firstLine="640"/>
      </w:pPr>
      <w:r>
        <w:rPr>
          <w:rFonts w:hint="eastAsia"/>
        </w:rPr>
        <w:t>a</w:t>
      </w:r>
      <w:r>
        <w:t>.</w:t>
      </w:r>
      <w:r>
        <w:rPr>
          <w:rFonts w:hint="eastAsia"/>
        </w:rPr>
        <w:t>资金到位率。实际到位资金与预算资金的比率，用以反映和考核资金落实情况对项目实施的总体保障程度。</w:t>
      </w:r>
    </w:p>
    <w:p>
      <w:pPr>
        <w:pStyle w:val="27"/>
        <w:spacing w:line="560" w:lineRule="exact"/>
        <w:ind w:firstLine="640"/>
      </w:pPr>
      <w:r>
        <w:rPr>
          <w:rFonts w:hint="eastAsia"/>
        </w:rPr>
        <w:t>b</w:t>
      </w:r>
      <w:r>
        <w:t>.</w:t>
      </w:r>
      <w:r>
        <w:rPr>
          <w:rFonts w:hint="eastAsia"/>
        </w:rPr>
        <w:t>资金到位及时率。及时到位资金与实际到位资金的比率，用以反映和考核项目资金落实的及时性程度。</w:t>
      </w:r>
    </w:p>
    <w:p>
      <w:pPr>
        <w:pStyle w:val="27"/>
        <w:spacing w:line="560" w:lineRule="exact"/>
        <w:ind w:firstLine="640"/>
      </w:pPr>
      <w:r>
        <w:rPr>
          <w:rFonts w:hint="eastAsia"/>
        </w:rPr>
        <w:t>c</w:t>
      </w:r>
      <w:r>
        <w:t>.</w:t>
      </w:r>
      <w:r>
        <w:rPr>
          <w:rFonts w:hint="eastAsia"/>
        </w:rPr>
        <w:t>预算执行率。项目预算资金是否按照计划执行，用以反映或考核项目预算执行情况。</w:t>
      </w:r>
    </w:p>
    <w:p>
      <w:pPr>
        <w:pStyle w:val="27"/>
        <w:spacing w:line="560" w:lineRule="exact"/>
        <w:ind w:firstLine="640"/>
      </w:pPr>
      <w:r>
        <w:rPr>
          <w:rFonts w:hint="eastAsia"/>
        </w:rPr>
        <w:t>d</w:t>
      </w:r>
      <w:r>
        <w:t>.</w:t>
      </w:r>
      <w:r>
        <w:rPr>
          <w:rFonts w:hint="eastAsia"/>
        </w:rPr>
        <w:t>资金使用合规性。项目资金使用是否符合相关的财务管理制度规定，用以反映和考核项目资金的规范运行情况。</w:t>
      </w:r>
    </w:p>
    <w:p>
      <w:pPr>
        <w:pStyle w:val="27"/>
        <w:spacing w:line="560" w:lineRule="exact"/>
        <w:ind w:firstLine="640"/>
      </w:pPr>
      <w:r>
        <w:rPr>
          <w:rFonts w:hint="eastAsia"/>
        </w:rPr>
        <w:t>②组织实施</w:t>
      </w:r>
    </w:p>
    <w:p>
      <w:pPr>
        <w:pStyle w:val="27"/>
        <w:spacing w:line="560" w:lineRule="exact"/>
        <w:ind w:firstLine="640"/>
      </w:pPr>
      <w:r>
        <w:rPr>
          <w:rFonts w:hint="eastAsia"/>
        </w:rPr>
        <w:t>a</w:t>
      </w:r>
      <w:r>
        <w:t>.</w:t>
      </w:r>
      <w:r>
        <w:rPr>
          <w:rFonts w:hint="eastAsia"/>
        </w:rPr>
        <w:t>管理制度健全性。项目实施单位的财务和业务管理制度是否健全，用以反映和考核财务和业务管理制度对项目顺利实施的保障情况。</w:t>
      </w:r>
    </w:p>
    <w:p>
      <w:pPr>
        <w:pStyle w:val="27"/>
        <w:spacing w:line="560" w:lineRule="exact"/>
        <w:ind w:firstLine="640"/>
      </w:pPr>
      <w:r>
        <w:rPr>
          <w:rFonts w:hint="eastAsia"/>
        </w:rPr>
        <w:t>b</w:t>
      </w:r>
      <w:r>
        <w:t>.</w:t>
      </w:r>
      <w:r>
        <w:rPr>
          <w:rFonts w:hint="eastAsia"/>
        </w:rPr>
        <w:t>制度执行有效性。主要从项目申报、项目实施、项目验收等</w:t>
      </w:r>
      <w:r>
        <w:t>3个环节展开，结合相关管理规定进行评价</w:t>
      </w:r>
      <w:r>
        <w:rPr>
          <w:rFonts w:hint="eastAsia"/>
        </w:rPr>
        <w:t>。</w:t>
      </w:r>
    </w:p>
    <w:p>
      <w:pPr>
        <w:pStyle w:val="27"/>
        <w:spacing w:line="560" w:lineRule="exact"/>
        <w:ind w:firstLine="640"/>
      </w:pPr>
      <w:r>
        <w:rPr>
          <w:rFonts w:hint="eastAsia"/>
        </w:rPr>
        <w:t>（3）项目产出指标</w:t>
      </w:r>
    </w:p>
    <w:p>
      <w:pPr>
        <w:pStyle w:val="27"/>
        <w:spacing w:line="560" w:lineRule="exact"/>
        <w:ind w:firstLine="640"/>
      </w:pPr>
      <w:r>
        <w:rPr>
          <w:rFonts w:hint="eastAsia"/>
        </w:rPr>
        <w:t>①产出数量</w:t>
      </w:r>
    </w:p>
    <w:p>
      <w:pPr>
        <w:pStyle w:val="27"/>
        <w:spacing w:line="560" w:lineRule="exact"/>
        <w:ind w:firstLine="640"/>
      </w:pPr>
      <w:r>
        <w:t>a.</w:t>
      </w:r>
      <w:r>
        <w:rPr>
          <w:rFonts w:hint="eastAsia"/>
        </w:rPr>
        <w:t>普惠性幼儿园等级认定完成率。项目实施期间实际完成认定幼儿园数量与需要认定幼儿园数量的比率，用以反映普惠性幼儿园等级认定工作的完成情况。</w:t>
      </w:r>
    </w:p>
    <w:p>
      <w:pPr>
        <w:pStyle w:val="27"/>
        <w:spacing w:line="560" w:lineRule="exact"/>
        <w:ind w:firstLine="640"/>
        <w:rPr>
          <w:rFonts w:ascii="仿宋_GB2312" w:hAnsi="仿宋_GB2312" w:cs="仿宋_GB2312"/>
          <w:szCs w:val="32"/>
        </w:rPr>
      </w:pPr>
      <w:r>
        <w:rPr>
          <w:rFonts w:hint="eastAsia"/>
        </w:rPr>
        <w:t>b</w:t>
      </w:r>
      <w:r>
        <w:t>.</w:t>
      </w:r>
      <w:r>
        <w:rPr>
          <w:rFonts w:hint="eastAsia"/>
        </w:rPr>
        <w:t>普惠性幼儿园应补尽补率。项目实施期间实际完成补助发放幼儿园数量与区域内普惠性民办幼儿园总数量的比率</w:t>
      </w:r>
      <w:r>
        <w:rPr>
          <w:rFonts w:hint="eastAsia" w:ascii="仿宋_GB2312" w:hAnsi="仿宋_GB2312" w:cs="仿宋_GB2312"/>
          <w:szCs w:val="32"/>
        </w:rPr>
        <w:t>，反映普惠性幼儿园补助发放完成情况</w:t>
      </w:r>
      <w:r>
        <w:rPr>
          <w:rFonts w:hint="eastAsia"/>
        </w:rPr>
        <w:t>。</w:t>
      </w:r>
    </w:p>
    <w:p>
      <w:pPr>
        <w:pStyle w:val="27"/>
        <w:spacing w:line="560" w:lineRule="exact"/>
        <w:ind w:firstLine="640"/>
      </w:pPr>
      <w:r>
        <w:rPr>
          <w:rFonts w:hint="eastAsia"/>
        </w:rPr>
        <w:t>②产出质量</w:t>
      </w:r>
    </w:p>
    <w:p>
      <w:pPr>
        <w:pStyle w:val="27"/>
        <w:spacing w:line="560" w:lineRule="exact"/>
        <w:ind w:firstLine="640"/>
      </w:pPr>
      <w:r>
        <w:t>a.</w:t>
      </w:r>
      <w:r>
        <w:rPr>
          <w:rFonts w:hint="eastAsia"/>
        </w:rPr>
        <w:t>普惠性幼儿园等级认定准确率。项目实施期间等级认定符合标准要求的幼儿园数量与区域内普惠性民办幼儿园数量的</w:t>
      </w:r>
      <w:r>
        <w:t>对比，反映</w:t>
      </w:r>
      <w:r>
        <w:rPr>
          <w:rFonts w:hint="eastAsia"/>
        </w:rPr>
        <w:t>普惠性民办幼儿园等级认定</w:t>
      </w:r>
      <w:r>
        <w:t>的</w:t>
      </w:r>
      <w:r>
        <w:rPr>
          <w:rFonts w:hint="eastAsia"/>
        </w:rPr>
        <w:t>准确</w:t>
      </w:r>
      <w:r>
        <w:t>情况。</w:t>
      </w:r>
    </w:p>
    <w:p>
      <w:pPr>
        <w:pStyle w:val="27"/>
        <w:spacing w:line="560" w:lineRule="exact"/>
        <w:ind w:firstLine="640"/>
      </w:pPr>
      <w:r>
        <w:t>b</w:t>
      </w:r>
      <w:r>
        <w:rPr>
          <w:rFonts w:hint="eastAsia"/>
        </w:rPr>
        <w:t>.补助发放对象准确率。项目实施期间实际准确发放幼儿园数量与实际幼儿园补助数量比对，反映补助发放对象是否准确情况。</w:t>
      </w:r>
    </w:p>
    <w:p>
      <w:pPr>
        <w:pStyle w:val="27"/>
        <w:spacing w:line="560" w:lineRule="exact"/>
        <w:ind w:firstLine="640"/>
      </w:pPr>
      <w:r>
        <w:rPr>
          <w:rFonts w:hint="eastAsia"/>
        </w:rPr>
        <w:t>③产出时效</w:t>
      </w:r>
    </w:p>
    <w:p>
      <w:pPr>
        <w:pStyle w:val="27"/>
        <w:spacing w:line="560" w:lineRule="exact"/>
        <w:ind w:firstLine="640"/>
      </w:pPr>
      <w:r>
        <w:t>a.</w:t>
      </w:r>
      <w:r>
        <w:rPr>
          <w:rFonts w:hint="eastAsia"/>
        </w:rPr>
        <w:t>等级认定及时率。项目实施期间应完成认定幼儿园数量与符合政策要求时间节点内完成的认定幼儿园数量的比对，反映等级认定工作完成及时性情况。</w:t>
      </w:r>
    </w:p>
    <w:p>
      <w:pPr>
        <w:pStyle w:val="27"/>
        <w:spacing w:line="560" w:lineRule="exact"/>
        <w:ind w:firstLine="640"/>
      </w:pPr>
      <w:r>
        <w:t>b.</w:t>
      </w:r>
      <w:r>
        <w:rPr>
          <w:rFonts w:hint="eastAsia"/>
        </w:rPr>
        <w:t>补助发放及时率。项目实施期间符合规定要求时间发放补助幼儿园数与补助发放幼儿园总数的对比，反映生均经费补助发放及时性情况。</w:t>
      </w:r>
    </w:p>
    <w:p>
      <w:pPr>
        <w:pStyle w:val="27"/>
        <w:spacing w:line="560" w:lineRule="exact"/>
        <w:ind w:firstLine="640"/>
      </w:pPr>
      <w:r>
        <w:rPr>
          <w:rFonts w:hint="eastAsia"/>
        </w:rPr>
        <w:t>④产出成本</w:t>
      </w:r>
    </w:p>
    <w:p>
      <w:pPr>
        <w:pStyle w:val="27"/>
        <w:spacing w:line="560" w:lineRule="exact"/>
        <w:ind w:firstLine="640"/>
      </w:pPr>
      <w:r>
        <w:rPr>
          <w:rFonts w:hint="eastAsia"/>
        </w:rPr>
        <w:t>生均经费补助标准符合性。补助发放的实际金额是否与补助发放标准一致，反映各幼儿园补助发放标准的合规情况。</w:t>
      </w:r>
    </w:p>
    <w:p>
      <w:pPr>
        <w:pStyle w:val="27"/>
        <w:spacing w:line="560" w:lineRule="exact"/>
        <w:ind w:firstLine="640"/>
      </w:pPr>
      <w:r>
        <w:rPr>
          <w:rFonts w:hint="eastAsia"/>
        </w:rPr>
        <w:t>（</w:t>
      </w:r>
      <w:r>
        <w:t>4</w:t>
      </w:r>
      <w:r>
        <w:rPr>
          <w:rFonts w:hint="eastAsia"/>
        </w:rPr>
        <w:t>）项目效益指标</w:t>
      </w:r>
    </w:p>
    <w:p>
      <w:pPr>
        <w:pStyle w:val="27"/>
        <w:spacing w:line="560" w:lineRule="exact"/>
        <w:ind w:firstLine="640"/>
      </w:pPr>
      <w:r>
        <w:rPr>
          <w:rFonts w:hint="eastAsia"/>
        </w:rPr>
        <w:t>①社会效益</w:t>
      </w:r>
    </w:p>
    <w:p>
      <w:pPr>
        <w:pStyle w:val="27"/>
        <w:spacing w:line="560" w:lineRule="exact"/>
        <w:ind w:firstLine="640"/>
      </w:pPr>
      <w:r>
        <w:t>a.</w:t>
      </w:r>
      <w:r>
        <w:rPr>
          <w:rFonts w:hint="eastAsia"/>
        </w:rPr>
        <w:t>学费减免情况。项目实施期间普惠性民办幼儿园实际在园幼儿数与实际减免学费幼儿数的比对，反映项目的实施对幼儿学费减免的情况。</w:t>
      </w:r>
    </w:p>
    <w:p>
      <w:pPr>
        <w:pStyle w:val="27"/>
        <w:spacing w:line="560" w:lineRule="exact"/>
        <w:ind w:firstLine="640"/>
      </w:pPr>
      <w:r>
        <w:t>b</w:t>
      </w:r>
      <w:r>
        <w:rPr>
          <w:rFonts w:hint="eastAsia"/>
        </w:rPr>
        <w:t>.普惠性幼儿园覆盖率。普惠性幼儿园截至2</w:t>
      </w:r>
      <w:r>
        <w:t>023</w:t>
      </w:r>
      <w:r>
        <w:rPr>
          <w:rFonts w:hint="eastAsia"/>
        </w:rPr>
        <w:t>年实际覆盖情况与目标覆盖情况的比对，反映普惠性幼儿园的覆盖情况。</w:t>
      </w:r>
    </w:p>
    <w:p>
      <w:pPr>
        <w:pStyle w:val="27"/>
        <w:spacing w:line="560" w:lineRule="exact"/>
        <w:ind w:firstLine="640"/>
      </w:pPr>
      <w:r>
        <w:rPr>
          <w:rFonts w:hint="eastAsia"/>
        </w:rPr>
        <w:t>②可持续影响</w:t>
      </w:r>
    </w:p>
    <w:p>
      <w:pPr>
        <w:pStyle w:val="27"/>
        <w:spacing w:line="560" w:lineRule="exact"/>
        <w:ind w:firstLine="640"/>
      </w:pPr>
      <w:r>
        <w:rPr>
          <w:rFonts w:hint="eastAsia"/>
        </w:rPr>
        <w:t>生均经费补助工作机制健全性。普惠性民办幼儿园补助、普惠性幼儿园等级认定</w:t>
      </w:r>
      <w:r>
        <w:t>制度建立健全情况，反映</w:t>
      </w:r>
      <w:r>
        <w:rPr>
          <w:rFonts w:hint="eastAsia"/>
        </w:rPr>
        <w:t>项目</w:t>
      </w:r>
      <w:r>
        <w:t>长效、持续开展保障效果。</w:t>
      </w:r>
    </w:p>
    <w:p>
      <w:pPr>
        <w:pStyle w:val="27"/>
        <w:spacing w:line="560" w:lineRule="exact"/>
        <w:ind w:firstLine="640"/>
      </w:pPr>
      <w:r>
        <w:rPr>
          <w:rFonts w:hint="eastAsia"/>
        </w:rPr>
        <w:t>③服务对象满意度</w:t>
      </w:r>
    </w:p>
    <w:p>
      <w:pPr>
        <w:pStyle w:val="27"/>
        <w:spacing w:line="560" w:lineRule="exact"/>
        <w:ind w:firstLine="640"/>
      </w:pPr>
      <w:r>
        <w:rPr>
          <w:rFonts w:hint="eastAsia"/>
        </w:rPr>
        <w:t>幼儿家长满意度。对普惠性民办幼儿园幼儿家长发放满意度调查结果，反映幼儿家长对幼儿园工作落实的满意程度。</w:t>
      </w:r>
    </w:p>
    <w:p>
      <w:pPr>
        <w:pStyle w:val="27"/>
        <w:spacing w:line="560" w:lineRule="exact"/>
        <w:ind w:firstLine="640"/>
      </w:pPr>
      <w:r>
        <w:t>3</w:t>
      </w:r>
      <w:r>
        <w:rPr>
          <w:rFonts w:hint="eastAsia"/>
        </w:rPr>
        <w:t>.绩效评价方法</w:t>
      </w:r>
    </w:p>
    <w:p>
      <w:pPr>
        <w:pStyle w:val="27"/>
        <w:spacing w:line="560" w:lineRule="exact"/>
        <w:ind w:firstLine="640"/>
      </w:pPr>
      <w:bookmarkStart w:id="9" w:name="_Hlk91875362"/>
      <w:r>
        <w:rPr>
          <w:rFonts w:hint="eastAsia"/>
        </w:rPr>
        <w:t>结合项目具体情况，本次绩效评价主要运用指标分析法结合比较法等方法进行评价。坚持定量指标优先、定量指标与定性指标相结合的方式，同时通过文献法进行资料搜索以及多因素分析来支撑评价内容的逻辑紧密性与客观性。从项目决策、项目过程、项目产出以及项目效益四个方面开展评价</w:t>
      </w:r>
      <w:bookmarkEnd w:id="9"/>
      <w:r>
        <w:rPr>
          <w:rFonts w:hint="eastAsia"/>
        </w:rPr>
        <w:t>，并对区教育局进行了现场评价，绩效评价指标体系详见附件。</w:t>
      </w:r>
    </w:p>
    <w:p>
      <w:pPr>
        <w:pStyle w:val="31"/>
        <w:spacing w:line="560" w:lineRule="exact"/>
        <w:ind w:firstLine="640"/>
      </w:pPr>
      <w:bookmarkStart w:id="10" w:name="_Toc6609"/>
      <w:r>
        <w:rPr>
          <w:rFonts w:hint="eastAsia"/>
        </w:rPr>
        <w:t>（三）绩效评价工作过程</w:t>
      </w:r>
      <w:bookmarkEnd w:id="10"/>
    </w:p>
    <w:p>
      <w:pPr>
        <w:pStyle w:val="27"/>
        <w:spacing w:line="560" w:lineRule="exact"/>
        <w:ind w:firstLine="640"/>
      </w:pPr>
      <w:bookmarkStart w:id="11" w:name="_Toc57967893"/>
      <w:r>
        <w:t>1.</w:t>
      </w:r>
      <w:r>
        <w:rPr>
          <w:rFonts w:hint="eastAsia"/>
        </w:rPr>
        <w:t>前期准备阶段</w:t>
      </w:r>
      <w:bookmarkEnd w:id="11"/>
    </w:p>
    <w:p>
      <w:pPr>
        <w:pStyle w:val="27"/>
        <w:spacing w:line="560" w:lineRule="exact"/>
        <w:ind w:firstLine="640"/>
      </w:pPr>
      <w:r>
        <w:rPr>
          <w:rFonts w:hint="eastAsia"/>
        </w:rPr>
        <w:t>（</w:t>
      </w:r>
      <w:r>
        <w:t>1</w:t>
      </w:r>
      <w:r>
        <w:rPr>
          <w:rFonts w:hint="eastAsia"/>
        </w:rPr>
        <w:t>）成立绩效评价项目组</w:t>
      </w:r>
    </w:p>
    <w:p>
      <w:pPr>
        <w:pStyle w:val="27"/>
        <w:spacing w:line="560" w:lineRule="exact"/>
        <w:ind w:firstLine="640"/>
      </w:pPr>
      <w:r>
        <w:rPr>
          <w:rFonts w:hint="eastAsia"/>
        </w:rPr>
        <w:t>根据《天津市和平区关于开展2</w:t>
      </w:r>
      <w:r>
        <w:t>023</w:t>
      </w:r>
      <w:r>
        <w:rPr>
          <w:rFonts w:hint="eastAsia"/>
        </w:rPr>
        <w:t>年度重点项目部门绩效评价工作的通知》要求，</w:t>
      </w:r>
      <w:r>
        <w:rPr>
          <w:color w:val="000000" w:themeColor="text1"/>
          <w14:textFill>
            <w14:solidFill>
              <w14:schemeClr w14:val="tx1"/>
            </w14:solidFill>
          </w14:textFill>
        </w:rPr>
        <w:t>天津市</w:t>
      </w:r>
      <w:r>
        <w:rPr>
          <w:rFonts w:hint="eastAsia"/>
          <w:color w:val="000000" w:themeColor="text1"/>
          <w14:textFill>
            <w14:solidFill>
              <w14:schemeClr w14:val="tx1"/>
            </w14:solidFill>
          </w14:textFill>
        </w:rPr>
        <w:t>和平区</w:t>
      </w:r>
      <w:r>
        <w:rPr>
          <w:color w:val="000000" w:themeColor="text1"/>
          <w14:textFill>
            <w14:solidFill>
              <w14:schemeClr w14:val="tx1"/>
            </w14:solidFill>
          </w14:textFill>
        </w:rPr>
        <w:t>财政局</w:t>
      </w:r>
      <w:r>
        <w:rPr>
          <w:rFonts w:hint="eastAsia"/>
        </w:rPr>
        <w:t>委托我司（天津安信管理咨询有限公司）对</w:t>
      </w:r>
      <w:r>
        <w:rPr>
          <w:szCs w:val="32"/>
        </w:rPr>
        <w:t>普惠性民办幼儿园生均经费补助</w:t>
      </w:r>
      <w:r>
        <w:rPr>
          <w:rFonts w:hint="eastAsia"/>
        </w:rPr>
        <w:t>项目进行绩效评价工作。</w:t>
      </w:r>
    </w:p>
    <w:p>
      <w:pPr>
        <w:pStyle w:val="27"/>
        <w:spacing w:line="560" w:lineRule="exact"/>
        <w:ind w:firstLine="640"/>
      </w:pPr>
      <w:r>
        <w:t>2024</w:t>
      </w:r>
      <w:r>
        <w:rPr>
          <w:rFonts w:hint="eastAsia"/>
        </w:rPr>
        <w:t>年7月3</w:t>
      </w:r>
      <w:r>
        <w:t>0</w:t>
      </w:r>
      <w:r>
        <w:rPr>
          <w:rFonts w:hint="eastAsia"/>
        </w:rPr>
        <w:t>日，绩效评价项目组（以下简称“评价组”）赴区教育局参加了项目见面会，听取了该单位对</w:t>
      </w:r>
      <w:r>
        <w:rPr>
          <w:szCs w:val="32"/>
        </w:rPr>
        <w:t>普惠性民办幼儿园生均经费补助</w:t>
      </w:r>
      <w:r>
        <w:rPr>
          <w:rFonts w:hint="eastAsia"/>
        </w:rPr>
        <w:t>项目的项目背景、申请立项、资金落实、业务管理、财务管理、项目产出、项目效益等方面的情况介绍，并对项目后续评价工作的基本原则及所需的各类资料文件提出了要求。</w:t>
      </w:r>
    </w:p>
    <w:p>
      <w:pPr>
        <w:pStyle w:val="27"/>
        <w:spacing w:line="560" w:lineRule="exact"/>
        <w:ind w:firstLine="640"/>
      </w:pPr>
      <w:r>
        <w:rPr>
          <w:rFonts w:hint="eastAsia"/>
        </w:rPr>
        <w:t>（</w:t>
      </w:r>
      <w:r>
        <w:t>2</w:t>
      </w:r>
      <w:r>
        <w:rPr>
          <w:rFonts w:hint="eastAsia"/>
        </w:rPr>
        <w:t>）制定绩效评价方案</w:t>
      </w:r>
    </w:p>
    <w:p>
      <w:pPr>
        <w:pStyle w:val="27"/>
        <w:spacing w:line="560" w:lineRule="exact"/>
        <w:ind w:firstLine="640"/>
      </w:pPr>
      <w:r>
        <w:rPr>
          <w:rFonts w:hint="eastAsia"/>
        </w:rPr>
        <w:t>根据</w:t>
      </w:r>
      <w:r>
        <w:rPr>
          <w:rFonts w:hint="eastAsia"/>
          <w:color w:val="000000"/>
          <w:szCs w:val="32"/>
        </w:rPr>
        <w:t>《中共天津市委天津市人民政府印发&lt;关于全面推进预算绩效管理的实施方案&gt;的通知》（津党发〔2019〕25号）</w:t>
      </w:r>
      <w:r>
        <w:rPr>
          <w:rFonts w:hint="eastAsia"/>
        </w:rPr>
        <w:t>要求，评价项目组制定了《天津市和平区教育局</w:t>
      </w:r>
      <w:r>
        <w:rPr>
          <w:szCs w:val="32"/>
        </w:rPr>
        <w:t>普惠性民办幼儿园生均经费补助</w:t>
      </w:r>
      <w:r>
        <w:rPr>
          <w:rFonts w:hint="eastAsia"/>
        </w:rPr>
        <w:t>项目</w:t>
      </w:r>
      <w:r>
        <w:t>绩效评价工作实施方案</w:t>
      </w:r>
      <w:r>
        <w:rPr>
          <w:rFonts w:hint="eastAsia"/>
        </w:rPr>
        <w:t>》，并根据评价方案组织开展项目评价工作。</w:t>
      </w:r>
    </w:p>
    <w:p>
      <w:pPr>
        <w:pStyle w:val="27"/>
        <w:spacing w:line="560" w:lineRule="exact"/>
        <w:ind w:firstLine="640"/>
      </w:pPr>
      <w:r>
        <w:rPr>
          <w:rFonts w:hint="eastAsia"/>
        </w:rPr>
        <w:t>（</w:t>
      </w:r>
      <w:r>
        <w:t>3</w:t>
      </w:r>
      <w:r>
        <w:rPr>
          <w:rFonts w:hint="eastAsia"/>
        </w:rPr>
        <w:t>）指标体系设计</w:t>
      </w:r>
    </w:p>
    <w:p>
      <w:pPr>
        <w:pStyle w:val="27"/>
        <w:spacing w:line="560" w:lineRule="exact"/>
        <w:ind w:firstLine="640"/>
      </w:pPr>
      <w:r>
        <w:rPr>
          <w:rFonts w:hint="eastAsia"/>
        </w:rPr>
        <w:t>根据</w:t>
      </w:r>
      <w:r>
        <w:rPr>
          <w:szCs w:val="32"/>
        </w:rPr>
        <w:t>普惠性民办幼儿园生均经费补助</w:t>
      </w:r>
      <w:r>
        <w:rPr>
          <w:rFonts w:hint="eastAsia"/>
        </w:rPr>
        <w:t>项目绩效目标及实际工作需要，从决策、过程、产出、效益四个维度出发，设立项目立项、绩效目标、预算编制、资金管理、组织实施、产出数量、产出质量、产出时效、产出成本、社会效益、服务对象满意度</w:t>
      </w:r>
      <w:r>
        <w:t>12</w:t>
      </w:r>
      <w:r>
        <w:rPr>
          <w:rFonts w:hint="eastAsia"/>
        </w:rPr>
        <w:t>项二级指标和2</w:t>
      </w:r>
      <w:r>
        <w:t>5</w:t>
      </w:r>
      <w:r>
        <w:rPr>
          <w:rFonts w:hint="eastAsia"/>
        </w:rPr>
        <w:t>项三级指标，采取指标分值百分制，将</w:t>
      </w:r>
      <w:r>
        <w:t>25</w:t>
      </w:r>
      <w:r>
        <w:rPr>
          <w:rFonts w:hint="eastAsia"/>
        </w:rPr>
        <w:t>项指标量化为</w:t>
      </w:r>
      <w:r>
        <w:t>100</w:t>
      </w:r>
      <w:r>
        <w:rPr>
          <w:rFonts w:hint="eastAsia"/>
        </w:rPr>
        <w:t>分，分值权重在征求被评单位意见的基础上确定，详见附件。</w:t>
      </w:r>
    </w:p>
    <w:p>
      <w:pPr>
        <w:pStyle w:val="27"/>
        <w:spacing w:line="560" w:lineRule="exact"/>
        <w:ind w:firstLine="640"/>
      </w:pPr>
      <w:bookmarkStart w:id="12" w:name="_Toc57967894"/>
      <w:r>
        <w:t>2.</w:t>
      </w:r>
      <w:r>
        <w:rPr>
          <w:rFonts w:hint="eastAsia"/>
        </w:rPr>
        <w:t>评价实施阶段</w:t>
      </w:r>
      <w:bookmarkEnd w:id="12"/>
    </w:p>
    <w:p>
      <w:pPr>
        <w:pStyle w:val="27"/>
        <w:spacing w:line="560" w:lineRule="exact"/>
        <w:ind w:firstLine="640"/>
      </w:pPr>
      <w:r>
        <w:rPr>
          <w:rFonts w:hint="eastAsia"/>
        </w:rPr>
        <w:t>（</w:t>
      </w:r>
      <w:r>
        <w:t>1</w:t>
      </w:r>
      <w:r>
        <w:rPr>
          <w:rFonts w:hint="eastAsia"/>
        </w:rPr>
        <w:t>）正式进驻。评价组</w:t>
      </w:r>
      <w:r>
        <w:t>2024</w:t>
      </w:r>
      <w:r>
        <w:rPr>
          <w:rFonts w:hint="eastAsia"/>
        </w:rPr>
        <w:t>年7月</w:t>
      </w:r>
      <w:r>
        <w:t>30</w:t>
      </w:r>
      <w:r>
        <w:rPr>
          <w:rFonts w:hint="eastAsia"/>
        </w:rPr>
        <w:t>日正式进驻区教育局实施评价工作。</w:t>
      </w:r>
    </w:p>
    <w:p>
      <w:pPr>
        <w:pStyle w:val="27"/>
        <w:spacing w:line="560" w:lineRule="exact"/>
        <w:ind w:firstLine="640"/>
      </w:pPr>
      <w:r>
        <w:rPr>
          <w:rFonts w:hint="eastAsia"/>
        </w:rPr>
        <w:t>（</w:t>
      </w:r>
      <w:r>
        <w:t>2</w:t>
      </w:r>
      <w:r>
        <w:rPr>
          <w:rFonts w:hint="eastAsia"/>
        </w:rPr>
        <w:t>）全面审查。评价过程中，评价组对</w:t>
      </w:r>
      <w:r>
        <w:t>普惠性民办幼儿园生均经费补助</w:t>
      </w:r>
      <w:r>
        <w:rPr>
          <w:rFonts w:hint="eastAsia"/>
        </w:rPr>
        <w:t>项目的文件依据、预算编制、制度执行、资金拨付、资金使用情况、产生效益等方面进行了全面梳理。评价组根据《市教委市财政局市发展改革委关于印发天津市普惠性民办幼儿园认定办法的通知》（津教规范〔2019〕10号）、《市教委关于印发天津市普惠性民办幼儿园等级评定标准的通知》（津教政〔2021〕5号）、《市教委市财政局关于调整天津市普惠性民办幼儿园生均经费补助项目和资金管理办法的通知》（津教政〔2022〕20号）、《天津市和平区普惠性民办幼儿园生均经费补助项目和资金管理办法》等文件，对专项经费的到位情况、预算编制、资金拨付、资金使用等相关业务文件进行了核查</w:t>
      </w:r>
    </w:p>
    <w:p>
      <w:pPr>
        <w:pStyle w:val="27"/>
        <w:spacing w:line="560" w:lineRule="exact"/>
        <w:ind w:firstLine="640"/>
      </w:pPr>
      <w:r>
        <w:rPr>
          <w:rFonts w:hint="eastAsia"/>
        </w:rPr>
        <w:t>（</w:t>
      </w:r>
      <w:r>
        <w:t>3</w:t>
      </w:r>
      <w:r>
        <w:rPr>
          <w:rFonts w:hint="eastAsia"/>
        </w:rPr>
        <w:t>）实地核查。对区教育局开展现场评价，针对项目经费使用情况，普惠性民办幼儿园资质认定流程、条件审核、等级认定情况开展一一核查，根据上述核查内容形成评价清单。</w:t>
      </w:r>
    </w:p>
    <w:p>
      <w:pPr>
        <w:pStyle w:val="27"/>
        <w:spacing w:line="560" w:lineRule="exact"/>
        <w:ind w:firstLine="640"/>
      </w:pPr>
      <w:r>
        <w:rPr>
          <w:rFonts w:hint="eastAsia"/>
        </w:rPr>
        <w:t>（</w:t>
      </w:r>
      <w:r>
        <w:t>4</w:t>
      </w:r>
      <w:r>
        <w:rPr>
          <w:rFonts w:hint="eastAsia"/>
        </w:rPr>
        <w:t>）评价打分。按照绩效评价指标体系编制了工作底稿，并对各绩效评价指标进行了评分。</w:t>
      </w:r>
    </w:p>
    <w:p>
      <w:pPr>
        <w:pStyle w:val="27"/>
        <w:spacing w:line="560" w:lineRule="exact"/>
        <w:ind w:firstLine="640"/>
      </w:pPr>
      <w:r>
        <w:rPr>
          <w:rFonts w:hint="eastAsia"/>
        </w:rPr>
        <w:t>（</w:t>
      </w:r>
      <w:r>
        <w:t>5</w:t>
      </w:r>
      <w:r>
        <w:rPr>
          <w:rFonts w:hint="eastAsia"/>
        </w:rPr>
        <w:t>）编制报告。评价组根据现场评价打分，编制绩效评价报告，全面梳理本项目在决策依据、过程管理、产出情况、取得效益等方面存在的问题及工作建议。</w:t>
      </w:r>
    </w:p>
    <w:p>
      <w:pPr>
        <w:pStyle w:val="29"/>
        <w:spacing w:line="560" w:lineRule="exact"/>
      </w:pPr>
      <w:bookmarkStart w:id="13" w:name="_Toc6425"/>
      <w:r>
        <w:rPr>
          <w:rFonts w:hint="eastAsia"/>
        </w:rPr>
        <w:t>三、综合评价情况及评价结论</w:t>
      </w:r>
      <w:bookmarkEnd w:id="13"/>
    </w:p>
    <w:p>
      <w:pPr>
        <w:pStyle w:val="27"/>
        <w:spacing w:line="560" w:lineRule="exact"/>
        <w:ind w:firstLine="640"/>
      </w:pPr>
      <w:bookmarkStart w:id="14" w:name="_Hlk91875381"/>
      <w:r>
        <w:rPr>
          <w:rFonts w:hint="eastAsia"/>
        </w:rPr>
        <w:t>经过综合评价，</w:t>
      </w:r>
      <w:r>
        <w:rPr>
          <w:szCs w:val="32"/>
        </w:rPr>
        <w:t>普惠性民办幼儿园生均经费补助</w:t>
      </w:r>
      <w:r>
        <w:rPr>
          <w:rFonts w:hint="eastAsia"/>
        </w:rPr>
        <w:t>项目得分</w:t>
      </w:r>
      <w:r>
        <w:t>99</w:t>
      </w:r>
      <w:r>
        <w:rPr>
          <w:rFonts w:hint="eastAsia"/>
        </w:rPr>
        <w:t>分，评价等级为“优”。其中，项目决策</w:t>
      </w:r>
      <w:r>
        <w:t>16</w:t>
      </w:r>
      <w:r>
        <w:rPr>
          <w:rFonts w:hint="eastAsia"/>
        </w:rPr>
        <w:t>分，项目过程</w:t>
      </w:r>
      <w:r>
        <w:t>23</w:t>
      </w:r>
      <w:r>
        <w:rPr>
          <w:rFonts w:hint="eastAsia"/>
        </w:rPr>
        <w:t>分，项目产出</w:t>
      </w:r>
      <w:r>
        <w:t>38</w:t>
      </w:r>
      <w:r>
        <w:rPr>
          <w:rFonts w:hint="eastAsia"/>
        </w:rPr>
        <w:t>分，项目效益</w:t>
      </w:r>
      <w:r>
        <w:t>22</w:t>
      </w:r>
      <w:r>
        <w:rPr>
          <w:rFonts w:hint="eastAsia"/>
        </w:rPr>
        <w:t>分。</w:t>
      </w:r>
      <w:bookmarkEnd w:id="14"/>
      <w:bookmarkStart w:id="15" w:name="_Hlk91875395"/>
      <w:r>
        <w:rPr>
          <w:rFonts w:hint="eastAsia"/>
        </w:rPr>
        <w:t>具体情况见表</w:t>
      </w:r>
      <w:r>
        <w:t>3</w:t>
      </w:r>
      <w:r>
        <w:rPr>
          <w:rFonts w:hint="eastAsia"/>
        </w:rPr>
        <w:t>。</w:t>
      </w:r>
    </w:p>
    <w:p>
      <w:pPr>
        <w:pStyle w:val="34"/>
        <w:spacing w:line="560" w:lineRule="exact"/>
      </w:pPr>
      <w:r>
        <w:t>表3</w:t>
      </w:r>
      <w:r>
        <w:rPr>
          <w:rFonts w:hint="eastAsia"/>
        </w:rPr>
        <w:t xml:space="preserve">  </w:t>
      </w:r>
      <w:r>
        <w:t>普惠性民办幼儿园生均经费补助</w:t>
      </w:r>
      <w:r>
        <w:rPr>
          <w:rFonts w:hint="eastAsia"/>
        </w:rPr>
        <w:t>项目绩效得分情况表</w:t>
      </w:r>
    </w:p>
    <w:tbl>
      <w:tblPr>
        <w:tblStyle w:val="16"/>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01"/>
        <w:gridCol w:w="1501"/>
        <w:gridCol w:w="1504"/>
        <w:gridCol w:w="1533"/>
        <w:gridCol w:w="1502"/>
        <w:gridCol w:w="15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blHeader/>
          <w:jc w:val="center"/>
        </w:trPr>
        <w:tc>
          <w:tcPr>
            <w:tcW w:w="828" w:type="pct"/>
            <w:vAlign w:val="center"/>
          </w:tcPr>
          <w:p>
            <w:pPr>
              <w:pStyle w:val="37"/>
              <w:rPr>
                <w:rFonts w:ascii="宋体" w:hAnsi="宋体" w:eastAsia="宋体" w:cs="宋体"/>
              </w:rPr>
            </w:pPr>
            <w:r>
              <w:rPr>
                <w:rFonts w:hint="eastAsia" w:ascii="宋体" w:hAnsi="宋体" w:eastAsia="宋体" w:cs="宋体"/>
              </w:rPr>
              <w:t>指标</w:t>
            </w:r>
          </w:p>
        </w:tc>
        <w:tc>
          <w:tcPr>
            <w:tcW w:w="828" w:type="pct"/>
            <w:vAlign w:val="center"/>
          </w:tcPr>
          <w:p>
            <w:pPr>
              <w:pStyle w:val="37"/>
              <w:rPr>
                <w:rFonts w:ascii="宋体" w:hAnsi="宋体" w:eastAsia="宋体" w:cs="宋体"/>
              </w:rPr>
            </w:pPr>
            <w:r>
              <w:rPr>
                <w:rFonts w:hint="eastAsia" w:ascii="宋体" w:hAnsi="宋体" w:eastAsia="宋体" w:cs="宋体"/>
              </w:rPr>
              <w:t>项目决策</w:t>
            </w:r>
          </w:p>
        </w:tc>
        <w:tc>
          <w:tcPr>
            <w:tcW w:w="830" w:type="pct"/>
            <w:vAlign w:val="center"/>
          </w:tcPr>
          <w:p>
            <w:pPr>
              <w:pStyle w:val="37"/>
              <w:rPr>
                <w:rFonts w:ascii="宋体" w:hAnsi="宋体" w:eastAsia="宋体" w:cs="宋体"/>
              </w:rPr>
            </w:pPr>
            <w:r>
              <w:rPr>
                <w:rFonts w:hint="eastAsia" w:ascii="宋体" w:hAnsi="宋体" w:eastAsia="宋体" w:cs="宋体"/>
              </w:rPr>
              <w:t>项目过程</w:t>
            </w:r>
          </w:p>
        </w:tc>
        <w:tc>
          <w:tcPr>
            <w:tcW w:w="846" w:type="pct"/>
            <w:vAlign w:val="center"/>
          </w:tcPr>
          <w:p>
            <w:pPr>
              <w:pStyle w:val="37"/>
              <w:rPr>
                <w:rFonts w:ascii="宋体" w:hAnsi="宋体" w:eastAsia="宋体" w:cs="宋体"/>
              </w:rPr>
            </w:pPr>
            <w:r>
              <w:rPr>
                <w:rFonts w:hint="eastAsia" w:ascii="宋体" w:hAnsi="宋体" w:eastAsia="宋体" w:cs="宋体"/>
              </w:rPr>
              <w:t>项目产出</w:t>
            </w:r>
          </w:p>
        </w:tc>
        <w:tc>
          <w:tcPr>
            <w:tcW w:w="829" w:type="pct"/>
            <w:vAlign w:val="center"/>
          </w:tcPr>
          <w:p>
            <w:pPr>
              <w:pStyle w:val="37"/>
              <w:rPr>
                <w:rFonts w:ascii="宋体" w:hAnsi="宋体" w:eastAsia="宋体" w:cs="宋体"/>
              </w:rPr>
            </w:pPr>
            <w:r>
              <w:rPr>
                <w:rFonts w:hint="eastAsia" w:ascii="宋体" w:hAnsi="宋体" w:eastAsia="宋体" w:cs="宋体"/>
              </w:rPr>
              <w:t>项目效益</w:t>
            </w:r>
          </w:p>
        </w:tc>
        <w:tc>
          <w:tcPr>
            <w:tcW w:w="839" w:type="pct"/>
            <w:vAlign w:val="center"/>
          </w:tcPr>
          <w:p>
            <w:pPr>
              <w:pStyle w:val="37"/>
              <w:rPr>
                <w:rFonts w:ascii="宋体" w:hAnsi="宋体" w:eastAsia="宋体" w:cs="宋体"/>
              </w:rPr>
            </w:pPr>
            <w:r>
              <w:rPr>
                <w:rFonts w:hint="eastAsia" w:ascii="宋体" w:hAnsi="宋体" w:eastAsia="宋体" w:cs="宋体"/>
              </w:rPr>
              <w:t>合计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828" w:type="pct"/>
            <w:vAlign w:val="center"/>
          </w:tcPr>
          <w:p>
            <w:pPr>
              <w:pStyle w:val="39"/>
            </w:pPr>
            <w:r>
              <w:rPr>
                <w:rFonts w:hint="eastAsia"/>
              </w:rPr>
              <w:t>分值</w:t>
            </w:r>
          </w:p>
        </w:tc>
        <w:tc>
          <w:tcPr>
            <w:tcW w:w="828" w:type="pct"/>
            <w:vAlign w:val="center"/>
          </w:tcPr>
          <w:p>
            <w:pPr>
              <w:pStyle w:val="39"/>
            </w:pPr>
            <w:r>
              <w:t>17</w:t>
            </w:r>
          </w:p>
        </w:tc>
        <w:tc>
          <w:tcPr>
            <w:tcW w:w="830" w:type="pct"/>
            <w:vAlign w:val="center"/>
          </w:tcPr>
          <w:p>
            <w:pPr>
              <w:pStyle w:val="39"/>
            </w:pPr>
            <w:r>
              <w:t>23</w:t>
            </w:r>
          </w:p>
        </w:tc>
        <w:tc>
          <w:tcPr>
            <w:tcW w:w="846" w:type="pct"/>
            <w:vAlign w:val="center"/>
          </w:tcPr>
          <w:p>
            <w:pPr>
              <w:pStyle w:val="39"/>
            </w:pPr>
            <w:r>
              <w:t>38</w:t>
            </w:r>
          </w:p>
        </w:tc>
        <w:tc>
          <w:tcPr>
            <w:tcW w:w="829" w:type="pct"/>
            <w:vAlign w:val="center"/>
          </w:tcPr>
          <w:p>
            <w:pPr>
              <w:pStyle w:val="39"/>
            </w:pPr>
            <w:r>
              <w:t>22</w:t>
            </w:r>
          </w:p>
        </w:tc>
        <w:tc>
          <w:tcPr>
            <w:tcW w:w="839" w:type="pct"/>
            <w:vAlign w:val="center"/>
          </w:tcPr>
          <w:p>
            <w:pPr>
              <w:pStyle w:val="39"/>
            </w:pPr>
            <w: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828" w:type="pct"/>
            <w:vAlign w:val="center"/>
          </w:tcPr>
          <w:p>
            <w:pPr>
              <w:pStyle w:val="39"/>
            </w:pPr>
            <w:r>
              <w:rPr>
                <w:rFonts w:hint="eastAsia"/>
              </w:rPr>
              <w:t>得分</w:t>
            </w:r>
          </w:p>
        </w:tc>
        <w:tc>
          <w:tcPr>
            <w:tcW w:w="828" w:type="pct"/>
            <w:vAlign w:val="center"/>
          </w:tcPr>
          <w:p>
            <w:pPr>
              <w:pStyle w:val="39"/>
            </w:pPr>
            <w:r>
              <w:rPr>
                <w:rFonts w:hint="eastAsia"/>
              </w:rPr>
              <w:t>1</w:t>
            </w:r>
            <w:r>
              <w:t>6</w:t>
            </w:r>
          </w:p>
        </w:tc>
        <w:tc>
          <w:tcPr>
            <w:tcW w:w="830" w:type="pct"/>
            <w:vAlign w:val="center"/>
          </w:tcPr>
          <w:p>
            <w:pPr>
              <w:pStyle w:val="39"/>
            </w:pPr>
            <w:r>
              <w:t>23</w:t>
            </w:r>
          </w:p>
        </w:tc>
        <w:tc>
          <w:tcPr>
            <w:tcW w:w="846" w:type="pct"/>
            <w:vAlign w:val="center"/>
          </w:tcPr>
          <w:p>
            <w:pPr>
              <w:pStyle w:val="39"/>
            </w:pPr>
            <w:r>
              <w:rPr>
                <w:rFonts w:hint="eastAsia"/>
              </w:rPr>
              <w:t>3</w:t>
            </w:r>
            <w:r>
              <w:t>8</w:t>
            </w:r>
          </w:p>
        </w:tc>
        <w:tc>
          <w:tcPr>
            <w:tcW w:w="829" w:type="pct"/>
            <w:vAlign w:val="center"/>
          </w:tcPr>
          <w:p>
            <w:pPr>
              <w:pStyle w:val="39"/>
            </w:pPr>
            <w:r>
              <w:t>22</w:t>
            </w:r>
          </w:p>
        </w:tc>
        <w:tc>
          <w:tcPr>
            <w:tcW w:w="839" w:type="pct"/>
            <w:vAlign w:val="center"/>
          </w:tcPr>
          <w:p>
            <w:pPr>
              <w:pStyle w:val="39"/>
            </w:pPr>
            <w:r>
              <w:rPr>
                <w:rFonts w:hint="eastAsia"/>
              </w:rPr>
              <w:t>9</w:t>
            </w:r>
            <w: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828" w:type="pct"/>
            <w:vAlign w:val="center"/>
          </w:tcPr>
          <w:p>
            <w:pPr>
              <w:pStyle w:val="39"/>
            </w:pPr>
            <w:r>
              <w:rPr>
                <w:rFonts w:hint="eastAsia"/>
              </w:rPr>
              <w:t>得分率</w:t>
            </w:r>
          </w:p>
        </w:tc>
        <w:tc>
          <w:tcPr>
            <w:tcW w:w="828" w:type="pct"/>
            <w:vAlign w:val="center"/>
          </w:tcPr>
          <w:p>
            <w:pPr>
              <w:pStyle w:val="39"/>
            </w:pPr>
            <w:r>
              <w:rPr>
                <w:rFonts w:hint="eastAsia"/>
              </w:rPr>
              <w:t>9</w:t>
            </w:r>
            <w:r>
              <w:t>4.12%</w:t>
            </w:r>
          </w:p>
        </w:tc>
        <w:tc>
          <w:tcPr>
            <w:tcW w:w="830" w:type="pct"/>
            <w:vAlign w:val="center"/>
          </w:tcPr>
          <w:p>
            <w:pPr>
              <w:pStyle w:val="39"/>
            </w:pPr>
            <w:r>
              <w:rPr>
                <w:rFonts w:hint="eastAsia"/>
              </w:rPr>
              <w:t>1</w:t>
            </w:r>
            <w:r>
              <w:t>00%</w:t>
            </w:r>
          </w:p>
        </w:tc>
        <w:tc>
          <w:tcPr>
            <w:tcW w:w="846" w:type="pct"/>
            <w:vAlign w:val="center"/>
          </w:tcPr>
          <w:p>
            <w:pPr>
              <w:pStyle w:val="39"/>
            </w:pPr>
            <w:r>
              <w:rPr>
                <w:rFonts w:hint="eastAsia"/>
              </w:rPr>
              <w:t>1</w:t>
            </w:r>
            <w:r>
              <w:t>00%</w:t>
            </w:r>
          </w:p>
        </w:tc>
        <w:tc>
          <w:tcPr>
            <w:tcW w:w="829" w:type="pct"/>
            <w:vAlign w:val="center"/>
          </w:tcPr>
          <w:p>
            <w:pPr>
              <w:pStyle w:val="39"/>
            </w:pPr>
            <w:r>
              <w:t>100%</w:t>
            </w:r>
          </w:p>
        </w:tc>
        <w:tc>
          <w:tcPr>
            <w:tcW w:w="839" w:type="pct"/>
            <w:vAlign w:val="center"/>
          </w:tcPr>
          <w:p>
            <w:pPr>
              <w:pStyle w:val="39"/>
            </w:pPr>
            <w:r>
              <w:rPr>
                <w:rFonts w:hint="eastAsia"/>
              </w:rPr>
              <w:t>9</w:t>
            </w:r>
            <w:r>
              <w:t>9%</w:t>
            </w:r>
          </w:p>
        </w:tc>
      </w:tr>
      <w:bookmarkEnd w:id="15"/>
    </w:tbl>
    <w:p>
      <w:pPr>
        <w:pStyle w:val="27"/>
        <w:spacing w:line="560" w:lineRule="exact"/>
        <w:ind w:firstLine="640"/>
        <w:rPr>
          <w:bCs/>
        </w:rPr>
      </w:pPr>
      <w:bookmarkStart w:id="16" w:name="_Hlk91875411"/>
      <w:r>
        <w:rPr>
          <w:rFonts w:hint="eastAsia"/>
        </w:rPr>
        <w:t>评价结论：</w:t>
      </w:r>
      <w:r>
        <w:rPr>
          <w:rFonts w:hint="eastAsia" w:cs="仿宋_GB2312"/>
        </w:rPr>
        <w:t>一是项目决策方面，普惠性民办幼儿园生均经费补助项目立项依据充分，立项程序规范，绩效目标合理，预算编制测算数据合理，测算标准客观，符合项目需求，但存在项目绩效指标设置与实施内容不匹配的情况。二是项目过程方面，市区两级资金到位及时，预算资金按照计划执行，资金使用符合规定，管理制度健全，制度执行有效。三是项目产出方面，产出数量、产出时效和产出成本均已达到预期目标。四是项目效益方面，</w:t>
      </w:r>
      <w:r>
        <w:rPr>
          <w:rFonts w:hint="eastAsia"/>
        </w:rPr>
        <w:t>幼儿学费减免情况良好，</w:t>
      </w:r>
      <w:r>
        <w:rPr>
          <w:rFonts w:hint="eastAsia"/>
          <w:bCs/>
        </w:rPr>
        <w:t>有效减轻了幼儿家庭负担，20</w:t>
      </w:r>
      <w:r>
        <w:rPr>
          <w:rFonts w:hint="eastAsia"/>
        </w:rPr>
        <w:t>2</w:t>
      </w:r>
      <w:r>
        <w:t>3</w:t>
      </w:r>
      <w:r>
        <w:rPr>
          <w:rFonts w:hint="eastAsia"/>
        </w:rPr>
        <w:t>年普惠性幼儿园在园幼儿数覆盖率达到</w:t>
      </w:r>
      <w:r>
        <w:t>81.51%</w:t>
      </w:r>
      <w:r>
        <w:rPr>
          <w:rFonts w:hint="eastAsia"/>
        </w:rPr>
        <w:t>，该指标呈上升趋势，生均经费补助工作机制健全，有效保障补助工作的持续运转。</w:t>
      </w:r>
    </w:p>
    <w:bookmarkEnd w:id="16"/>
    <w:p>
      <w:pPr>
        <w:pStyle w:val="29"/>
        <w:spacing w:line="560" w:lineRule="exact"/>
      </w:pPr>
      <w:bookmarkStart w:id="17" w:name="_Toc15709"/>
      <w:r>
        <w:rPr>
          <w:rFonts w:hint="eastAsia"/>
        </w:rPr>
        <w:t>四、绩效评价指标分析</w:t>
      </w:r>
      <w:bookmarkEnd w:id="17"/>
    </w:p>
    <w:p>
      <w:pPr>
        <w:pStyle w:val="31"/>
        <w:spacing w:line="560" w:lineRule="exact"/>
        <w:ind w:firstLine="640"/>
      </w:pPr>
      <w:bookmarkStart w:id="18" w:name="_Toc24430"/>
      <w:r>
        <w:rPr>
          <w:rFonts w:hint="eastAsia"/>
        </w:rPr>
        <w:t>（一）项目决策情况</w:t>
      </w:r>
      <w:bookmarkEnd w:id="18"/>
    </w:p>
    <w:p>
      <w:pPr>
        <w:pStyle w:val="27"/>
        <w:spacing w:line="560" w:lineRule="exact"/>
        <w:ind w:firstLine="640"/>
      </w:pPr>
      <w:r>
        <w:rPr>
          <w:rFonts w:hint="eastAsia"/>
        </w:rPr>
        <w:t>决策指标主要包括项目立项、绩效目标、预算编制</w:t>
      </w:r>
      <w:r>
        <w:t>3</w:t>
      </w:r>
      <w:r>
        <w:rPr>
          <w:rFonts w:hint="eastAsia"/>
        </w:rPr>
        <w:t>项二级指标，</w:t>
      </w:r>
      <w:r>
        <w:t>8</w:t>
      </w:r>
      <w:r>
        <w:rPr>
          <w:rFonts w:hint="eastAsia"/>
        </w:rPr>
        <w:t>项三级指标，基础总分</w:t>
      </w:r>
      <w:r>
        <w:t>17</w:t>
      </w:r>
      <w:r>
        <w:rPr>
          <w:rFonts w:hint="eastAsia"/>
        </w:rPr>
        <w:t>分，合计得分</w:t>
      </w:r>
      <w:r>
        <w:t>16</w:t>
      </w:r>
      <w:r>
        <w:rPr>
          <w:rFonts w:hint="eastAsia"/>
        </w:rPr>
        <w:t>分。</w:t>
      </w:r>
    </w:p>
    <w:p>
      <w:pPr>
        <w:pStyle w:val="27"/>
        <w:spacing w:line="560" w:lineRule="exact"/>
        <w:ind w:firstLine="640"/>
      </w:pPr>
      <w:r>
        <w:rPr>
          <w:rFonts w:hint="eastAsia"/>
        </w:rPr>
        <w:t>1.项目立项</w:t>
      </w:r>
    </w:p>
    <w:p>
      <w:pPr>
        <w:pStyle w:val="27"/>
        <w:spacing w:line="560" w:lineRule="exact"/>
        <w:ind w:firstLine="640"/>
        <w:rPr>
          <w:rFonts w:ascii="仿宋_GB2312"/>
        </w:rPr>
      </w:pPr>
      <w:r>
        <w:rPr>
          <w:rFonts w:hint="eastAsia" w:ascii="仿宋_GB2312"/>
        </w:rPr>
        <w:t>（1）</w:t>
      </w:r>
      <w:r>
        <w:rPr>
          <w:rFonts w:hint="eastAsia"/>
        </w:rPr>
        <w:t>立项依据充分性（总分2分，得分</w:t>
      </w:r>
      <w:r>
        <w:t>2</w:t>
      </w:r>
      <w:r>
        <w:rPr>
          <w:rFonts w:hint="eastAsia"/>
        </w:rPr>
        <w:t>分）。项目立项依据《中华人民共和国民办</w:t>
      </w:r>
      <w:r>
        <w:rPr>
          <w:rFonts w:hint="eastAsia" w:ascii="仿宋_GB2312"/>
        </w:rPr>
        <w:t>教育促进法》《市教委市财政局市发展改革委关于印发天津市普惠性民办幼儿园认定办法的通知》（津教规</w:t>
      </w:r>
      <w:r>
        <w:rPr>
          <w:rFonts w:cs="Times New Roman"/>
        </w:rPr>
        <w:t>范〔2019〕10号）文件，项目立项符合国家法律法规、国民经济发展规划和相关政</w:t>
      </w:r>
      <w:r>
        <w:rPr>
          <w:rFonts w:hint="eastAsia" w:ascii="仿宋_GB2312"/>
        </w:rPr>
        <w:t>策，符合行业发展规划和政策要求。项目由市区两级财政预算安排，各普惠性民办幼儿园具体实施，符合市、区两级政府事权支出责任划分原则。普惠性民办幼儿园生均经费补助项目是用于</w:t>
      </w:r>
      <w:r>
        <w:rPr>
          <w:rFonts w:hint="eastAsia"/>
        </w:rPr>
        <w:t>支持学前教育事业健康发展</w:t>
      </w:r>
      <w:r>
        <w:rPr>
          <w:rFonts w:hint="eastAsia" w:ascii="仿宋_GB2312"/>
        </w:rPr>
        <w:t>的重大民生工程，属于公共财政支持范围，不存在与相关部门同类项目或部门内部相关项目存在政策交叉重复问题，同时与区教育局“贯彻执行有关教育工作的法律、法规和方针政策，负责编制全区教育工作发展规划和年度计划并组织实施”的工作职责相符，属于部门履职所需，项目立项依据充分。</w:t>
      </w:r>
    </w:p>
    <w:p>
      <w:pPr>
        <w:pStyle w:val="27"/>
        <w:spacing w:line="560" w:lineRule="exact"/>
        <w:ind w:firstLine="640"/>
        <w:rPr>
          <w:szCs w:val="32"/>
        </w:rPr>
      </w:pPr>
      <w:r>
        <w:rPr>
          <w:rFonts w:hint="eastAsia"/>
        </w:rPr>
        <w:t>（2）立项程序规范性（总分2分，得分</w:t>
      </w:r>
      <w:r>
        <w:t>2</w:t>
      </w:r>
      <w:r>
        <w:rPr>
          <w:rFonts w:hint="eastAsia"/>
        </w:rPr>
        <w:t>分）。依据</w:t>
      </w:r>
      <w:r>
        <w:rPr>
          <w:rFonts w:hint="eastAsia" w:ascii="仿宋_GB2312"/>
        </w:rPr>
        <w:t>《市教委市财政局关于调整天津市普惠性民办幼儿园生均经费补助项目和资金管理办法的通知》</w:t>
      </w:r>
      <w:r>
        <w:rPr>
          <w:rFonts w:cs="Times New Roman"/>
        </w:rPr>
        <w:t>（津教政〔2022〕20号）</w:t>
      </w:r>
      <w:r>
        <w:rPr>
          <w:rFonts w:hint="eastAsia" w:ascii="仿宋_GB2312"/>
        </w:rPr>
        <w:t>文件规定，</w:t>
      </w:r>
      <w:r>
        <w:rPr>
          <w:rFonts w:hint="eastAsia"/>
          <w:szCs w:val="32"/>
        </w:rPr>
        <w:t>区教育局于每年上半年按照市教委要求组织开展普惠性民办幼儿园认定和等级认定工作，</w:t>
      </w:r>
      <w:r>
        <w:rPr>
          <w:rFonts w:hint="eastAsia"/>
          <w:color w:val="000000"/>
          <w:szCs w:val="32"/>
        </w:rPr>
        <w:t>明确普惠性民办幼儿园认定标准、申报时间、申请条件、报送方式等事项，根据申报情况组织评审小组对申报材料和专项资金使用计划进行评审，向社会公示无异议后，将评审结果报市教委，并于每年6月3</w:t>
      </w:r>
      <w:r>
        <w:rPr>
          <w:color w:val="000000"/>
          <w:szCs w:val="32"/>
        </w:rPr>
        <w:t>0</w:t>
      </w:r>
      <w:r>
        <w:rPr>
          <w:rFonts w:hint="eastAsia"/>
          <w:color w:val="000000"/>
          <w:szCs w:val="32"/>
        </w:rPr>
        <w:t>日前将申报材料报送市教委</w:t>
      </w:r>
      <w:r>
        <w:t>，</w:t>
      </w:r>
      <w:r>
        <w:rPr>
          <w:rFonts w:hint="eastAsia"/>
        </w:rPr>
        <w:t>项目按照规定的程序申请设立，审批文件、材料符合相关要求</w:t>
      </w:r>
      <w:r>
        <w:t>。</w:t>
      </w:r>
    </w:p>
    <w:p>
      <w:pPr>
        <w:pStyle w:val="27"/>
        <w:spacing w:line="560" w:lineRule="exact"/>
        <w:ind w:firstLine="640"/>
      </w:pPr>
      <w:r>
        <w:rPr>
          <w:rFonts w:hint="eastAsia"/>
        </w:rPr>
        <w:t>2.绩效目标</w:t>
      </w:r>
    </w:p>
    <w:p>
      <w:pPr>
        <w:pStyle w:val="27"/>
        <w:spacing w:line="560" w:lineRule="exact"/>
        <w:ind w:firstLine="640"/>
      </w:pPr>
      <w:r>
        <w:rPr>
          <w:rFonts w:hint="eastAsia"/>
        </w:rPr>
        <w:t>（1）绩效目标明确性（总分2分，得分</w:t>
      </w:r>
      <w:r>
        <w:t>1</w:t>
      </w:r>
      <w:r>
        <w:rPr>
          <w:rFonts w:hint="eastAsia"/>
        </w:rPr>
        <w:t>分）。</w:t>
      </w:r>
      <w:r>
        <w:rPr>
          <w:rFonts w:hint="eastAsia"/>
          <w:bCs/>
        </w:rPr>
        <w:t>根据</w:t>
      </w:r>
      <w:r>
        <w:rPr>
          <w:rFonts w:hint="eastAsia"/>
        </w:rPr>
        <w:t>《天津市财政局关于印发&lt;天津市市级部门预算绩效目标管理办法&gt;的通知》（津财绩效〔2020〕16号）要求</w:t>
      </w:r>
      <w:r>
        <w:rPr>
          <w:rFonts w:hint="eastAsia"/>
          <w:bCs/>
        </w:rPr>
        <w:t>，“绩效目标、绩效指标与项目实施内容具有相关性，绩效指标应充分细化和量化，具备可衡量性”，根据区教育局提供的项目绩效目标申报表，项目绩效目标为“为普惠性民办幼儿园发放生均补助，促进学前教育普及普惠安全优质发展，鼓励多种形式扩大普惠性学前教育资源，满足人民群众对幼有所育的美好期盼”，目标内容明确了项目预期产出和效益。项目共设置</w:t>
      </w:r>
      <w:r>
        <w:rPr>
          <w:bCs/>
        </w:rPr>
        <w:t>8</w:t>
      </w:r>
      <w:r>
        <w:rPr>
          <w:rFonts w:hint="eastAsia"/>
          <w:bCs/>
        </w:rPr>
        <w:t>条三级指标，分别为数量指标“补助普惠性民办幼儿园数量≥7个”，质量指标“资金发放合规率=</w:t>
      </w:r>
      <w:r>
        <w:rPr>
          <w:bCs/>
        </w:rPr>
        <w:t>100%</w:t>
      </w:r>
      <w:r>
        <w:rPr>
          <w:rFonts w:hint="eastAsia"/>
          <w:bCs/>
        </w:rPr>
        <w:t>”，时效指标“资</w:t>
      </w:r>
      <w:r>
        <w:rPr>
          <w:rFonts w:hint="eastAsia"/>
          <w:bCs/>
          <w:highlight w:val="none"/>
        </w:rPr>
        <w:t>金发放及时率=</w:t>
      </w:r>
      <w:r>
        <w:rPr>
          <w:bCs/>
          <w:highlight w:val="none"/>
        </w:rPr>
        <w:t>100%</w:t>
      </w:r>
      <w:r>
        <w:rPr>
          <w:rFonts w:hint="eastAsia"/>
          <w:bCs/>
          <w:highlight w:val="none"/>
        </w:rPr>
        <w:t>”，成本指标“普惠性民办幼儿园市级补助经费≤5</w:t>
      </w:r>
      <w:r>
        <w:rPr>
          <w:bCs/>
          <w:highlight w:val="none"/>
        </w:rPr>
        <w:t>31.37</w:t>
      </w:r>
      <w:r>
        <w:rPr>
          <w:rFonts w:hint="eastAsia"/>
          <w:bCs/>
          <w:highlight w:val="none"/>
        </w:rPr>
        <w:t>万元、普惠性民办幼儿园区级补助经费≤5</w:t>
      </w:r>
      <w:r>
        <w:rPr>
          <w:bCs/>
          <w:highlight w:val="none"/>
        </w:rPr>
        <w:t>31.37万元</w:t>
      </w:r>
      <w:r>
        <w:rPr>
          <w:rFonts w:hint="eastAsia"/>
          <w:bCs/>
          <w:highlight w:val="none"/>
        </w:rPr>
        <w:t>”</w:t>
      </w:r>
      <w:r>
        <w:rPr>
          <w:rFonts w:hint="eastAsia"/>
          <w:bCs/>
        </w:rPr>
        <w:t>，社会效益指标“提高学前教育普惠保障水平”指标值为“提高”，服务对象满意度指标“学生满意度≥9</w:t>
      </w:r>
      <w:r>
        <w:rPr>
          <w:bCs/>
        </w:rPr>
        <w:t>5%</w:t>
      </w:r>
      <w:r>
        <w:rPr>
          <w:rFonts w:hint="eastAsia"/>
          <w:bCs/>
        </w:rPr>
        <w:t>、家长满意度≥9</w:t>
      </w:r>
      <w:r>
        <w:rPr>
          <w:bCs/>
        </w:rPr>
        <w:t>7%</w:t>
      </w:r>
      <w:r>
        <w:rPr>
          <w:rFonts w:hint="eastAsia"/>
          <w:bCs/>
        </w:rPr>
        <w:t>”，</w:t>
      </w:r>
      <w:r>
        <w:rPr>
          <w:rFonts w:hint="eastAsia"/>
        </w:rPr>
        <w:t>绩效指标内容与项目实施内容匹配，指标清晰、可衡量</w:t>
      </w:r>
      <w:r>
        <w:rPr>
          <w:rFonts w:hint="eastAsia"/>
          <w:bCs/>
        </w:rPr>
        <w:t>。普惠性民办幼儿园生均经费补助</w:t>
      </w:r>
      <w:r>
        <w:t>项目</w:t>
      </w:r>
      <w:r>
        <w:rPr>
          <w:rFonts w:hint="eastAsia"/>
        </w:rPr>
        <w:t>包含两项工作，一是对和平区普惠性民办幼儿园发放生均经费补助，二是对开展普惠性民办幼儿园等级认定工作</w:t>
      </w:r>
      <w:r>
        <w:rPr>
          <w:rFonts w:hint="eastAsia"/>
          <w:bCs/>
        </w:rPr>
        <w:t>，但项目绩效指标未对</w:t>
      </w:r>
      <w:r>
        <w:rPr>
          <w:rFonts w:hint="eastAsia"/>
        </w:rPr>
        <w:t>等级认定</w:t>
      </w:r>
      <w:r>
        <w:rPr>
          <w:rFonts w:hint="eastAsia"/>
          <w:bCs/>
        </w:rPr>
        <w:t>工作编制对应的指标</w:t>
      </w:r>
      <w:r>
        <w:rPr>
          <w:bCs/>
        </w:rPr>
        <w:t>，</w:t>
      </w:r>
      <w:r>
        <w:rPr>
          <w:rFonts w:hint="eastAsia"/>
          <w:bCs/>
        </w:rPr>
        <w:t>项目指标设置不全面与规划任务不匹配。</w:t>
      </w:r>
    </w:p>
    <w:p>
      <w:pPr>
        <w:pStyle w:val="27"/>
        <w:spacing w:line="560" w:lineRule="exact"/>
        <w:ind w:firstLine="640"/>
        <w:rPr>
          <w:bCs/>
        </w:rPr>
      </w:pPr>
      <w:r>
        <w:rPr>
          <w:rFonts w:hint="eastAsia"/>
          <w:bCs/>
        </w:rPr>
        <w:t>（2）绩效目标合理性（总分</w:t>
      </w:r>
      <w:r>
        <w:rPr>
          <w:bCs/>
        </w:rPr>
        <w:t>4</w:t>
      </w:r>
      <w:r>
        <w:rPr>
          <w:rFonts w:hint="eastAsia"/>
          <w:bCs/>
        </w:rPr>
        <w:t>分，得分</w:t>
      </w:r>
      <w:r>
        <w:rPr>
          <w:bCs/>
        </w:rPr>
        <w:t>4</w:t>
      </w:r>
      <w:r>
        <w:rPr>
          <w:rFonts w:hint="eastAsia"/>
          <w:bCs/>
        </w:rPr>
        <w:t>分）。区教育局对普惠性民办幼儿园生均经费补助</w:t>
      </w:r>
      <w:r>
        <w:t>项目绩效目标细化分解了产出指标、效益指标和满意度指标，</w:t>
      </w:r>
      <w:r>
        <w:rPr>
          <w:bCs/>
        </w:rPr>
        <w:t>绩效</w:t>
      </w:r>
      <w:r>
        <w:rPr>
          <w:rFonts w:hint="eastAsia"/>
          <w:bCs/>
        </w:rPr>
        <w:t>指</w:t>
      </w:r>
      <w:r>
        <w:rPr>
          <w:bCs/>
        </w:rPr>
        <w:t>标</w:t>
      </w:r>
      <w:r>
        <w:rPr>
          <w:rFonts w:hint="eastAsia"/>
          <w:bCs/>
        </w:rPr>
        <w:t>产出内容为“</w:t>
      </w:r>
      <w:r>
        <w:rPr>
          <w:rFonts w:hint="eastAsia"/>
        </w:rPr>
        <w:t>发放普惠性民</w:t>
      </w:r>
      <w:r>
        <w:rPr>
          <w:rFonts w:hint="eastAsia"/>
          <w:highlight w:val="none"/>
        </w:rPr>
        <w:t>办幼儿园补贴”</w:t>
      </w:r>
      <w:r>
        <w:rPr>
          <w:bCs/>
          <w:highlight w:val="none"/>
        </w:rPr>
        <w:t>与实际工作内容</w:t>
      </w:r>
      <w:r>
        <w:rPr>
          <w:rFonts w:hint="eastAsia"/>
          <w:bCs/>
          <w:highlight w:val="none"/>
        </w:rPr>
        <w:t>相关</w:t>
      </w:r>
      <w:r>
        <w:rPr>
          <w:rFonts w:hint="eastAsia"/>
          <w:highlight w:val="none"/>
        </w:rPr>
        <w:t>，项目预期产出效益</w:t>
      </w:r>
      <w:r>
        <w:rPr>
          <w:rFonts w:hint="eastAsia"/>
          <w:bCs/>
          <w:highlight w:val="none"/>
        </w:rPr>
        <w:t>为“提高学前教育普惠保障水平”与</w:t>
      </w:r>
      <w:r>
        <w:rPr>
          <w:highlight w:val="none"/>
        </w:rPr>
        <w:t>正常业绩水平</w:t>
      </w:r>
      <w:r>
        <w:rPr>
          <w:rFonts w:hint="eastAsia"/>
          <w:highlight w:val="none"/>
        </w:rPr>
        <w:t>相符，</w:t>
      </w:r>
      <w:r>
        <w:rPr>
          <w:highlight w:val="none"/>
        </w:rPr>
        <w:t>项目预算金额</w:t>
      </w:r>
      <w:r>
        <w:rPr>
          <w:rFonts w:hint="eastAsia"/>
          <w:highlight w:val="none"/>
        </w:rPr>
        <w:t>为1</w:t>
      </w:r>
      <w:r>
        <w:rPr>
          <w:highlight w:val="none"/>
        </w:rPr>
        <w:t>062.74</w:t>
      </w:r>
      <w:r>
        <w:rPr>
          <w:rFonts w:hint="eastAsia"/>
          <w:highlight w:val="none"/>
        </w:rPr>
        <w:t>万元，目标金</w:t>
      </w:r>
      <w:r>
        <w:rPr>
          <w:rFonts w:hint="eastAsia"/>
        </w:rPr>
        <w:t>额</w:t>
      </w:r>
      <w:r>
        <w:t>与</w:t>
      </w:r>
      <w:r>
        <w:rPr>
          <w:rFonts w:hint="eastAsia"/>
        </w:rPr>
        <w:t>预算金额</w:t>
      </w:r>
      <w:r>
        <w:t>一致</w:t>
      </w:r>
      <w:r>
        <w:rPr>
          <w:rFonts w:hint="eastAsia"/>
        </w:rPr>
        <w:t>，项目绩效目标依据充分，符合客观实际，绩效目标设置合理。</w:t>
      </w:r>
    </w:p>
    <w:p>
      <w:pPr>
        <w:pStyle w:val="27"/>
        <w:spacing w:line="560" w:lineRule="exact"/>
        <w:ind w:firstLine="640"/>
        <w:rPr>
          <w:bCs/>
        </w:rPr>
      </w:pPr>
      <w:r>
        <w:rPr>
          <w:rFonts w:hint="eastAsia"/>
          <w:bCs/>
        </w:rPr>
        <w:t>3.预算编制</w:t>
      </w:r>
    </w:p>
    <w:p>
      <w:pPr>
        <w:pStyle w:val="27"/>
        <w:spacing w:line="560" w:lineRule="exact"/>
        <w:ind w:firstLine="640"/>
        <w:rPr>
          <w:rFonts w:cs="Times New Roman"/>
          <w:bCs/>
        </w:rPr>
      </w:pPr>
      <w:r>
        <w:rPr>
          <w:rFonts w:hint="eastAsia"/>
          <w:bCs/>
        </w:rPr>
        <w:t>（1）测算内容合规性（总分2分，得分</w:t>
      </w:r>
      <w:r>
        <w:rPr>
          <w:bCs/>
        </w:rPr>
        <w:t>2</w:t>
      </w:r>
      <w:r>
        <w:rPr>
          <w:rFonts w:hint="eastAsia"/>
          <w:bCs/>
        </w:rPr>
        <w:t>分）。依据</w:t>
      </w:r>
      <w:r>
        <w:rPr>
          <w:rFonts w:hint="eastAsia" w:ascii="仿宋_GB2312"/>
        </w:rPr>
        <w:t>《市教委市财政局关于调整天津市普惠性民办幼儿园生均经费补助项目和资金管理办法的通知》</w:t>
      </w:r>
      <w:r>
        <w:rPr>
          <w:rFonts w:cs="Times New Roman"/>
        </w:rPr>
        <w:t>（津教政〔2022〕20号）文件要求，区教育局根据和平区2023年普惠性民办幼儿园等级认定结果、等级补助标准及</w:t>
      </w:r>
      <w:r>
        <w:rPr>
          <w:rFonts w:cs="Times New Roman"/>
          <w:bCs/>
        </w:rPr>
        <w:t>当年</w:t>
      </w:r>
      <w:r>
        <w:rPr>
          <w:rFonts w:cs="Times New Roman"/>
        </w:rPr>
        <w:t>4月1日学前教育管理信息系统登记的实际在园幼儿数进行预算测算，预算测算内容符合政策文件规定范围，项目资金用于为和平区普惠性民办幼儿园发放生均经费补助，</w:t>
      </w:r>
      <w:r>
        <w:rPr>
          <w:rFonts w:cs="Times New Roman"/>
          <w:bCs/>
        </w:rPr>
        <w:t>不存在重复测算，项目测算内容合规。</w:t>
      </w:r>
    </w:p>
    <w:p>
      <w:pPr>
        <w:pStyle w:val="27"/>
        <w:spacing w:line="560" w:lineRule="exact"/>
        <w:ind w:firstLine="640"/>
        <w:rPr>
          <w:rFonts w:cs="Times New Roman"/>
          <w:bCs/>
        </w:rPr>
      </w:pPr>
      <w:r>
        <w:rPr>
          <w:rFonts w:hint="eastAsia"/>
          <w:bCs/>
        </w:rPr>
        <w:t>（2）</w:t>
      </w:r>
      <w:r>
        <w:rPr>
          <w:rFonts w:cs="Times New Roman"/>
          <w:bCs/>
        </w:rPr>
        <w:t>测算标准合理性（总分1分，得分1分）。项目预算测算依据</w:t>
      </w:r>
      <w:r>
        <w:rPr>
          <w:rFonts w:cs="Times New Roman"/>
        </w:rPr>
        <w:t>《市教委市财政局关于调整天津市普惠性民办幼儿园生均经费补助项目和资金管理办法的通知》（津教政〔2022〕20号）文件要求，区教育局根据教育管理信息系统登记的实际在园幼儿数及当年幼儿园等级标准，对和平区普惠性示范园给予每生每年4400元、一级园给予每生每年4000元、二级园给予每生每年3600元的生均经费补助，</w:t>
      </w:r>
      <w:r>
        <w:rPr>
          <w:rFonts w:cs="Times New Roman"/>
          <w:snapToGrid w:val="0"/>
          <w:color w:val="000000"/>
          <w:kern w:val="0"/>
          <w:szCs w:val="32"/>
          <w:shd w:val="clear" w:color="auto" w:fill="FFFFFF"/>
        </w:rPr>
        <w:t>项目</w:t>
      </w:r>
      <w:r>
        <w:rPr>
          <w:rFonts w:cs="Times New Roman"/>
          <w:bCs/>
        </w:rPr>
        <w:t>测算标准符合政策文件规定、符合部门制定的支出标准。</w:t>
      </w:r>
    </w:p>
    <w:p>
      <w:pPr>
        <w:pStyle w:val="27"/>
        <w:spacing w:line="560" w:lineRule="exact"/>
        <w:ind w:firstLine="640"/>
        <w:rPr>
          <w:rFonts w:cs="Times New Roman"/>
        </w:rPr>
      </w:pPr>
      <w:r>
        <w:rPr>
          <w:rFonts w:hint="eastAsia"/>
          <w:bCs/>
        </w:rPr>
        <w:t>（3）测算数据客观性</w:t>
      </w:r>
      <w:r>
        <w:rPr>
          <w:rFonts w:cs="Times New Roman"/>
          <w:bCs/>
        </w:rPr>
        <w:t>（总分2分，得分2分）。区教育局</w:t>
      </w:r>
      <w:r>
        <w:rPr>
          <w:rFonts w:hint="eastAsia" w:cs="Times New Roman"/>
          <w:bCs/>
        </w:rPr>
        <w:t>预算测算依据</w:t>
      </w:r>
      <w:r>
        <w:rPr>
          <w:rFonts w:hint="eastAsia" w:cs="Times New Roman"/>
        </w:rPr>
        <w:t>上年度普惠性民办幼儿园等级认定结果为测算依据，对和平区8所普惠性民办幼儿园、1</w:t>
      </w:r>
      <w:r>
        <w:rPr>
          <w:rFonts w:cs="Times New Roman"/>
        </w:rPr>
        <w:t>633</w:t>
      </w:r>
      <w:r>
        <w:rPr>
          <w:rFonts w:hint="eastAsia" w:cs="Times New Roman"/>
        </w:rPr>
        <w:t>名幼儿，按照</w:t>
      </w:r>
      <w:r>
        <w:rPr>
          <w:rFonts w:cs="Times New Roman"/>
        </w:rPr>
        <w:t>《天津市和平区普惠性民办幼儿园生均经费补助项目和资金管理办法》</w:t>
      </w:r>
      <w:r>
        <w:rPr>
          <w:rFonts w:hint="eastAsia" w:cs="Times New Roman"/>
        </w:rPr>
        <w:t>文件中规定补贴标准测算各级幼儿园补助资金，</w:t>
      </w:r>
      <w:r>
        <w:rPr>
          <w:rFonts w:cs="Times New Roman"/>
        </w:rPr>
        <w:t>测算数据符合客观需求</w:t>
      </w:r>
      <w:r>
        <w:rPr>
          <w:rFonts w:hint="eastAsia" w:cs="Times New Roman"/>
        </w:rPr>
        <w:t>、</w:t>
      </w:r>
      <w:r>
        <w:rPr>
          <w:rFonts w:cs="Times New Roman"/>
        </w:rPr>
        <w:t>有明确的佐证依据</w:t>
      </w:r>
      <w:r>
        <w:rPr>
          <w:rFonts w:hint="eastAsia" w:cs="Times New Roman"/>
        </w:rPr>
        <w:t>。</w:t>
      </w:r>
    </w:p>
    <w:p>
      <w:pPr>
        <w:pStyle w:val="27"/>
        <w:spacing w:line="560" w:lineRule="exact"/>
        <w:ind w:firstLine="640"/>
      </w:pPr>
      <w:r>
        <w:rPr>
          <w:rFonts w:hint="eastAsia"/>
          <w:bCs/>
        </w:rPr>
        <w:t>（4）测算过程细化度</w:t>
      </w:r>
      <w:r>
        <w:rPr>
          <w:rFonts w:cs="Times New Roman"/>
          <w:bCs/>
        </w:rPr>
        <w:t>（总分2分，得分2分）。普惠性民办幼儿园生均经费补助</w:t>
      </w:r>
      <w:r>
        <w:rPr>
          <w:rFonts w:cs="Times New Roman"/>
        </w:rPr>
        <w:t>项目</w:t>
      </w:r>
      <w:r>
        <w:rPr>
          <w:rFonts w:cs="Times New Roman"/>
          <w:bCs/>
        </w:rPr>
        <w:t>依据</w:t>
      </w:r>
      <w:r>
        <w:rPr>
          <w:rFonts w:cs="Times New Roman"/>
        </w:rPr>
        <w:t>《市教委市财政局关于调整天津市普惠性民办幼儿园生均经费补助项目和资金管理办法的通知》（津教政〔2022〕20号）中规定的补贴标准，预算分别按照幼儿园等级、补助标准、在园幼儿数进行细化测</w:t>
      </w:r>
      <w:r>
        <w:rPr>
          <w:rFonts w:hint="eastAsia"/>
        </w:rPr>
        <w:t>算，符合预算构成要求，并且项目按照事权划分原则</w:t>
      </w:r>
      <w:r>
        <w:t>分别申报了市级预算和区级预算</w:t>
      </w:r>
      <w:r>
        <w:rPr>
          <w:rFonts w:hint="eastAsia"/>
        </w:rPr>
        <w:t>，</w:t>
      </w:r>
      <w:r>
        <w:t>项目测算过程细化程度良好。</w:t>
      </w:r>
    </w:p>
    <w:p>
      <w:pPr>
        <w:pStyle w:val="31"/>
        <w:spacing w:line="560" w:lineRule="exact"/>
        <w:ind w:firstLine="640"/>
      </w:pPr>
      <w:bookmarkStart w:id="19" w:name="_Toc11538"/>
      <w:r>
        <w:rPr>
          <w:rFonts w:hint="eastAsia"/>
        </w:rPr>
        <w:t>（二）项目过程情况</w:t>
      </w:r>
      <w:bookmarkEnd w:id="19"/>
    </w:p>
    <w:p>
      <w:pPr>
        <w:pStyle w:val="27"/>
        <w:spacing w:line="560" w:lineRule="exact"/>
        <w:ind w:firstLine="640"/>
      </w:pPr>
      <w:r>
        <w:rPr>
          <w:rFonts w:hint="eastAsia"/>
        </w:rPr>
        <w:t>过程指标主要包括资金管理、</w:t>
      </w:r>
      <w:r>
        <w:rPr>
          <w:rFonts w:hint="eastAsia"/>
          <w:bCs/>
        </w:rPr>
        <w:t>组织实施2项二级指标，</w:t>
      </w:r>
      <w:r>
        <w:rPr>
          <w:bCs/>
        </w:rPr>
        <w:t>6</w:t>
      </w:r>
      <w:r>
        <w:rPr>
          <w:rFonts w:hint="eastAsia"/>
          <w:bCs/>
        </w:rPr>
        <w:t>项三级指标，基础总分2</w:t>
      </w:r>
      <w:r>
        <w:rPr>
          <w:bCs/>
        </w:rPr>
        <w:t>3</w:t>
      </w:r>
      <w:r>
        <w:rPr>
          <w:rFonts w:hint="eastAsia"/>
          <w:bCs/>
        </w:rPr>
        <w:t>分，合计得分</w:t>
      </w:r>
      <w:r>
        <w:rPr>
          <w:bCs/>
        </w:rPr>
        <w:t>23</w:t>
      </w:r>
      <w:r>
        <w:rPr>
          <w:rFonts w:hint="eastAsia"/>
          <w:bCs/>
        </w:rPr>
        <w:t>分。</w:t>
      </w:r>
    </w:p>
    <w:p>
      <w:pPr>
        <w:pStyle w:val="27"/>
        <w:spacing w:line="560" w:lineRule="exact"/>
        <w:ind w:firstLine="640"/>
      </w:pPr>
      <w:r>
        <w:rPr>
          <w:rFonts w:hint="eastAsia"/>
        </w:rPr>
        <w:t>1.资金管理</w:t>
      </w:r>
    </w:p>
    <w:p>
      <w:pPr>
        <w:pStyle w:val="27"/>
        <w:spacing w:line="560" w:lineRule="exact"/>
        <w:ind w:firstLine="640"/>
      </w:pPr>
      <w:r>
        <w:rPr>
          <w:rFonts w:hint="eastAsia"/>
        </w:rPr>
        <w:t>（1）资金到位率（总分2分，得分</w:t>
      </w:r>
      <w:r>
        <w:t>2</w:t>
      </w:r>
      <w:r>
        <w:rPr>
          <w:rFonts w:hint="eastAsia"/>
        </w:rPr>
        <w:t>分）。根据《市教委关于印发天津市普惠性民办幼儿园等级评定标准的通知》（津教政〔2021〕5号）、《天津市和平区教育局</w:t>
      </w:r>
      <w:r>
        <w:t>2023年</w:t>
      </w:r>
      <w:r>
        <w:rPr>
          <w:rFonts w:hint="eastAsia"/>
        </w:rPr>
        <w:t>部门预算》、一体化系统资金支付数据文件显示</w:t>
      </w:r>
      <w:r>
        <w:t>，</w:t>
      </w:r>
      <w:r>
        <w:rPr>
          <w:rFonts w:hint="eastAsia"/>
        </w:rPr>
        <w:t>项目年初预算安排5</w:t>
      </w:r>
      <w:r>
        <w:t>00.42</w:t>
      </w:r>
      <w:r>
        <w:rPr>
          <w:rFonts w:hint="eastAsia"/>
        </w:rPr>
        <w:t>万元，执行中追加预算5</w:t>
      </w:r>
      <w:r>
        <w:t>62.32</w:t>
      </w:r>
      <w:r>
        <w:rPr>
          <w:rFonts w:hint="eastAsia"/>
        </w:rPr>
        <w:t>万元，共计1062.74万元。其中，市</w:t>
      </w:r>
      <w:r>
        <w:t>级资金531.37万元</w:t>
      </w:r>
      <w:r>
        <w:rPr>
          <w:rFonts w:hint="eastAsia"/>
        </w:rPr>
        <w:t>，</w:t>
      </w:r>
      <w:r>
        <w:t>区级资金531.37万元</w:t>
      </w:r>
      <w:r>
        <w:rPr>
          <w:rFonts w:hint="eastAsia"/>
        </w:rPr>
        <w:t>。</w:t>
      </w:r>
      <w:r>
        <w:t>实际到位资金</w:t>
      </w:r>
      <w:r>
        <w:rPr>
          <w:rFonts w:hint="eastAsia"/>
        </w:rPr>
        <w:t>为</w:t>
      </w:r>
      <w:r>
        <w:t>1062.74万元，截至2023年12月31日，</w:t>
      </w:r>
      <w:r>
        <w:rPr>
          <w:rFonts w:hint="eastAsia"/>
        </w:rPr>
        <w:t>区教育局已发放</w:t>
      </w:r>
      <w:r>
        <w:t>8</w:t>
      </w:r>
      <w:r>
        <w:rPr>
          <w:rFonts w:hint="eastAsia"/>
        </w:rPr>
        <w:t>所幼儿园</w:t>
      </w:r>
      <w:r>
        <w:t>资金1062.74万元，资金到位率100%。</w:t>
      </w:r>
    </w:p>
    <w:p>
      <w:pPr>
        <w:pStyle w:val="27"/>
        <w:spacing w:line="560" w:lineRule="exact"/>
        <w:ind w:firstLine="640"/>
        <w:rPr>
          <w:bCs/>
        </w:rPr>
      </w:pPr>
      <w:r>
        <w:rPr>
          <w:rFonts w:hint="eastAsia"/>
        </w:rPr>
        <w:t>（2）资金到位及时率（总分</w:t>
      </w:r>
      <w:r>
        <w:t>2</w:t>
      </w:r>
      <w:r>
        <w:rPr>
          <w:rFonts w:hint="eastAsia"/>
        </w:rPr>
        <w:t>分，得分</w:t>
      </w:r>
      <w:r>
        <w:t>2</w:t>
      </w:r>
      <w:r>
        <w:rPr>
          <w:rFonts w:hint="eastAsia"/>
        </w:rPr>
        <w:t>分）。</w:t>
      </w:r>
      <w:r>
        <w:rPr>
          <w:rFonts w:hint="eastAsia"/>
          <w:bCs/>
        </w:rPr>
        <w:t>普惠性民办幼儿园生均经费补助项目实际到位资金1062.74万元，根据一体化系统资金支付数据显示，截至2023年11月6日，项目及时到位资金1062.74万元，资金到位及时率为100%。</w:t>
      </w:r>
    </w:p>
    <w:p>
      <w:pPr>
        <w:pStyle w:val="27"/>
        <w:spacing w:line="560" w:lineRule="exact"/>
        <w:ind w:firstLine="640"/>
        <w:rPr>
          <w:bCs/>
        </w:rPr>
      </w:pPr>
      <w:r>
        <w:rPr>
          <w:rFonts w:hint="eastAsia"/>
        </w:rPr>
        <w:t>（3）预算执行率（总分</w:t>
      </w:r>
      <w:r>
        <w:t>3</w:t>
      </w:r>
      <w:r>
        <w:rPr>
          <w:rFonts w:hint="eastAsia"/>
        </w:rPr>
        <w:t>分，得分</w:t>
      </w:r>
      <w:r>
        <w:t>3</w:t>
      </w:r>
      <w:r>
        <w:rPr>
          <w:rFonts w:hint="eastAsia"/>
        </w:rPr>
        <w:t>分）。根据一体化系统资金支付数据文件显示，</w:t>
      </w:r>
      <w:r>
        <w:t>截至2023年12月</w:t>
      </w:r>
      <w:r>
        <w:rPr>
          <w:rFonts w:hint="eastAsia"/>
        </w:rPr>
        <w:t>3</w:t>
      </w:r>
      <w:r>
        <w:t>1</w:t>
      </w:r>
      <w:r>
        <w:rPr>
          <w:rFonts w:hint="eastAsia"/>
        </w:rPr>
        <w:t>日，</w:t>
      </w:r>
      <w:r>
        <w:t>市级财政资金到位531.37万元</w:t>
      </w:r>
      <w:r>
        <w:rPr>
          <w:rFonts w:hint="eastAsia"/>
        </w:rPr>
        <w:t>，实际</w:t>
      </w:r>
      <w:r>
        <w:t>支出531.37万元，市级资金预算执行率</w:t>
      </w:r>
      <w:r>
        <w:rPr>
          <w:rFonts w:hint="eastAsia"/>
        </w:rPr>
        <w:t>为</w:t>
      </w:r>
      <w:r>
        <w:t>100%</w:t>
      </w:r>
      <w:r>
        <w:rPr>
          <w:rFonts w:hint="eastAsia"/>
        </w:rPr>
        <w:t>；</w:t>
      </w:r>
      <w:r>
        <w:t>区级财政资金到位531.37万元</w:t>
      </w:r>
      <w:r>
        <w:rPr>
          <w:rFonts w:hint="eastAsia"/>
        </w:rPr>
        <w:t>，</w:t>
      </w:r>
      <w:r>
        <w:t>实际支出531.37万元</w:t>
      </w:r>
      <w:r>
        <w:rPr>
          <w:rFonts w:hint="eastAsia"/>
        </w:rPr>
        <w:t>，</w:t>
      </w:r>
      <w:r>
        <w:t>区级资金预算执行率为100%。</w:t>
      </w:r>
    </w:p>
    <w:p>
      <w:pPr>
        <w:pStyle w:val="27"/>
        <w:spacing w:line="560" w:lineRule="exact"/>
        <w:ind w:firstLine="640"/>
        <w:rPr>
          <w:bCs/>
        </w:rPr>
      </w:pPr>
      <w:r>
        <w:rPr>
          <w:rFonts w:hint="eastAsia"/>
          <w:bCs/>
        </w:rPr>
        <w:t>（</w:t>
      </w:r>
      <w:r>
        <w:rPr>
          <w:bCs/>
        </w:rPr>
        <w:t>4</w:t>
      </w:r>
      <w:r>
        <w:rPr>
          <w:rFonts w:hint="eastAsia"/>
          <w:bCs/>
        </w:rPr>
        <w:t>）资金使用合规性（总分9分，得分</w:t>
      </w:r>
      <w:r>
        <w:rPr>
          <w:bCs/>
        </w:rPr>
        <w:t>9</w:t>
      </w:r>
      <w:r>
        <w:rPr>
          <w:rFonts w:hint="eastAsia"/>
          <w:bCs/>
        </w:rPr>
        <w:t>分）。普惠性民办幼儿园生均经费补助资金，应用于维持幼儿园运转和提升发展水平所需基本支出，根据资金支付明细及请款单据显示，8所幼儿园项目资金主要用于教职工工资发放，支出总额不低于7</w:t>
      </w:r>
      <w:r>
        <w:rPr>
          <w:bCs/>
        </w:rPr>
        <w:t>0%</w:t>
      </w:r>
      <w:r>
        <w:rPr>
          <w:rFonts w:hint="eastAsia"/>
          <w:bCs/>
        </w:rPr>
        <w:t>，未发现用于经营性支出、园舍租金支出、债务偿还、支付利息、捐赠赞助、对外投资、借款、回报举办者、大型基本建设等方面支出，</w:t>
      </w:r>
      <w:r>
        <w:rPr>
          <w:rFonts w:hint="eastAsia" w:ascii="仿宋_GB2312" w:hAnsi="仿宋_GB2312" w:cs="仿宋_GB2312"/>
          <w:szCs w:val="32"/>
        </w:rPr>
        <w:t>资金支出符合《市教委市财政局关于调整天津市普惠性民办幼儿园生均经费补助项目和资金管理办法的通知》（津教政〔</w:t>
      </w:r>
      <w:r>
        <w:rPr>
          <w:szCs w:val="32"/>
        </w:rPr>
        <w:t>2022</w:t>
      </w:r>
      <w:r>
        <w:rPr>
          <w:rFonts w:hint="eastAsia" w:ascii="仿宋_GB2312" w:hAnsi="仿宋_GB2312" w:cs="仿宋_GB2312"/>
          <w:szCs w:val="32"/>
        </w:rPr>
        <w:t>〕</w:t>
      </w:r>
      <w:r>
        <w:rPr>
          <w:szCs w:val="32"/>
        </w:rPr>
        <w:t>20</w:t>
      </w:r>
      <w:r>
        <w:rPr>
          <w:rFonts w:hint="eastAsia" w:ascii="仿宋_GB2312" w:hAnsi="仿宋_GB2312" w:cs="仿宋_GB2312"/>
          <w:szCs w:val="32"/>
        </w:rPr>
        <w:t>号）文件</w:t>
      </w:r>
      <w:r>
        <w:rPr>
          <w:rFonts w:hint="eastAsia"/>
          <w:bCs/>
        </w:rPr>
        <w:t>用途，符合项目预算批复用途；区教育局提供的凭证及请款单据完整，财务记账符合国家财经法规和财务管理制度规定；项目资金拨付有完整的审批程序和手续，各明细项目支出有完整的请款申请及资金审批单据；项目资金不存在截留、挤占、挪用、虚列支出等情况；未有审计、巡视、财政检查等报告中提出有涉及本项目的违纪行为，资金使用合规。</w:t>
      </w:r>
    </w:p>
    <w:p>
      <w:pPr>
        <w:pStyle w:val="27"/>
        <w:spacing w:line="560" w:lineRule="exact"/>
        <w:ind w:firstLine="640"/>
        <w:rPr>
          <w:bCs/>
        </w:rPr>
      </w:pPr>
      <w:r>
        <w:rPr>
          <w:rFonts w:hint="eastAsia"/>
          <w:bCs/>
        </w:rPr>
        <w:t>2.组织实施</w:t>
      </w:r>
    </w:p>
    <w:p>
      <w:pPr>
        <w:pStyle w:val="27"/>
        <w:spacing w:line="560" w:lineRule="exact"/>
        <w:ind w:firstLine="640"/>
      </w:pPr>
      <w:r>
        <w:rPr>
          <w:rFonts w:hint="eastAsia"/>
          <w:bCs/>
        </w:rPr>
        <w:t>（1）管理制度健全性（总分2分，得分</w:t>
      </w:r>
      <w:r>
        <w:rPr>
          <w:bCs/>
        </w:rPr>
        <w:t>2</w:t>
      </w:r>
      <w:r>
        <w:rPr>
          <w:rFonts w:hint="eastAsia"/>
          <w:bCs/>
        </w:rPr>
        <w:t>分）。区教育局为保障项目的开展制定了《和平区教育系统财政专项资金管理暂行办法》</w:t>
      </w:r>
      <w:r>
        <w:rPr>
          <w:rFonts w:hint="eastAsia" w:ascii="仿宋_GB2312" w:hAnsi="仿宋_GB2312" w:cs="仿宋_GB2312"/>
          <w:szCs w:val="32"/>
        </w:rPr>
        <w:t>（津和教〔</w:t>
      </w:r>
      <w:r>
        <w:rPr>
          <w:szCs w:val="32"/>
        </w:rPr>
        <w:t>2021</w:t>
      </w:r>
      <w:r>
        <w:rPr>
          <w:rFonts w:hint="eastAsia" w:ascii="仿宋_GB2312" w:hAnsi="仿宋_GB2312" w:cs="仿宋_GB2312"/>
          <w:szCs w:val="32"/>
        </w:rPr>
        <w:t>〕</w:t>
      </w:r>
      <w:r>
        <w:rPr>
          <w:szCs w:val="32"/>
        </w:rPr>
        <w:t>7</w:t>
      </w:r>
      <w:r>
        <w:rPr>
          <w:rFonts w:hint="eastAsia" w:ascii="仿宋_GB2312" w:hAnsi="仿宋_GB2312" w:cs="仿宋_GB2312"/>
          <w:szCs w:val="32"/>
        </w:rPr>
        <w:t>号）、</w:t>
      </w:r>
      <w:r>
        <w:rPr>
          <w:rFonts w:hint="eastAsia"/>
          <w:bCs/>
        </w:rPr>
        <w:t>《2</w:t>
      </w:r>
      <w:r>
        <w:rPr>
          <w:bCs/>
        </w:rPr>
        <w:t>023</w:t>
      </w:r>
      <w:r>
        <w:rPr>
          <w:rFonts w:hint="eastAsia"/>
          <w:bCs/>
        </w:rPr>
        <w:t>年和平区普惠性民办幼儿园等级评定细则》《天津市和平区普惠性民办幼儿园生均经费补助项目和资金管理办法》，细则及管理办法</w:t>
      </w:r>
      <w:r>
        <w:t>与上级</w:t>
      </w:r>
      <w:r>
        <w:rPr>
          <w:rFonts w:hint="eastAsia"/>
        </w:rPr>
        <w:t>文件要求</w:t>
      </w:r>
      <w:r>
        <w:t>相符，</w:t>
      </w:r>
      <w:r>
        <w:rPr>
          <w:rFonts w:hint="eastAsia"/>
          <w:bCs/>
        </w:rPr>
        <w:t>管理办法制定</w:t>
      </w:r>
      <w:r>
        <w:t>合法</w:t>
      </w:r>
      <w:r>
        <w:rPr>
          <w:rFonts w:hint="eastAsia"/>
        </w:rPr>
        <w:t>、</w:t>
      </w:r>
      <w:r>
        <w:t>合规</w:t>
      </w:r>
      <w:r>
        <w:rPr>
          <w:rFonts w:hint="eastAsia"/>
        </w:rPr>
        <w:t>，明确了项目申报、项目实施、项目验收等环节的管理要求，项目管理制度健全。</w:t>
      </w:r>
    </w:p>
    <w:p>
      <w:pPr>
        <w:pStyle w:val="27"/>
        <w:spacing w:line="560" w:lineRule="exact"/>
        <w:ind w:firstLine="640"/>
      </w:pPr>
      <w:r>
        <w:rPr>
          <w:rFonts w:hint="eastAsia"/>
          <w:bCs/>
        </w:rPr>
        <w:t>（2）制度执行有效性（总分5分，得分</w:t>
      </w:r>
      <w:r>
        <w:rPr>
          <w:bCs/>
        </w:rPr>
        <w:t>5</w:t>
      </w:r>
      <w:r>
        <w:rPr>
          <w:rFonts w:hint="eastAsia"/>
          <w:bCs/>
        </w:rPr>
        <w:t>分）。</w:t>
      </w:r>
      <w:r>
        <w:rPr>
          <w:rFonts w:hint="eastAsia"/>
        </w:rPr>
        <w:t>本</w:t>
      </w:r>
      <w:r>
        <w:t>项目参照</w:t>
      </w:r>
      <w:r>
        <w:rPr>
          <w:rFonts w:hint="eastAsia"/>
          <w:bCs/>
        </w:rPr>
        <w:t>《2</w:t>
      </w:r>
      <w:r>
        <w:rPr>
          <w:bCs/>
        </w:rPr>
        <w:t>023</w:t>
      </w:r>
      <w:r>
        <w:rPr>
          <w:rFonts w:hint="eastAsia"/>
          <w:bCs/>
        </w:rPr>
        <w:t>年和平区普惠性民办幼儿园等级评定细则》《天津市和平区普惠性民办幼儿园生均经费补助项目和资金管理办法》文件规定</w:t>
      </w:r>
      <w:r>
        <w:t>的流程</w:t>
      </w:r>
      <w:r>
        <w:rPr>
          <w:rFonts w:hint="eastAsia"/>
        </w:rPr>
        <w:t>开展工作，幼儿园等级</w:t>
      </w:r>
      <w:r>
        <w:rPr>
          <w:rFonts w:hint="eastAsia"/>
          <w:szCs w:val="32"/>
        </w:rPr>
        <w:t>认定结果、评审材料、</w:t>
      </w:r>
      <w:r>
        <w:rPr>
          <w:rFonts w:hint="eastAsia"/>
          <w:bCs/>
        </w:rPr>
        <w:t>各项请款、付款文件</w:t>
      </w:r>
      <w:r>
        <w:t>等资料齐全</w:t>
      </w:r>
      <w:r>
        <w:rPr>
          <w:rFonts w:hint="eastAsia"/>
        </w:rPr>
        <w:t>并</w:t>
      </w:r>
      <w:r>
        <w:t>及时归档，并在规定时间内及时公示</w:t>
      </w:r>
      <w:r>
        <w:rPr>
          <w:rFonts w:hint="eastAsia"/>
        </w:rPr>
        <w:t>认定</w:t>
      </w:r>
      <w:r>
        <w:t>信息</w:t>
      </w:r>
      <w:r>
        <w:rPr>
          <w:rFonts w:hint="eastAsia"/>
        </w:rPr>
        <w:t>，</w:t>
      </w:r>
      <w:r>
        <w:rPr>
          <w:rFonts w:hint="eastAsia"/>
          <w:bCs/>
        </w:rPr>
        <w:t>制度执行有效</w:t>
      </w:r>
      <w:r>
        <w:t>。</w:t>
      </w:r>
    </w:p>
    <w:p>
      <w:pPr>
        <w:pStyle w:val="31"/>
        <w:spacing w:line="560" w:lineRule="exact"/>
        <w:ind w:firstLine="640"/>
      </w:pPr>
      <w:bookmarkStart w:id="20" w:name="_Toc18255"/>
      <w:r>
        <w:rPr>
          <w:rFonts w:hint="eastAsia"/>
        </w:rPr>
        <w:t>（三）项目产出情况</w:t>
      </w:r>
      <w:bookmarkEnd w:id="20"/>
    </w:p>
    <w:p>
      <w:pPr>
        <w:pStyle w:val="27"/>
        <w:spacing w:line="560" w:lineRule="exact"/>
        <w:ind w:firstLine="640"/>
      </w:pPr>
      <w:r>
        <w:rPr>
          <w:rFonts w:hint="eastAsia"/>
        </w:rPr>
        <w:t>产出指标主要包括产出数量、产出质量、产出时效和产出成本</w:t>
      </w:r>
      <w:r>
        <w:t>4</w:t>
      </w:r>
      <w:r>
        <w:rPr>
          <w:rFonts w:hint="eastAsia"/>
        </w:rPr>
        <w:t>项二级指标，</w:t>
      </w:r>
      <w:r>
        <w:t>7</w:t>
      </w:r>
      <w:r>
        <w:rPr>
          <w:rFonts w:hint="eastAsia"/>
        </w:rPr>
        <w:t>项三级指标，基础总分</w:t>
      </w:r>
      <w:r>
        <w:t>38</w:t>
      </w:r>
      <w:r>
        <w:rPr>
          <w:rFonts w:hint="eastAsia"/>
        </w:rPr>
        <w:t>分，合计得分</w:t>
      </w:r>
      <w:r>
        <w:t>38</w:t>
      </w:r>
      <w:r>
        <w:rPr>
          <w:rFonts w:hint="eastAsia"/>
        </w:rPr>
        <w:t>分。</w:t>
      </w:r>
    </w:p>
    <w:p>
      <w:pPr>
        <w:pStyle w:val="27"/>
        <w:spacing w:line="560" w:lineRule="exact"/>
        <w:ind w:firstLine="640"/>
      </w:pPr>
      <w:r>
        <w:t>1</w:t>
      </w:r>
      <w:r>
        <w:rPr>
          <w:rFonts w:hint="eastAsia"/>
        </w:rPr>
        <w:t>.产出数量</w:t>
      </w:r>
    </w:p>
    <w:p>
      <w:pPr>
        <w:pStyle w:val="27"/>
        <w:spacing w:line="560" w:lineRule="exact"/>
        <w:rPr>
          <w:bCs/>
        </w:rPr>
      </w:pPr>
      <w:r>
        <w:rPr>
          <w:rFonts w:hint="eastAsia"/>
        </w:rPr>
        <w:t>（1）普惠性民办幼儿园等级认定完成率（总分</w:t>
      </w:r>
      <w:r>
        <w:t>5</w:t>
      </w:r>
      <w:r>
        <w:rPr>
          <w:rFonts w:hint="eastAsia"/>
        </w:rPr>
        <w:t>分，得分</w:t>
      </w:r>
      <w:r>
        <w:t>5</w:t>
      </w:r>
      <w:r>
        <w:rPr>
          <w:rFonts w:hint="eastAsia"/>
        </w:rPr>
        <w:t>分）。</w:t>
      </w:r>
      <w:r>
        <w:t>《天津市普惠性民办幼儿园认定办法》规定</w:t>
      </w:r>
      <w:r>
        <w:rPr>
          <w:rFonts w:hint="eastAsia"/>
        </w:rPr>
        <w:t>“</w:t>
      </w:r>
      <w:r>
        <w:t>普惠园一经认定，自认定之日起3年有效，有效期满后，须重新进行认定</w:t>
      </w:r>
      <w:r>
        <w:rPr>
          <w:rFonts w:hint="eastAsia"/>
        </w:rPr>
        <w:t>”。根据《和平区普惠性民办幼儿园详单》天津市和平区华夏未来实验幼儿</w:t>
      </w:r>
      <w:r>
        <w:rPr>
          <w:rFonts w:hint="eastAsia"/>
          <w:highlight w:val="none"/>
        </w:rPr>
        <w:t>园、天津市和平区合美幼儿园、</w:t>
      </w:r>
      <w:r>
        <w:rPr>
          <w:rFonts w:hint="eastAsia"/>
          <w:szCs w:val="32"/>
          <w:highlight w:val="none"/>
        </w:rPr>
        <w:t>天津市和平区摇篮幼儿园</w:t>
      </w:r>
      <w:r>
        <w:rPr>
          <w:rFonts w:hint="eastAsia"/>
          <w:highlight w:val="none"/>
        </w:rPr>
        <w:t>3所幼</w:t>
      </w:r>
      <w:r>
        <w:rPr>
          <w:rFonts w:hint="eastAsia"/>
        </w:rPr>
        <w:t>儿园2</w:t>
      </w:r>
      <w:r>
        <w:t>023</w:t>
      </w:r>
      <w:r>
        <w:rPr>
          <w:rFonts w:hint="eastAsia"/>
        </w:rPr>
        <w:t>年认定期满，需</w:t>
      </w:r>
      <w:r>
        <w:t>重新进行认定</w:t>
      </w:r>
      <w:r>
        <w:rPr>
          <w:rFonts w:hint="eastAsia"/>
        </w:rPr>
        <w:t>，依据</w:t>
      </w:r>
      <w:r>
        <w:rPr>
          <w:rFonts w:hint="eastAsia"/>
          <w:bCs/>
        </w:rPr>
        <w:t>《2</w:t>
      </w:r>
      <w:r>
        <w:rPr>
          <w:bCs/>
        </w:rPr>
        <w:t>023</w:t>
      </w:r>
      <w:r>
        <w:rPr>
          <w:rFonts w:hint="eastAsia"/>
          <w:bCs/>
        </w:rPr>
        <w:t>年和平区普惠性民办幼儿园等级评定结果公示》显示，</w:t>
      </w:r>
      <w:r>
        <w:rPr>
          <w:rFonts w:hint="eastAsia"/>
        </w:rPr>
        <w:t>2</w:t>
      </w:r>
      <w:r>
        <w:t>023</w:t>
      </w:r>
      <w:r>
        <w:rPr>
          <w:rFonts w:hint="eastAsia"/>
        </w:rPr>
        <w:t>年</w:t>
      </w:r>
      <w:r>
        <w:t>4</w:t>
      </w:r>
      <w:r>
        <w:rPr>
          <w:rFonts w:hint="eastAsia"/>
        </w:rPr>
        <w:t>月区教育局完成了3所幼儿园等</w:t>
      </w:r>
      <w:r>
        <w:rPr>
          <w:rFonts w:hint="eastAsia" w:ascii="仿宋_GB2312" w:hAnsi="仿宋_GB2312" w:cs="仿宋_GB2312"/>
          <w:szCs w:val="32"/>
        </w:rPr>
        <w:t>级认定工作，</w:t>
      </w:r>
      <w:r>
        <w:rPr>
          <w:rFonts w:hint="eastAsia"/>
        </w:rPr>
        <w:t>普惠性民办幼儿园等级认定完成率1</w:t>
      </w:r>
      <w:r>
        <w:t>00%</w:t>
      </w:r>
      <w:r>
        <w:rPr>
          <w:rFonts w:hint="eastAsia"/>
        </w:rPr>
        <w:t>。</w:t>
      </w:r>
    </w:p>
    <w:p>
      <w:pPr>
        <w:pStyle w:val="27"/>
        <w:spacing w:line="560" w:lineRule="exact"/>
        <w:ind w:firstLine="640"/>
        <w:rPr>
          <w:rFonts w:ascii="仿宋_GB2312" w:hAnsi="仿宋_GB2312" w:cs="仿宋_GB2312"/>
          <w:szCs w:val="32"/>
        </w:rPr>
      </w:pPr>
      <w:r>
        <w:rPr>
          <w:rFonts w:hint="eastAsia"/>
        </w:rPr>
        <w:t>（</w:t>
      </w:r>
      <w:r>
        <w:t>2</w:t>
      </w:r>
      <w:r>
        <w:rPr>
          <w:rFonts w:hint="eastAsia"/>
        </w:rPr>
        <w:t>）普惠性民办幼儿园应补尽补率（总分</w:t>
      </w:r>
      <w:r>
        <w:t>6</w:t>
      </w:r>
      <w:r>
        <w:rPr>
          <w:rFonts w:hint="eastAsia"/>
        </w:rPr>
        <w:t>分，得分</w:t>
      </w:r>
      <w:r>
        <w:t>6</w:t>
      </w:r>
      <w:r>
        <w:rPr>
          <w:rFonts w:hint="eastAsia"/>
        </w:rPr>
        <w:t>分）。根据</w:t>
      </w:r>
      <w:r>
        <w:rPr>
          <w:rFonts w:hint="eastAsia"/>
          <w:bCs/>
        </w:rPr>
        <w:t>《天津市和平区普惠性民办幼儿园生均经费补助项目和资金管理办法》、和平区普惠性民办幼儿园认定情况统计表</w:t>
      </w:r>
      <w:r>
        <w:rPr>
          <w:rFonts w:hint="eastAsia" w:ascii="仿宋_GB2312" w:hAnsi="仿宋_GB2312" w:cs="仿宋_GB2312"/>
          <w:szCs w:val="32"/>
        </w:rPr>
        <w:t>，</w:t>
      </w:r>
      <w:r>
        <w:rPr>
          <w:rFonts w:hint="eastAsia"/>
        </w:rPr>
        <w:t>2023</w:t>
      </w:r>
      <w:r>
        <w:rPr>
          <w:rFonts w:hint="eastAsia" w:ascii="仿宋_GB2312" w:hAnsi="仿宋_GB2312" w:cs="仿宋_GB2312"/>
          <w:szCs w:val="32"/>
        </w:rPr>
        <w:t>年区教育局应为</w:t>
      </w:r>
      <w:r>
        <w:rPr>
          <w:rFonts w:hint="eastAsia"/>
        </w:rPr>
        <w:t>8</w:t>
      </w:r>
      <w:r>
        <w:rPr>
          <w:rFonts w:hint="eastAsia" w:ascii="仿宋_GB2312" w:hAnsi="仿宋_GB2312" w:cs="仿宋_GB2312"/>
          <w:szCs w:val="32"/>
        </w:rPr>
        <w:t>所普惠性民办幼儿园发放生均经费补助，依据</w:t>
      </w:r>
      <w:r>
        <w:rPr>
          <w:rFonts w:hint="eastAsia"/>
        </w:rPr>
        <w:t>一体化系统资金支付数据显示，截至2</w:t>
      </w:r>
      <w:r>
        <w:t>023</w:t>
      </w:r>
      <w:r>
        <w:rPr>
          <w:rFonts w:hint="eastAsia"/>
        </w:rPr>
        <w:t>年</w:t>
      </w:r>
      <w:r>
        <w:t>12</w:t>
      </w:r>
      <w:r>
        <w:rPr>
          <w:rFonts w:hint="eastAsia"/>
        </w:rPr>
        <w:t>月3</w:t>
      </w:r>
      <w:r>
        <w:t>1</w:t>
      </w:r>
      <w:r>
        <w:rPr>
          <w:rFonts w:hint="eastAsia"/>
        </w:rPr>
        <w:t>日，实际完成了8所</w:t>
      </w:r>
      <w:r>
        <w:rPr>
          <w:rFonts w:hint="eastAsia" w:ascii="仿宋_GB2312" w:hAnsi="仿宋_GB2312" w:cs="仿宋_GB2312"/>
          <w:szCs w:val="32"/>
        </w:rPr>
        <w:t>普惠性民办幼儿园生均经费补助发放，</w:t>
      </w:r>
      <w:r>
        <w:rPr>
          <w:rFonts w:hint="eastAsia"/>
        </w:rPr>
        <w:t>普惠性民办幼儿园应补尽补率1</w:t>
      </w:r>
      <w:r>
        <w:t>00%</w:t>
      </w:r>
      <w:r>
        <w:rPr>
          <w:rFonts w:hint="eastAsia"/>
        </w:rPr>
        <w:t>。</w:t>
      </w:r>
    </w:p>
    <w:p>
      <w:pPr>
        <w:pStyle w:val="27"/>
        <w:spacing w:line="560" w:lineRule="exact"/>
        <w:ind w:firstLine="640"/>
      </w:pPr>
      <w:r>
        <w:rPr>
          <w:rFonts w:hint="eastAsia"/>
        </w:rPr>
        <w:t>2.产出质量</w:t>
      </w:r>
    </w:p>
    <w:p>
      <w:pPr>
        <w:pStyle w:val="27"/>
        <w:spacing w:line="560" w:lineRule="exact"/>
        <w:ind w:firstLine="640"/>
      </w:pPr>
      <w:r>
        <w:rPr>
          <w:rFonts w:hint="eastAsia"/>
        </w:rPr>
        <w:t>（1）普惠性民办幼儿园等级认定准确率（总分</w:t>
      </w:r>
      <w:r>
        <w:t>6</w:t>
      </w:r>
      <w:r>
        <w:rPr>
          <w:rFonts w:hint="eastAsia"/>
        </w:rPr>
        <w:t>分，得分</w:t>
      </w:r>
      <w:r>
        <w:t>6</w:t>
      </w:r>
      <w:r>
        <w:rPr>
          <w:rFonts w:hint="eastAsia"/>
        </w:rPr>
        <w:t>分）。根据《和平区普惠性民办幼儿园详单》显示，2</w:t>
      </w:r>
      <w:r>
        <w:t>023</w:t>
      </w:r>
      <w:r>
        <w:rPr>
          <w:rFonts w:hint="eastAsia"/>
        </w:rPr>
        <w:t>年和平区4所示范园、3所一级园、1所二级园等级认定结果均符合</w:t>
      </w:r>
      <w:r>
        <w:t>《天津市普惠性民办幼儿园等级评定标准》（津教政〔2021〕5号）</w:t>
      </w:r>
      <w:r>
        <w:rPr>
          <w:rFonts w:hint="eastAsia"/>
        </w:rPr>
        <w:t>、《2</w:t>
      </w:r>
      <w:r>
        <w:t>023</w:t>
      </w:r>
      <w:r>
        <w:rPr>
          <w:rFonts w:hint="eastAsia"/>
        </w:rPr>
        <w:t>年天津市和平区普惠性民办幼儿园等级评定细则》要求，普惠性幼儿园民办等级认定准确率1</w:t>
      </w:r>
      <w:r>
        <w:t>00%</w:t>
      </w:r>
      <w:r>
        <w:rPr>
          <w:rFonts w:hint="eastAsia"/>
        </w:rPr>
        <w:t>。</w:t>
      </w:r>
    </w:p>
    <w:p>
      <w:pPr>
        <w:pStyle w:val="27"/>
        <w:spacing w:line="560" w:lineRule="exact"/>
        <w:ind w:firstLine="640"/>
      </w:pPr>
      <w:r>
        <w:rPr>
          <w:rFonts w:hint="eastAsia"/>
        </w:rPr>
        <w:t>（2）补助对象准确率（总分</w:t>
      </w:r>
      <w:r>
        <w:t>6</w:t>
      </w:r>
      <w:r>
        <w:rPr>
          <w:rFonts w:hint="eastAsia"/>
        </w:rPr>
        <w:t>分，得分</w:t>
      </w:r>
      <w:r>
        <w:t>6</w:t>
      </w:r>
      <w:r>
        <w:rPr>
          <w:rFonts w:hint="eastAsia"/>
        </w:rPr>
        <w:t>分）。根据一体化系统资金支付数据、补助发放明细显示，</w:t>
      </w:r>
      <w:r>
        <w:rPr>
          <w:rFonts w:hint="eastAsia"/>
          <w:bCs/>
        </w:rPr>
        <w:t>截至2</w:t>
      </w:r>
      <w:r>
        <w:rPr>
          <w:bCs/>
        </w:rPr>
        <w:t>023</w:t>
      </w:r>
      <w:r>
        <w:rPr>
          <w:rFonts w:hint="eastAsia"/>
          <w:bCs/>
        </w:rPr>
        <w:t>年1</w:t>
      </w:r>
      <w:r>
        <w:rPr>
          <w:bCs/>
        </w:rPr>
        <w:t>2</w:t>
      </w:r>
      <w:r>
        <w:rPr>
          <w:rFonts w:hint="eastAsia"/>
          <w:bCs/>
        </w:rPr>
        <w:t>月3</w:t>
      </w:r>
      <w:r>
        <w:rPr>
          <w:bCs/>
        </w:rPr>
        <w:t>1</w:t>
      </w:r>
      <w:r>
        <w:rPr>
          <w:rFonts w:hint="eastAsia"/>
          <w:bCs/>
        </w:rPr>
        <w:t>日实际完成了</w:t>
      </w:r>
      <w:r>
        <w:rPr>
          <w:rFonts w:hint="eastAsia"/>
          <w:shd w:val="clear" w:color="auto" w:fill="FFFFFF" w:themeFill="background1"/>
        </w:rPr>
        <w:t>天津市和平区合美幼儿园、天津市和平区华夏未来实验幼儿园、天津和平郡童幼儿园、天津市和平区摇篮幼儿园、天津市和平区阳光宝贝幼儿园、天津市和平区卓美天使幼儿园、天津市和平区合美实验幼儿园、天津市和平区学仕林幼儿园</w:t>
      </w:r>
      <w:r>
        <w:rPr>
          <w:rFonts w:hint="eastAsia"/>
          <w:bCs/>
        </w:rPr>
        <w:t>8所幼儿园补助发放</w:t>
      </w:r>
      <w:r>
        <w:rPr>
          <w:rFonts w:hint="eastAsia" w:ascii="仿宋_GB2312" w:hAnsi="仿宋_GB2312" w:cs="仿宋_GB2312"/>
          <w:szCs w:val="32"/>
        </w:rPr>
        <w:t>，实际补助发放的幼儿园与</w:t>
      </w:r>
      <w:r>
        <w:rPr>
          <w:rFonts w:hint="eastAsia"/>
        </w:rPr>
        <w:t>《和平区普惠性民办幼儿园详单》补助对象一致，补助发放准确率1</w:t>
      </w:r>
      <w:r>
        <w:t>00%</w:t>
      </w:r>
      <w:r>
        <w:rPr>
          <w:rFonts w:hint="eastAsia"/>
        </w:rPr>
        <w:t>。</w:t>
      </w:r>
    </w:p>
    <w:p>
      <w:pPr>
        <w:pStyle w:val="27"/>
        <w:spacing w:line="560" w:lineRule="exact"/>
        <w:ind w:firstLine="640"/>
      </w:pPr>
      <w:r>
        <w:rPr>
          <w:rFonts w:hint="eastAsia"/>
        </w:rPr>
        <w:t>3.产出时效</w:t>
      </w:r>
    </w:p>
    <w:p>
      <w:pPr>
        <w:pStyle w:val="27"/>
        <w:spacing w:line="560" w:lineRule="exact"/>
        <w:ind w:firstLine="640"/>
        <w:rPr>
          <w:rFonts w:cs="Times New Roman"/>
          <w:szCs w:val="32"/>
        </w:rPr>
      </w:pPr>
      <w:r>
        <w:rPr>
          <w:rFonts w:hint="eastAsia"/>
        </w:rPr>
        <w:t>（1）等级认定及时率（总分</w:t>
      </w:r>
      <w:r>
        <w:t>5</w:t>
      </w:r>
      <w:r>
        <w:rPr>
          <w:rFonts w:hint="eastAsia"/>
        </w:rPr>
        <w:t>分，得分</w:t>
      </w:r>
      <w:r>
        <w:t>5</w:t>
      </w:r>
      <w:r>
        <w:rPr>
          <w:rFonts w:hint="eastAsia"/>
        </w:rPr>
        <w:t>分）。根据</w:t>
      </w:r>
      <w:r>
        <w:t>《天津市普惠性民办幼儿园认定办法》规定</w:t>
      </w:r>
      <w:r>
        <w:rPr>
          <w:rFonts w:hint="eastAsia"/>
        </w:rPr>
        <w:t>“</w:t>
      </w:r>
      <w:r>
        <w:t>每年4月底前完成普惠园认定工作</w:t>
      </w:r>
      <w:r>
        <w:rPr>
          <w:rFonts w:hint="eastAsia"/>
        </w:rPr>
        <w:t>”，依据《和平区普惠性民办幼儿园详单》显示，2</w:t>
      </w:r>
      <w:r>
        <w:t>023</w:t>
      </w:r>
      <w:r>
        <w:rPr>
          <w:rFonts w:hint="eastAsia"/>
        </w:rPr>
        <w:t>年和平区需完成4所幼儿园等级认定，包括3所幼儿园有效期满、1所幼儿园等级晋升，截至2</w:t>
      </w:r>
      <w:r>
        <w:t>023</w:t>
      </w:r>
      <w:r>
        <w:rPr>
          <w:rFonts w:hint="eastAsia"/>
        </w:rPr>
        <w:t>年4月1</w:t>
      </w:r>
      <w:r>
        <w:t>4</w:t>
      </w:r>
      <w:r>
        <w:rPr>
          <w:rFonts w:hint="eastAsia"/>
        </w:rPr>
        <w:t>日已完成4所幼儿园等级认定工作，符合认定办法中规定完成时间节点，等级认定及时率1</w:t>
      </w:r>
      <w:r>
        <w:t>00%</w:t>
      </w:r>
      <w:r>
        <w:rPr>
          <w:rFonts w:hint="eastAsia"/>
        </w:rPr>
        <w:t>。</w:t>
      </w:r>
      <w:r>
        <w:rPr>
          <w:rFonts w:cs="Times New Roman"/>
          <w:szCs w:val="32"/>
        </w:rPr>
        <w:t>具体情况见表4</w:t>
      </w:r>
      <w:r>
        <w:rPr>
          <w:rFonts w:hint="eastAsia" w:cs="Times New Roman"/>
          <w:szCs w:val="32"/>
        </w:rPr>
        <w:t>。</w:t>
      </w:r>
    </w:p>
    <w:p>
      <w:pPr>
        <w:pStyle w:val="34"/>
        <w:spacing w:line="560" w:lineRule="exact"/>
      </w:pPr>
      <w:r>
        <w:t>表4</w:t>
      </w:r>
      <w:r>
        <w:rPr>
          <w:rFonts w:hint="eastAsia"/>
        </w:rPr>
        <w:t xml:space="preserve">  </w:t>
      </w:r>
      <w:r>
        <w:t>和平区普惠性民办幼儿园等级认定时间明细</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1701"/>
        <w:gridCol w:w="1843"/>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539" w:type="dxa"/>
            <w:vAlign w:val="center"/>
          </w:tcPr>
          <w:p>
            <w:pPr>
              <w:pStyle w:val="27"/>
              <w:spacing w:line="560" w:lineRule="exact"/>
              <w:ind w:firstLine="0" w:firstLineChars="0"/>
              <w:jc w:val="center"/>
              <w:rPr>
                <w:rFonts w:eastAsia="宋体" w:cs="Times New Roman"/>
                <w:b/>
                <w:sz w:val="21"/>
              </w:rPr>
            </w:pPr>
            <w:r>
              <w:rPr>
                <w:rFonts w:eastAsia="宋体" w:cs="Times New Roman"/>
                <w:b/>
                <w:sz w:val="21"/>
              </w:rPr>
              <w:t>幼儿园名称</w:t>
            </w:r>
          </w:p>
        </w:tc>
        <w:tc>
          <w:tcPr>
            <w:tcW w:w="1701" w:type="dxa"/>
            <w:vAlign w:val="center"/>
          </w:tcPr>
          <w:p>
            <w:pPr>
              <w:pStyle w:val="27"/>
              <w:spacing w:line="560" w:lineRule="exact"/>
              <w:ind w:firstLine="0" w:firstLineChars="0"/>
              <w:jc w:val="center"/>
              <w:rPr>
                <w:rFonts w:eastAsia="宋体" w:cs="Times New Roman"/>
                <w:b/>
                <w:sz w:val="21"/>
              </w:rPr>
            </w:pPr>
            <w:r>
              <w:rPr>
                <w:rFonts w:eastAsia="宋体" w:cs="Times New Roman"/>
                <w:b/>
                <w:sz w:val="21"/>
              </w:rPr>
              <w:t>原等级认定时间</w:t>
            </w:r>
          </w:p>
        </w:tc>
        <w:tc>
          <w:tcPr>
            <w:tcW w:w="1843" w:type="dxa"/>
            <w:vAlign w:val="center"/>
          </w:tcPr>
          <w:p>
            <w:pPr>
              <w:pStyle w:val="27"/>
              <w:spacing w:line="560" w:lineRule="exact"/>
              <w:ind w:firstLine="0" w:firstLineChars="0"/>
              <w:jc w:val="center"/>
              <w:rPr>
                <w:rFonts w:eastAsia="宋体" w:cs="Times New Roman"/>
                <w:b/>
                <w:sz w:val="21"/>
              </w:rPr>
            </w:pPr>
            <w:r>
              <w:rPr>
                <w:rFonts w:eastAsia="宋体" w:cs="Times New Roman"/>
                <w:b/>
                <w:sz w:val="21"/>
              </w:rPr>
              <w:t>23年是否需认定</w:t>
            </w:r>
          </w:p>
        </w:tc>
        <w:tc>
          <w:tcPr>
            <w:tcW w:w="1751" w:type="dxa"/>
            <w:vAlign w:val="center"/>
          </w:tcPr>
          <w:p>
            <w:pPr>
              <w:pStyle w:val="27"/>
              <w:spacing w:line="560" w:lineRule="exact"/>
              <w:ind w:firstLine="0" w:firstLineChars="0"/>
              <w:jc w:val="center"/>
              <w:rPr>
                <w:rFonts w:eastAsia="宋体" w:cs="Times New Roman"/>
                <w:b/>
                <w:sz w:val="21"/>
              </w:rPr>
            </w:pPr>
            <w:r>
              <w:rPr>
                <w:rFonts w:eastAsia="宋体" w:cs="Times New Roman"/>
                <w:b/>
                <w:sz w:val="21"/>
              </w:rPr>
              <w:t>认定时间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pPr>
              <w:pStyle w:val="27"/>
              <w:spacing w:line="560" w:lineRule="exact"/>
              <w:ind w:firstLine="0" w:firstLineChars="0"/>
              <w:jc w:val="center"/>
              <w:rPr>
                <w:rFonts w:eastAsia="宋体" w:cs="Times New Roman"/>
                <w:sz w:val="21"/>
              </w:rPr>
            </w:pPr>
            <w:r>
              <w:rPr>
                <w:rFonts w:eastAsia="宋体" w:cs="Times New Roman"/>
                <w:bCs/>
                <w:sz w:val="21"/>
              </w:rPr>
              <w:t>天津市和平区华夏未来实验幼儿园</w:t>
            </w:r>
          </w:p>
        </w:tc>
        <w:tc>
          <w:tcPr>
            <w:tcW w:w="170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2020年6月</w:t>
            </w:r>
          </w:p>
        </w:tc>
        <w:tc>
          <w:tcPr>
            <w:tcW w:w="1843" w:type="dxa"/>
            <w:vAlign w:val="center"/>
          </w:tcPr>
          <w:p>
            <w:pPr>
              <w:pStyle w:val="27"/>
              <w:spacing w:line="560" w:lineRule="exact"/>
              <w:ind w:firstLine="0" w:firstLineChars="0"/>
              <w:jc w:val="center"/>
              <w:rPr>
                <w:rFonts w:eastAsia="宋体" w:cs="Times New Roman"/>
                <w:sz w:val="21"/>
              </w:rPr>
            </w:pPr>
            <w:r>
              <w:rPr>
                <w:rFonts w:eastAsia="宋体" w:cs="Times New Roman"/>
                <w:sz w:val="21"/>
              </w:rPr>
              <w:t>是</w:t>
            </w:r>
          </w:p>
        </w:tc>
        <w:tc>
          <w:tcPr>
            <w:tcW w:w="175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2023年4月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pPr>
              <w:pStyle w:val="27"/>
              <w:spacing w:line="560" w:lineRule="exact"/>
              <w:ind w:firstLine="0" w:firstLineChars="0"/>
              <w:jc w:val="center"/>
              <w:rPr>
                <w:rFonts w:eastAsia="宋体" w:cs="Times New Roman"/>
                <w:sz w:val="21"/>
              </w:rPr>
            </w:pPr>
            <w:r>
              <w:rPr>
                <w:rFonts w:eastAsia="宋体" w:cs="Times New Roman"/>
                <w:bCs/>
                <w:sz w:val="21"/>
              </w:rPr>
              <w:t>天津市和平区合美幼儿园</w:t>
            </w:r>
          </w:p>
        </w:tc>
        <w:tc>
          <w:tcPr>
            <w:tcW w:w="170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2020年6月</w:t>
            </w:r>
          </w:p>
        </w:tc>
        <w:tc>
          <w:tcPr>
            <w:tcW w:w="1843" w:type="dxa"/>
            <w:vAlign w:val="center"/>
          </w:tcPr>
          <w:p>
            <w:pPr>
              <w:pStyle w:val="27"/>
              <w:spacing w:line="560" w:lineRule="exact"/>
              <w:ind w:firstLine="0" w:firstLineChars="0"/>
              <w:jc w:val="center"/>
              <w:rPr>
                <w:rFonts w:eastAsia="宋体" w:cs="Times New Roman"/>
                <w:sz w:val="21"/>
              </w:rPr>
            </w:pPr>
            <w:r>
              <w:rPr>
                <w:rFonts w:eastAsia="宋体" w:cs="Times New Roman"/>
                <w:sz w:val="21"/>
              </w:rPr>
              <w:t>是</w:t>
            </w:r>
          </w:p>
        </w:tc>
        <w:tc>
          <w:tcPr>
            <w:tcW w:w="175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2023年4月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pPr>
              <w:pStyle w:val="27"/>
              <w:spacing w:line="560" w:lineRule="exact"/>
              <w:ind w:firstLine="0" w:firstLineChars="0"/>
              <w:jc w:val="center"/>
              <w:rPr>
                <w:rFonts w:eastAsia="宋体" w:cs="Times New Roman"/>
                <w:sz w:val="21"/>
              </w:rPr>
            </w:pPr>
            <w:r>
              <w:rPr>
                <w:rFonts w:eastAsia="宋体" w:cs="Times New Roman"/>
                <w:bCs/>
                <w:sz w:val="21"/>
              </w:rPr>
              <w:t>天津市和平区摇篮幼儿园</w:t>
            </w:r>
          </w:p>
        </w:tc>
        <w:tc>
          <w:tcPr>
            <w:tcW w:w="170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2020年6月</w:t>
            </w:r>
          </w:p>
        </w:tc>
        <w:tc>
          <w:tcPr>
            <w:tcW w:w="1843" w:type="dxa"/>
            <w:vAlign w:val="center"/>
          </w:tcPr>
          <w:p>
            <w:pPr>
              <w:pStyle w:val="27"/>
              <w:spacing w:line="560" w:lineRule="exact"/>
              <w:ind w:firstLine="0" w:firstLineChars="0"/>
              <w:jc w:val="center"/>
              <w:rPr>
                <w:rFonts w:eastAsia="宋体" w:cs="Times New Roman"/>
                <w:sz w:val="21"/>
              </w:rPr>
            </w:pPr>
            <w:r>
              <w:rPr>
                <w:rFonts w:eastAsia="宋体" w:cs="Times New Roman"/>
                <w:sz w:val="21"/>
              </w:rPr>
              <w:t>是</w:t>
            </w:r>
          </w:p>
        </w:tc>
        <w:tc>
          <w:tcPr>
            <w:tcW w:w="175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2023年4月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pPr>
              <w:pStyle w:val="27"/>
              <w:spacing w:line="560" w:lineRule="exact"/>
              <w:ind w:firstLine="0" w:firstLineChars="0"/>
              <w:jc w:val="center"/>
              <w:rPr>
                <w:rFonts w:eastAsia="宋体" w:cs="Times New Roman"/>
                <w:sz w:val="21"/>
              </w:rPr>
            </w:pPr>
            <w:r>
              <w:rPr>
                <w:rFonts w:eastAsia="宋体" w:cs="Times New Roman"/>
                <w:bCs/>
                <w:sz w:val="21"/>
              </w:rPr>
              <w:t>天津和平郡童幼儿园</w:t>
            </w:r>
          </w:p>
        </w:tc>
        <w:tc>
          <w:tcPr>
            <w:tcW w:w="170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2021年11月</w:t>
            </w:r>
          </w:p>
        </w:tc>
        <w:tc>
          <w:tcPr>
            <w:tcW w:w="1843" w:type="dxa"/>
            <w:vAlign w:val="center"/>
          </w:tcPr>
          <w:p>
            <w:pPr>
              <w:pStyle w:val="27"/>
              <w:spacing w:line="560" w:lineRule="exact"/>
              <w:ind w:firstLine="0" w:firstLineChars="0"/>
              <w:jc w:val="center"/>
              <w:rPr>
                <w:rFonts w:eastAsia="宋体" w:cs="Times New Roman"/>
                <w:sz w:val="21"/>
              </w:rPr>
            </w:pPr>
            <w:r>
              <w:rPr>
                <w:rFonts w:eastAsia="宋体" w:cs="Times New Roman"/>
                <w:sz w:val="21"/>
              </w:rPr>
              <w:t>否</w:t>
            </w:r>
          </w:p>
        </w:tc>
        <w:tc>
          <w:tcPr>
            <w:tcW w:w="1751" w:type="dxa"/>
            <w:vAlign w:val="center"/>
          </w:tcPr>
          <w:p>
            <w:pPr>
              <w:pStyle w:val="27"/>
              <w:spacing w:line="560" w:lineRule="exact"/>
              <w:ind w:firstLine="0" w:firstLineChars="0"/>
              <w:jc w:val="center"/>
              <w:rPr>
                <w:rFonts w:eastAsia="宋体" w:cs="Times New Roman"/>
                <w:sz w:val="21"/>
              </w:rPr>
            </w:pPr>
            <w:r>
              <w:rPr>
                <w:rFonts w:eastAsia="宋体" w:cs="Times New Roman"/>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pPr>
              <w:pStyle w:val="27"/>
              <w:spacing w:line="560" w:lineRule="exact"/>
              <w:ind w:firstLine="0" w:firstLineChars="0"/>
              <w:jc w:val="center"/>
              <w:rPr>
                <w:rFonts w:eastAsia="宋体" w:cs="Times New Roman"/>
                <w:sz w:val="21"/>
              </w:rPr>
            </w:pPr>
            <w:r>
              <w:rPr>
                <w:rFonts w:eastAsia="宋体" w:cs="Times New Roman"/>
                <w:bCs/>
                <w:sz w:val="21"/>
              </w:rPr>
              <w:t>天津市和平区合美实验幼儿园</w:t>
            </w:r>
          </w:p>
        </w:tc>
        <w:tc>
          <w:tcPr>
            <w:tcW w:w="170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2022年6月</w:t>
            </w:r>
          </w:p>
        </w:tc>
        <w:tc>
          <w:tcPr>
            <w:tcW w:w="1843" w:type="dxa"/>
            <w:vAlign w:val="center"/>
          </w:tcPr>
          <w:p>
            <w:pPr>
              <w:pStyle w:val="27"/>
              <w:spacing w:line="560" w:lineRule="exact"/>
              <w:ind w:firstLine="0" w:firstLineChars="0"/>
              <w:jc w:val="center"/>
              <w:rPr>
                <w:rFonts w:eastAsia="宋体" w:cs="Times New Roman"/>
                <w:sz w:val="21"/>
              </w:rPr>
            </w:pPr>
            <w:r>
              <w:rPr>
                <w:rFonts w:eastAsia="宋体" w:cs="Times New Roman"/>
                <w:sz w:val="21"/>
              </w:rPr>
              <w:t>是</w:t>
            </w:r>
          </w:p>
        </w:tc>
        <w:tc>
          <w:tcPr>
            <w:tcW w:w="175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2023年4月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pPr>
              <w:pStyle w:val="27"/>
              <w:spacing w:line="560" w:lineRule="exact"/>
              <w:ind w:firstLine="0" w:firstLineChars="0"/>
              <w:jc w:val="center"/>
              <w:rPr>
                <w:rFonts w:eastAsia="宋体" w:cs="Times New Roman"/>
                <w:sz w:val="21"/>
              </w:rPr>
            </w:pPr>
            <w:r>
              <w:rPr>
                <w:rFonts w:eastAsia="宋体" w:cs="Times New Roman"/>
                <w:bCs/>
                <w:sz w:val="21"/>
              </w:rPr>
              <w:t>天津市和平区卓美天使幼儿园</w:t>
            </w:r>
          </w:p>
        </w:tc>
        <w:tc>
          <w:tcPr>
            <w:tcW w:w="170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2022年6月</w:t>
            </w:r>
          </w:p>
        </w:tc>
        <w:tc>
          <w:tcPr>
            <w:tcW w:w="1843" w:type="dxa"/>
            <w:vAlign w:val="center"/>
          </w:tcPr>
          <w:p>
            <w:pPr>
              <w:pStyle w:val="27"/>
              <w:spacing w:line="560" w:lineRule="exact"/>
              <w:ind w:firstLine="0" w:firstLineChars="0"/>
              <w:jc w:val="center"/>
              <w:rPr>
                <w:rFonts w:eastAsia="宋体" w:cs="Times New Roman"/>
                <w:sz w:val="21"/>
              </w:rPr>
            </w:pPr>
            <w:r>
              <w:rPr>
                <w:rFonts w:eastAsia="宋体" w:cs="Times New Roman"/>
                <w:sz w:val="21"/>
              </w:rPr>
              <w:t>否</w:t>
            </w:r>
          </w:p>
        </w:tc>
        <w:tc>
          <w:tcPr>
            <w:tcW w:w="1751" w:type="dxa"/>
            <w:vAlign w:val="center"/>
          </w:tcPr>
          <w:p>
            <w:pPr>
              <w:pStyle w:val="27"/>
              <w:spacing w:line="560" w:lineRule="exact"/>
              <w:ind w:firstLine="0" w:firstLineChars="0"/>
              <w:jc w:val="center"/>
              <w:rPr>
                <w:rFonts w:eastAsia="宋体" w:cs="Times New Roman"/>
                <w:sz w:val="21"/>
              </w:rPr>
            </w:pPr>
            <w:r>
              <w:rPr>
                <w:rFonts w:eastAsia="宋体" w:cs="Times New Roman"/>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pPr>
              <w:pStyle w:val="27"/>
              <w:spacing w:line="560" w:lineRule="exact"/>
              <w:ind w:firstLine="0" w:firstLineChars="0"/>
              <w:jc w:val="center"/>
              <w:rPr>
                <w:rFonts w:eastAsia="宋体" w:cs="Times New Roman"/>
                <w:sz w:val="21"/>
              </w:rPr>
            </w:pPr>
            <w:r>
              <w:rPr>
                <w:rFonts w:eastAsia="宋体" w:cs="Times New Roman"/>
                <w:bCs/>
                <w:sz w:val="21"/>
              </w:rPr>
              <w:t>天津市和平区阳光宝贝幼儿园</w:t>
            </w:r>
          </w:p>
        </w:tc>
        <w:tc>
          <w:tcPr>
            <w:tcW w:w="170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2021年11月</w:t>
            </w:r>
          </w:p>
        </w:tc>
        <w:tc>
          <w:tcPr>
            <w:tcW w:w="1843" w:type="dxa"/>
            <w:vAlign w:val="center"/>
          </w:tcPr>
          <w:p>
            <w:pPr>
              <w:pStyle w:val="27"/>
              <w:spacing w:line="560" w:lineRule="exact"/>
              <w:ind w:firstLine="0" w:firstLineChars="0"/>
              <w:jc w:val="center"/>
              <w:rPr>
                <w:rFonts w:eastAsia="宋体" w:cs="Times New Roman"/>
                <w:sz w:val="21"/>
              </w:rPr>
            </w:pPr>
            <w:r>
              <w:rPr>
                <w:rFonts w:eastAsia="宋体" w:cs="Times New Roman"/>
                <w:sz w:val="21"/>
              </w:rPr>
              <w:t>否</w:t>
            </w:r>
          </w:p>
        </w:tc>
        <w:tc>
          <w:tcPr>
            <w:tcW w:w="1751" w:type="dxa"/>
            <w:vAlign w:val="center"/>
          </w:tcPr>
          <w:p>
            <w:pPr>
              <w:pStyle w:val="27"/>
              <w:spacing w:line="560" w:lineRule="exact"/>
              <w:ind w:firstLine="0" w:firstLineChars="0"/>
              <w:jc w:val="center"/>
              <w:rPr>
                <w:rFonts w:eastAsia="宋体" w:cs="Times New Roman"/>
                <w:sz w:val="21"/>
              </w:rPr>
            </w:pPr>
            <w:r>
              <w:rPr>
                <w:rFonts w:eastAsia="宋体" w:cs="Times New Roman"/>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天津市和平区学仕林幼儿园</w:t>
            </w:r>
          </w:p>
        </w:tc>
        <w:tc>
          <w:tcPr>
            <w:tcW w:w="1701" w:type="dxa"/>
            <w:vAlign w:val="center"/>
          </w:tcPr>
          <w:p>
            <w:pPr>
              <w:pStyle w:val="27"/>
              <w:spacing w:line="560" w:lineRule="exact"/>
              <w:ind w:firstLine="0" w:firstLineChars="0"/>
              <w:jc w:val="center"/>
              <w:rPr>
                <w:rFonts w:eastAsia="宋体" w:cs="Times New Roman"/>
                <w:sz w:val="21"/>
              </w:rPr>
            </w:pPr>
            <w:r>
              <w:rPr>
                <w:rFonts w:eastAsia="宋体" w:cs="Times New Roman"/>
                <w:sz w:val="21"/>
              </w:rPr>
              <w:t>2021年11月</w:t>
            </w:r>
          </w:p>
        </w:tc>
        <w:tc>
          <w:tcPr>
            <w:tcW w:w="1843" w:type="dxa"/>
            <w:vAlign w:val="center"/>
          </w:tcPr>
          <w:p>
            <w:pPr>
              <w:pStyle w:val="27"/>
              <w:spacing w:line="560" w:lineRule="exact"/>
              <w:ind w:firstLine="0" w:firstLineChars="0"/>
              <w:jc w:val="center"/>
              <w:rPr>
                <w:rFonts w:eastAsia="宋体" w:cs="Times New Roman"/>
                <w:sz w:val="21"/>
              </w:rPr>
            </w:pPr>
            <w:r>
              <w:rPr>
                <w:rFonts w:eastAsia="宋体" w:cs="Times New Roman"/>
                <w:sz w:val="21"/>
              </w:rPr>
              <w:t>否</w:t>
            </w:r>
          </w:p>
        </w:tc>
        <w:tc>
          <w:tcPr>
            <w:tcW w:w="1751" w:type="dxa"/>
            <w:vAlign w:val="center"/>
          </w:tcPr>
          <w:p>
            <w:pPr>
              <w:pStyle w:val="27"/>
              <w:spacing w:line="560" w:lineRule="exact"/>
              <w:ind w:firstLine="0" w:firstLineChars="0"/>
              <w:jc w:val="center"/>
              <w:rPr>
                <w:rFonts w:eastAsia="宋体" w:cs="Times New Roman"/>
                <w:sz w:val="21"/>
              </w:rPr>
            </w:pPr>
            <w:r>
              <w:rPr>
                <w:rFonts w:eastAsia="宋体" w:cs="Times New Roman"/>
                <w:sz w:val="21"/>
              </w:rPr>
              <w:t>-</w:t>
            </w:r>
          </w:p>
        </w:tc>
      </w:tr>
    </w:tbl>
    <w:p>
      <w:pPr>
        <w:pStyle w:val="27"/>
        <w:numPr>
          <w:ilvl w:val="0"/>
          <w:numId w:val="2"/>
        </w:numPr>
        <w:spacing w:line="560" w:lineRule="exact"/>
        <w:ind w:firstLine="640"/>
        <w:rPr>
          <w:rFonts w:cs="Times New Roman"/>
          <w:szCs w:val="32"/>
        </w:rPr>
      </w:pPr>
      <w:r>
        <w:rPr>
          <w:rFonts w:hint="eastAsia"/>
          <w:color w:val="000000" w:themeColor="text1"/>
          <w14:textFill>
            <w14:solidFill>
              <w14:schemeClr w14:val="tx1"/>
            </w14:solidFill>
          </w14:textFill>
        </w:rPr>
        <w:t>补助发放及时率（总分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分，得分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分）。根据</w:t>
      </w:r>
      <w:r>
        <w:rPr>
          <w:rFonts w:hint="eastAsia" w:ascii="仿宋_GB2312" w:hAnsi="仿宋_GB2312" w:cs="仿宋_GB2312"/>
          <w:color w:val="000000" w:themeColor="text1"/>
          <w:szCs w:val="32"/>
          <w14:textFill>
            <w14:solidFill>
              <w14:schemeClr w14:val="tx1"/>
            </w14:solidFill>
          </w14:textFill>
        </w:rPr>
        <w:t>《市教委市财政局关于调整天津市普惠性民办幼儿园生均经费补助项目和资金管理办法的通知》（津教政〔</w:t>
      </w:r>
      <w:r>
        <w:rPr>
          <w:color w:val="000000" w:themeColor="text1"/>
          <w:szCs w:val="32"/>
          <w14:textFill>
            <w14:solidFill>
              <w14:schemeClr w14:val="tx1"/>
            </w14:solidFill>
          </w14:textFill>
        </w:rPr>
        <w:t>2022</w:t>
      </w:r>
      <w:r>
        <w:rPr>
          <w:rFonts w:hint="eastAsia" w:ascii="仿宋_GB2312" w:hAnsi="仿宋_GB2312" w:cs="仿宋_GB2312"/>
          <w:color w:val="000000" w:themeColor="text1"/>
          <w:szCs w:val="32"/>
          <w14:textFill>
            <w14:solidFill>
              <w14:schemeClr w14:val="tx1"/>
            </w14:solidFill>
          </w14:textFill>
        </w:rPr>
        <w:t>〕</w:t>
      </w:r>
      <w:r>
        <w:rPr>
          <w:color w:val="000000" w:themeColor="text1"/>
          <w:szCs w:val="32"/>
          <w14:textFill>
            <w14:solidFill>
              <w14:schemeClr w14:val="tx1"/>
            </w14:solidFill>
          </w14:textFill>
        </w:rPr>
        <w:t>20</w:t>
      </w:r>
      <w:r>
        <w:rPr>
          <w:rFonts w:hint="eastAsia" w:ascii="仿宋_GB2312" w:hAnsi="仿宋_GB2312" w:cs="仿宋_GB2312"/>
          <w:color w:val="000000" w:themeColor="text1"/>
          <w:szCs w:val="32"/>
          <w14:textFill>
            <w14:solidFill>
              <w14:schemeClr w14:val="tx1"/>
            </w14:solidFill>
          </w14:textFill>
        </w:rPr>
        <w:t>号）文件规</w:t>
      </w:r>
      <w:r>
        <w:rPr>
          <w:rFonts w:hint="eastAsia" w:cs="仿宋_GB2312"/>
          <w:color w:val="000000" w:themeColor="text1"/>
          <w:szCs w:val="32"/>
          <w14:textFill>
            <w14:solidFill>
              <w14:schemeClr w14:val="tx1"/>
            </w14:solidFill>
          </w14:textFill>
        </w:rPr>
        <w:t>定“10月30日前完成全部区级资金拨付”，依据一体化系统资</w:t>
      </w:r>
      <w:r>
        <w:rPr>
          <w:rFonts w:hint="eastAsia"/>
          <w:color w:val="000000" w:themeColor="text1"/>
          <w14:textFill>
            <w14:solidFill>
              <w14:schemeClr w14:val="tx1"/>
            </w14:solidFill>
          </w14:textFill>
        </w:rPr>
        <w:t>金支付数据、补助发放明细显示，截至2</w:t>
      </w:r>
      <w:r>
        <w:rPr>
          <w:color w:val="000000" w:themeColor="text1"/>
          <w14:textFill>
            <w14:solidFill>
              <w14:schemeClr w14:val="tx1"/>
            </w14:solidFill>
          </w14:textFill>
        </w:rPr>
        <w:t>023</w:t>
      </w:r>
      <w:r>
        <w:rPr>
          <w:rFonts w:hint="eastAsia"/>
          <w:color w:val="000000" w:themeColor="text1"/>
          <w14:textFill>
            <w14:solidFill>
              <w14:schemeClr w14:val="tx1"/>
            </w14:solidFill>
          </w14:textFill>
        </w:rPr>
        <w:t>年1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月3</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日，区教育局已发放8所普惠性民办幼儿园生均经费区级补助资金</w:t>
      </w:r>
      <w:r>
        <w:rPr>
          <w:color w:val="000000" w:themeColor="text1"/>
          <w14:textFill>
            <w14:solidFill>
              <w14:schemeClr w14:val="tx1"/>
            </w14:solidFill>
          </w14:textFill>
        </w:rPr>
        <w:t>531.37</w:t>
      </w:r>
      <w:r>
        <w:rPr>
          <w:rFonts w:hint="eastAsia"/>
          <w:color w:val="000000" w:themeColor="text1"/>
          <w14:textFill>
            <w14:solidFill>
              <w14:schemeClr w14:val="tx1"/>
            </w14:solidFill>
          </w14:textFill>
        </w:rPr>
        <w:t>万元，市级补助资金</w:t>
      </w:r>
      <w:r>
        <w:rPr>
          <w:color w:val="000000" w:themeColor="text1"/>
          <w14:textFill>
            <w14:solidFill>
              <w14:schemeClr w14:val="tx1"/>
            </w14:solidFill>
          </w14:textFill>
        </w:rPr>
        <w:t>531.37</w:t>
      </w:r>
      <w:r>
        <w:rPr>
          <w:rFonts w:hint="eastAsia"/>
          <w:color w:val="000000" w:themeColor="text1"/>
          <w14:textFill>
            <w14:solidFill>
              <w14:schemeClr w14:val="tx1"/>
            </w14:solidFill>
          </w14:textFill>
        </w:rPr>
        <w:t>万元于2</w:t>
      </w:r>
      <w:r>
        <w:rPr>
          <w:color w:val="000000" w:themeColor="text1"/>
          <w14:textFill>
            <w14:solidFill>
              <w14:schemeClr w14:val="tx1"/>
            </w14:solidFill>
          </w14:textFill>
        </w:rPr>
        <w:t>023</w:t>
      </w:r>
      <w:r>
        <w:rPr>
          <w:rFonts w:hint="eastAsia"/>
          <w:color w:val="000000" w:themeColor="text1"/>
          <w14:textFill>
            <w14:solidFill>
              <w14:schemeClr w14:val="tx1"/>
            </w14:solidFill>
          </w14:textFill>
        </w:rPr>
        <w:t>年1</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月拨付完成，补助发放及时率1</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w:t>
      </w:r>
      <w:r>
        <w:rPr>
          <w:rFonts w:cs="Times New Roman"/>
          <w:szCs w:val="32"/>
        </w:rPr>
        <w:t>具体情况见表5</w:t>
      </w:r>
      <w:r>
        <w:rPr>
          <w:rFonts w:hint="eastAsia" w:cs="Times New Roman"/>
          <w:szCs w:val="32"/>
        </w:rPr>
        <w:t>。</w:t>
      </w:r>
    </w:p>
    <w:p>
      <w:pPr>
        <w:pStyle w:val="34"/>
        <w:spacing w:line="560" w:lineRule="exact"/>
      </w:pPr>
      <w:r>
        <w:t>表5</w:t>
      </w:r>
      <w:r>
        <w:rPr>
          <w:rFonts w:hint="eastAsia"/>
        </w:rPr>
        <w:t xml:space="preserve">  </w:t>
      </w:r>
      <w:r>
        <w:t>和平区普惠性民办幼儿园2023年生均经费补助发放时间明细</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5"/>
        <w:gridCol w:w="873"/>
        <w:gridCol w:w="2615"/>
        <w:gridCol w:w="2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blHeader/>
          <w:jc w:val="center"/>
        </w:trPr>
        <w:tc>
          <w:tcPr>
            <w:tcW w:w="1923"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sz w:val="21"/>
              </w:rPr>
              <w:t>幼儿园</w:t>
            </w:r>
            <w:r>
              <w:rPr>
                <w:rFonts w:hint="eastAsia" w:ascii="宋体" w:hAnsi="宋体" w:eastAsia="宋体" w:cs="宋体"/>
                <w:b/>
                <w:bCs/>
                <w:sz w:val="21"/>
              </w:rPr>
              <w:t>名称</w:t>
            </w:r>
          </w:p>
        </w:tc>
        <w:tc>
          <w:tcPr>
            <w:tcW w:w="482"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bCs/>
                <w:sz w:val="21"/>
              </w:rPr>
              <w:t>等级</w:t>
            </w:r>
          </w:p>
        </w:tc>
        <w:tc>
          <w:tcPr>
            <w:tcW w:w="1443"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bCs/>
                <w:sz w:val="21"/>
              </w:rPr>
              <w:t>市级补助发放时间</w:t>
            </w:r>
          </w:p>
        </w:tc>
        <w:tc>
          <w:tcPr>
            <w:tcW w:w="1152"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bCs/>
                <w:sz w:val="21"/>
              </w:rPr>
              <w:t>区级补助发放时间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天津市和平区华夏未来实验幼儿园</w:t>
            </w:r>
          </w:p>
        </w:tc>
        <w:tc>
          <w:tcPr>
            <w:tcW w:w="48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示范园</w:t>
            </w:r>
          </w:p>
        </w:tc>
        <w:tc>
          <w:tcPr>
            <w:tcW w:w="144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2023年1月、6月、10月</w:t>
            </w:r>
          </w:p>
        </w:tc>
        <w:tc>
          <w:tcPr>
            <w:tcW w:w="115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天津市和平区合美幼儿园</w:t>
            </w:r>
          </w:p>
        </w:tc>
        <w:tc>
          <w:tcPr>
            <w:tcW w:w="48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示范园</w:t>
            </w:r>
          </w:p>
        </w:tc>
        <w:tc>
          <w:tcPr>
            <w:tcW w:w="144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2023年1月、6月、10月</w:t>
            </w:r>
          </w:p>
        </w:tc>
        <w:tc>
          <w:tcPr>
            <w:tcW w:w="115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天津市和平区摇篮幼儿园</w:t>
            </w:r>
          </w:p>
        </w:tc>
        <w:tc>
          <w:tcPr>
            <w:tcW w:w="48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示范园</w:t>
            </w:r>
          </w:p>
        </w:tc>
        <w:tc>
          <w:tcPr>
            <w:tcW w:w="144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2023年1月、6月、10月</w:t>
            </w:r>
          </w:p>
        </w:tc>
        <w:tc>
          <w:tcPr>
            <w:tcW w:w="115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天津和平郡童幼儿园</w:t>
            </w:r>
          </w:p>
        </w:tc>
        <w:tc>
          <w:tcPr>
            <w:tcW w:w="48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示范园</w:t>
            </w:r>
          </w:p>
        </w:tc>
        <w:tc>
          <w:tcPr>
            <w:tcW w:w="144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2023年1月、6月、10月</w:t>
            </w:r>
          </w:p>
        </w:tc>
        <w:tc>
          <w:tcPr>
            <w:tcW w:w="115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天津市和平区合美实验幼儿园</w:t>
            </w:r>
          </w:p>
        </w:tc>
        <w:tc>
          <w:tcPr>
            <w:tcW w:w="48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一级园</w:t>
            </w:r>
          </w:p>
        </w:tc>
        <w:tc>
          <w:tcPr>
            <w:tcW w:w="144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2023年1月、6月、10月</w:t>
            </w:r>
          </w:p>
        </w:tc>
        <w:tc>
          <w:tcPr>
            <w:tcW w:w="115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天津市和平区卓美天使幼儿园</w:t>
            </w:r>
          </w:p>
        </w:tc>
        <w:tc>
          <w:tcPr>
            <w:tcW w:w="48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一级园</w:t>
            </w:r>
          </w:p>
        </w:tc>
        <w:tc>
          <w:tcPr>
            <w:tcW w:w="144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2023年1月、6月、10月</w:t>
            </w:r>
          </w:p>
        </w:tc>
        <w:tc>
          <w:tcPr>
            <w:tcW w:w="115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天津市和平区阳光宝贝幼儿园</w:t>
            </w:r>
          </w:p>
        </w:tc>
        <w:tc>
          <w:tcPr>
            <w:tcW w:w="48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一级园</w:t>
            </w:r>
          </w:p>
        </w:tc>
        <w:tc>
          <w:tcPr>
            <w:tcW w:w="144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2023年1月、6月、10月</w:t>
            </w:r>
          </w:p>
        </w:tc>
        <w:tc>
          <w:tcPr>
            <w:tcW w:w="115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天津市和平区学仕林幼儿园</w:t>
            </w:r>
          </w:p>
        </w:tc>
        <w:tc>
          <w:tcPr>
            <w:tcW w:w="48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二级园</w:t>
            </w:r>
          </w:p>
        </w:tc>
        <w:tc>
          <w:tcPr>
            <w:tcW w:w="144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2023年1月、6月、10月</w:t>
            </w:r>
          </w:p>
        </w:tc>
        <w:tc>
          <w:tcPr>
            <w:tcW w:w="1152"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2023年1月、11月</w:t>
            </w:r>
          </w:p>
        </w:tc>
      </w:tr>
    </w:tbl>
    <w:p>
      <w:pPr>
        <w:pStyle w:val="27"/>
        <w:spacing w:line="560" w:lineRule="exact"/>
        <w:ind w:firstLine="640"/>
      </w:pPr>
      <w:r>
        <w:rPr>
          <w:rFonts w:hint="eastAsia"/>
        </w:rPr>
        <w:t>4.产出成本</w:t>
      </w:r>
    </w:p>
    <w:p>
      <w:pPr>
        <w:pStyle w:val="27"/>
        <w:spacing w:line="560" w:lineRule="exact"/>
        <w:ind w:firstLine="640"/>
        <w:rPr>
          <w:bCs/>
        </w:rPr>
      </w:pPr>
      <w:r>
        <w:rPr>
          <w:rFonts w:hint="eastAsia"/>
        </w:rPr>
        <w:t>生均经费补助标准符合性（总分</w:t>
      </w:r>
      <w:r>
        <w:t>5</w:t>
      </w:r>
      <w:r>
        <w:rPr>
          <w:rFonts w:hint="eastAsia"/>
        </w:rPr>
        <w:t>分，得分</w:t>
      </w:r>
      <w:r>
        <w:t>5</w:t>
      </w:r>
      <w:r>
        <w:rPr>
          <w:rFonts w:hint="eastAsia"/>
        </w:rPr>
        <w:t>分）。</w:t>
      </w:r>
      <w:r>
        <w:rPr>
          <w:rFonts w:hint="eastAsia"/>
          <w:bCs/>
        </w:rPr>
        <w:t>根据区教育局提供预决算数据及</w:t>
      </w:r>
      <w:r>
        <w:rPr>
          <w:rFonts w:hint="eastAsia"/>
        </w:rPr>
        <w:t>项目明细账，2</w:t>
      </w:r>
      <w:r>
        <w:t>023</w:t>
      </w:r>
      <w:r>
        <w:rPr>
          <w:rFonts w:hint="eastAsia"/>
        </w:rPr>
        <w:t>年和平区8所普惠性民办幼</w:t>
      </w:r>
      <w:r>
        <w:rPr>
          <w:rFonts w:hint="eastAsia"/>
          <w:bCs/>
        </w:rPr>
        <w:t>儿园生均经费补助分别按照示范园每生每年4</w:t>
      </w:r>
      <w:r>
        <w:rPr>
          <w:bCs/>
        </w:rPr>
        <w:t>400</w:t>
      </w:r>
      <w:r>
        <w:rPr>
          <w:rFonts w:hint="eastAsia"/>
          <w:bCs/>
        </w:rPr>
        <w:t>元、一级园每生每年4</w:t>
      </w:r>
      <w:r>
        <w:rPr>
          <w:bCs/>
        </w:rPr>
        <w:t>000</w:t>
      </w:r>
      <w:r>
        <w:rPr>
          <w:rFonts w:hint="eastAsia"/>
          <w:bCs/>
        </w:rPr>
        <w:t>元、二级园每生每年</w:t>
      </w:r>
      <w:r>
        <w:rPr>
          <w:bCs/>
        </w:rPr>
        <w:t>3600</w:t>
      </w:r>
      <w:r>
        <w:rPr>
          <w:rFonts w:hint="eastAsia"/>
          <w:bCs/>
        </w:rPr>
        <w:t>元标准发放补助资金与《市教委市财政局关于调整天津市普惠性民办幼儿园生均经费补助项目和资金管理办法的通知》（津教政〔</w:t>
      </w:r>
      <w:r>
        <w:rPr>
          <w:bCs/>
        </w:rPr>
        <w:t>2022</w:t>
      </w:r>
      <w:r>
        <w:rPr>
          <w:rFonts w:hint="eastAsia"/>
          <w:bCs/>
        </w:rPr>
        <w:t>〕</w:t>
      </w:r>
      <w:r>
        <w:rPr>
          <w:bCs/>
        </w:rPr>
        <w:t>20</w:t>
      </w:r>
      <w:r>
        <w:rPr>
          <w:rFonts w:hint="eastAsia"/>
          <w:bCs/>
        </w:rPr>
        <w:t>号）文件规定标准金额一致，不存在补助发放标准不一致的情况。</w:t>
      </w:r>
    </w:p>
    <w:p>
      <w:pPr>
        <w:pStyle w:val="31"/>
        <w:spacing w:line="560" w:lineRule="exact"/>
        <w:ind w:firstLine="640"/>
      </w:pPr>
      <w:bookmarkStart w:id="21" w:name="_Toc21264"/>
      <w:r>
        <w:rPr>
          <w:rFonts w:hint="eastAsia"/>
        </w:rPr>
        <w:t>（四）项目效益情况</w:t>
      </w:r>
      <w:bookmarkEnd w:id="21"/>
    </w:p>
    <w:p>
      <w:pPr>
        <w:pStyle w:val="27"/>
        <w:spacing w:line="560" w:lineRule="exact"/>
        <w:ind w:firstLine="640"/>
      </w:pPr>
      <w:r>
        <w:rPr>
          <w:rFonts w:hint="eastAsia"/>
        </w:rPr>
        <w:t>效益指标主要包括社会效益、可持续影响、服务对象满意度</w:t>
      </w:r>
      <w:r>
        <w:t>3</w:t>
      </w:r>
      <w:r>
        <w:rPr>
          <w:rFonts w:hint="eastAsia"/>
        </w:rPr>
        <w:t>项二级指标，</w:t>
      </w:r>
      <w:r>
        <w:t>5</w:t>
      </w:r>
      <w:r>
        <w:rPr>
          <w:rFonts w:hint="eastAsia"/>
        </w:rPr>
        <w:t>项三级指标，基础总分</w:t>
      </w:r>
      <w:r>
        <w:t>22</w:t>
      </w:r>
      <w:r>
        <w:rPr>
          <w:rFonts w:hint="eastAsia"/>
        </w:rPr>
        <w:t>分，合计得分</w:t>
      </w:r>
      <w:r>
        <w:t>22</w:t>
      </w:r>
      <w:r>
        <w:rPr>
          <w:rFonts w:hint="eastAsia"/>
        </w:rPr>
        <w:t>分。</w:t>
      </w:r>
    </w:p>
    <w:p>
      <w:pPr>
        <w:pStyle w:val="27"/>
        <w:spacing w:line="560" w:lineRule="exact"/>
        <w:ind w:firstLine="640"/>
      </w:pPr>
      <w:r>
        <w:rPr>
          <w:rFonts w:hint="eastAsia"/>
        </w:rPr>
        <w:t>1.社会效益</w:t>
      </w:r>
    </w:p>
    <w:p>
      <w:pPr>
        <w:pStyle w:val="27"/>
        <w:spacing w:line="560" w:lineRule="exact"/>
        <w:ind w:firstLine="640"/>
        <w:rPr>
          <w:bCs/>
        </w:rPr>
      </w:pPr>
      <w:r>
        <w:rPr>
          <w:rFonts w:hint="eastAsia"/>
        </w:rPr>
        <w:t>（1）学费减免情况（总分</w:t>
      </w:r>
      <w:r>
        <w:t>6</w:t>
      </w:r>
      <w:r>
        <w:rPr>
          <w:rFonts w:hint="eastAsia"/>
        </w:rPr>
        <w:t>分，得分</w:t>
      </w:r>
      <w:r>
        <w:t>6</w:t>
      </w:r>
      <w:r>
        <w:rPr>
          <w:rFonts w:hint="eastAsia"/>
        </w:rPr>
        <w:t>分）。根据</w:t>
      </w:r>
      <w:r>
        <w:rPr>
          <w:rFonts w:hint="eastAsia"/>
          <w:bCs/>
        </w:rPr>
        <w:t>天津市和平区人民政府政务公开信息网重大民生信息栏目中《和平区幼儿园收费公示》《2</w:t>
      </w:r>
      <w:r>
        <w:rPr>
          <w:bCs/>
        </w:rPr>
        <w:t>023</w:t>
      </w:r>
      <w:r>
        <w:rPr>
          <w:rFonts w:hint="eastAsia"/>
          <w:bCs/>
        </w:rPr>
        <w:t>年和平区普惠性民办幼儿园等级评定结果公示》显示，2</w:t>
      </w:r>
      <w:r>
        <w:rPr>
          <w:bCs/>
        </w:rPr>
        <w:t>023</w:t>
      </w:r>
      <w:r>
        <w:rPr>
          <w:rFonts w:hint="eastAsia"/>
          <w:bCs/>
        </w:rPr>
        <w:t>年度和平区共有8所普惠性民办幼儿园，</w:t>
      </w:r>
      <w:r>
        <w:rPr>
          <w:bCs/>
        </w:rPr>
        <w:t>6</w:t>
      </w:r>
      <w:r>
        <w:rPr>
          <w:rFonts w:hint="eastAsia"/>
          <w:bCs/>
        </w:rPr>
        <w:t>所幼儿园收费标准大幅度低于普惠前收费标准，其中4所示范园普惠前平均收费标准为</w:t>
      </w:r>
      <w:r>
        <w:rPr>
          <w:bCs/>
        </w:rPr>
        <w:t>3020</w:t>
      </w:r>
      <w:r>
        <w:rPr>
          <w:rFonts w:hint="eastAsia"/>
          <w:bCs/>
        </w:rPr>
        <w:t>元/月，普惠后收费标准为</w:t>
      </w:r>
      <w:r>
        <w:rPr>
          <w:bCs/>
        </w:rPr>
        <w:t>1590</w:t>
      </w:r>
      <w:r>
        <w:rPr>
          <w:rFonts w:hint="eastAsia"/>
          <w:bCs/>
        </w:rPr>
        <w:t>元/月，减免额为</w:t>
      </w:r>
      <w:r>
        <w:rPr>
          <w:bCs/>
        </w:rPr>
        <w:t>1430</w:t>
      </w:r>
      <w:r>
        <w:rPr>
          <w:rFonts w:hint="eastAsia"/>
          <w:bCs/>
        </w:rPr>
        <w:t>元/月；2所一级园普惠前平均收费标准为</w:t>
      </w:r>
      <w:r>
        <w:rPr>
          <w:bCs/>
        </w:rPr>
        <w:t>2140</w:t>
      </w:r>
      <w:r>
        <w:rPr>
          <w:rFonts w:hint="eastAsia"/>
          <w:bCs/>
        </w:rPr>
        <w:t>元/月，普惠后收费标准为</w:t>
      </w:r>
      <w:r>
        <w:rPr>
          <w:bCs/>
        </w:rPr>
        <w:t>1275</w:t>
      </w:r>
      <w:r>
        <w:rPr>
          <w:rFonts w:hint="eastAsia"/>
          <w:bCs/>
        </w:rPr>
        <w:t>元/月，减免额为</w:t>
      </w:r>
      <w:r>
        <w:rPr>
          <w:bCs/>
        </w:rPr>
        <w:t>865</w:t>
      </w:r>
      <w:r>
        <w:rPr>
          <w:rFonts w:hint="eastAsia"/>
          <w:bCs/>
        </w:rPr>
        <w:t>元/月；天津市和平区合美实验幼儿园、天津市和平区学仕林幼儿园2所幼儿园设立时即认定为普惠性民办幼儿园，经评价组对比区域内其他营利性民办幼儿园，现收费标准均低于营利性民办幼儿园，根据</w:t>
      </w:r>
      <w:r>
        <w:rPr>
          <w:rFonts w:hint="eastAsia" w:ascii="仿宋_GB2312"/>
        </w:rPr>
        <w:t>学前教育管理信息系统登记的实际在园幼儿数</w:t>
      </w:r>
      <w:r>
        <w:rPr>
          <w:rFonts w:hint="eastAsia"/>
          <w:bCs/>
        </w:rPr>
        <w:t>和幼儿园收费记录，2</w:t>
      </w:r>
      <w:r>
        <w:rPr>
          <w:bCs/>
        </w:rPr>
        <w:t>023</w:t>
      </w:r>
      <w:r>
        <w:rPr>
          <w:rFonts w:hint="eastAsia"/>
          <w:bCs/>
        </w:rPr>
        <w:t>年</w:t>
      </w:r>
      <w:r>
        <w:rPr>
          <w:bCs/>
        </w:rPr>
        <w:t>8</w:t>
      </w:r>
      <w:r>
        <w:rPr>
          <w:rFonts w:hint="eastAsia"/>
          <w:bCs/>
        </w:rPr>
        <w:t>所幼儿园实际在园幼儿1</w:t>
      </w:r>
      <w:r>
        <w:rPr>
          <w:bCs/>
        </w:rPr>
        <w:t>633</w:t>
      </w:r>
      <w:r>
        <w:rPr>
          <w:rFonts w:hint="eastAsia"/>
          <w:bCs/>
        </w:rPr>
        <w:t>人，实际减免幼儿人数为1</w:t>
      </w:r>
      <w:r>
        <w:rPr>
          <w:bCs/>
        </w:rPr>
        <w:t>633</w:t>
      </w:r>
      <w:r>
        <w:rPr>
          <w:rFonts w:hint="eastAsia"/>
          <w:bCs/>
        </w:rPr>
        <w:t>人，有效减轻了幼儿家庭负担，幼儿学费应减尽减率1</w:t>
      </w:r>
      <w:r>
        <w:rPr>
          <w:bCs/>
        </w:rPr>
        <w:t>00%</w:t>
      </w:r>
      <w:r>
        <w:rPr>
          <w:rFonts w:hint="eastAsia"/>
          <w:bCs/>
        </w:rPr>
        <w:t>。具体情况见表</w:t>
      </w:r>
      <w:r>
        <w:rPr>
          <w:bCs/>
        </w:rPr>
        <w:t>6</w:t>
      </w:r>
      <w:r>
        <w:rPr>
          <w:rFonts w:hint="eastAsia"/>
          <w:bCs/>
        </w:rPr>
        <w:t>。</w:t>
      </w:r>
    </w:p>
    <w:p>
      <w:pPr>
        <w:pStyle w:val="34"/>
        <w:spacing w:line="560" w:lineRule="exact"/>
        <w:rPr>
          <w:szCs w:val="22"/>
        </w:rPr>
      </w:pPr>
      <w:r>
        <w:rPr>
          <w:rFonts w:hint="eastAsia"/>
          <w:szCs w:val="22"/>
        </w:rPr>
        <w:t>表6  和平区幼儿园收费标准及幼儿数据</w:t>
      </w:r>
    </w:p>
    <w:tbl>
      <w:tblPr>
        <w:tblStyle w:val="16"/>
        <w:tblW w:w="51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9"/>
        <w:gridCol w:w="1812"/>
        <w:gridCol w:w="1786"/>
        <w:gridCol w:w="938"/>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blHeader/>
          <w:jc w:val="center"/>
        </w:trPr>
        <w:tc>
          <w:tcPr>
            <w:tcW w:w="1865"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sz w:val="21"/>
              </w:rPr>
              <w:t>幼儿园</w:t>
            </w:r>
            <w:r>
              <w:rPr>
                <w:rFonts w:hint="eastAsia" w:ascii="宋体" w:hAnsi="宋体" w:eastAsia="宋体" w:cs="宋体"/>
                <w:b/>
                <w:bCs/>
                <w:sz w:val="21"/>
              </w:rPr>
              <w:t>名称</w:t>
            </w:r>
          </w:p>
        </w:tc>
        <w:tc>
          <w:tcPr>
            <w:tcW w:w="971"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bCs/>
                <w:sz w:val="21"/>
              </w:rPr>
              <w:t>普惠前收费标准</w:t>
            </w:r>
          </w:p>
        </w:tc>
        <w:tc>
          <w:tcPr>
            <w:tcW w:w="957"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bCs/>
                <w:sz w:val="21"/>
              </w:rPr>
              <w:t>普惠后收费标准</w:t>
            </w:r>
          </w:p>
        </w:tc>
        <w:tc>
          <w:tcPr>
            <w:tcW w:w="500"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bCs/>
                <w:sz w:val="21"/>
              </w:rPr>
              <w:t>等级</w:t>
            </w:r>
          </w:p>
        </w:tc>
        <w:tc>
          <w:tcPr>
            <w:tcW w:w="703" w:type="pct"/>
            <w:vAlign w:val="center"/>
          </w:tcPr>
          <w:p>
            <w:pPr>
              <w:pStyle w:val="27"/>
              <w:spacing w:line="560" w:lineRule="exact"/>
              <w:ind w:firstLine="0" w:firstLineChars="0"/>
              <w:jc w:val="center"/>
              <w:rPr>
                <w:rFonts w:ascii="宋体" w:hAnsi="宋体" w:eastAsia="宋体" w:cs="宋体"/>
                <w:b/>
                <w:bCs/>
                <w:sz w:val="21"/>
              </w:rPr>
            </w:pPr>
            <w:r>
              <w:rPr>
                <w:rFonts w:hint="eastAsia" w:ascii="宋体" w:hAnsi="宋体" w:eastAsia="宋体" w:cs="宋体"/>
                <w:b/>
                <w:bCs/>
                <w:sz w:val="21"/>
              </w:rPr>
              <w:t>在园幼儿数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5"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天津市和平区华夏未来实验幼儿园</w:t>
            </w:r>
          </w:p>
        </w:tc>
        <w:tc>
          <w:tcPr>
            <w:tcW w:w="971"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3900元/月</w:t>
            </w:r>
          </w:p>
        </w:tc>
        <w:tc>
          <w:tcPr>
            <w:tcW w:w="957"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1590元/月</w:t>
            </w:r>
          </w:p>
        </w:tc>
        <w:tc>
          <w:tcPr>
            <w:tcW w:w="500"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示范园</w:t>
            </w:r>
          </w:p>
        </w:tc>
        <w:tc>
          <w:tcPr>
            <w:tcW w:w="70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360人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5"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天津市和平区合美幼儿园</w:t>
            </w:r>
          </w:p>
        </w:tc>
        <w:tc>
          <w:tcPr>
            <w:tcW w:w="971"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1700元/月</w:t>
            </w:r>
          </w:p>
        </w:tc>
        <w:tc>
          <w:tcPr>
            <w:tcW w:w="957"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1590元/月</w:t>
            </w:r>
          </w:p>
        </w:tc>
        <w:tc>
          <w:tcPr>
            <w:tcW w:w="500"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示范园</w:t>
            </w:r>
          </w:p>
        </w:tc>
        <w:tc>
          <w:tcPr>
            <w:tcW w:w="70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283人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5"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天津市和平区摇篮幼儿园</w:t>
            </w:r>
          </w:p>
        </w:tc>
        <w:tc>
          <w:tcPr>
            <w:tcW w:w="971"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3280元/月</w:t>
            </w:r>
          </w:p>
        </w:tc>
        <w:tc>
          <w:tcPr>
            <w:tcW w:w="957"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1590元/月</w:t>
            </w:r>
          </w:p>
        </w:tc>
        <w:tc>
          <w:tcPr>
            <w:tcW w:w="500"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示范园</w:t>
            </w:r>
          </w:p>
        </w:tc>
        <w:tc>
          <w:tcPr>
            <w:tcW w:w="70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169人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5"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天津和平郡童幼儿园</w:t>
            </w:r>
          </w:p>
        </w:tc>
        <w:tc>
          <w:tcPr>
            <w:tcW w:w="971"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3200元/月</w:t>
            </w:r>
          </w:p>
        </w:tc>
        <w:tc>
          <w:tcPr>
            <w:tcW w:w="957"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1590元/月</w:t>
            </w:r>
          </w:p>
        </w:tc>
        <w:tc>
          <w:tcPr>
            <w:tcW w:w="500"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示范园</w:t>
            </w:r>
          </w:p>
        </w:tc>
        <w:tc>
          <w:tcPr>
            <w:tcW w:w="70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190人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5"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天津市和平区合美实验幼儿园</w:t>
            </w:r>
          </w:p>
        </w:tc>
        <w:tc>
          <w:tcPr>
            <w:tcW w:w="971"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w:t>
            </w:r>
          </w:p>
        </w:tc>
        <w:tc>
          <w:tcPr>
            <w:tcW w:w="957"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1275元/月</w:t>
            </w:r>
          </w:p>
        </w:tc>
        <w:tc>
          <w:tcPr>
            <w:tcW w:w="500"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一级园</w:t>
            </w:r>
          </w:p>
        </w:tc>
        <w:tc>
          <w:tcPr>
            <w:tcW w:w="70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163人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5"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天津市和平区卓美天使幼儿园</w:t>
            </w:r>
          </w:p>
        </w:tc>
        <w:tc>
          <w:tcPr>
            <w:tcW w:w="971"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1600元/月</w:t>
            </w:r>
          </w:p>
        </w:tc>
        <w:tc>
          <w:tcPr>
            <w:tcW w:w="957"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1275元/月</w:t>
            </w:r>
          </w:p>
        </w:tc>
        <w:tc>
          <w:tcPr>
            <w:tcW w:w="500"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一级园</w:t>
            </w:r>
          </w:p>
        </w:tc>
        <w:tc>
          <w:tcPr>
            <w:tcW w:w="70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187人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5"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天津市和平区阳光宝贝幼儿园</w:t>
            </w:r>
          </w:p>
        </w:tc>
        <w:tc>
          <w:tcPr>
            <w:tcW w:w="971"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2680元/月</w:t>
            </w:r>
          </w:p>
        </w:tc>
        <w:tc>
          <w:tcPr>
            <w:tcW w:w="957"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1275元/月</w:t>
            </w:r>
          </w:p>
        </w:tc>
        <w:tc>
          <w:tcPr>
            <w:tcW w:w="500"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一级园</w:t>
            </w:r>
          </w:p>
        </w:tc>
        <w:tc>
          <w:tcPr>
            <w:tcW w:w="70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182人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5"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天津市和平区学仕林幼儿园</w:t>
            </w:r>
          </w:p>
        </w:tc>
        <w:tc>
          <w:tcPr>
            <w:tcW w:w="971"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w:t>
            </w:r>
          </w:p>
        </w:tc>
        <w:tc>
          <w:tcPr>
            <w:tcW w:w="957"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960元/月</w:t>
            </w:r>
          </w:p>
        </w:tc>
        <w:tc>
          <w:tcPr>
            <w:tcW w:w="500"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二级园</w:t>
            </w:r>
          </w:p>
        </w:tc>
        <w:tc>
          <w:tcPr>
            <w:tcW w:w="70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199人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6" w:type="pct"/>
            <w:gridSpan w:val="4"/>
            <w:vAlign w:val="center"/>
          </w:tcPr>
          <w:p>
            <w:pPr>
              <w:pStyle w:val="27"/>
              <w:spacing w:line="560" w:lineRule="exact"/>
              <w:ind w:firstLine="0" w:firstLineChars="0"/>
              <w:jc w:val="center"/>
              <w:rPr>
                <w:rFonts w:eastAsia="宋体" w:cs="Times New Roman"/>
                <w:b/>
                <w:bCs/>
                <w:sz w:val="21"/>
              </w:rPr>
            </w:pPr>
            <w:r>
              <w:rPr>
                <w:rFonts w:eastAsia="宋体" w:cs="Times New Roman"/>
                <w:b/>
                <w:bCs/>
                <w:sz w:val="21"/>
              </w:rPr>
              <w:t>合计</w:t>
            </w:r>
          </w:p>
        </w:tc>
        <w:tc>
          <w:tcPr>
            <w:tcW w:w="703" w:type="pct"/>
            <w:vAlign w:val="center"/>
          </w:tcPr>
          <w:p>
            <w:pPr>
              <w:pStyle w:val="27"/>
              <w:spacing w:line="560" w:lineRule="exact"/>
              <w:ind w:firstLine="0" w:firstLineChars="0"/>
              <w:jc w:val="center"/>
              <w:rPr>
                <w:rFonts w:eastAsia="宋体" w:cs="Times New Roman"/>
                <w:b/>
                <w:bCs/>
                <w:sz w:val="21"/>
              </w:rPr>
            </w:pPr>
            <w:r>
              <w:rPr>
                <w:rFonts w:eastAsia="宋体" w:cs="Times New Roman"/>
                <w:b/>
                <w:bCs/>
                <w:sz w:val="21"/>
              </w:rPr>
              <w:t>1633人</w:t>
            </w:r>
          </w:p>
        </w:tc>
      </w:tr>
    </w:tbl>
    <w:p>
      <w:pPr>
        <w:pStyle w:val="27"/>
        <w:numPr>
          <w:ilvl w:val="0"/>
          <w:numId w:val="2"/>
        </w:numPr>
        <w:spacing w:line="560" w:lineRule="exact"/>
        <w:ind w:left="0" w:leftChars="0" w:firstLine="640" w:firstLineChars="200"/>
        <w:rPr>
          <w:rFonts w:cs="Times New Roman"/>
          <w:szCs w:val="32"/>
          <w:highlight w:val="none"/>
        </w:rPr>
      </w:pPr>
      <w:r>
        <w:rPr>
          <w:rFonts w:hint="eastAsia"/>
        </w:rPr>
        <w:t>普惠性幼儿园覆盖率（总分</w:t>
      </w:r>
      <w:r>
        <w:t>8</w:t>
      </w:r>
      <w:r>
        <w:rPr>
          <w:rFonts w:hint="eastAsia"/>
        </w:rPr>
        <w:t>分，得分</w:t>
      </w:r>
      <w:r>
        <w:t>8</w:t>
      </w:r>
      <w:r>
        <w:rPr>
          <w:rFonts w:hint="eastAsia"/>
        </w:rPr>
        <w:t>分）。《和平区“十四五”学前教育发展提升行动计划》要求“到2025年，和平区普惠性幼儿园覆盖率达到85%以</w:t>
      </w:r>
      <w:r>
        <w:rPr>
          <w:rFonts w:hint="eastAsia"/>
          <w:highlight w:val="none"/>
        </w:rPr>
        <w:t>上”。依据2</w:t>
      </w:r>
      <w:r>
        <w:rPr>
          <w:highlight w:val="none"/>
        </w:rPr>
        <w:t>021</w:t>
      </w:r>
      <w:r>
        <w:rPr>
          <w:rFonts w:hint="eastAsia"/>
          <w:highlight w:val="none"/>
        </w:rPr>
        <w:t>年</w:t>
      </w:r>
      <w:r>
        <w:rPr>
          <w:highlight w:val="none"/>
        </w:rPr>
        <w:t>-2023</w:t>
      </w:r>
      <w:r>
        <w:rPr>
          <w:rFonts w:hint="eastAsia"/>
          <w:highlight w:val="none"/>
        </w:rPr>
        <w:t>年在园幼儿总人数、</w:t>
      </w:r>
      <w:r>
        <w:rPr>
          <w:rFonts w:hint="eastAsia"/>
          <w:szCs w:val="32"/>
          <w:highlight w:val="none"/>
        </w:rPr>
        <w:t>普惠性幼儿园在园幼儿人数数据</w:t>
      </w:r>
      <w:r>
        <w:rPr>
          <w:rFonts w:hint="eastAsia"/>
          <w:bCs/>
          <w:highlight w:val="none"/>
        </w:rPr>
        <w:t>显示</w:t>
      </w:r>
      <w:r>
        <w:rPr>
          <w:rFonts w:hint="eastAsia"/>
          <w:highlight w:val="none"/>
        </w:rPr>
        <w:t>，和平区普惠性幼儿园2</w:t>
      </w:r>
      <w:r>
        <w:rPr>
          <w:highlight w:val="none"/>
        </w:rPr>
        <w:t>021</w:t>
      </w:r>
      <w:r>
        <w:rPr>
          <w:rFonts w:hint="eastAsia"/>
          <w:highlight w:val="none"/>
        </w:rPr>
        <w:t>年在园幼儿数占比</w:t>
      </w:r>
      <w:r>
        <w:rPr>
          <w:highlight w:val="none"/>
        </w:rPr>
        <w:t>80.76%</w:t>
      </w:r>
      <w:r>
        <w:rPr>
          <w:rFonts w:hint="eastAsia"/>
          <w:highlight w:val="none"/>
        </w:rPr>
        <w:t>、2</w:t>
      </w:r>
      <w:r>
        <w:rPr>
          <w:highlight w:val="none"/>
        </w:rPr>
        <w:t>022</w:t>
      </w:r>
      <w:r>
        <w:rPr>
          <w:rFonts w:hint="eastAsia"/>
          <w:highlight w:val="none"/>
        </w:rPr>
        <w:t>年占比</w:t>
      </w:r>
      <w:r>
        <w:rPr>
          <w:highlight w:val="none"/>
        </w:rPr>
        <w:t>80.07%</w:t>
      </w:r>
      <w:r>
        <w:rPr>
          <w:rFonts w:hint="eastAsia"/>
          <w:highlight w:val="none"/>
        </w:rPr>
        <w:t>，2</w:t>
      </w:r>
      <w:r>
        <w:rPr>
          <w:highlight w:val="none"/>
        </w:rPr>
        <w:t>023</w:t>
      </w:r>
      <w:r>
        <w:rPr>
          <w:rFonts w:hint="eastAsia"/>
          <w:highlight w:val="none"/>
        </w:rPr>
        <w:t>年占比</w:t>
      </w:r>
      <w:r>
        <w:rPr>
          <w:highlight w:val="none"/>
        </w:rPr>
        <w:t>81.51%</w:t>
      </w:r>
      <w:r>
        <w:rPr>
          <w:rFonts w:hint="eastAsia"/>
          <w:highlight w:val="none"/>
        </w:rPr>
        <w:t>，2</w:t>
      </w:r>
      <w:r>
        <w:rPr>
          <w:highlight w:val="none"/>
        </w:rPr>
        <w:t>023</w:t>
      </w:r>
      <w:r>
        <w:rPr>
          <w:rFonts w:hint="eastAsia"/>
          <w:highlight w:val="none"/>
        </w:rPr>
        <w:t>年该指标呈上升趋势，</w:t>
      </w:r>
      <w:r>
        <w:rPr>
          <w:rFonts w:cs="Times New Roman"/>
          <w:szCs w:val="32"/>
          <w:highlight w:val="none"/>
        </w:rPr>
        <w:t>具体情况见表7</w:t>
      </w:r>
      <w:r>
        <w:rPr>
          <w:rFonts w:hint="eastAsia" w:cs="Times New Roman"/>
          <w:szCs w:val="32"/>
          <w:highlight w:val="none"/>
        </w:rPr>
        <w:t>。</w:t>
      </w:r>
    </w:p>
    <w:p>
      <w:pPr>
        <w:pStyle w:val="34"/>
        <w:spacing w:line="560" w:lineRule="exact"/>
        <w:rPr>
          <w:bCs w:val="0"/>
        </w:rPr>
      </w:pPr>
      <w:r>
        <w:rPr>
          <w:bCs w:val="0"/>
        </w:rPr>
        <w:t>表7</w:t>
      </w:r>
      <w:r>
        <w:rPr>
          <w:rFonts w:hint="eastAsia"/>
          <w:bCs w:val="0"/>
        </w:rPr>
        <w:t xml:space="preserve">  </w:t>
      </w:r>
      <w:r>
        <w:rPr>
          <w:bCs w:val="0"/>
        </w:rPr>
        <w:t>和平区2020-2023年度普惠性幼儿园占比统计表</w:t>
      </w:r>
    </w:p>
    <w:p>
      <w:pPr>
        <w:pStyle w:val="34"/>
        <w:spacing w:line="560" w:lineRule="exact"/>
        <w:jc w:val="right"/>
        <w:rPr>
          <w:rFonts w:ascii="宋体" w:hAnsi="宋体" w:eastAsia="宋体"/>
          <w:sz w:val="21"/>
          <w:szCs w:val="21"/>
        </w:rPr>
      </w:pPr>
      <w:r>
        <w:rPr>
          <w:rFonts w:hint="eastAsia" w:ascii="宋体" w:hAnsi="宋体" w:eastAsia="宋体"/>
          <w:sz w:val="21"/>
          <w:szCs w:val="21"/>
        </w:rPr>
        <w:t>单位：人</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182"/>
        <w:gridCol w:w="2907"/>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59" w:type="pct"/>
            <w:vAlign w:val="center"/>
          </w:tcPr>
          <w:p>
            <w:pPr>
              <w:pStyle w:val="34"/>
              <w:spacing w:line="560" w:lineRule="exact"/>
              <w:rPr>
                <w:rFonts w:ascii="宋体" w:hAnsi="宋体" w:eastAsia="宋体" w:cs="宋体"/>
                <w:b/>
                <w:sz w:val="21"/>
                <w:szCs w:val="21"/>
              </w:rPr>
            </w:pPr>
            <w:r>
              <w:rPr>
                <w:rFonts w:hint="eastAsia" w:ascii="宋体" w:hAnsi="宋体" w:eastAsia="宋体" w:cs="宋体"/>
                <w:b/>
                <w:sz w:val="21"/>
                <w:szCs w:val="21"/>
              </w:rPr>
              <w:t>年度</w:t>
            </w:r>
          </w:p>
        </w:tc>
        <w:tc>
          <w:tcPr>
            <w:tcW w:w="1204" w:type="pct"/>
            <w:vAlign w:val="center"/>
          </w:tcPr>
          <w:p>
            <w:pPr>
              <w:pStyle w:val="34"/>
              <w:spacing w:line="560" w:lineRule="exact"/>
              <w:rPr>
                <w:rFonts w:ascii="宋体" w:hAnsi="宋体" w:eastAsia="宋体" w:cs="宋体"/>
                <w:b/>
                <w:sz w:val="21"/>
                <w:szCs w:val="21"/>
              </w:rPr>
            </w:pPr>
            <w:r>
              <w:rPr>
                <w:rFonts w:hint="eastAsia" w:ascii="宋体" w:hAnsi="宋体" w:eastAsia="宋体" w:cs="宋体"/>
                <w:b/>
                <w:sz w:val="21"/>
                <w:szCs w:val="21"/>
              </w:rPr>
              <w:t>在园幼儿总数</w:t>
            </w:r>
          </w:p>
        </w:tc>
        <w:tc>
          <w:tcPr>
            <w:tcW w:w="1604" w:type="pct"/>
            <w:vAlign w:val="center"/>
          </w:tcPr>
          <w:p>
            <w:pPr>
              <w:pStyle w:val="34"/>
              <w:spacing w:line="560" w:lineRule="exact"/>
              <w:rPr>
                <w:rFonts w:ascii="宋体" w:hAnsi="宋体" w:eastAsia="宋体" w:cs="宋体"/>
                <w:b/>
                <w:sz w:val="21"/>
                <w:szCs w:val="21"/>
              </w:rPr>
            </w:pPr>
            <w:r>
              <w:rPr>
                <w:rFonts w:hint="eastAsia" w:ascii="宋体" w:hAnsi="宋体" w:eastAsia="宋体" w:cs="宋体"/>
                <w:b/>
                <w:sz w:val="21"/>
                <w:szCs w:val="21"/>
              </w:rPr>
              <w:t>普惠性幼儿园在园幼儿人数</w:t>
            </w:r>
          </w:p>
        </w:tc>
        <w:tc>
          <w:tcPr>
            <w:tcW w:w="1633" w:type="pct"/>
            <w:vAlign w:val="center"/>
          </w:tcPr>
          <w:p>
            <w:pPr>
              <w:pStyle w:val="34"/>
              <w:spacing w:line="560" w:lineRule="exact"/>
              <w:rPr>
                <w:rFonts w:ascii="宋体" w:hAnsi="宋体" w:eastAsia="宋体" w:cs="宋体"/>
                <w:b/>
                <w:sz w:val="21"/>
                <w:szCs w:val="21"/>
              </w:rPr>
            </w:pPr>
            <w:r>
              <w:rPr>
                <w:rFonts w:hint="eastAsia" w:ascii="宋体" w:hAnsi="宋体" w:eastAsia="宋体" w:cs="宋体"/>
                <w:b/>
                <w:sz w:val="21"/>
                <w:szCs w:val="21"/>
              </w:rPr>
              <w:t>普惠性幼儿园覆盖率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2021</w:t>
            </w:r>
          </w:p>
        </w:tc>
        <w:tc>
          <w:tcPr>
            <w:tcW w:w="1204"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6595</w:t>
            </w:r>
          </w:p>
        </w:tc>
        <w:tc>
          <w:tcPr>
            <w:tcW w:w="1604"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5326</w:t>
            </w:r>
          </w:p>
        </w:tc>
        <w:tc>
          <w:tcPr>
            <w:tcW w:w="163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80.76%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2022</w:t>
            </w:r>
          </w:p>
        </w:tc>
        <w:tc>
          <w:tcPr>
            <w:tcW w:w="1204"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6744</w:t>
            </w:r>
          </w:p>
        </w:tc>
        <w:tc>
          <w:tcPr>
            <w:tcW w:w="1604"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5400</w:t>
            </w:r>
          </w:p>
        </w:tc>
        <w:tc>
          <w:tcPr>
            <w:tcW w:w="163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80.07%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2023</w:t>
            </w:r>
          </w:p>
        </w:tc>
        <w:tc>
          <w:tcPr>
            <w:tcW w:w="1204"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5961</w:t>
            </w:r>
          </w:p>
        </w:tc>
        <w:tc>
          <w:tcPr>
            <w:tcW w:w="1604"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4859</w:t>
            </w:r>
          </w:p>
        </w:tc>
        <w:tc>
          <w:tcPr>
            <w:tcW w:w="1633" w:type="pct"/>
            <w:vAlign w:val="center"/>
          </w:tcPr>
          <w:p>
            <w:pPr>
              <w:pStyle w:val="27"/>
              <w:spacing w:line="560" w:lineRule="exact"/>
              <w:ind w:firstLine="0" w:firstLineChars="0"/>
              <w:jc w:val="center"/>
              <w:rPr>
                <w:rFonts w:eastAsia="宋体" w:cs="Times New Roman"/>
                <w:bCs/>
                <w:sz w:val="21"/>
              </w:rPr>
            </w:pPr>
            <w:r>
              <w:rPr>
                <w:rFonts w:eastAsia="宋体" w:cs="Times New Roman"/>
                <w:bCs/>
                <w:sz w:val="21"/>
              </w:rPr>
              <w:t>81.51%</w:t>
            </w:r>
          </w:p>
        </w:tc>
      </w:tr>
    </w:tbl>
    <w:p>
      <w:pPr>
        <w:pStyle w:val="27"/>
        <w:spacing w:line="560" w:lineRule="exact"/>
        <w:ind w:firstLine="640"/>
      </w:pPr>
      <w:r>
        <w:t>2</w:t>
      </w:r>
      <w:r>
        <w:rPr>
          <w:rFonts w:hint="eastAsia"/>
        </w:rPr>
        <w:t>.可持续影响</w:t>
      </w:r>
    </w:p>
    <w:p>
      <w:pPr>
        <w:pStyle w:val="27"/>
        <w:spacing w:line="560" w:lineRule="exact"/>
        <w:ind w:firstLine="640"/>
      </w:pPr>
      <w:r>
        <w:rPr>
          <w:rFonts w:hint="eastAsia"/>
        </w:rPr>
        <w:t>生均经费补助工作机制健全性（总分</w:t>
      </w:r>
      <w:r>
        <w:t>4</w:t>
      </w:r>
      <w:r>
        <w:rPr>
          <w:rFonts w:hint="eastAsia"/>
        </w:rPr>
        <w:t>分，得分</w:t>
      </w:r>
      <w:r>
        <w:t>4</w:t>
      </w:r>
      <w:r>
        <w:rPr>
          <w:rFonts w:hint="eastAsia"/>
        </w:rPr>
        <w:t>分）。区教育局积极落实普惠性民办幼儿园生均经费补助发放工作要求，制定了《和平区普惠性民办幼儿园生均经费补助项目和资金管理办法》《</w:t>
      </w:r>
      <w:r>
        <w:t>2023</w:t>
      </w:r>
      <w:r>
        <w:rPr>
          <w:rFonts w:hint="eastAsia"/>
        </w:rPr>
        <w:t>年和平区普惠性民办幼儿园认定工作方案》《2</w:t>
      </w:r>
      <w:r>
        <w:t>023</w:t>
      </w:r>
      <w:r>
        <w:rPr>
          <w:rFonts w:hint="eastAsia"/>
        </w:rPr>
        <w:t>年天津市和平区普惠性民办幼儿园等级评定细则》等制度，生均经费补助发放、等级认定制度健全，区教育局参照制度要求严格执行补助发放和等级认定工作，有效保障补助发放和等级认定工作的持续运转。</w:t>
      </w:r>
    </w:p>
    <w:p>
      <w:pPr>
        <w:pStyle w:val="27"/>
        <w:spacing w:line="560" w:lineRule="exact"/>
        <w:ind w:firstLine="640"/>
      </w:pPr>
      <w:r>
        <w:t>3</w:t>
      </w:r>
      <w:r>
        <w:rPr>
          <w:rFonts w:hint="eastAsia"/>
        </w:rPr>
        <w:t>.服务对象满意度</w:t>
      </w:r>
    </w:p>
    <w:p>
      <w:pPr>
        <w:pStyle w:val="27"/>
        <w:spacing w:line="560" w:lineRule="exact"/>
        <w:ind w:firstLine="640"/>
      </w:pPr>
      <w:r>
        <w:rPr>
          <w:rFonts w:hint="eastAsia"/>
        </w:rPr>
        <w:t>幼儿家长满意度（总分</w:t>
      </w:r>
      <w:r>
        <w:t>4</w:t>
      </w:r>
      <w:r>
        <w:rPr>
          <w:rFonts w:hint="eastAsia"/>
        </w:rPr>
        <w:t>分，得分</w:t>
      </w:r>
      <w:r>
        <w:t>4</w:t>
      </w:r>
      <w:r>
        <w:rPr>
          <w:rFonts w:hint="eastAsia"/>
        </w:rPr>
        <w:t>分）。</w:t>
      </w:r>
      <w:r>
        <w:t>依据</w:t>
      </w:r>
      <w:r>
        <w:rPr>
          <w:rFonts w:hint="eastAsia"/>
        </w:rPr>
        <w:t>普惠性民办幼儿园生均经费补助</w:t>
      </w:r>
      <w:r>
        <w:t>项目主要实施内容，本项目实际受益对象是</w:t>
      </w:r>
      <w:r>
        <w:rPr>
          <w:rFonts w:hint="eastAsia"/>
        </w:rPr>
        <w:t>普惠性民办幼儿园的幼儿家长</w:t>
      </w:r>
      <w:r>
        <w:t>，</w:t>
      </w:r>
      <w:r>
        <w:rPr>
          <w:rFonts w:hint="eastAsia"/>
        </w:rPr>
        <w:t>评价组分别对8所幼儿园分别抽取2</w:t>
      </w:r>
      <w:r>
        <w:t>0</w:t>
      </w:r>
      <w:r>
        <w:rPr>
          <w:rFonts w:hint="eastAsia"/>
        </w:rPr>
        <w:t>名幼儿家长</w:t>
      </w:r>
      <w:r>
        <w:t>进行满意度调查，共发放160份问卷</w:t>
      </w:r>
      <w:r>
        <w:rPr>
          <w:rFonts w:hint="eastAsia"/>
        </w:rPr>
        <w:t>，</w:t>
      </w:r>
      <w:r>
        <w:t>实际收回有效问卷共160份，针对</w:t>
      </w:r>
      <w:r>
        <w:rPr>
          <w:rFonts w:hint="eastAsia"/>
        </w:rPr>
        <w:t>减免学费情况</w:t>
      </w:r>
      <w:r>
        <w:t>、</w:t>
      </w:r>
      <w:r>
        <w:rPr>
          <w:rFonts w:hint="eastAsia"/>
        </w:rPr>
        <w:t>幼师教学质量情况</w:t>
      </w:r>
      <w:r>
        <w:t>、</w:t>
      </w:r>
      <w:r>
        <w:rPr>
          <w:rFonts w:hint="eastAsia"/>
        </w:rPr>
        <w:t>现收费标准是否满意、学费是否超出等级支出标准</w:t>
      </w:r>
      <w:r>
        <w:t>4项内容的</w:t>
      </w:r>
      <w:r>
        <w:rPr>
          <w:rFonts w:hint="eastAsia"/>
        </w:rPr>
        <w:t>幼儿家长</w:t>
      </w:r>
      <w:r>
        <w:t>综合满意度为100%。</w:t>
      </w:r>
    </w:p>
    <w:p>
      <w:pPr>
        <w:pStyle w:val="29"/>
        <w:spacing w:line="560" w:lineRule="exact"/>
      </w:pPr>
      <w:bookmarkStart w:id="22" w:name="_Toc13463"/>
      <w:r>
        <w:rPr>
          <w:rFonts w:hint="eastAsia"/>
        </w:rPr>
        <w:t>五、存在的主要问题</w:t>
      </w:r>
      <w:bookmarkEnd w:id="22"/>
    </w:p>
    <w:p>
      <w:pPr>
        <w:pStyle w:val="31"/>
        <w:spacing w:line="560" w:lineRule="exact"/>
        <w:ind w:firstLine="640"/>
        <w:rPr>
          <w:rFonts w:hint="eastAsia" w:eastAsia="楷体_GB2312"/>
          <w:lang w:eastAsia="zh-CN"/>
        </w:rPr>
      </w:pPr>
      <w:bookmarkStart w:id="23" w:name="_Toc174622795"/>
      <w:bookmarkStart w:id="24" w:name="_Toc1300"/>
      <w:bookmarkStart w:id="25" w:name="_Hlk91875531"/>
      <w:r>
        <w:rPr>
          <w:rFonts w:hint="eastAsia"/>
        </w:rPr>
        <w:t>（一）项目绩效指标</w:t>
      </w:r>
      <w:bookmarkEnd w:id="23"/>
      <w:r>
        <w:rPr>
          <w:rFonts w:hint="eastAsia"/>
          <w:lang w:eastAsia="zh-CN"/>
        </w:rPr>
        <w:t>设置质量有待提高</w:t>
      </w:r>
      <w:bookmarkEnd w:id="24"/>
    </w:p>
    <w:p>
      <w:pPr>
        <w:pStyle w:val="27"/>
        <w:spacing w:line="560" w:lineRule="exact"/>
        <w:ind w:firstLine="640"/>
        <w:rPr>
          <w:bCs/>
        </w:rPr>
      </w:pPr>
      <w:r>
        <w:rPr>
          <w:rFonts w:hint="eastAsia"/>
          <w:bCs/>
        </w:rPr>
        <w:t>根据区教育局提交的普惠性民办幼儿园生均经费补助</w:t>
      </w:r>
      <w:r>
        <w:rPr>
          <w:bCs/>
        </w:rPr>
        <w:t>项目绩效目标申报表</w:t>
      </w:r>
      <w:r>
        <w:rPr>
          <w:rFonts w:hint="eastAsia"/>
          <w:bCs/>
        </w:rPr>
        <w:t>，单位设定的绩效指标存在与实际开展工作任务匹配不全面的问题，例如普惠性民办幼儿园生均经费补助项目包含两项工作，一是对和平区普惠性民办幼儿园发放生均经费补助，二是对开展普惠性民办幼儿园等级认定工作，但项目绩效指标未对等级认定工作编制对应的指标，项目指标设置不全面，与规划任务不匹配。</w:t>
      </w:r>
    </w:p>
    <w:bookmarkEnd w:id="25"/>
    <w:p>
      <w:pPr>
        <w:pStyle w:val="29"/>
        <w:spacing w:line="560" w:lineRule="exact"/>
      </w:pPr>
      <w:bookmarkStart w:id="26" w:name="_Toc27159"/>
      <w:r>
        <w:rPr>
          <w:rFonts w:hint="eastAsia"/>
        </w:rPr>
        <w:t>六、相关建议</w:t>
      </w:r>
      <w:bookmarkEnd w:id="26"/>
    </w:p>
    <w:p>
      <w:pPr>
        <w:pStyle w:val="31"/>
        <w:spacing w:line="560" w:lineRule="exact"/>
        <w:ind w:firstLine="640"/>
      </w:pPr>
      <w:bookmarkStart w:id="27" w:name="_Toc174622801"/>
      <w:bookmarkStart w:id="28" w:name="_Toc22155"/>
      <w:r>
        <w:rPr>
          <w:rFonts w:hint="eastAsia"/>
        </w:rPr>
        <w:t>（一）科学设置目标指标</w:t>
      </w:r>
      <w:bookmarkEnd w:id="27"/>
      <w:r>
        <w:rPr>
          <w:rFonts w:hint="eastAsia"/>
        </w:rPr>
        <w:t>，提升绩效管理水平</w:t>
      </w:r>
      <w:bookmarkEnd w:id="28"/>
    </w:p>
    <w:p>
      <w:pPr>
        <w:pStyle w:val="49"/>
        <w:spacing w:line="560" w:lineRule="exact"/>
        <w:ind w:firstLine="640"/>
        <w:jc w:val="both"/>
        <w:rPr>
          <w:rFonts w:eastAsia="仿宋_GB2312" w:cstheme="minorBidi"/>
          <w:bCs/>
          <w:sz w:val="32"/>
          <w:szCs w:val="21"/>
        </w:rPr>
      </w:pPr>
      <w:r>
        <w:rPr>
          <w:rFonts w:hint="eastAsia" w:eastAsia="仿宋_GB2312" w:cstheme="minorBidi"/>
          <w:bCs/>
          <w:sz w:val="32"/>
          <w:szCs w:val="21"/>
        </w:rPr>
        <w:t>建议区教育局进一步提升对绩效目标编制工作的认识和理解，根据区委</w:t>
      </w:r>
      <w:r>
        <w:rPr>
          <w:rFonts w:eastAsia="仿宋_GB2312" w:cstheme="minorBidi"/>
          <w:bCs/>
          <w:sz w:val="32"/>
          <w:szCs w:val="21"/>
        </w:rPr>
        <w:t>区政府的部署</w:t>
      </w:r>
      <w:r>
        <w:rPr>
          <w:rFonts w:hint="eastAsia" w:eastAsia="仿宋_GB2312" w:cstheme="minorBidi"/>
          <w:bCs/>
          <w:sz w:val="32"/>
          <w:szCs w:val="21"/>
        </w:rPr>
        <w:t>、</w:t>
      </w:r>
      <w:r>
        <w:rPr>
          <w:rFonts w:eastAsia="仿宋_GB2312" w:cstheme="minorBidi"/>
          <w:bCs/>
          <w:sz w:val="32"/>
          <w:szCs w:val="21"/>
        </w:rPr>
        <w:t>上级主管部门要求</w:t>
      </w:r>
      <w:r>
        <w:rPr>
          <w:rFonts w:hint="eastAsia" w:eastAsia="仿宋_GB2312" w:cstheme="minorBidi"/>
          <w:bCs/>
          <w:sz w:val="32"/>
          <w:szCs w:val="21"/>
        </w:rPr>
        <w:t>以及相关政策规定明确项目目标和预期成果，</w:t>
      </w:r>
      <w:r>
        <w:rPr>
          <w:rFonts w:eastAsia="仿宋_GB2312" w:cstheme="minorBidi"/>
          <w:bCs/>
          <w:sz w:val="32"/>
          <w:szCs w:val="21"/>
        </w:rPr>
        <w:t>完善绩效目标</w:t>
      </w:r>
      <w:r>
        <w:rPr>
          <w:rFonts w:hint="eastAsia" w:eastAsia="仿宋_GB2312" w:cstheme="minorBidi"/>
          <w:bCs/>
          <w:sz w:val="32"/>
          <w:szCs w:val="21"/>
        </w:rPr>
        <w:t>指标</w:t>
      </w:r>
      <w:r>
        <w:rPr>
          <w:rFonts w:eastAsia="仿宋_GB2312" w:cstheme="minorBidi"/>
          <w:bCs/>
          <w:sz w:val="32"/>
          <w:szCs w:val="21"/>
        </w:rPr>
        <w:t>设置</w:t>
      </w:r>
      <w:r>
        <w:rPr>
          <w:rFonts w:hint="eastAsia" w:eastAsia="仿宋_GB2312" w:cstheme="minorBidi"/>
          <w:bCs/>
          <w:sz w:val="32"/>
          <w:szCs w:val="21"/>
        </w:rPr>
        <w:t>，</w:t>
      </w:r>
      <w:r>
        <w:rPr>
          <w:rFonts w:eastAsia="仿宋_GB2312" w:cstheme="minorBidi"/>
          <w:bCs/>
          <w:sz w:val="32"/>
          <w:szCs w:val="21"/>
        </w:rPr>
        <w:t>提升</w:t>
      </w:r>
      <w:r>
        <w:rPr>
          <w:rFonts w:hint="eastAsia" w:eastAsia="仿宋_GB2312" w:cstheme="minorBidi"/>
          <w:bCs/>
          <w:sz w:val="32"/>
          <w:szCs w:val="21"/>
        </w:rPr>
        <w:t>部门</w:t>
      </w:r>
      <w:r>
        <w:rPr>
          <w:rFonts w:eastAsia="仿宋_GB2312" w:cstheme="minorBidi"/>
          <w:bCs/>
          <w:sz w:val="32"/>
          <w:szCs w:val="21"/>
        </w:rPr>
        <w:t>绩效管理水平</w:t>
      </w:r>
      <w:r>
        <w:rPr>
          <w:rFonts w:hint="eastAsia" w:eastAsia="仿宋_GB2312" w:cstheme="minorBidi"/>
          <w:bCs/>
          <w:sz w:val="32"/>
          <w:szCs w:val="21"/>
        </w:rPr>
        <w:t>。注重绩效指标设置的明确性和全面性，能够体现普惠性民办幼儿园生均经费补助项目所包括的工作内容全貌，提高绩效目标指标与项目实际工作量的匹配度</w:t>
      </w:r>
      <w:r>
        <w:rPr>
          <w:rFonts w:hint="eastAsia" w:eastAsia="仿宋_GB2312" w:cstheme="minorBidi"/>
          <w:sz w:val="32"/>
          <w:szCs w:val="21"/>
        </w:rPr>
        <w:t>，确保财政资金使用效益、推动项目有效实施</w:t>
      </w:r>
      <w:r>
        <w:t>。</w:t>
      </w:r>
    </w:p>
    <w:p>
      <w:pPr>
        <w:pStyle w:val="29"/>
        <w:numPr>
          <w:ilvl w:val="0"/>
          <w:numId w:val="3"/>
        </w:numPr>
        <w:spacing w:line="560" w:lineRule="exact"/>
        <w:rPr>
          <w:rFonts w:eastAsia="仿宋_GB2312" w:cstheme="minorBidi"/>
          <w:szCs w:val="21"/>
        </w:rPr>
      </w:pPr>
      <w:bookmarkStart w:id="29" w:name="_Toc8675"/>
      <w:r>
        <w:rPr>
          <w:rFonts w:hint="eastAsia"/>
        </w:rPr>
        <w:t>其他需要说明的问题</w:t>
      </w:r>
      <w:bookmarkEnd w:id="29"/>
    </w:p>
    <w:p>
      <w:pPr>
        <w:pStyle w:val="27"/>
        <w:spacing w:line="560" w:lineRule="exact"/>
        <w:ind w:firstLine="640"/>
      </w:pPr>
      <w:r>
        <w:rPr>
          <w:rFonts w:hint="eastAsia"/>
        </w:rPr>
        <w:t>无</w:t>
      </w:r>
    </w:p>
    <w:p>
      <w:pPr>
        <w:pStyle w:val="29"/>
        <w:numPr>
          <w:ilvl w:val="0"/>
          <w:numId w:val="3"/>
        </w:numPr>
        <w:spacing w:line="560" w:lineRule="exact"/>
      </w:pPr>
      <w:bookmarkStart w:id="30" w:name="_Toc9265"/>
      <w:r>
        <w:rPr>
          <w:rFonts w:hint="eastAsia"/>
        </w:rPr>
        <w:t>相关附件</w:t>
      </w:r>
      <w:bookmarkEnd w:id="30"/>
    </w:p>
    <w:p>
      <w:pPr>
        <w:pStyle w:val="27"/>
        <w:spacing w:line="560" w:lineRule="exact"/>
        <w:ind w:firstLine="640"/>
      </w:pPr>
      <w:r>
        <w:rPr>
          <w:rFonts w:hint="eastAsia"/>
          <w:color w:val="000000" w:themeColor="text1"/>
          <w14:textFill>
            <w14:solidFill>
              <w14:schemeClr w14:val="tx1"/>
            </w14:solidFill>
          </w14:textFill>
        </w:rPr>
        <w:t>普惠性民办幼儿园生均经费补贴</w:t>
      </w:r>
      <w:r>
        <w:rPr>
          <w:color w:val="000000" w:themeColor="text1"/>
          <w14:textFill>
            <w14:solidFill>
              <w14:schemeClr w14:val="tx1"/>
            </w14:solidFill>
          </w14:textFill>
        </w:rPr>
        <w:t>项目绩效评价指标体系及评分表</w:t>
      </w:r>
    </w:p>
    <w:sectPr>
      <w:footerReference r:id="rId11"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p>
  <w:p>
    <w:pPr>
      <w:ind w:firstLine="4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7775189"/>
    </w:sdtPr>
    <w:sdtContent>
      <w:p>
        <w:pPr>
          <w:pStyle w:val="11"/>
          <w:ind w:firstLine="36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7 -</w:t>
        </w:r>
        <w:r>
          <w:rPr>
            <w:rFonts w:hint="eastAsia" w:ascii="宋体" w:hAnsi="宋体" w:eastAsia="宋体" w:cs="宋体"/>
            <w:sz w:val="28"/>
            <w:szCs w:val="28"/>
          </w:rPr>
          <w:fldChar w:fldCharType="end"/>
        </w:r>
      </w:p>
    </w:sdtContent>
  </w:sdt>
  <w:p>
    <w:pPr>
      <w:ind w:firstLine="42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53DE5"/>
    <w:multiLevelType w:val="singleLevel"/>
    <w:tmpl w:val="C1853DE5"/>
    <w:lvl w:ilvl="0" w:tentative="0">
      <w:start w:val="1"/>
      <w:numFmt w:val="decimal"/>
      <w:suff w:val="nothing"/>
      <w:lvlText w:val="（%1）"/>
      <w:lvlJc w:val="left"/>
    </w:lvl>
  </w:abstractNum>
  <w:abstractNum w:abstractNumId="1">
    <w:nsid w:val="D4FAA5E5"/>
    <w:multiLevelType w:val="singleLevel"/>
    <w:tmpl w:val="D4FAA5E5"/>
    <w:lvl w:ilvl="0" w:tentative="0">
      <w:start w:val="2"/>
      <w:numFmt w:val="decimal"/>
      <w:suff w:val="nothing"/>
      <w:lvlText w:val="（%1）"/>
      <w:lvlJc w:val="left"/>
    </w:lvl>
  </w:abstractNum>
  <w:abstractNum w:abstractNumId="2">
    <w:nsid w:val="25F5182C"/>
    <w:multiLevelType w:val="singleLevel"/>
    <w:tmpl w:val="25F5182C"/>
    <w:lvl w:ilvl="0" w:tentative="0">
      <w:start w:val="7"/>
      <w:numFmt w:val="chineseCounting"/>
      <w:suff w:val="nothing"/>
      <w:lvlText w:val="%1、"/>
      <w:lvlJc w:val="left"/>
      <w:rPr>
        <w:rFonts w:hint="eastAsia" w:ascii="黑体" w:hAnsi="黑体" w:eastAsia="黑体" w:cs="黑体"/>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hNTBkODQwYjc1MGI1Yjk3OTliNDI3M2M3MGYyOTUifQ=="/>
  </w:docVars>
  <w:rsids>
    <w:rsidRoot w:val="00661057"/>
    <w:rsid w:val="00002AE2"/>
    <w:rsid w:val="00003040"/>
    <w:rsid w:val="00003F8D"/>
    <w:rsid w:val="00010865"/>
    <w:rsid w:val="00013B1C"/>
    <w:rsid w:val="00015C05"/>
    <w:rsid w:val="00016073"/>
    <w:rsid w:val="00017086"/>
    <w:rsid w:val="00017921"/>
    <w:rsid w:val="00021949"/>
    <w:rsid w:val="00021BC0"/>
    <w:rsid w:val="00021C38"/>
    <w:rsid w:val="000231E8"/>
    <w:rsid w:val="00024AFD"/>
    <w:rsid w:val="00025C01"/>
    <w:rsid w:val="00026395"/>
    <w:rsid w:val="00026D55"/>
    <w:rsid w:val="000301FC"/>
    <w:rsid w:val="000315D7"/>
    <w:rsid w:val="000320CF"/>
    <w:rsid w:val="00032557"/>
    <w:rsid w:val="0003768F"/>
    <w:rsid w:val="00041A50"/>
    <w:rsid w:val="00041BFF"/>
    <w:rsid w:val="0004405F"/>
    <w:rsid w:val="00044339"/>
    <w:rsid w:val="00047353"/>
    <w:rsid w:val="00047A11"/>
    <w:rsid w:val="00052226"/>
    <w:rsid w:val="00053957"/>
    <w:rsid w:val="00053EC5"/>
    <w:rsid w:val="000540E1"/>
    <w:rsid w:val="000629F2"/>
    <w:rsid w:val="00064503"/>
    <w:rsid w:val="00065CD5"/>
    <w:rsid w:val="00070FE3"/>
    <w:rsid w:val="00071299"/>
    <w:rsid w:val="000728DC"/>
    <w:rsid w:val="00073DF6"/>
    <w:rsid w:val="0007429F"/>
    <w:rsid w:val="000746D9"/>
    <w:rsid w:val="000751CF"/>
    <w:rsid w:val="00080785"/>
    <w:rsid w:val="000829D1"/>
    <w:rsid w:val="0008478B"/>
    <w:rsid w:val="00090B22"/>
    <w:rsid w:val="00093851"/>
    <w:rsid w:val="00093B8C"/>
    <w:rsid w:val="00094ABA"/>
    <w:rsid w:val="000957A0"/>
    <w:rsid w:val="00095D4A"/>
    <w:rsid w:val="0009658C"/>
    <w:rsid w:val="000966C1"/>
    <w:rsid w:val="00096B59"/>
    <w:rsid w:val="000976F3"/>
    <w:rsid w:val="000A2873"/>
    <w:rsid w:val="000A2BB6"/>
    <w:rsid w:val="000A779C"/>
    <w:rsid w:val="000B12D4"/>
    <w:rsid w:val="000B4E40"/>
    <w:rsid w:val="000B57FD"/>
    <w:rsid w:val="000B6D6F"/>
    <w:rsid w:val="000B74B0"/>
    <w:rsid w:val="000B765C"/>
    <w:rsid w:val="000B7687"/>
    <w:rsid w:val="000C161F"/>
    <w:rsid w:val="000C5DA8"/>
    <w:rsid w:val="000C677C"/>
    <w:rsid w:val="000C7095"/>
    <w:rsid w:val="000D0CBC"/>
    <w:rsid w:val="000D11B1"/>
    <w:rsid w:val="000D1B8A"/>
    <w:rsid w:val="000D31E2"/>
    <w:rsid w:val="000D4798"/>
    <w:rsid w:val="000D59C4"/>
    <w:rsid w:val="000E09D3"/>
    <w:rsid w:val="000E0F6E"/>
    <w:rsid w:val="000E1363"/>
    <w:rsid w:val="000E1645"/>
    <w:rsid w:val="000E37E3"/>
    <w:rsid w:val="000E60B5"/>
    <w:rsid w:val="000E60D4"/>
    <w:rsid w:val="000F09CC"/>
    <w:rsid w:val="000F1C33"/>
    <w:rsid w:val="000F3FC3"/>
    <w:rsid w:val="000F49A6"/>
    <w:rsid w:val="000F5749"/>
    <w:rsid w:val="000F57C3"/>
    <w:rsid w:val="000F6A8C"/>
    <w:rsid w:val="00100141"/>
    <w:rsid w:val="00101962"/>
    <w:rsid w:val="00102515"/>
    <w:rsid w:val="0010563C"/>
    <w:rsid w:val="001117D2"/>
    <w:rsid w:val="00112CFE"/>
    <w:rsid w:val="00113A70"/>
    <w:rsid w:val="001144A3"/>
    <w:rsid w:val="00114C33"/>
    <w:rsid w:val="00116DE9"/>
    <w:rsid w:val="00117447"/>
    <w:rsid w:val="00117C41"/>
    <w:rsid w:val="001241E6"/>
    <w:rsid w:val="00125808"/>
    <w:rsid w:val="00125B44"/>
    <w:rsid w:val="00133A6C"/>
    <w:rsid w:val="00133ACB"/>
    <w:rsid w:val="00134629"/>
    <w:rsid w:val="00137476"/>
    <w:rsid w:val="0014004A"/>
    <w:rsid w:val="001404CE"/>
    <w:rsid w:val="0014294F"/>
    <w:rsid w:val="00142FBC"/>
    <w:rsid w:val="001479AA"/>
    <w:rsid w:val="00150419"/>
    <w:rsid w:val="0015098A"/>
    <w:rsid w:val="00150FBC"/>
    <w:rsid w:val="0015254F"/>
    <w:rsid w:val="001525C3"/>
    <w:rsid w:val="001540FE"/>
    <w:rsid w:val="00156000"/>
    <w:rsid w:val="00157583"/>
    <w:rsid w:val="001605AB"/>
    <w:rsid w:val="001608D3"/>
    <w:rsid w:val="001615B7"/>
    <w:rsid w:val="00162746"/>
    <w:rsid w:val="00162B65"/>
    <w:rsid w:val="001636DC"/>
    <w:rsid w:val="001662B9"/>
    <w:rsid w:val="00166D36"/>
    <w:rsid w:val="001704F7"/>
    <w:rsid w:val="00170C09"/>
    <w:rsid w:val="0017117B"/>
    <w:rsid w:val="00174A5D"/>
    <w:rsid w:val="0017581B"/>
    <w:rsid w:val="0017673E"/>
    <w:rsid w:val="00177C78"/>
    <w:rsid w:val="00177CD3"/>
    <w:rsid w:val="00180B83"/>
    <w:rsid w:val="00181726"/>
    <w:rsid w:val="00185478"/>
    <w:rsid w:val="001871E9"/>
    <w:rsid w:val="00190DDA"/>
    <w:rsid w:val="0019129E"/>
    <w:rsid w:val="001913BB"/>
    <w:rsid w:val="001913E9"/>
    <w:rsid w:val="00191749"/>
    <w:rsid w:val="001920C1"/>
    <w:rsid w:val="00192DB3"/>
    <w:rsid w:val="00193B96"/>
    <w:rsid w:val="00193DA5"/>
    <w:rsid w:val="00195E1D"/>
    <w:rsid w:val="00196D2B"/>
    <w:rsid w:val="00197E5F"/>
    <w:rsid w:val="001A02E1"/>
    <w:rsid w:val="001A1EB3"/>
    <w:rsid w:val="001A2DD7"/>
    <w:rsid w:val="001A5D0F"/>
    <w:rsid w:val="001B00C8"/>
    <w:rsid w:val="001B4B20"/>
    <w:rsid w:val="001B4DE2"/>
    <w:rsid w:val="001C455A"/>
    <w:rsid w:val="001C68F0"/>
    <w:rsid w:val="001C6CA0"/>
    <w:rsid w:val="001C6DB4"/>
    <w:rsid w:val="001D0246"/>
    <w:rsid w:val="001D0685"/>
    <w:rsid w:val="001D06AC"/>
    <w:rsid w:val="001D0C4F"/>
    <w:rsid w:val="001D0D50"/>
    <w:rsid w:val="001D4D25"/>
    <w:rsid w:val="001D598D"/>
    <w:rsid w:val="001E02F8"/>
    <w:rsid w:val="001E0A14"/>
    <w:rsid w:val="001E2157"/>
    <w:rsid w:val="001E3951"/>
    <w:rsid w:val="001E66DA"/>
    <w:rsid w:val="001E6D8B"/>
    <w:rsid w:val="001F0F45"/>
    <w:rsid w:val="001F15A0"/>
    <w:rsid w:val="001F1EE0"/>
    <w:rsid w:val="001F221F"/>
    <w:rsid w:val="001F228D"/>
    <w:rsid w:val="001F2BB3"/>
    <w:rsid w:val="001F514F"/>
    <w:rsid w:val="001F5336"/>
    <w:rsid w:val="001F670F"/>
    <w:rsid w:val="00201EAB"/>
    <w:rsid w:val="00202699"/>
    <w:rsid w:val="00202782"/>
    <w:rsid w:val="00203972"/>
    <w:rsid w:val="0020560F"/>
    <w:rsid w:val="00206ED6"/>
    <w:rsid w:val="002075CF"/>
    <w:rsid w:val="00210763"/>
    <w:rsid w:val="00210D1F"/>
    <w:rsid w:val="00212BC9"/>
    <w:rsid w:val="00213586"/>
    <w:rsid w:val="00214589"/>
    <w:rsid w:val="00214C19"/>
    <w:rsid w:val="0021785B"/>
    <w:rsid w:val="00217BE2"/>
    <w:rsid w:val="00221428"/>
    <w:rsid w:val="00223431"/>
    <w:rsid w:val="0022348E"/>
    <w:rsid w:val="002240E3"/>
    <w:rsid w:val="00226605"/>
    <w:rsid w:val="002276DD"/>
    <w:rsid w:val="0023108E"/>
    <w:rsid w:val="00231B10"/>
    <w:rsid w:val="00232DFB"/>
    <w:rsid w:val="00232EC3"/>
    <w:rsid w:val="00235C7D"/>
    <w:rsid w:val="002362E6"/>
    <w:rsid w:val="00244E01"/>
    <w:rsid w:val="002469B3"/>
    <w:rsid w:val="00247A28"/>
    <w:rsid w:val="0025214F"/>
    <w:rsid w:val="00252F45"/>
    <w:rsid w:val="002536A4"/>
    <w:rsid w:val="00254126"/>
    <w:rsid w:val="00254D70"/>
    <w:rsid w:val="00255788"/>
    <w:rsid w:val="00256F67"/>
    <w:rsid w:val="002606BD"/>
    <w:rsid w:val="002614EF"/>
    <w:rsid w:val="00262ABB"/>
    <w:rsid w:val="00264953"/>
    <w:rsid w:val="00264F7B"/>
    <w:rsid w:val="002654B4"/>
    <w:rsid w:val="002654FF"/>
    <w:rsid w:val="00265D4E"/>
    <w:rsid w:val="002678A4"/>
    <w:rsid w:val="00271B81"/>
    <w:rsid w:val="0027222E"/>
    <w:rsid w:val="002737AA"/>
    <w:rsid w:val="002753AA"/>
    <w:rsid w:val="0027586E"/>
    <w:rsid w:val="00276E8E"/>
    <w:rsid w:val="002815AF"/>
    <w:rsid w:val="002821CD"/>
    <w:rsid w:val="00282482"/>
    <w:rsid w:val="00285E85"/>
    <w:rsid w:val="00285EDF"/>
    <w:rsid w:val="002931EB"/>
    <w:rsid w:val="00297496"/>
    <w:rsid w:val="00297E04"/>
    <w:rsid w:val="002A2099"/>
    <w:rsid w:val="002A229F"/>
    <w:rsid w:val="002A2ECC"/>
    <w:rsid w:val="002A3D27"/>
    <w:rsid w:val="002A425C"/>
    <w:rsid w:val="002A4CAA"/>
    <w:rsid w:val="002A5162"/>
    <w:rsid w:val="002A6BC5"/>
    <w:rsid w:val="002A7E2F"/>
    <w:rsid w:val="002B2E64"/>
    <w:rsid w:val="002B321D"/>
    <w:rsid w:val="002B6E5F"/>
    <w:rsid w:val="002B6E61"/>
    <w:rsid w:val="002C0377"/>
    <w:rsid w:val="002C23B2"/>
    <w:rsid w:val="002C2ECC"/>
    <w:rsid w:val="002C5110"/>
    <w:rsid w:val="002C529B"/>
    <w:rsid w:val="002C6441"/>
    <w:rsid w:val="002D1826"/>
    <w:rsid w:val="002D32AD"/>
    <w:rsid w:val="002D336D"/>
    <w:rsid w:val="002D3DF8"/>
    <w:rsid w:val="002D6202"/>
    <w:rsid w:val="002D6E7C"/>
    <w:rsid w:val="002D741B"/>
    <w:rsid w:val="002E0D16"/>
    <w:rsid w:val="002E17BA"/>
    <w:rsid w:val="002E3C4E"/>
    <w:rsid w:val="002E526B"/>
    <w:rsid w:val="002E5A3B"/>
    <w:rsid w:val="002F00FB"/>
    <w:rsid w:val="002F012C"/>
    <w:rsid w:val="002F077A"/>
    <w:rsid w:val="002F1595"/>
    <w:rsid w:val="002F2542"/>
    <w:rsid w:val="002F3008"/>
    <w:rsid w:val="002F31E3"/>
    <w:rsid w:val="002F61BD"/>
    <w:rsid w:val="002F7F21"/>
    <w:rsid w:val="003029A1"/>
    <w:rsid w:val="00302F91"/>
    <w:rsid w:val="003032A9"/>
    <w:rsid w:val="00303494"/>
    <w:rsid w:val="00303D5F"/>
    <w:rsid w:val="00304E75"/>
    <w:rsid w:val="0030569B"/>
    <w:rsid w:val="00307E6B"/>
    <w:rsid w:val="00310651"/>
    <w:rsid w:val="0031160E"/>
    <w:rsid w:val="00311FCE"/>
    <w:rsid w:val="0031213A"/>
    <w:rsid w:val="0031434B"/>
    <w:rsid w:val="00316DE7"/>
    <w:rsid w:val="003203BA"/>
    <w:rsid w:val="00320FF1"/>
    <w:rsid w:val="00321F1E"/>
    <w:rsid w:val="00325B50"/>
    <w:rsid w:val="00326B56"/>
    <w:rsid w:val="00327083"/>
    <w:rsid w:val="00330A64"/>
    <w:rsid w:val="003318AC"/>
    <w:rsid w:val="00331AC4"/>
    <w:rsid w:val="0033338A"/>
    <w:rsid w:val="00335B62"/>
    <w:rsid w:val="00335C30"/>
    <w:rsid w:val="003360EB"/>
    <w:rsid w:val="0033624F"/>
    <w:rsid w:val="00341840"/>
    <w:rsid w:val="003429AA"/>
    <w:rsid w:val="0034310E"/>
    <w:rsid w:val="003461F5"/>
    <w:rsid w:val="00347B80"/>
    <w:rsid w:val="003502BF"/>
    <w:rsid w:val="0035516F"/>
    <w:rsid w:val="0035605F"/>
    <w:rsid w:val="00356956"/>
    <w:rsid w:val="00357358"/>
    <w:rsid w:val="003606F4"/>
    <w:rsid w:val="00361E6A"/>
    <w:rsid w:val="00362B2A"/>
    <w:rsid w:val="003652D2"/>
    <w:rsid w:val="00371C8B"/>
    <w:rsid w:val="003728C0"/>
    <w:rsid w:val="0037372D"/>
    <w:rsid w:val="0037425D"/>
    <w:rsid w:val="00375DA8"/>
    <w:rsid w:val="00376261"/>
    <w:rsid w:val="0038049A"/>
    <w:rsid w:val="0038053D"/>
    <w:rsid w:val="00380A70"/>
    <w:rsid w:val="00380E46"/>
    <w:rsid w:val="00381F5C"/>
    <w:rsid w:val="00382CCA"/>
    <w:rsid w:val="003854CE"/>
    <w:rsid w:val="00386038"/>
    <w:rsid w:val="00386369"/>
    <w:rsid w:val="00387CF6"/>
    <w:rsid w:val="0039071F"/>
    <w:rsid w:val="0039189F"/>
    <w:rsid w:val="00392066"/>
    <w:rsid w:val="003920E7"/>
    <w:rsid w:val="00394AAA"/>
    <w:rsid w:val="00395D8F"/>
    <w:rsid w:val="00396581"/>
    <w:rsid w:val="0039718C"/>
    <w:rsid w:val="00397197"/>
    <w:rsid w:val="00397376"/>
    <w:rsid w:val="003A0C1C"/>
    <w:rsid w:val="003A2037"/>
    <w:rsid w:val="003A24AF"/>
    <w:rsid w:val="003A2940"/>
    <w:rsid w:val="003A2F91"/>
    <w:rsid w:val="003A30C9"/>
    <w:rsid w:val="003A3DE2"/>
    <w:rsid w:val="003A6110"/>
    <w:rsid w:val="003A6CFA"/>
    <w:rsid w:val="003B4F6C"/>
    <w:rsid w:val="003C029E"/>
    <w:rsid w:val="003C2D3D"/>
    <w:rsid w:val="003C30A6"/>
    <w:rsid w:val="003C3423"/>
    <w:rsid w:val="003C4B20"/>
    <w:rsid w:val="003C4EDF"/>
    <w:rsid w:val="003C6A30"/>
    <w:rsid w:val="003C728A"/>
    <w:rsid w:val="003D0C85"/>
    <w:rsid w:val="003D42E6"/>
    <w:rsid w:val="003D58C9"/>
    <w:rsid w:val="003D5E93"/>
    <w:rsid w:val="003D619C"/>
    <w:rsid w:val="003E460B"/>
    <w:rsid w:val="003E47EB"/>
    <w:rsid w:val="003E5D8A"/>
    <w:rsid w:val="003E6486"/>
    <w:rsid w:val="003E7C97"/>
    <w:rsid w:val="003F0821"/>
    <w:rsid w:val="003F12E1"/>
    <w:rsid w:val="003F4633"/>
    <w:rsid w:val="003F4710"/>
    <w:rsid w:val="003F4C3B"/>
    <w:rsid w:val="003F5E79"/>
    <w:rsid w:val="003F61ED"/>
    <w:rsid w:val="003F79AF"/>
    <w:rsid w:val="004011D5"/>
    <w:rsid w:val="00401389"/>
    <w:rsid w:val="0040151D"/>
    <w:rsid w:val="004021BB"/>
    <w:rsid w:val="00404C72"/>
    <w:rsid w:val="0040523E"/>
    <w:rsid w:val="00405DA4"/>
    <w:rsid w:val="00407E4C"/>
    <w:rsid w:val="00407F2A"/>
    <w:rsid w:val="004129F1"/>
    <w:rsid w:val="004132DE"/>
    <w:rsid w:val="00413A23"/>
    <w:rsid w:val="00414038"/>
    <w:rsid w:val="00416DBE"/>
    <w:rsid w:val="004174C2"/>
    <w:rsid w:val="0041784F"/>
    <w:rsid w:val="004201E7"/>
    <w:rsid w:val="00422E53"/>
    <w:rsid w:val="004260F9"/>
    <w:rsid w:val="004265E2"/>
    <w:rsid w:val="004268DC"/>
    <w:rsid w:val="004301E7"/>
    <w:rsid w:val="0043312F"/>
    <w:rsid w:val="0043420E"/>
    <w:rsid w:val="00436011"/>
    <w:rsid w:val="00440EAF"/>
    <w:rsid w:val="00442001"/>
    <w:rsid w:val="004429F6"/>
    <w:rsid w:val="00442C96"/>
    <w:rsid w:val="0044422D"/>
    <w:rsid w:val="00444B9F"/>
    <w:rsid w:val="00445CD3"/>
    <w:rsid w:val="00453460"/>
    <w:rsid w:val="0045416F"/>
    <w:rsid w:val="004541DF"/>
    <w:rsid w:val="00455F34"/>
    <w:rsid w:val="0045638C"/>
    <w:rsid w:val="0045692B"/>
    <w:rsid w:val="00460763"/>
    <w:rsid w:val="004613B0"/>
    <w:rsid w:val="00461D49"/>
    <w:rsid w:val="004627EB"/>
    <w:rsid w:val="0046591F"/>
    <w:rsid w:val="00465DF2"/>
    <w:rsid w:val="0046745A"/>
    <w:rsid w:val="00470427"/>
    <w:rsid w:val="00470A0E"/>
    <w:rsid w:val="004746B7"/>
    <w:rsid w:val="004757C2"/>
    <w:rsid w:val="00476E95"/>
    <w:rsid w:val="00477695"/>
    <w:rsid w:val="004804C9"/>
    <w:rsid w:val="00480E79"/>
    <w:rsid w:val="00481085"/>
    <w:rsid w:val="00482FF5"/>
    <w:rsid w:val="0048370F"/>
    <w:rsid w:val="00485B99"/>
    <w:rsid w:val="004875AC"/>
    <w:rsid w:val="0048792B"/>
    <w:rsid w:val="00487D1F"/>
    <w:rsid w:val="004936DF"/>
    <w:rsid w:val="00495946"/>
    <w:rsid w:val="004A0466"/>
    <w:rsid w:val="004A10B1"/>
    <w:rsid w:val="004A1371"/>
    <w:rsid w:val="004A24FF"/>
    <w:rsid w:val="004A5987"/>
    <w:rsid w:val="004A5F2D"/>
    <w:rsid w:val="004A6BE4"/>
    <w:rsid w:val="004B12AF"/>
    <w:rsid w:val="004B235C"/>
    <w:rsid w:val="004B411C"/>
    <w:rsid w:val="004B6641"/>
    <w:rsid w:val="004B6B6F"/>
    <w:rsid w:val="004B7140"/>
    <w:rsid w:val="004C0450"/>
    <w:rsid w:val="004C1741"/>
    <w:rsid w:val="004C28E9"/>
    <w:rsid w:val="004C2DC2"/>
    <w:rsid w:val="004C3057"/>
    <w:rsid w:val="004C37DD"/>
    <w:rsid w:val="004C4A72"/>
    <w:rsid w:val="004C527A"/>
    <w:rsid w:val="004C5E4A"/>
    <w:rsid w:val="004D10A8"/>
    <w:rsid w:val="004D2FF1"/>
    <w:rsid w:val="004D3BC4"/>
    <w:rsid w:val="004D40EC"/>
    <w:rsid w:val="004D66AF"/>
    <w:rsid w:val="004D78F1"/>
    <w:rsid w:val="004E0834"/>
    <w:rsid w:val="004E0D4E"/>
    <w:rsid w:val="004E4A94"/>
    <w:rsid w:val="004E51AA"/>
    <w:rsid w:val="004F25C5"/>
    <w:rsid w:val="004F398F"/>
    <w:rsid w:val="004F7217"/>
    <w:rsid w:val="004F7B1D"/>
    <w:rsid w:val="00500272"/>
    <w:rsid w:val="00500C57"/>
    <w:rsid w:val="005017DC"/>
    <w:rsid w:val="0050309A"/>
    <w:rsid w:val="005042C0"/>
    <w:rsid w:val="00506277"/>
    <w:rsid w:val="00507119"/>
    <w:rsid w:val="00507618"/>
    <w:rsid w:val="00513126"/>
    <w:rsid w:val="00513E56"/>
    <w:rsid w:val="00517695"/>
    <w:rsid w:val="00517FF8"/>
    <w:rsid w:val="0052075B"/>
    <w:rsid w:val="005227CB"/>
    <w:rsid w:val="0052280F"/>
    <w:rsid w:val="005260C2"/>
    <w:rsid w:val="005301DF"/>
    <w:rsid w:val="0053130C"/>
    <w:rsid w:val="00532532"/>
    <w:rsid w:val="0053431B"/>
    <w:rsid w:val="005375FD"/>
    <w:rsid w:val="0054020A"/>
    <w:rsid w:val="00541337"/>
    <w:rsid w:val="00541BC1"/>
    <w:rsid w:val="005456F7"/>
    <w:rsid w:val="0054575A"/>
    <w:rsid w:val="0055311F"/>
    <w:rsid w:val="00553C07"/>
    <w:rsid w:val="00555DD2"/>
    <w:rsid w:val="00562091"/>
    <w:rsid w:val="00563798"/>
    <w:rsid w:val="00563B61"/>
    <w:rsid w:val="0056743A"/>
    <w:rsid w:val="005726E5"/>
    <w:rsid w:val="00572B93"/>
    <w:rsid w:val="00573B4A"/>
    <w:rsid w:val="0057426F"/>
    <w:rsid w:val="00575954"/>
    <w:rsid w:val="00577671"/>
    <w:rsid w:val="00580D62"/>
    <w:rsid w:val="00580E31"/>
    <w:rsid w:val="0058155D"/>
    <w:rsid w:val="00582C77"/>
    <w:rsid w:val="00582E05"/>
    <w:rsid w:val="00582E24"/>
    <w:rsid w:val="0058400B"/>
    <w:rsid w:val="00584CE6"/>
    <w:rsid w:val="00587BF9"/>
    <w:rsid w:val="00587FDE"/>
    <w:rsid w:val="00590B7F"/>
    <w:rsid w:val="005927E3"/>
    <w:rsid w:val="0059626F"/>
    <w:rsid w:val="005978EB"/>
    <w:rsid w:val="005A02D6"/>
    <w:rsid w:val="005A143E"/>
    <w:rsid w:val="005A1A6B"/>
    <w:rsid w:val="005A1BA9"/>
    <w:rsid w:val="005A2137"/>
    <w:rsid w:val="005A3A65"/>
    <w:rsid w:val="005A7556"/>
    <w:rsid w:val="005B3F75"/>
    <w:rsid w:val="005B40AC"/>
    <w:rsid w:val="005B59D6"/>
    <w:rsid w:val="005C1508"/>
    <w:rsid w:val="005C17D0"/>
    <w:rsid w:val="005C4163"/>
    <w:rsid w:val="005C4F23"/>
    <w:rsid w:val="005C5E16"/>
    <w:rsid w:val="005C5F21"/>
    <w:rsid w:val="005C66DA"/>
    <w:rsid w:val="005C72EA"/>
    <w:rsid w:val="005D0263"/>
    <w:rsid w:val="005D2A5E"/>
    <w:rsid w:val="005D2B39"/>
    <w:rsid w:val="005D2E9B"/>
    <w:rsid w:val="005D3E88"/>
    <w:rsid w:val="005D5846"/>
    <w:rsid w:val="005E0A86"/>
    <w:rsid w:val="005E1192"/>
    <w:rsid w:val="005E1D8B"/>
    <w:rsid w:val="005E3B63"/>
    <w:rsid w:val="005E47FA"/>
    <w:rsid w:val="005E5D54"/>
    <w:rsid w:val="005E614B"/>
    <w:rsid w:val="005E731E"/>
    <w:rsid w:val="005F03D5"/>
    <w:rsid w:val="005F2697"/>
    <w:rsid w:val="005F3F3A"/>
    <w:rsid w:val="005F5A65"/>
    <w:rsid w:val="005F6309"/>
    <w:rsid w:val="005F7214"/>
    <w:rsid w:val="005F72E1"/>
    <w:rsid w:val="005F7A5E"/>
    <w:rsid w:val="00601702"/>
    <w:rsid w:val="0060374B"/>
    <w:rsid w:val="00605BC7"/>
    <w:rsid w:val="00610154"/>
    <w:rsid w:val="006106C3"/>
    <w:rsid w:val="00610CD5"/>
    <w:rsid w:val="00615961"/>
    <w:rsid w:val="00616586"/>
    <w:rsid w:val="006207A7"/>
    <w:rsid w:val="00620ED7"/>
    <w:rsid w:val="0062370F"/>
    <w:rsid w:val="00627983"/>
    <w:rsid w:val="006318BD"/>
    <w:rsid w:val="006329D0"/>
    <w:rsid w:val="00633D55"/>
    <w:rsid w:val="00634AB1"/>
    <w:rsid w:val="00635391"/>
    <w:rsid w:val="00635D5A"/>
    <w:rsid w:val="0063634F"/>
    <w:rsid w:val="006366B2"/>
    <w:rsid w:val="0064050F"/>
    <w:rsid w:val="00642B6B"/>
    <w:rsid w:val="00642E8D"/>
    <w:rsid w:val="006509C0"/>
    <w:rsid w:val="006514F5"/>
    <w:rsid w:val="00654893"/>
    <w:rsid w:val="006555B4"/>
    <w:rsid w:val="00660F08"/>
    <w:rsid w:val="00661057"/>
    <w:rsid w:val="00661BDA"/>
    <w:rsid w:val="00663A7E"/>
    <w:rsid w:val="0066404C"/>
    <w:rsid w:val="006641E2"/>
    <w:rsid w:val="0066490F"/>
    <w:rsid w:val="0066557D"/>
    <w:rsid w:val="00665A76"/>
    <w:rsid w:val="00665F29"/>
    <w:rsid w:val="00666FAB"/>
    <w:rsid w:val="00672C45"/>
    <w:rsid w:val="006735F5"/>
    <w:rsid w:val="00677282"/>
    <w:rsid w:val="0068007F"/>
    <w:rsid w:val="00680FC8"/>
    <w:rsid w:val="00681695"/>
    <w:rsid w:val="00682171"/>
    <w:rsid w:val="006825F8"/>
    <w:rsid w:val="00682720"/>
    <w:rsid w:val="006827E7"/>
    <w:rsid w:val="006869F6"/>
    <w:rsid w:val="00686F91"/>
    <w:rsid w:val="00693060"/>
    <w:rsid w:val="006975EA"/>
    <w:rsid w:val="006976EF"/>
    <w:rsid w:val="006A1A15"/>
    <w:rsid w:val="006A2563"/>
    <w:rsid w:val="006A2799"/>
    <w:rsid w:val="006A4194"/>
    <w:rsid w:val="006A4543"/>
    <w:rsid w:val="006A523C"/>
    <w:rsid w:val="006A67DF"/>
    <w:rsid w:val="006A784B"/>
    <w:rsid w:val="006B33B3"/>
    <w:rsid w:val="006B3D38"/>
    <w:rsid w:val="006B6D9D"/>
    <w:rsid w:val="006B6F79"/>
    <w:rsid w:val="006C2FB3"/>
    <w:rsid w:val="006C3511"/>
    <w:rsid w:val="006C468E"/>
    <w:rsid w:val="006C5054"/>
    <w:rsid w:val="006C76D1"/>
    <w:rsid w:val="006D0238"/>
    <w:rsid w:val="006D642B"/>
    <w:rsid w:val="006D7B63"/>
    <w:rsid w:val="006E2E8B"/>
    <w:rsid w:val="006E3531"/>
    <w:rsid w:val="006E3F75"/>
    <w:rsid w:val="006E59F2"/>
    <w:rsid w:val="006F0F1A"/>
    <w:rsid w:val="006F1B0F"/>
    <w:rsid w:val="006F69BC"/>
    <w:rsid w:val="006F71A1"/>
    <w:rsid w:val="006F7C13"/>
    <w:rsid w:val="007011C7"/>
    <w:rsid w:val="00702AAE"/>
    <w:rsid w:val="00702CBF"/>
    <w:rsid w:val="00703D70"/>
    <w:rsid w:val="0070457F"/>
    <w:rsid w:val="00705649"/>
    <w:rsid w:val="007073E5"/>
    <w:rsid w:val="00707D85"/>
    <w:rsid w:val="00711AFC"/>
    <w:rsid w:val="00712199"/>
    <w:rsid w:val="00712637"/>
    <w:rsid w:val="0071296D"/>
    <w:rsid w:val="00712EDF"/>
    <w:rsid w:val="00712F83"/>
    <w:rsid w:val="00713AFA"/>
    <w:rsid w:val="00713EED"/>
    <w:rsid w:val="00713F00"/>
    <w:rsid w:val="00714F52"/>
    <w:rsid w:val="00716A4C"/>
    <w:rsid w:val="00716ABF"/>
    <w:rsid w:val="00717387"/>
    <w:rsid w:val="0072185F"/>
    <w:rsid w:val="0072230F"/>
    <w:rsid w:val="0072315E"/>
    <w:rsid w:val="00724A14"/>
    <w:rsid w:val="00725043"/>
    <w:rsid w:val="00726B01"/>
    <w:rsid w:val="00732036"/>
    <w:rsid w:val="00732938"/>
    <w:rsid w:val="00732F58"/>
    <w:rsid w:val="00733FF3"/>
    <w:rsid w:val="00737915"/>
    <w:rsid w:val="00741138"/>
    <w:rsid w:val="00741EE7"/>
    <w:rsid w:val="00743FB6"/>
    <w:rsid w:val="007475BD"/>
    <w:rsid w:val="00747CF7"/>
    <w:rsid w:val="007509D5"/>
    <w:rsid w:val="007521C7"/>
    <w:rsid w:val="0075415B"/>
    <w:rsid w:val="0075590A"/>
    <w:rsid w:val="00757B42"/>
    <w:rsid w:val="00757B67"/>
    <w:rsid w:val="00760B22"/>
    <w:rsid w:val="0077291E"/>
    <w:rsid w:val="007733B9"/>
    <w:rsid w:val="00774788"/>
    <w:rsid w:val="007747DC"/>
    <w:rsid w:val="0077579D"/>
    <w:rsid w:val="00777EE7"/>
    <w:rsid w:val="00781ADF"/>
    <w:rsid w:val="007823FB"/>
    <w:rsid w:val="00782D40"/>
    <w:rsid w:val="00783F5D"/>
    <w:rsid w:val="007866E7"/>
    <w:rsid w:val="007903CE"/>
    <w:rsid w:val="00792595"/>
    <w:rsid w:val="00793670"/>
    <w:rsid w:val="00796A0E"/>
    <w:rsid w:val="007A0119"/>
    <w:rsid w:val="007A4402"/>
    <w:rsid w:val="007A594B"/>
    <w:rsid w:val="007A6665"/>
    <w:rsid w:val="007A7BE7"/>
    <w:rsid w:val="007B08CB"/>
    <w:rsid w:val="007B0F3A"/>
    <w:rsid w:val="007B0FC0"/>
    <w:rsid w:val="007B4DE4"/>
    <w:rsid w:val="007B5C79"/>
    <w:rsid w:val="007B5FFF"/>
    <w:rsid w:val="007C2A1C"/>
    <w:rsid w:val="007C2A95"/>
    <w:rsid w:val="007D330F"/>
    <w:rsid w:val="007D5494"/>
    <w:rsid w:val="007D781D"/>
    <w:rsid w:val="007E1792"/>
    <w:rsid w:val="007E18A0"/>
    <w:rsid w:val="007E1C6C"/>
    <w:rsid w:val="007E1FB1"/>
    <w:rsid w:val="007E2476"/>
    <w:rsid w:val="007E3C81"/>
    <w:rsid w:val="007E5576"/>
    <w:rsid w:val="007F38A6"/>
    <w:rsid w:val="007F4262"/>
    <w:rsid w:val="007F5AC1"/>
    <w:rsid w:val="007F68E4"/>
    <w:rsid w:val="007F74C9"/>
    <w:rsid w:val="007F7F99"/>
    <w:rsid w:val="00800AA0"/>
    <w:rsid w:val="008024FA"/>
    <w:rsid w:val="00804D4E"/>
    <w:rsid w:val="008059C4"/>
    <w:rsid w:val="00805ED6"/>
    <w:rsid w:val="008104FF"/>
    <w:rsid w:val="0081181D"/>
    <w:rsid w:val="00811D5D"/>
    <w:rsid w:val="00812CEA"/>
    <w:rsid w:val="00813AA0"/>
    <w:rsid w:val="00814D5C"/>
    <w:rsid w:val="0081535C"/>
    <w:rsid w:val="00816796"/>
    <w:rsid w:val="00817092"/>
    <w:rsid w:val="008171DC"/>
    <w:rsid w:val="008202A4"/>
    <w:rsid w:val="008223E8"/>
    <w:rsid w:val="0082511A"/>
    <w:rsid w:val="0082624D"/>
    <w:rsid w:val="00830D09"/>
    <w:rsid w:val="00831798"/>
    <w:rsid w:val="00831B51"/>
    <w:rsid w:val="008329B3"/>
    <w:rsid w:val="008348C0"/>
    <w:rsid w:val="00837825"/>
    <w:rsid w:val="008379D7"/>
    <w:rsid w:val="00840466"/>
    <w:rsid w:val="008409E5"/>
    <w:rsid w:val="00840A01"/>
    <w:rsid w:val="00842BEA"/>
    <w:rsid w:val="00844C2D"/>
    <w:rsid w:val="00846BA6"/>
    <w:rsid w:val="0085017A"/>
    <w:rsid w:val="008503B8"/>
    <w:rsid w:val="008509FA"/>
    <w:rsid w:val="00853629"/>
    <w:rsid w:val="00853756"/>
    <w:rsid w:val="00855D04"/>
    <w:rsid w:val="00860004"/>
    <w:rsid w:val="00860E3E"/>
    <w:rsid w:val="0086220B"/>
    <w:rsid w:val="00862FEA"/>
    <w:rsid w:val="00867E1B"/>
    <w:rsid w:val="008712EC"/>
    <w:rsid w:val="00871A31"/>
    <w:rsid w:val="0087558E"/>
    <w:rsid w:val="00875A9D"/>
    <w:rsid w:val="00875E6E"/>
    <w:rsid w:val="00880CC9"/>
    <w:rsid w:val="008828ED"/>
    <w:rsid w:val="008846BD"/>
    <w:rsid w:val="008860F3"/>
    <w:rsid w:val="00890929"/>
    <w:rsid w:val="0089149B"/>
    <w:rsid w:val="008924A7"/>
    <w:rsid w:val="00894712"/>
    <w:rsid w:val="00895AEA"/>
    <w:rsid w:val="00895E98"/>
    <w:rsid w:val="00896E8F"/>
    <w:rsid w:val="00897448"/>
    <w:rsid w:val="008A12EA"/>
    <w:rsid w:val="008A2CA1"/>
    <w:rsid w:val="008A36F2"/>
    <w:rsid w:val="008A6E28"/>
    <w:rsid w:val="008A759E"/>
    <w:rsid w:val="008B0066"/>
    <w:rsid w:val="008B5417"/>
    <w:rsid w:val="008B59A6"/>
    <w:rsid w:val="008B7A92"/>
    <w:rsid w:val="008B7D8E"/>
    <w:rsid w:val="008C4C1C"/>
    <w:rsid w:val="008C4C7E"/>
    <w:rsid w:val="008C4EA4"/>
    <w:rsid w:val="008D16CF"/>
    <w:rsid w:val="008D2C05"/>
    <w:rsid w:val="008D2D00"/>
    <w:rsid w:val="008D2EDE"/>
    <w:rsid w:val="008D6999"/>
    <w:rsid w:val="008D7743"/>
    <w:rsid w:val="008D7880"/>
    <w:rsid w:val="008E07B8"/>
    <w:rsid w:val="008E20E2"/>
    <w:rsid w:val="008E3EBD"/>
    <w:rsid w:val="008E5B6E"/>
    <w:rsid w:val="008E5E84"/>
    <w:rsid w:val="008F0212"/>
    <w:rsid w:val="008F0346"/>
    <w:rsid w:val="008F062C"/>
    <w:rsid w:val="008F276B"/>
    <w:rsid w:val="008F2A85"/>
    <w:rsid w:val="008F3297"/>
    <w:rsid w:val="008F417A"/>
    <w:rsid w:val="008F41F7"/>
    <w:rsid w:val="008F5986"/>
    <w:rsid w:val="008F6FB8"/>
    <w:rsid w:val="008F7880"/>
    <w:rsid w:val="00903212"/>
    <w:rsid w:val="00903E71"/>
    <w:rsid w:val="009040D7"/>
    <w:rsid w:val="009061EE"/>
    <w:rsid w:val="00906295"/>
    <w:rsid w:val="0090669F"/>
    <w:rsid w:val="00907CB3"/>
    <w:rsid w:val="009103B4"/>
    <w:rsid w:val="00910630"/>
    <w:rsid w:val="00911DBA"/>
    <w:rsid w:val="00912A7D"/>
    <w:rsid w:val="00912ED4"/>
    <w:rsid w:val="00913830"/>
    <w:rsid w:val="00913E98"/>
    <w:rsid w:val="009146C5"/>
    <w:rsid w:val="009151F3"/>
    <w:rsid w:val="00915F9F"/>
    <w:rsid w:val="009165BC"/>
    <w:rsid w:val="00916C78"/>
    <w:rsid w:val="00920502"/>
    <w:rsid w:val="00920F27"/>
    <w:rsid w:val="00922F54"/>
    <w:rsid w:val="00925C64"/>
    <w:rsid w:val="009265D4"/>
    <w:rsid w:val="00926628"/>
    <w:rsid w:val="00926895"/>
    <w:rsid w:val="00931F13"/>
    <w:rsid w:val="00934AD2"/>
    <w:rsid w:val="00935816"/>
    <w:rsid w:val="00935F99"/>
    <w:rsid w:val="009363BB"/>
    <w:rsid w:val="00941CE3"/>
    <w:rsid w:val="00943983"/>
    <w:rsid w:val="00944AA3"/>
    <w:rsid w:val="00952ED6"/>
    <w:rsid w:val="0095347B"/>
    <w:rsid w:val="00955680"/>
    <w:rsid w:val="00955B84"/>
    <w:rsid w:val="0096160D"/>
    <w:rsid w:val="00961A99"/>
    <w:rsid w:val="0096253C"/>
    <w:rsid w:val="0096397C"/>
    <w:rsid w:val="009653F0"/>
    <w:rsid w:val="00965AA9"/>
    <w:rsid w:val="009669E8"/>
    <w:rsid w:val="00967EA5"/>
    <w:rsid w:val="009752EE"/>
    <w:rsid w:val="00976022"/>
    <w:rsid w:val="00976240"/>
    <w:rsid w:val="00977BDC"/>
    <w:rsid w:val="00977C36"/>
    <w:rsid w:val="009811A6"/>
    <w:rsid w:val="00981D5C"/>
    <w:rsid w:val="009828F1"/>
    <w:rsid w:val="009838EE"/>
    <w:rsid w:val="00985716"/>
    <w:rsid w:val="009861D4"/>
    <w:rsid w:val="009866A6"/>
    <w:rsid w:val="0098684D"/>
    <w:rsid w:val="00986D3B"/>
    <w:rsid w:val="00987BAD"/>
    <w:rsid w:val="00987C10"/>
    <w:rsid w:val="00990F30"/>
    <w:rsid w:val="00992019"/>
    <w:rsid w:val="00992969"/>
    <w:rsid w:val="009931D2"/>
    <w:rsid w:val="00994AA4"/>
    <w:rsid w:val="009964BD"/>
    <w:rsid w:val="00996769"/>
    <w:rsid w:val="009A094C"/>
    <w:rsid w:val="009A1518"/>
    <w:rsid w:val="009A2169"/>
    <w:rsid w:val="009A2E31"/>
    <w:rsid w:val="009A5AE4"/>
    <w:rsid w:val="009A7E35"/>
    <w:rsid w:val="009B1AC5"/>
    <w:rsid w:val="009B2911"/>
    <w:rsid w:val="009B3002"/>
    <w:rsid w:val="009B3DDD"/>
    <w:rsid w:val="009B48AE"/>
    <w:rsid w:val="009B4A1C"/>
    <w:rsid w:val="009B5392"/>
    <w:rsid w:val="009C041A"/>
    <w:rsid w:val="009C1077"/>
    <w:rsid w:val="009C1629"/>
    <w:rsid w:val="009C1E18"/>
    <w:rsid w:val="009C2C2E"/>
    <w:rsid w:val="009C35C1"/>
    <w:rsid w:val="009C4732"/>
    <w:rsid w:val="009C4DCE"/>
    <w:rsid w:val="009C6A8C"/>
    <w:rsid w:val="009C6C0A"/>
    <w:rsid w:val="009D04BE"/>
    <w:rsid w:val="009D260E"/>
    <w:rsid w:val="009D30D3"/>
    <w:rsid w:val="009D3DA2"/>
    <w:rsid w:val="009D402B"/>
    <w:rsid w:val="009D6572"/>
    <w:rsid w:val="009D6934"/>
    <w:rsid w:val="009D7DD9"/>
    <w:rsid w:val="009E109E"/>
    <w:rsid w:val="009E10D6"/>
    <w:rsid w:val="009E204A"/>
    <w:rsid w:val="009E4267"/>
    <w:rsid w:val="009E4342"/>
    <w:rsid w:val="009E6D5C"/>
    <w:rsid w:val="009E768A"/>
    <w:rsid w:val="009E79DC"/>
    <w:rsid w:val="009F2AB6"/>
    <w:rsid w:val="009F3C89"/>
    <w:rsid w:val="009F5624"/>
    <w:rsid w:val="009F6318"/>
    <w:rsid w:val="009F7A2C"/>
    <w:rsid w:val="009F7CC8"/>
    <w:rsid w:val="00A00590"/>
    <w:rsid w:val="00A061D0"/>
    <w:rsid w:val="00A06298"/>
    <w:rsid w:val="00A06C54"/>
    <w:rsid w:val="00A073BE"/>
    <w:rsid w:val="00A103A0"/>
    <w:rsid w:val="00A109C4"/>
    <w:rsid w:val="00A115C6"/>
    <w:rsid w:val="00A11830"/>
    <w:rsid w:val="00A12682"/>
    <w:rsid w:val="00A12742"/>
    <w:rsid w:val="00A12A00"/>
    <w:rsid w:val="00A12C9F"/>
    <w:rsid w:val="00A13D3F"/>
    <w:rsid w:val="00A15E3B"/>
    <w:rsid w:val="00A207D3"/>
    <w:rsid w:val="00A20E9F"/>
    <w:rsid w:val="00A22E22"/>
    <w:rsid w:val="00A25B3A"/>
    <w:rsid w:val="00A25CC2"/>
    <w:rsid w:val="00A27383"/>
    <w:rsid w:val="00A27F67"/>
    <w:rsid w:val="00A308A4"/>
    <w:rsid w:val="00A31C1E"/>
    <w:rsid w:val="00A326EA"/>
    <w:rsid w:val="00A33AB7"/>
    <w:rsid w:val="00A35FCC"/>
    <w:rsid w:val="00A36ADA"/>
    <w:rsid w:val="00A374F1"/>
    <w:rsid w:val="00A414FB"/>
    <w:rsid w:val="00A42162"/>
    <w:rsid w:val="00A435D9"/>
    <w:rsid w:val="00A46147"/>
    <w:rsid w:val="00A46800"/>
    <w:rsid w:val="00A4688B"/>
    <w:rsid w:val="00A503E8"/>
    <w:rsid w:val="00A505DF"/>
    <w:rsid w:val="00A52034"/>
    <w:rsid w:val="00A5239C"/>
    <w:rsid w:val="00A56A32"/>
    <w:rsid w:val="00A56F09"/>
    <w:rsid w:val="00A57585"/>
    <w:rsid w:val="00A6224E"/>
    <w:rsid w:val="00A64060"/>
    <w:rsid w:val="00A643EE"/>
    <w:rsid w:val="00A709F4"/>
    <w:rsid w:val="00A72076"/>
    <w:rsid w:val="00A73997"/>
    <w:rsid w:val="00A74304"/>
    <w:rsid w:val="00A76B6C"/>
    <w:rsid w:val="00A80D62"/>
    <w:rsid w:val="00A8117E"/>
    <w:rsid w:val="00A8148B"/>
    <w:rsid w:val="00A82067"/>
    <w:rsid w:val="00A840F5"/>
    <w:rsid w:val="00A8553A"/>
    <w:rsid w:val="00A86391"/>
    <w:rsid w:val="00A90D9B"/>
    <w:rsid w:val="00A91945"/>
    <w:rsid w:val="00A96557"/>
    <w:rsid w:val="00A96AAB"/>
    <w:rsid w:val="00A97700"/>
    <w:rsid w:val="00AA1355"/>
    <w:rsid w:val="00AA1CB0"/>
    <w:rsid w:val="00AA3C2F"/>
    <w:rsid w:val="00AA465C"/>
    <w:rsid w:val="00AA54E5"/>
    <w:rsid w:val="00AA5B47"/>
    <w:rsid w:val="00AB1D22"/>
    <w:rsid w:val="00AB2391"/>
    <w:rsid w:val="00AB2C55"/>
    <w:rsid w:val="00AB2F1E"/>
    <w:rsid w:val="00AB3D8E"/>
    <w:rsid w:val="00AB65E0"/>
    <w:rsid w:val="00AB7DD4"/>
    <w:rsid w:val="00AC02F2"/>
    <w:rsid w:val="00AC0D86"/>
    <w:rsid w:val="00AC16DE"/>
    <w:rsid w:val="00AC3016"/>
    <w:rsid w:val="00AC41C7"/>
    <w:rsid w:val="00AC4A81"/>
    <w:rsid w:val="00AC5116"/>
    <w:rsid w:val="00AC5581"/>
    <w:rsid w:val="00AC7730"/>
    <w:rsid w:val="00AD1923"/>
    <w:rsid w:val="00AD2273"/>
    <w:rsid w:val="00AD25F1"/>
    <w:rsid w:val="00AD3B8E"/>
    <w:rsid w:val="00AD7562"/>
    <w:rsid w:val="00AE03EE"/>
    <w:rsid w:val="00AE0785"/>
    <w:rsid w:val="00AE0D34"/>
    <w:rsid w:val="00AE1F80"/>
    <w:rsid w:val="00AE3411"/>
    <w:rsid w:val="00AE44A0"/>
    <w:rsid w:val="00AE4B56"/>
    <w:rsid w:val="00AF00D2"/>
    <w:rsid w:val="00AF2083"/>
    <w:rsid w:val="00AF3CD9"/>
    <w:rsid w:val="00AF55D3"/>
    <w:rsid w:val="00AF57C9"/>
    <w:rsid w:val="00B002BF"/>
    <w:rsid w:val="00B00A13"/>
    <w:rsid w:val="00B03444"/>
    <w:rsid w:val="00B03F6C"/>
    <w:rsid w:val="00B0727B"/>
    <w:rsid w:val="00B1013E"/>
    <w:rsid w:val="00B112D5"/>
    <w:rsid w:val="00B132F8"/>
    <w:rsid w:val="00B155C3"/>
    <w:rsid w:val="00B15D0A"/>
    <w:rsid w:val="00B20FEF"/>
    <w:rsid w:val="00B213F6"/>
    <w:rsid w:val="00B21ECD"/>
    <w:rsid w:val="00B22276"/>
    <w:rsid w:val="00B23886"/>
    <w:rsid w:val="00B238F1"/>
    <w:rsid w:val="00B23EF4"/>
    <w:rsid w:val="00B23F0C"/>
    <w:rsid w:val="00B26714"/>
    <w:rsid w:val="00B31DA8"/>
    <w:rsid w:val="00B35E24"/>
    <w:rsid w:val="00B43715"/>
    <w:rsid w:val="00B43992"/>
    <w:rsid w:val="00B44D27"/>
    <w:rsid w:val="00B44E3B"/>
    <w:rsid w:val="00B4638E"/>
    <w:rsid w:val="00B46D57"/>
    <w:rsid w:val="00B479F1"/>
    <w:rsid w:val="00B528A2"/>
    <w:rsid w:val="00B5638F"/>
    <w:rsid w:val="00B6027A"/>
    <w:rsid w:val="00B60A6B"/>
    <w:rsid w:val="00B61D39"/>
    <w:rsid w:val="00B62C18"/>
    <w:rsid w:val="00B647B6"/>
    <w:rsid w:val="00B65CCD"/>
    <w:rsid w:val="00B66CC2"/>
    <w:rsid w:val="00B739FF"/>
    <w:rsid w:val="00B769DA"/>
    <w:rsid w:val="00B76F3F"/>
    <w:rsid w:val="00B81405"/>
    <w:rsid w:val="00B827DA"/>
    <w:rsid w:val="00B83529"/>
    <w:rsid w:val="00B83961"/>
    <w:rsid w:val="00B841DD"/>
    <w:rsid w:val="00B84547"/>
    <w:rsid w:val="00B86EB9"/>
    <w:rsid w:val="00B8712D"/>
    <w:rsid w:val="00B87224"/>
    <w:rsid w:val="00B906BE"/>
    <w:rsid w:val="00B9178C"/>
    <w:rsid w:val="00B934BE"/>
    <w:rsid w:val="00B93635"/>
    <w:rsid w:val="00B976F1"/>
    <w:rsid w:val="00BA15C8"/>
    <w:rsid w:val="00BA20B1"/>
    <w:rsid w:val="00BA2617"/>
    <w:rsid w:val="00BA262A"/>
    <w:rsid w:val="00BA3E3D"/>
    <w:rsid w:val="00BA7734"/>
    <w:rsid w:val="00BB1F7F"/>
    <w:rsid w:val="00BB25CA"/>
    <w:rsid w:val="00BB3627"/>
    <w:rsid w:val="00BB3A6C"/>
    <w:rsid w:val="00BB3EAE"/>
    <w:rsid w:val="00BB59FC"/>
    <w:rsid w:val="00BC0643"/>
    <w:rsid w:val="00BC11A4"/>
    <w:rsid w:val="00BC2D4F"/>
    <w:rsid w:val="00BC3CC1"/>
    <w:rsid w:val="00BD09D1"/>
    <w:rsid w:val="00BD2524"/>
    <w:rsid w:val="00BD4242"/>
    <w:rsid w:val="00BE05CF"/>
    <w:rsid w:val="00BE0603"/>
    <w:rsid w:val="00BE15E1"/>
    <w:rsid w:val="00BE208E"/>
    <w:rsid w:val="00BE5B7E"/>
    <w:rsid w:val="00BE5C78"/>
    <w:rsid w:val="00BE65F5"/>
    <w:rsid w:val="00BE6613"/>
    <w:rsid w:val="00BE66D2"/>
    <w:rsid w:val="00BE73E9"/>
    <w:rsid w:val="00BF08E7"/>
    <w:rsid w:val="00BF32C5"/>
    <w:rsid w:val="00BF42E6"/>
    <w:rsid w:val="00BF6478"/>
    <w:rsid w:val="00BF691D"/>
    <w:rsid w:val="00BF7167"/>
    <w:rsid w:val="00C0465F"/>
    <w:rsid w:val="00C04CAE"/>
    <w:rsid w:val="00C04EBB"/>
    <w:rsid w:val="00C061DB"/>
    <w:rsid w:val="00C06924"/>
    <w:rsid w:val="00C07B2B"/>
    <w:rsid w:val="00C10470"/>
    <w:rsid w:val="00C1073E"/>
    <w:rsid w:val="00C10AC5"/>
    <w:rsid w:val="00C116C8"/>
    <w:rsid w:val="00C158DE"/>
    <w:rsid w:val="00C16960"/>
    <w:rsid w:val="00C16B7D"/>
    <w:rsid w:val="00C20227"/>
    <w:rsid w:val="00C2225A"/>
    <w:rsid w:val="00C223B5"/>
    <w:rsid w:val="00C235E1"/>
    <w:rsid w:val="00C276DC"/>
    <w:rsid w:val="00C34C59"/>
    <w:rsid w:val="00C35671"/>
    <w:rsid w:val="00C35679"/>
    <w:rsid w:val="00C36200"/>
    <w:rsid w:val="00C362F8"/>
    <w:rsid w:val="00C37651"/>
    <w:rsid w:val="00C41123"/>
    <w:rsid w:val="00C47932"/>
    <w:rsid w:val="00C5133E"/>
    <w:rsid w:val="00C51B32"/>
    <w:rsid w:val="00C53E45"/>
    <w:rsid w:val="00C541C9"/>
    <w:rsid w:val="00C54DC3"/>
    <w:rsid w:val="00C551F6"/>
    <w:rsid w:val="00C6183F"/>
    <w:rsid w:val="00C64C41"/>
    <w:rsid w:val="00C65AB2"/>
    <w:rsid w:val="00C6680A"/>
    <w:rsid w:val="00C66CEE"/>
    <w:rsid w:val="00C66FD3"/>
    <w:rsid w:val="00C67966"/>
    <w:rsid w:val="00C67AC2"/>
    <w:rsid w:val="00C751EF"/>
    <w:rsid w:val="00C76201"/>
    <w:rsid w:val="00C8029B"/>
    <w:rsid w:val="00C80E73"/>
    <w:rsid w:val="00C81094"/>
    <w:rsid w:val="00C838F4"/>
    <w:rsid w:val="00C84231"/>
    <w:rsid w:val="00C84297"/>
    <w:rsid w:val="00C85726"/>
    <w:rsid w:val="00C86BBB"/>
    <w:rsid w:val="00C86CC8"/>
    <w:rsid w:val="00C874F8"/>
    <w:rsid w:val="00C87832"/>
    <w:rsid w:val="00C91F96"/>
    <w:rsid w:val="00C92B39"/>
    <w:rsid w:val="00C93BE0"/>
    <w:rsid w:val="00C95AC7"/>
    <w:rsid w:val="00C96199"/>
    <w:rsid w:val="00C965A2"/>
    <w:rsid w:val="00C96A15"/>
    <w:rsid w:val="00C97C96"/>
    <w:rsid w:val="00CA012D"/>
    <w:rsid w:val="00CA1F76"/>
    <w:rsid w:val="00CA30C0"/>
    <w:rsid w:val="00CA34E2"/>
    <w:rsid w:val="00CA6728"/>
    <w:rsid w:val="00CA7C9E"/>
    <w:rsid w:val="00CB0050"/>
    <w:rsid w:val="00CB137E"/>
    <w:rsid w:val="00CB1819"/>
    <w:rsid w:val="00CB29AA"/>
    <w:rsid w:val="00CB6AA5"/>
    <w:rsid w:val="00CC12EF"/>
    <w:rsid w:val="00CC1301"/>
    <w:rsid w:val="00CC21AD"/>
    <w:rsid w:val="00CC5CAC"/>
    <w:rsid w:val="00CC704D"/>
    <w:rsid w:val="00CD188A"/>
    <w:rsid w:val="00CD2924"/>
    <w:rsid w:val="00CD2BE9"/>
    <w:rsid w:val="00CD42F4"/>
    <w:rsid w:val="00CD46C4"/>
    <w:rsid w:val="00CD4757"/>
    <w:rsid w:val="00CD571C"/>
    <w:rsid w:val="00CD6F4C"/>
    <w:rsid w:val="00CE1B8A"/>
    <w:rsid w:val="00CE3AF2"/>
    <w:rsid w:val="00CE62DE"/>
    <w:rsid w:val="00CE6F29"/>
    <w:rsid w:val="00CE77D0"/>
    <w:rsid w:val="00CF22DB"/>
    <w:rsid w:val="00CF4340"/>
    <w:rsid w:val="00D02A23"/>
    <w:rsid w:val="00D04116"/>
    <w:rsid w:val="00D054B1"/>
    <w:rsid w:val="00D0593D"/>
    <w:rsid w:val="00D07A9E"/>
    <w:rsid w:val="00D1019C"/>
    <w:rsid w:val="00D12E9B"/>
    <w:rsid w:val="00D13CE2"/>
    <w:rsid w:val="00D1481D"/>
    <w:rsid w:val="00D17D1B"/>
    <w:rsid w:val="00D17F9A"/>
    <w:rsid w:val="00D217CE"/>
    <w:rsid w:val="00D21DCB"/>
    <w:rsid w:val="00D23322"/>
    <w:rsid w:val="00D25613"/>
    <w:rsid w:val="00D262C7"/>
    <w:rsid w:val="00D27752"/>
    <w:rsid w:val="00D31769"/>
    <w:rsid w:val="00D32035"/>
    <w:rsid w:val="00D351A7"/>
    <w:rsid w:val="00D37B9A"/>
    <w:rsid w:val="00D4013E"/>
    <w:rsid w:val="00D42233"/>
    <w:rsid w:val="00D42400"/>
    <w:rsid w:val="00D43049"/>
    <w:rsid w:val="00D441F6"/>
    <w:rsid w:val="00D44F99"/>
    <w:rsid w:val="00D47E28"/>
    <w:rsid w:val="00D562EE"/>
    <w:rsid w:val="00D56BC3"/>
    <w:rsid w:val="00D56DD6"/>
    <w:rsid w:val="00D57A11"/>
    <w:rsid w:val="00D60C10"/>
    <w:rsid w:val="00D60D37"/>
    <w:rsid w:val="00D61993"/>
    <w:rsid w:val="00D61FEC"/>
    <w:rsid w:val="00D64FC2"/>
    <w:rsid w:val="00D661D2"/>
    <w:rsid w:val="00D67F6D"/>
    <w:rsid w:val="00D7101A"/>
    <w:rsid w:val="00D730F8"/>
    <w:rsid w:val="00D73271"/>
    <w:rsid w:val="00D73F7B"/>
    <w:rsid w:val="00D765DB"/>
    <w:rsid w:val="00D7729E"/>
    <w:rsid w:val="00D77B0C"/>
    <w:rsid w:val="00D77D18"/>
    <w:rsid w:val="00D81608"/>
    <w:rsid w:val="00D84F79"/>
    <w:rsid w:val="00D8540E"/>
    <w:rsid w:val="00D85EDA"/>
    <w:rsid w:val="00D926C8"/>
    <w:rsid w:val="00D92800"/>
    <w:rsid w:val="00D93ABE"/>
    <w:rsid w:val="00D94CF8"/>
    <w:rsid w:val="00D955D3"/>
    <w:rsid w:val="00D96687"/>
    <w:rsid w:val="00DA004F"/>
    <w:rsid w:val="00DA043A"/>
    <w:rsid w:val="00DA0BF0"/>
    <w:rsid w:val="00DA0E48"/>
    <w:rsid w:val="00DA3559"/>
    <w:rsid w:val="00DA42DB"/>
    <w:rsid w:val="00DA6B59"/>
    <w:rsid w:val="00DB0A45"/>
    <w:rsid w:val="00DB0DF5"/>
    <w:rsid w:val="00DB11C2"/>
    <w:rsid w:val="00DB2573"/>
    <w:rsid w:val="00DB5009"/>
    <w:rsid w:val="00DB5F15"/>
    <w:rsid w:val="00DB7EAF"/>
    <w:rsid w:val="00DC0184"/>
    <w:rsid w:val="00DC2003"/>
    <w:rsid w:val="00DC4259"/>
    <w:rsid w:val="00DC48BE"/>
    <w:rsid w:val="00DD15F6"/>
    <w:rsid w:val="00DD3275"/>
    <w:rsid w:val="00DD4016"/>
    <w:rsid w:val="00DD469E"/>
    <w:rsid w:val="00DD474A"/>
    <w:rsid w:val="00DE0E35"/>
    <w:rsid w:val="00DE3824"/>
    <w:rsid w:val="00DE4660"/>
    <w:rsid w:val="00DE4FBB"/>
    <w:rsid w:val="00DE5708"/>
    <w:rsid w:val="00DE6BF1"/>
    <w:rsid w:val="00DE7EBD"/>
    <w:rsid w:val="00DF05CC"/>
    <w:rsid w:val="00DF2687"/>
    <w:rsid w:val="00DF4169"/>
    <w:rsid w:val="00DF515B"/>
    <w:rsid w:val="00DF5761"/>
    <w:rsid w:val="00DF59E8"/>
    <w:rsid w:val="00DF672A"/>
    <w:rsid w:val="00DF6D0A"/>
    <w:rsid w:val="00E0190A"/>
    <w:rsid w:val="00E05FE5"/>
    <w:rsid w:val="00E06041"/>
    <w:rsid w:val="00E06B38"/>
    <w:rsid w:val="00E10FDB"/>
    <w:rsid w:val="00E11346"/>
    <w:rsid w:val="00E114B9"/>
    <w:rsid w:val="00E1428F"/>
    <w:rsid w:val="00E1439D"/>
    <w:rsid w:val="00E149BB"/>
    <w:rsid w:val="00E14C7F"/>
    <w:rsid w:val="00E160CA"/>
    <w:rsid w:val="00E178BD"/>
    <w:rsid w:val="00E238BA"/>
    <w:rsid w:val="00E2407F"/>
    <w:rsid w:val="00E2563D"/>
    <w:rsid w:val="00E269B8"/>
    <w:rsid w:val="00E33B46"/>
    <w:rsid w:val="00E361A0"/>
    <w:rsid w:val="00E37A8E"/>
    <w:rsid w:val="00E44FFD"/>
    <w:rsid w:val="00E51FD6"/>
    <w:rsid w:val="00E54D30"/>
    <w:rsid w:val="00E557DA"/>
    <w:rsid w:val="00E56741"/>
    <w:rsid w:val="00E56A8C"/>
    <w:rsid w:val="00E606E3"/>
    <w:rsid w:val="00E634F0"/>
    <w:rsid w:val="00E674C6"/>
    <w:rsid w:val="00E70442"/>
    <w:rsid w:val="00E70574"/>
    <w:rsid w:val="00E719AC"/>
    <w:rsid w:val="00E7250D"/>
    <w:rsid w:val="00E73AF5"/>
    <w:rsid w:val="00E744B0"/>
    <w:rsid w:val="00E7465A"/>
    <w:rsid w:val="00E752B7"/>
    <w:rsid w:val="00E76319"/>
    <w:rsid w:val="00E76667"/>
    <w:rsid w:val="00E76B07"/>
    <w:rsid w:val="00E80D5E"/>
    <w:rsid w:val="00E82713"/>
    <w:rsid w:val="00E87CEE"/>
    <w:rsid w:val="00E87E19"/>
    <w:rsid w:val="00E901ED"/>
    <w:rsid w:val="00E943EC"/>
    <w:rsid w:val="00E970DD"/>
    <w:rsid w:val="00E9766E"/>
    <w:rsid w:val="00E97857"/>
    <w:rsid w:val="00EA32EF"/>
    <w:rsid w:val="00EA737D"/>
    <w:rsid w:val="00EA7768"/>
    <w:rsid w:val="00EB012E"/>
    <w:rsid w:val="00EB35C3"/>
    <w:rsid w:val="00EB7649"/>
    <w:rsid w:val="00EC009B"/>
    <w:rsid w:val="00EC2367"/>
    <w:rsid w:val="00EC4D77"/>
    <w:rsid w:val="00EC4ED9"/>
    <w:rsid w:val="00EC662B"/>
    <w:rsid w:val="00EC71C5"/>
    <w:rsid w:val="00EC73A6"/>
    <w:rsid w:val="00ED153D"/>
    <w:rsid w:val="00ED6129"/>
    <w:rsid w:val="00ED6EF6"/>
    <w:rsid w:val="00ED7AA6"/>
    <w:rsid w:val="00EE5FF0"/>
    <w:rsid w:val="00EE6C05"/>
    <w:rsid w:val="00EE6F67"/>
    <w:rsid w:val="00EE7F5B"/>
    <w:rsid w:val="00EF0B28"/>
    <w:rsid w:val="00EF1117"/>
    <w:rsid w:val="00EF1C2A"/>
    <w:rsid w:val="00EF1D68"/>
    <w:rsid w:val="00EF215B"/>
    <w:rsid w:val="00EF435D"/>
    <w:rsid w:val="00EF447D"/>
    <w:rsid w:val="00EF5DA5"/>
    <w:rsid w:val="00EF72FF"/>
    <w:rsid w:val="00F00CA5"/>
    <w:rsid w:val="00F01F08"/>
    <w:rsid w:val="00F034E6"/>
    <w:rsid w:val="00F04803"/>
    <w:rsid w:val="00F064CE"/>
    <w:rsid w:val="00F06B8C"/>
    <w:rsid w:val="00F07D83"/>
    <w:rsid w:val="00F13B85"/>
    <w:rsid w:val="00F17589"/>
    <w:rsid w:val="00F1763B"/>
    <w:rsid w:val="00F2026B"/>
    <w:rsid w:val="00F20E6D"/>
    <w:rsid w:val="00F22538"/>
    <w:rsid w:val="00F24D75"/>
    <w:rsid w:val="00F25493"/>
    <w:rsid w:val="00F25A07"/>
    <w:rsid w:val="00F2621D"/>
    <w:rsid w:val="00F26889"/>
    <w:rsid w:val="00F27B91"/>
    <w:rsid w:val="00F27BCF"/>
    <w:rsid w:val="00F27D07"/>
    <w:rsid w:val="00F27E0F"/>
    <w:rsid w:val="00F27E87"/>
    <w:rsid w:val="00F30D79"/>
    <w:rsid w:val="00F360FA"/>
    <w:rsid w:val="00F37370"/>
    <w:rsid w:val="00F37BE6"/>
    <w:rsid w:val="00F40040"/>
    <w:rsid w:val="00F40899"/>
    <w:rsid w:val="00F45090"/>
    <w:rsid w:val="00F52685"/>
    <w:rsid w:val="00F5341C"/>
    <w:rsid w:val="00F54EC4"/>
    <w:rsid w:val="00F55003"/>
    <w:rsid w:val="00F55F43"/>
    <w:rsid w:val="00F61B5D"/>
    <w:rsid w:val="00F62140"/>
    <w:rsid w:val="00F624C0"/>
    <w:rsid w:val="00F62F01"/>
    <w:rsid w:val="00F64853"/>
    <w:rsid w:val="00F658CF"/>
    <w:rsid w:val="00F65F6B"/>
    <w:rsid w:val="00F72305"/>
    <w:rsid w:val="00F73404"/>
    <w:rsid w:val="00F73926"/>
    <w:rsid w:val="00F73AC3"/>
    <w:rsid w:val="00F73C16"/>
    <w:rsid w:val="00F73FEC"/>
    <w:rsid w:val="00F75B3D"/>
    <w:rsid w:val="00F80EE3"/>
    <w:rsid w:val="00F82428"/>
    <w:rsid w:val="00F8291C"/>
    <w:rsid w:val="00F82FB7"/>
    <w:rsid w:val="00F840B1"/>
    <w:rsid w:val="00F86249"/>
    <w:rsid w:val="00F91005"/>
    <w:rsid w:val="00F929DA"/>
    <w:rsid w:val="00F93273"/>
    <w:rsid w:val="00F93E70"/>
    <w:rsid w:val="00F94EF3"/>
    <w:rsid w:val="00F95350"/>
    <w:rsid w:val="00F95564"/>
    <w:rsid w:val="00F973E5"/>
    <w:rsid w:val="00FA3A53"/>
    <w:rsid w:val="00FA5929"/>
    <w:rsid w:val="00FB19D8"/>
    <w:rsid w:val="00FB2C9E"/>
    <w:rsid w:val="00FB322F"/>
    <w:rsid w:val="00FB392C"/>
    <w:rsid w:val="00FB45DD"/>
    <w:rsid w:val="00FB5F1D"/>
    <w:rsid w:val="00FB61C5"/>
    <w:rsid w:val="00FB66CB"/>
    <w:rsid w:val="00FB7FB2"/>
    <w:rsid w:val="00FC0B22"/>
    <w:rsid w:val="00FC136C"/>
    <w:rsid w:val="00FC28FB"/>
    <w:rsid w:val="00FC3A6B"/>
    <w:rsid w:val="00FC40FA"/>
    <w:rsid w:val="00FC5F02"/>
    <w:rsid w:val="00FC77B3"/>
    <w:rsid w:val="00FC7FAD"/>
    <w:rsid w:val="00FD3B3A"/>
    <w:rsid w:val="00FD4D14"/>
    <w:rsid w:val="00FD7959"/>
    <w:rsid w:val="00FE0776"/>
    <w:rsid w:val="00FE1EE9"/>
    <w:rsid w:val="00FE2640"/>
    <w:rsid w:val="00FE27D0"/>
    <w:rsid w:val="00FE4C61"/>
    <w:rsid w:val="00FE5067"/>
    <w:rsid w:val="00FE50A2"/>
    <w:rsid w:val="00FE7932"/>
    <w:rsid w:val="00FF0D84"/>
    <w:rsid w:val="00FF0F2A"/>
    <w:rsid w:val="00FF3D8E"/>
    <w:rsid w:val="00FF4B89"/>
    <w:rsid w:val="00FF5079"/>
    <w:rsid w:val="00FF6AC0"/>
    <w:rsid w:val="00FF6E4E"/>
    <w:rsid w:val="03C215EE"/>
    <w:rsid w:val="040177F9"/>
    <w:rsid w:val="04D14631"/>
    <w:rsid w:val="07A53732"/>
    <w:rsid w:val="086114C4"/>
    <w:rsid w:val="0B9A3680"/>
    <w:rsid w:val="0BE10F83"/>
    <w:rsid w:val="0C7B3A19"/>
    <w:rsid w:val="0F7C6AE7"/>
    <w:rsid w:val="0F8D64BE"/>
    <w:rsid w:val="117220D4"/>
    <w:rsid w:val="13A45352"/>
    <w:rsid w:val="14605ACF"/>
    <w:rsid w:val="151964F5"/>
    <w:rsid w:val="16BC7E7D"/>
    <w:rsid w:val="173B5896"/>
    <w:rsid w:val="199D21E8"/>
    <w:rsid w:val="1B326451"/>
    <w:rsid w:val="1DBC341B"/>
    <w:rsid w:val="1E527BA8"/>
    <w:rsid w:val="1F5C3F14"/>
    <w:rsid w:val="1F744530"/>
    <w:rsid w:val="202F5C78"/>
    <w:rsid w:val="21046951"/>
    <w:rsid w:val="23C6058D"/>
    <w:rsid w:val="24012941"/>
    <w:rsid w:val="244466D4"/>
    <w:rsid w:val="25DA5386"/>
    <w:rsid w:val="27F40303"/>
    <w:rsid w:val="30567CF9"/>
    <w:rsid w:val="310758B9"/>
    <w:rsid w:val="312E1C66"/>
    <w:rsid w:val="31E64CA8"/>
    <w:rsid w:val="32E26B41"/>
    <w:rsid w:val="3959284E"/>
    <w:rsid w:val="3B5A653D"/>
    <w:rsid w:val="3D8A5C7B"/>
    <w:rsid w:val="3F2378B2"/>
    <w:rsid w:val="3F497DFE"/>
    <w:rsid w:val="40034007"/>
    <w:rsid w:val="423E6653"/>
    <w:rsid w:val="43F62F0F"/>
    <w:rsid w:val="45C049E4"/>
    <w:rsid w:val="492C1964"/>
    <w:rsid w:val="49C64593"/>
    <w:rsid w:val="4B05147E"/>
    <w:rsid w:val="4C856F94"/>
    <w:rsid w:val="4CBE3268"/>
    <w:rsid w:val="4DAC76AD"/>
    <w:rsid w:val="4E500B18"/>
    <w:rsid w:val="541229E7"/>
    <w:rsid w:val="548942BF"/>
    <w:rsid w:val="56061416"/>
    <w:rsid w:val="57FA2E5F"/>
    <w:rsid w:val="59D92993"/>
    <w:rsid w:val="5CCF4BF9"/>
    <w:rsid w:val="5D3568C0"/>
    <w:rsid w:val="5F565E19"/>
    <w:rsid w:val="64181848"/>
    <w:rsid w:val="68724AF8"/>
    <w:rsid w:val="6ABB6FF3"/>
    <w:rsid w:val="6AC75E1B"/>
    <w:rsid w:val="6B652E40"/>
    <w:rsid w:val="6C895710"/>
    <w:rsid w:val="6E84712D"/>
    <w:rsid w:val="6EFF4043"/>
    <w:rsid w:val="71BC14F0"/>
    <w:rsid w:val="74DB193A"/>
    <w:rsid w:val="76DE689F"/>
    <w:rsid w:val="77D24CEE"/>
    <w:rsid w:val="7A2F5344"/>
    <w:rsid w:val="7B330BE2"/>
    <w:rsid w:val="7EFB6B74"/>
    <w:rsid w:val="7F667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name="heading 1"/>
    <w:lsdException w:qFormat="1" w:unhideWhenUsed="0" w:uiPriority="9" w:name="heading 2"/>
    <w:lsdException w:qFormat="1" w:unhideWhenUsed="0" w:uiPriority="9" w:name="heading 3"/>
    <w:lsdException w:qFormat="1" w:unhideWhenUsed="0" w:uiPriority="9" w:name="heading 4"/>
    <w:lsdException w:qFormat="1" w:unhideWhenUsed="0" w:uiPriority="9" w:name="heading 5"/>
    <w:lsdException w:qFormat="1" w:unhideWhenUsed="0" w:uiPriority="9" w:name="heading 6"/>
    <w:lsdException w:qFormat="1" w:unhideWhenUsed="0" w:uiPriority="9" w:name="heading 7"/>
    <w:lsdException w:qFormat="1" w:unhideWhenUsed="0" w:uiPriority="9" w:name="heading 8"/>
    <w:lsdException w:qFormat="1" w:unhideWhenUsed="0" w:uiPriority="9" w:name="heading 9"/>
    <w:lsdException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nhideWhenUsed="0" w:uiPriority="99" w:name="Normal Indent"/>
    <w:lsdException w:unhideWhenUsed="0" w:uiPriority="99" w:name="footnote text"/>
    <w:lsdException w:qFormat="1" w:unhideWhenUsed="0" w:uiPriority="99" w:name="annotation text"/>
    <w:lsdException w:unhideWhenUsed="0" w:uiPriority="99" w:name="header"/>
    <w:lsdException w:qFormat="1" w:unhideWhenUsed="0" w:uiPriority="99" w:semiHidden="0" w:name="footer"/>
    <w:lsdException w:unhideWhenUsed="0" w:uiPriority="99" w:name="index heading"/>
    <w:lsdException w:qFormat="1" w:unhideWhenUsed="0" w:uiPriority="35" w:name="caption"/>
    <w:lsdException w:unhideWhenUsed="0" w:uiPriority="99" w:name="table of figures"/>
    <w:lsdException w:unhideWhenUsed="0" w:uiPriority="99" w:name="envelope address"/>
    <w:lsdException w:unhideWhenUsed="0" w:uiPriority="99" w:name="envelope return"/>
    <w:lsdException w:unhideWhenUsed="0" w:uiPriority="99" w:name="footnote reference"/>
    <w:lsdException w:qFormat="1" w:unhideWhenUsed="0" w:uiPriority="99" w:name="annotation reference"/>
    <w:lsdException w:unhideWhenUsed="0" w:uiPriority="99" w:name="line number"/>
    <w:lsdException w:unhideWhenUsed="0" w:uiPriority="99" w:name="page number"/>
    <w:lsdException w:unhideWhenUsed="0" w:uiPriority="99" w:name="endnote reference"/>
    <w:lsdException w:unhideWhenUsed="0" w:uiPriority="99" w:name="endnote text"/>
    <w:lsdException w:unhideWhenUsed="0" w:uiPriority="99" w:name="table of authorities"/>
    <w:lsdException w:unhideWhenUsed="0" w:uiPriority="99" w:name="macro"/>
    <w:lsdException w:unhideWhenUsed="0" w:uiPriority="99" w:name="toa heading"/>
    <w:lsdException w:unhideWhenUsed="0" w:uiPriority="99" w:name="List"/>
    <w:lsdException w:unhideWhenUsed="0" w:uiPriority="99" w:name="List Bullet"/>
    <w:lsdException w:unhideWhenUsed="0" w:uiPriority="99" w:name="List Number"/>
    <w:lsdException w:unhideWhenUsed="0" w:uiPriority="99" w:name="List 2"/>
    <w:lsdException w:unhideWhenUsed="0" w:uiPriority="99" w:name="List 3"/>
    <w:lsdException w:unhideWhenUsed="0" w:uiPriority="99" w:name="List 4"/>
    <w:lsdException w:unhideWhenUsed="0" w:uiPriority="99" w:name="List 5"/>
    <w:lsdException w:unhideWhenUsed="0" w:uiPriority="99" w:name="List Bullet 2"/>
    <w:lsdException w:unhideWhenUsed="0" w:uiPriority="99" w:name="List Bullet 3"/>
    <w:lsdException w:unhideWhenUsed="0" w:uiPriority="99" w:name="List Bullet 4"/>
    <w:lsdException w:unhideWhenUsed="0" w:uiPriority="99" w:name="List Bullet 5"/>
    <w:lsdException w:unhideWhenUsed="0" w:uiPriority="99" w:name="List Number 2"/>
    <w:lsdException w:unhideWhenUsed="0" w:uiPriority="99" w:name="List Number 3"/>
    <w:lsdException w:unhideWhenUsed="0" w:uiPriority="99" w:name="List Number 4"/>
    <w:lsdException w:unhideWhenUsed="0" w:uiPriority="99" w:name="List Number 5"/>
    <w:lsdException w:qFormat="1" w:unhideWhenUsed="0" w:uiPriority="10" w:semiHidden="0" w:name="Title"/>
    <w:lsdException w:unhideWhenUsed="0" w:uiPriority="99" w:name="Closing"/>
    <w:lsdException w:unhideWhenUsed="0" w:uiPriority="99" w:name="Signature"/>
    <w:lsdException w:qFormat="1" w:uiPriority="1" w:name="Default Paragraph Font"/>
    <w:lsdException w:qFormat="1" w:unhideWhenUsed="0" w:uiPriority="0" w:semiHidden="0" w:name="Body Text"/>
    <w:lsdException w:unhideWhenUsed="0" w:uiPriority="99" w:name="Body Text Indent"/>
    <w:lsdException w:unhideWhenUsed="0" w:uiPriority="99" w:name="List Continue"/>
    <w:lsdException w:unhideWhenUsed="0" w:uiPriority="99" w:name="List Continue 2"/>
    <w:lsdException w:unhideWhenUsed="0" w:uiPriority="99" w:name="List Continue 3"/>
    <w:lsdException w:unhideWhenUsed="0" w:uiPriority="99" w:name="List Continue 4"/>
    <w:lsdException w:unhideWhenUsed="0" w:uiPriority="99" w:name="List Continue 5"/>
    <w:lsdException w:unhideWhenUsed="0" w:uiPriority="99" w:name="Message Header"/>
    <w:lsdException w:qFormat="1" w:unhideWhenUsed="0" w:uiPriority="11" w:semiHidden="0" w:name="Subtitle"/>
    <w:lsdException w:unhideWhenUsed="0" w:uiPriority="99" w:name="Salutation"/>
    <w:lsdException w:unhideWhenUsed="0" w:uiPriority="99" w:name="Date"/>
    <w:lsdException w:unhideWhenUsed="0" w:uiPriority="99" w:name="Body Text First Indent"/>
    <w:lsdException w:unhideWhenUsed="0" w:uiPriority="99" w:name="Body Text First Indent 2"/>
    <w:lsdException w:unhideWhenUsed="0" w:uiPriority="99" w:name="Note Heading"/>
    <w:lsdException w:unhideWhenUsed="0" w:uiPriority="99" w:name="Body Text 2"/>
    <w:lsdException w:unhideWhenUsed="0" w:uiPriority="99" w:name="Body Text 3"/>
    <w:lsdException w:unhideWhenUsed="0" w:uiPriority="99" w:name="Body Text Indent 2"/>
    <w:lsdException w:unhideWhenUsed="0" w:uiPriority="99" w:name="Body Text Indent 3"/>
    <w:lsdException w:unhideWhenUsed="0" w:uiPriority="99" w:name="Block Text"/>
    <w:lsdException w:qFormat="1" w:uiPriority="99" w:semiHidden="0" w:name="Hyperlink"/>
    <w:lsdException w:unhideWhenUsed="0" w:uiPriority="99" w:name="FollowedHyperlink"/>
    <w:lsdException w:qFormat="1" w:unhideWhenUsed="0" w:uiPriority="22" w:semiHidden="0" w:name="Strong"/>
    <w:lsdException w:qFormat="1" w:unhideWhenUsed="0" w:uiPriority="20" w:semiHidden="0" w:name="Emphasis"/>
    <w:lsdException w:unhideWhenUsed="0" w:uiPriority="99" w:name="Document Map"/>
    <w:lsdException w:unhideWhenUsed="0" w:uiPriority="99" w:name="Plain Text"/>
    <w:lsdException w:unhideWhenUsed="0" w:uiPriority="99" w:name="E-mail Signature"/>
    <w:lsdException w:unhideWhenUsed="0" w:uiPriority="99" w:name="Normal (Web)"/>
    <w:lsdException w:unhideWhenUsed="0" w:uiPriority="99" w:name="HTML Acronym"/>
    <w:lsdException w:unhideWhenUsed="0" w:uiPriority="99" w:name="HTML Address"/>
    <w:lsdException w:unhideWhenUsed="0" w:uiPriority="99" w:name="HTML Cite"/>
    <w:lsdException w:unhideWhenUsed="0" w:uiPriority="99" w:name="HTML Code"/>
    <w:lsdException w:unhideWhenUsed="0" w:uiPriority="99" w:name="HTML Definition"/>
    <w:lsdException w:unhideWhenUsed="0" w:uiPriority="99" w:name="HTML Keyboard"/>
    <w:lsdException w:unhideWhenUsed="0" w:uiPriority="99" w:name="HTML Preformatted"/>
    <w:lsdException w:unhideWhenUsed="0" w:uiPriority="99" w:name="HTML Sample"/>
    <w:lsdException w:unhideWhenUsed="0" w:uiPriority="99" w:name="HTML Typewriter"/>
    <w:lsdException w:unhideWhenUsed="0"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Theme="minorHAnsi" w:hAnsiTheme="minorHAnsi" w:eastAsiaTheme="minorEastAsia" w:cstheme="minorBidi"/>
      <w:kern w:val="2"/>
      <w:sz w:val="21"/>
      <w:szCs w:val="21"/>
      <w:lang w:val="en-US" w:eastAsia="zh-CN" w:bidi="ar-SA"/>
    </w:rPr>
  </w:style>
  <w:style w:type="paragraph" w:styleId="3">
    <w:name w:val="heading 1"/>
    <w:basedOn w:val="1"/>
    <w:next w:val="1"/>
    <w:link w:val="21"/>
    <w:semiHidden/>
    <w:qFormat/>
    <w:uiPriority w:val="9"/>
    <w:pPr>
      <w:keepNext/>
      <w:keepLines/>
      <w:spacing w:before="340" w:after="330" w:line="578" w:lineRule="auto"/>
      <w:ind w:firstLine="0" w:firstLineChars="0"/>
      <w:jc w:val="center"/>
      <w:outlineLvl w:val="0"/>
    </w:pPr>
    <w:rPr>
      <w:b/>
      <w:bCs/>
      <w:kern w:val="44"/>
      <w:sz w:val="44"/>
      <w:szCs w:val="44"/>
    </w:rPr>
  </w:style>
  <w:style w:type="paragraph" w:styleId="4">
    <w:name w:val="heading 2"/>
    <w:basedOn w:val="1"/>
    <w:next w:val="1"/>
    <w:link w:val="22"/>
    <w:semiHidden/>
    <w:qFormat/>
    <w:uiPriority w:val="9"/>
    <w:pPr>
      <w:keepNext/>
      <w:keepLines/>
      <w:spacing w:before="260" w:after="260"/>
      <w:ind w:firstLine="0" w:firstLineChars="0"/>
      <w:outlineLvl w:val="1"/>
    </w:pPr>
    <w:rPr>
      <w:rFonts w:asciiTheme="majorHAnsi" w:hAnsiTheme="majorHAnsi" w:cstheme="majorBidi"/>
      <w:b/>
      <w:bCs/>
      <w:sz w:val="32"/>
      <w:szCs w:val="32"/>
    </w:rPr>
  </w:style>
  <w:style w:type="paragraph" w:styleId="5">
    <w:name w:val="heading 3"/>
    <w:basedOn w:val="1"/>
    <w:next w:val="1"/>
    <w:link w:val="23"/>
    <w:semiHidden/>
    <w:qFormat/>
    <w:uiPriority w:val="9"/>
    <w:pPr>
      <w:keepNext/>
      <w:keepLines/>
      <w:spacing w:before="260" w:after="260"/>
      <w:ind w:firstLine="0" w:firstLineChars="0"/>
      <w:outlineLvl w:val="2"/>
    </w:pPr>
    <w:rPr>
      <w:b/>
      <w:bCs/>
      <w:sz w:val="30"/>
      <w:szCs w:val="32"/>
    </w:rPr>
  </w:style>
  <w:style w:type="paragraph" w:styleId="6">
    <w:name w:val="heading 4"/>
    <w:basedOn w:val="1"/>
    <w:next w:val="1"/>
    <w:link w:val="25"/>
    <w:semiHidden/>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24"/>
    <w:semiHidden/>
    <w:qFormat/>
    <w:uiPriority w:val="9"/>
    <w:pPr>
      <w:keepNext/>
      <w:keepLines/>
      <w:spacing w:before="280" w:after="290" w:line="480" w:lineRule="auto"/>
      <w:ind w:firstLine="0" w:firstLineChars="0"/>
      <w:outlineLvl w:val="4"/>
    </w:pPr>
    <w:rPr>
      <w:b/>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styleId="8">
    <w:name w:val="annotation text"/>
    <w:basedOn w:val="1"/>
    <w:link w:val="46"/>
    <w:semiHidden/>
    <w:qFormat/>
    <w:uiPriority w:val="99"/>
  </w:style>
  <w:style w:type="paragraph" w:styleId="9">
    <w:name w:val="toc 3"/>
    <w:basedOn w:val="1"/>
    <w:next w:val="1"/>
    <w:qFormat/>
    <w:uiPriority w:val="39"/>
    <w:pPr>
      <w:tabs>
        <w:tab w:val="right" w:leader="dot" w:pos="8834"/>
      </w:tabs>
      <w:spacing w:line="600" w:lineRule="exact"/>
      <w:ind w:left="400" w:leftChars="136" w:hanging="264" w:hangingChars="264"/>
    </w:pPr>
    <w:rPr>
      <w:rFonts w:eastAsia="仿宋_GB2312"/>
      <w:sz w:val="32"/>
    </w:rPr>
  </w:style>
  <w:style w:type="paragraph" w:styleId="10">
    <w:name w:val="Balloon Text"/>
    <w:basedOn w:val="1"/>
    <w:link w:val="43"/>
    <w:semiHidden/>
    <w:qFormat/>
    <w:uiPriority w:val="99"/>
    <w:pPr>
      <w:spacing w:line="240" w:lineRule="auto"/>
    </w:pPr>
    <w:rPr>
      <w:sz w:val="18"/>
      <w:szCs w:val="18"/>
    </w:rPr>
  </w:style>
  <w:style w:type="paragraph" w:styleId="11">
    <w:name w:val="footer"/>
    <w:basedOn w:val="1"/>
    <w:link w:val="42"/>
    <w:qFormat/>
    <w:uiPriority w:val="99"/>
    <w:pPr>
      <w:tabs>
        <w:tab w:val="center" w:pos="4153"/>
        <w:tab w:val="right" w:pos="8306"/>
      </w:tabs>
      <w:snapToGrid w:val="0"/>
      <w:spacing w:line="240" w:lineRule="auto"/>
    </w:pPr>
    <w:rPr>
      <w:sz w:val="18"/>
      <w:szCs w:val="18"/>
    </w:rPr>
  </w:style>
  <w:style w:type="paragraph" w:styleId="12">
    <w:name w:val="toc 1"/>
    <w:basedOn w:val="1"/>
    <w:next w:val="1"/>
    <w:qFormat/>
    <w:uiPriority w:val="39"/>
  </w:style>
  <w:style w:type="paragraph" w:styleId="13">
    <w:name w:val="toc 2"/>
    <w:basedOn w:val="1"/>
    <w:next w:val="1"/>
    <w:qFormat/>
    <w:uiPriority w:val="39"/>
    <w:pPr>
      <w:tabs>
        <w:tab w:val="right" w:leader="dot" w:pos="8834"/>
      </w:tabs>
      <w:spacing w:line="600" w:lineRule="exact"/>
      <w:ind w:left="640" w:hanging="640" w:hangingChars="200"/>
    </w:pPr>
    <w:rPr>
      <w:rFonts w:ascii="Times New Roman" w:hAnsi="Times New Roman" w:eastAsia="仿宋_GB2312"/>
      <w:b/>
      <w:sz w:val="32"/>
    </w:rPr>
  </w:style>
  <w:style w:type="paragraph" w:styleId="14">
    <w:name w:val="annotation subject"/>
    <w:basedOn w:val="8"/>
    <w:next w:val="8"/>
    <w:link w:val="47"/>
    <w:semiHidden/>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mphasis"/>
    <w:basedOn w:val="17"/>
    <w:qFormat/>
    <w:uiPriority w:val="20"/>
    <w:rPr>
      <w:i/>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qFormat/>
    <w:uiPriority w:val="99"/>
    <w:rPr>
      <w:sz w:val="21"/>
      <w:szCs w:val="21"/>
    </w:rPr>
  </w:style>
  <w:style w:type="character" w:customStyle="1" w:styleId="21">
    <w:name w:val="标题 1 字符"/>
    <w:basedOn w:val="17"/>
    <w:link w:val="3"/>
    <w:semiHidden/>
    <w:qFormat/>
    <w:uiPriority w:val="9"/>
    <w:rPr>
      <w:b/>
      <w:bCs/>
      <w:kern w:val="44"/>
      <w:sz w:val="44"/>
      <w:szCs w:val="44"/>
    </w:rPr>
  </w:style>
  <w:style w:type="character" w:customStyle="1" w:styleId="22">
    <w:name w:val="标题 2 字符"/>
    <w:basedOn w:val="17"/>
    <w:link w:val="4"/>
    <w:semiHidden/>
    <w:qFormat/>
    <w:uiPriority w:val="9"/>
    <w:rPr>
      <w:rFonts w:asciiTheme="majorHAnsi" w:hAnsiTheme="majorHAnsi" w:cstheme="majorBidi"/>
      <w:b/>
      <w:bCs/>
      <w:sz w:val="32"/>
      <w:szCs w:val="32"/>
    </w:rPr>
  </w:style>
  <w:style w:type="character" w:customStyle="1" w:styleId="23">
    <w:name w:val="标题 3 字符"/>
    <w:basedOn w:val="17"/>
    <w:link w:val="5"/>
    <w:semiHidden/>
    <w:qFormat/>
    <w:uiPriority w:val="9"/>
    <w:rPr>
      <w:b/>
      <w:bCs/>
      <w:sz w:val="30"/>
      <w:szCs w:val="32"/>
    </w:rPr>
  </w:style>
  <w:style w:type="character" w:customStyle="1" w:styleId="24">
    <w:name w:val="标题 5 字符"/>
    <w:basedOn w:val="17"/>
    <w:link w:val="7"/>
    <w:semiHidden/>
    <w:qFormat/>
    <w:uiPriority w:val="9"/>
    <w:rPr>
      <w:b/>
      <w:bCs/>
      <w:szCs w:val="28"/>
    </w:rPr>
  </w:style>
  <w:style w:type="character" w:customStyle="1" w:styleId="25">
    <w:name w:val="标题 4 字符"/>
    <w:basedOn w:val="17"/>
    <w:link w:val="6"/>
    <w:semiHidden/>
    <w:qFormat/>
    <w:uiPriority w:val="9"/>
    <w:rPr>
      <w:rFonts w:asciiTheme="majorHAnsi" w:hAnsiTheme="majorHAnsi" w:eastAsiaTheme="majorEastAsia" w:cstheme="majorBidi"/>
      <w:b/>
      <w:bCs/>
      <w:sz w:val="28"/>
      <w:szCs w:val="28"/>
    </w:rPr>
  </w:style>
  <w:style w:type="paragraph" w:customStyle="1" w:styleId="26">
    <w:name w:val="市局绩效-标题"/>
    <w:basedOn w:val="3"/>
    <w:link w:val="28"/>
    <w:qFormat/>
    <w:uiPriority w:val="0"/>
    <w:pPr>
      <w:spacing w:line="600" w:lineRule="exact"/>
    </w:pPr>
    <w:rPr>
      <w:rFonts w:ascii="方正小标宋简体" w:hAnsi="方正小标宋简体" w:eastAsia="方正小标宋简体"/>
      <w:b w:val="0"/>
    </w:rPr>
  </w:style>
  <w:style w:type="paragraph" w:customStyle="1" w:styleId="27">
    <w:name w:val="市局绩效-正文"/>
    <w:basedOn w:val="1"/>
    <w:link w:val="30"/>
    <w:qFormat/>
    <w:uiPriority w:val="0"/>
    <w:pPr>
      <w:spacing w:line="600" w:lineRule="exact"/>
      <w:jc w:val="both"/>
    </w:pPr>
    <w:rPr>
      <w:rFonts w:ascii="Times New Roman" w:hAnsi="Times New Roman" w:eastAsia="仿宋_GB2312"/>
      <w:sz w:val="32"/>
    </w:rPr>
  </w:style>
  <w:style w:type="character" w:customStyle="1" w:styleId="28">
    <w:name w:val="市局绩效-标题 字符"/>
    <w:basedOn w:val="21"/>
    <w:link w:val="26"/>
    <w:qFormat/>
    <w:uiPriority w:val="0"/>
    <w:rPr>
      <w:rFonts w:ascii="方正小标宋简体" w:hAnsi="方正小标宋简体" w:eastAsia="方正小标宋简体"/>
      <w:b w:val="0"/>
      <w:kern w:val="44"/>
      <w:sz w:val="44"/>
      <w:szCs w:val="44"/>
    </w:rPr>
  </w:style>
  <w:style w:type="paragraph" w:customStyle="1" w:styleId="29">
    <w:name w:val="市局绩效-一级标题"/>
    <w:basedOn w:val="4"/>
    <w:link w:val="32"/>
    <w:qFormat/>
    <w:uiPriority w:val="0"/>
    <w:pPr>
      <w:spacing w:before="0" w:after="0" w:line="600" w:lineRule="exact"/>
      <w:ind w:firstLine="641"/>
      <w:jc w:val="both"/>
    </w:pPr>
    <w:rPr>
      <w:rFonts w:ascii="Times New Roman" w:hAnsi="Times New Roman" w:eastAsia="黑体"/>
      <w:b w:val="0"/>
    </w:rPr>
  </w:style>
  <w:style w:type="character" w:customStyle="1" w:styleId="30">
    <w:name w:val="市局绩效-正文 字符"/>
    <w:basedOn w:val="17"/>
    <w:link w:val="27"/>
    <w:qFormat/>
    <w:uiPriority w:val="0"/>
    <w:rPr>
      <w:rFonts w:ascii="Times New Roman" w:hAnsi="Times New Roman" w:eastAsia="仿宋_GB2312"/>
      <w:sz w:val="32"/>
    </w:rPr>
  </w:style>
  <w:style w:type="paragraph" w:customStyle="1" w:styleId="31">
    <w:name w:val="市局绩效-二级标题"/>
    <w:basedOn w:val="5"/>
    <w:link w:val="33"/>
    <w:qFormat/>
    <w:uiPriority w:val="0"/>
    <w:pPr>
      <w:spacing w:before="0" w:after="0" w:line="600" w:lineRule="exact"/>
      <w:ind w:firstLine="200" w:firstLineChars="200"/>
      <w:jc w:val="both"/>
    </w:pPr>
    <w:rPr>
      <w:rFonts w:eastAsia="楷体_GB2312"/>
      <w:b w:val="0"/>
      <w:sz w:val="32"/>
    </w:rPr>
  </w:style>
  <w:style w:type="character" w:customStyle="1" w:styleId="32">
    <w:name w:val="市局绩效-一级标题 字符"/>
    <w:basedOn w:val="22"/>
    <w:link w:val="29"/>
    <w:qFormat/>
    <w:uiPriority w:val="0"/>
    <w:rPr>
      <w:rFonts w:ascii="Times New Roman" w:hAnsi="Times New Roman" w:eastAsia="黑体" w:cstheme="majorBidi"/>
      <w:b w:val="0"/>
      <w:sz w:val="32"/>
      <w:szCs w:val="32"/>
    </w:rPr>
  </w:style>
  <w:style w:type="character" w:customStyle="1" w:styleId="33">
    <w:name w:val="市局绩效-二级标题 字符"/>
    <w:basedOn w:val="23"/>
    <w:link w:val="31"/>
    <w:qFormat/>
    <w:uiPriority w:val="0"/>
    <w:rPr>
      <w:rFonts w:eastAsia="楷体_GB2312"/>
      <w:b w:val="0"/>
      <w:sz w:val="32"/>
      <w:szCs w:val="32"/>
    </w:rPr>
  </w:style>
  <w:style w:type="paragraph" w:customStyle="1" w:styleId="34">
    <w:name w:val="市局绩效-表格标题"/>
    <w:basedOn w:val="1"/>
    <w:link w:val="36"/>
    <w:qFormat/>
    <w:uiPriority w:val="0"/>
    <w:pPr>
      <w:widowControl/>
      <w:spacing w:line="600" w:lineRule="exact"/>
      <w:ind w:firstLine="0" w:firstLineChars="0"/>
      <w:jc w:val="center"/>
    </w:pPr>
    <w:rPr>
      <w:rFonts w:ascii="Times New Roman" w:hAnsi="Times New Roman" w:eastAsia="黑体" w:cs="Times New Roman"/>
      <w:bCs/>
      <w:sz w:val="28"/>
      <w:szCs w:val="24"/>
    </w:rPr>
  </w:style>
  <w:style w:type="paragraph" w:customStyle="1" w:styleId="35">
    <w:name w:val="市局绩效-表格单位"/>
    <w:basedOn w:val="1"/>
    <w:link w:val="38"/>
    <w:qFormat/>
    <w:uiPriority w:val="0"/>
    <w:pPr>
      <w:widowControl/>
      <w:spacing w:line="240" w:lineRule="auto"/>
      <w:ind w:firstLine="0" w:firstLineChars="0"/>
      <w:jc w:val="right"/>
    </w:pPr>
    <w:rPr>
      <w:rFonts w:ascii="Times New Roman" w:hAnsi="Times New Roman" w:eastAsia="宋体"/>
      <w:bCs/>
      <w:szCs w:val="18"/>
    </w:rPr>
  </w:style>
  <w:style w:type="character" w:customStyle="1" w:styleId="36">
    <w:name w:val="市局绩效-表格标题 字符"/>
    <w:basedOn w:val="17"/>
    <w:link w:val="34"/>
    <w:qFormat/>
    <w:uiPriority w:val="0"/>
    <w:rPr>
      <w:rFonts w:ascii="Times New Roman" w:hAnsi="Times New Roman" w:eastAsia="黑体" w:cs="Times New Roman"/>
      <w:bCs/>
      <w:sz w:val="28"/>
      <w:szCs w:val="24"/>
    </w:rPr>
  </w:style>
  <w:style w:type="paragraph" w:customStyle="1" w:styleId="37">
    <w:name w:val="市局绩效-表格表头"/>
    <w:basedOn w:val="27"/>
    <w:link w:val="40"/>
    <w:qFormat/>
    <w:uiPriority w:val="0"/>
    <w:pPr>
      <w:spacing w:line="240" w:lineRule="auto"/>
      <w:ind w:firstLine="0" w:firstLineChars="0"/>
      <w:jc w:val="center"/>
    </w:pPr>
    <w:rPr>
      <w:rFonts w:eastAsia="黑体"/>
      <w:b/>
      <w:sz w:val="21"/>
    </w:rPr>
  </w:style>
  <w:style w:type="character" w:customStyle="1" w:styleId="38">
    <w:name w:val="市局绩效-表格单位 字符"/>
    <w:basedOn w:val="17"/>
    <w:link w:val="35"/>
    <w:qFormat/>
    <w:uiPriority w:val="0"/>
    <w:rPr>
      <w:rFonts w:ascii="Times New Roman" w:hAnsi="Times New Roman" w:eastAsia="宋体"/>
      <w:bCs/>
      <w:szCs w:val="18"/>
    </w:rPr>
  </w:style>
  <w:style w:type="paragraph" w:customStyle="1" w:styleId="39">
    <w:name w:val="市局绩效-表格内容"/>
    <w:basedOn w:val="27"/>
    <w:link w:val="41"/>
    <w:qFormat/>
    <w:uiPriority w:val="0"/>
    <w:pPr>
      <w:spacing w:line="360" w:lineRule="auto"/>
      <w:ind w:firstLine="0" w:firstLineChars="0"/>
      <w:jc w:val="center"/>
    </w:pPr>
    <w:rPr>
      <w:rFonts w:eastAsia="宋体"/>
      <w:sz w:val="21"/>
    </w:rPr>
  </w:style>
  <w:style w:type="character" w:customStyle="1" w:styleId="40">
    <w:name w:val="市局绩效-表格表头 字符"/>
    <w:basedOn w:val="30"/>
    <w:link w:val="37"/>
    <w:qFormat/>
    <w:uiPriority w:val="0"/>
    <w:rPr>
      <w:rFonts w:ascii="Times New Roman" w:hAnsi="Times New Roman" w:eastAsia="黑体"/>
      <w:b/>
      <w:sz w:val="32"/>
    </w:rPr>
  </w:style>
  <w:style w:type="character" w:customStyle="1" w:styleId="41">
    <w:name w:val="市局绩效-表格内容 字符"/>
    <w:basedOn w:val="30"/>
    <w:link w:val="39"/>
    <w:qFormat/>
    <w:uiPriority w:val="0"/>
    <w:rPr>
      <w:rFonts w:ascii="Times New Roman" w:hAnsi="Times New Roman" w:eastAsia="宋体"/>
      <w:sz w:val="32"/>
    </w:rPr>
  </w:style>
  <w:style w:type="character" w:customStyle="1" w:styleId="42">
    <w:name w:val="页脚 字符"/>
    <w:basedOn w:val="17"/>
    <w:link w:val="11"/>
    <w:qFormat/>
    <w:uiPriority w:val="99"/>
    <w:rPr>
      <w:sz w:val="18"/>
      <w:szCs w:val="18"/>
    </w:rPr>
  </w:style>
  <w:style w:type="character" w:customStyle="1" w:styleId="43">
    <w:name w:val="批注框文本 字符"/>
    <w:basedOn w:val="17"/>
    <w:link w:val="10"/>
    <w:semiHidden/>
    <w:qFormat/>
    <w:uiPriority w:val="99"/>
    <w:rPr>
      <w:sz w:val="18"/>
      <w:szCs w:val="18"/>
    </w:rPr>
  </w:style>
  <w:style w:type="paragraph" w:customStyle="1" w:styleId="44">
    <w:name w:val="市局绩效-注"/>
    <w:basedOn w:val="27"/>
    <w:link w:val="45"/>
    <w:qFormat/>
    <w:uiPriority w:val="0"/>
    <w:pPr>
      <w:ind w:firstLine="0" w:firstLineChars="0"/>
    </w:pPr>
    <w:rPr>
      <w:rFonts w:eastAsia="宋体"/>
      <w:bCs/>
      <w:sz w:val="21"/>
    </w:rPr>
  </w:style>
  <w:style w:type="character" w:customStyle="1" w:styleId="45">
    <w:name w:val="市局绩效-注 字符"/>
    <w:basedOn w:val="30"/>
    <w:link w:val="44"/>
    <w:qFormat/>
    <w:uiPriority w:val="0"/>
    <w:rPr>
      <w:rFonts w:ascii="Times New Roman" w:hAnsi="Times New Roman" w:eastAsia="宋体"/>
      <w:bCs/>
      <w:sz w:val="32"/>
    </w:rPr>
  </w:style>
  <w:style w:type="character" w:customStyle="1" w:styleId="46">
    <w:name w:val="批注文字 字符"/>
    <w:basedOn w:val="17"/>
    <w:link w:val="8"/>
    <w:semiHidden/>
    <w:qFormat/>
    <w:uiPriority w:val="99"/>
  </w:style>
  <w:style w:type="character" w:customStyle="1" w:styleId="47">
    <w:name w:val="批注主题 字符"/>
    <w:basedOn w:val="46"/>
    <w:link w:val="14"/>
    <w:semiHidden/>
    <w:qFormat/>
    <w:uiPriority w:val="99"/>
    <w:rPr>
      <w:b/>
      <w:bCs/>
    </w:rPr>
  </w:style>
  <w:style w:type="paragraph" w:customStyle="1" w:styleId="4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9">
    <w:name w:val="绩效正文"/>
    <w:basedOn w:val="1"/>
    <w:link w:val="50"/>
    <w:qFormat/>
    <w:uiPriority w:val="0"/>
    <w:pPr>
      <w:spacing w:line="480" w:lineRule="exact"/>
      <w:textAlignment w:val="baseline"/>
    </w:pPr>
    <w:rPr>
      <w:rFonts w:ascii="Times New Roman" w:hAnsi="Times New Roman" w:eastAsia="仿宋" w:cs="Times New Roman"/>
      <w:sz w:val="28"/>
      <w:szCs w:val="24"/>
    </w:rPr>
  </w:style>
  <w:style w:type="character" w:customStyle="1" w:styleId="50">
    <w:name w:val="绩效正文 字符"/>
    <w:basedOn w:val="17"/>
    <w:link w:val="49"/>
    <w:qFormat/>
    <w:uiPriority w:val="0"/>
    <w:rPr>
      <w:rFonts w:ascii="Times New Roman" w:hAnsi="Times New Roman" w:eastAsia="仿宋" w:cs="Times New Roman"/>
      <w:sz w:val="28"/>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1ED34-45DF-4221-A273-51B13F30D6B9}">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7729</Words>
  <Characters>8067</Characters>
  <Lines>116</Lines>
  <Paragraphs>32</Paragraphs>
  <TotalTime>0</TotalTime>
  <ScaleCrop>false</ScaleCrop>
  <LinksUpToDate>false</LinksUpToDate>
  <CharactersWithSpaces>8346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2021-10-05T04:17:00Z</dcterms:created>
  <dc:creator>忠晔 张</dc:creator>
  <cp:lastModifiedBy>Admin</cp:lastModifiedBy>
  <cp:lastPrinted>2022-04-28T03:26:00Z</cp:lastPrinted>
  <dcterms:modified xsi:type="dcterms:W3CDTF">2024-11-06T06:46:07Z</dcterms:modified>
  <cp:revision>1341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D841B3AB7B10401EBD37F161BB51D70B_12</vt:lpwstr>
  </property>
</Properties>
</file>