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ind w:firstLine="0" w:firstLineChars="0"/>
        <w:jc w:val="center"/>
        <w:rPr>
          <w:rFonts w:ascii="Times New Roman" w:hAnsi="Times New Roman" w:eastAsia="方正小标宋简体"/>
          <w:sz w:val="52"/>
          <w:szCs w:val="52"/>
        </w:rPr>
      </w:pPr>
      <w:r>
        <w:rPr>
          <w:rFonts w:ascii="Times New Roman" w:hAnsi="Times New Roman" w:eastAsia="方正小标宋简体"/>
          <w:sz w:val="52"/>
          <w:szCs w:val="52"/>
        </w:rPr>
        <w:t>项目支出</w:t>
      </w:r>
      <w:r>
        <w:rPr>
          <w:rFonts w:hint="eastAsia" w:ascii="Times New Roman" w:hAnsi="Times New Roman" w:eastAsia="方正小标宋简体"/>
          <w:sz w:val="52"/>
          <w:szCs w:val="52"/>
        </w:rPr>
        <w:t>绩效评价</w:t>
      </w:r>
      <w:r>
        <w:rPr>
          <w:rFonts w:ascii="Times New Roman" w:hAnsi="Times New Roman" w:eastAsia="方正小标宋简体"/>
          <w:sz w:val="52"/>
          <w:szCs w:val="52"/>
        </w:rPr>
        <w:t>报告</w:t>
      </w:r>
    </w:p>
    <w:p>
      <w:pPr>
        <w:spacing w:line="800" w:lineRule="exact"/>
        <w:ind w:firstLine="0" w:firstLineChars="0"/>
        <w:jc w:val="center"/>
        <w:rPr>
          <w:rFonts w:ascii="Times New Roman" w:hAnsi="Times New Roman" w:eastAsia="方正小标宋简体"/>
          <w:sz w:val="48"/>
          <w:szCs w:val="44"/>
        </w:rPr>
      </w:pPr>
      <w:r>
        <w:rPr>
          <w:rFonts w:ascii="Times New Roman" w:hAnsi="Times New Roman" w:eastAsia="方正小标宋简体"/>
          <w:sz w:val="40"/>
          <w:szCs w:val="36"/>
        </w:rPr>
        <w:t>（</w:t>
      </w:r>
      <w:r>
        <w:rPr>
          <w:rFonts w:ascii="Times New Roman" w:hAnsi="Times New Roman" w:eastAsia="方正小标宋简体" w:cs="Times New Roman"/>
          <w:sz w:val="40"/>
          <w:szCs w:val="40"/>
        </w:rPr>
        <w:t>202</w:t>
      </w:r>
      <w:r>
        <w:rPr>
          <w:rFonts w:hint="eastAsia" w:ascii="Times New Roman" w:hAnsi="Times New Roman" w:eastAsia="方正小标宋简体" w:cs="Times New Roman"/>
          <w:sz w:val="40"/>
          <w:szCs w:val="40"/>
        </w:rPr>
        <w:t>3</w:t>
      </w:r>
      <w:r>
        <w:rPr>
          <w:rFonts w:ascii="Times New Roman" w:hAnsi="Times New Roman" w:eastAsia="方正小标宋简体"/>
          <w:sz w:val="40"/>
          <w:szCs w:val="36"/>
        </w:rPr>
        <w:t>年度）</w:t>
      </w:r>
    </w:p>
    <w:p>
      <w:pPr>
        <w:spacing w:line="600" w:lineRule="exact"/>
        <w:ind w:firstLine="640"/>
        <w:rPr>
          <w:rFonts w:ascii="Times New Roman" w:hAnsi="Times New Roman" w:eastAsia="黑体"/>
          <w:sz w:val="32"/>
          <w:szCs w:val="32"/>
        </w:rPr>
      </w:pPr>
    </w:p>
    <w:p>
      <w:pPr>
        <w:spacing w:line="600" w:lineRule="exact"/>
        <w:ind w:firstLine="640"/>
        <w:rPr>
          <w:rFonts w:ascii="Times New Roman" w:hAnsi="Times New Roman" w:eastAsia="黑体"/>
          <w:sz w:val="32"/>
          <w:szCs w:val="32"/>
        </w:rPr>
      </w:pPr>
    </w:p>
    <w:p>
      <w:pPr>
        <w:spacing w:line="600" w:lineRule="exact"/>
        <w:ind w:firstLine="640"/>
        <w:rPr>
          <w:rFonts w:ascii="Times New Roman" w:hAnsi="Times New Roman" w:eastAsia="黑体"/>
          <w:sz w:val="32"/>
          <w:szCs w:val="32"/>
        </w:rPr>
      </w:pPr>
    </w:p>
    <w:p>
      <w:pPr>
        <w:spacing w:line="600" w:lineRule="exact"/>
        <w:ind w:firstLine="640"/>
        <w:rPr>
          <w:rFonts w:ascii="Times New Roman" w:hAnsi="Times New Roman" w:eastAsia="黑体"/>
          <w:sz w:val="32"/>
          <w:szCs w:val="32"/>
        </w:rPr>
      </w:pPr>
    </w:p>
    <w:p>
      <w:pPr>
        <w:spacing w:line="600" w:lineRule="exact"/>
        <w:ind w:firstLine="640"/>
        <w:rPr>
          <w:rFonts w:ascii="Times New Roman" w:hAnsi="Times New Roman" w:eastAsia="黑体"/>
          <w:sz w:val="32"/>
          <w:szCs w:val="32"/>
        </w:rPr>
      </w:pPr>
    </w:p>
    <w:p>
      <w:pPr>
        <w:spacing w:line="900" w:lineRule="exact"/>
        <w:ind w:firstLine="0" w:firstLineChars="0"/>
        <w:rPr>
          <w:rFonts w:ascii="Times New Roman" w:hAnsi="Times New Roman" w:eastAsia="仿宋_GB2312"/>
          <w:sz w:val="32"/>
          <w:szCs w:val="32"/>
        </w:rPr>
      </w:pPr>
      <w:r>
        <w:rPr>
          <w:rFonts w:hint="eastAsia" w:ascii="Times New Roman" w:hAnsi="Times New Roman" w:eastAsia="仿宋_GB2312"/>
          <w:sz w:val="32"/>
          <w:szCs w:val="32"/>
        </w:rPr>
        <w:t>项 目 名 称：</w:t>
      </w:r>
      <w:r>
        <w:rPr>
          <w:rFonts w:ascii="Times New Roman" w:hAnsi="Times New Roman" w:eastAsia="仿宋_GB2312"/>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网信办</w:t>
      </w:r>
      <w:r>
        <w:rPr>
          <w:rFonts w:ascii="Times New Roman" w:hAnsi="Times New Roman" w:eastAsia="仿宋_GB2312" w:cs="Times New Roman"/>
          <w:spacing w:val="-20"/>
          <w:sz w:val="32"/>
          <w:szCs w:val="32"/>
          <w:u w:val="single"/>
        </w:rPr>
        <w:t>2023年度综合运营保障服务项目经费</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p>
    <w:p>
      <w:pPr>
        <w:spacing w:line="900" w:lineRule="exact"/>
        <w:ind w:firstLine="0" w:firstLineChars="0"/>
        <w:rPr>
          <w:rFonts w:ascii="Times New Roman" w:hAnsi="Times New Roman" w:eastAsia="仿宋_GB2312" w:cs="Times New Roman"/>
          <w:spacing w:val="-20"/>
          <w:sz w:val="32"/>
          <w:szCs w:val="32"/>
          <w:u w:val="single"/>
        </w:rPr>
      </w:pPr>
      <w:r>
        <w:rPr>
          <w:rFonts w:hint="eastAsia" w:ascii="Times New Roman" w:hAnsi="Times New Roman" w:eastAsia="仿宋_GB2312"/>
          <w:sz w:val="32"/>
          <w:szCs w:val="32"/>
        </w:rPr>
        <w:t>项 目 单 位</w:t>
      </w:r>
      <w:r>
        <w:rPr>
          <w:rFonts w:ascii="Times New Roman" w:hAnsi="Times New Roman" w:eastAsia="仿宋_GB2312"/>
          <w:sz w:val="32"/>
          <w:szCs w:val="32"/>
        </w:rPr>
        <w:t>：</w:t>
      </w:r>
      <w:r>
        <w:rPr>
          <w:rFonts w:ascii="Times New Roman" w:hAnsi="Times New Roman" w:eastAsia="仿宋_GB2312"/>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中国共产党天津市和平区委网络           </w:t>
      </w:r>
    </w:p>
    <w:p>
      <w:pPr>
        <w:spacing w:line="900" w:lineRule="exact"/>
        <w:ind w:firstLine="1960" w:firstLineChars="700"/>
        <w:rPr>
          <w:rFonts w:ascii="Times New Roman" w:hAnsi="Times New Roman" w:eastAsia="仿宋_GB2312" w:cs="Times New Roman"/>
          <w:spacing w:val="-20"/>
          <w:sz w:val="32"/>
          <w:szCs w:val="32"/>
          <w:u w:val="single"/>
        </w:rPr>
      </w:pPr>
      <w:r>
        <w:rPr>
          <w:rFonts w:hint="eastAsia" w:ascii="Times New Roman" w:hAnsi="Times New Roman" w:eastAsia="仿宋_GB2312" w:cs="Times New Roman"/>
          <w:spacing w:val="-20"/>
          <w:sz w:val="32"/>
          <w:szCs w:val="32"/>
          <w:u w:val="single"/>
        </w:rPr>
        <w:t xml:space="preserve">             安全和信息化委员会办公室                </w:t>
      </w:r>
    </w:p>
    <w:p>
      <w:pPr>
        <w:spacing w:line="900" w:lineRule="exact"/>
        <w:ind w:left="2240" w:hanging="2240" w:hangingChars="700"/>
        <w:rPr>
          <w:rFonts w:ascii="Times New Roman" w:hAnsi="Times New Roman" w:eastAsia="仿宋_GB2312"/>
          <w:sz w:val="32"/>
          <w:szCs w:val="32"/>
          <w:u w:val="single"/>
        </w:rPr>
      </w:pPr>
      <w:r>
        <w:rPr>
          <w:rFonts w:hint="eastAsia" w:ascii="Times New Roman" w:hAnsi="Times New Roman" w:eastAsia="仿宋_GB2312"/>
          <w:sz w:val="32"/>
          <w:szCs w:val="32"/>
        </w:rPr>
        <w:t>主 管 部 门：</w:t>
      </w:r>
      <w:r>
        <w:rPr>
          <w:rFonts w:hint="eastAsia" w:ascii="Times New Roman" w:hAnsi="Times New Roman" w:eastAsia="仿宋_GB2312"/>
          <w:sz w:val="32"/>
          <w:szCs w:val="32"/>
          <w:u w:val="single"/>
        </w:rPr>
        <w:t xml:space="preserve">       </w:t>
      </w:r>
      <w:r>
        <w:rPr>
          <w:rFonts w:hint="eastAsia" w:ascii="Times New Roman" w:hAnsi="Times New Roman" w:eastAsia="仿宋_GB2312" w:cs="Times New Roman"/>
          <w:spacing w:val="-20"/>
          <w:sz w:val="32"/>
          <w:szCs w:val="32"/>
          <w:u w:val="single"/>
        </w:rPr>
        <w:t>中国共产党天津市和平区委员会</w:t>
      </w:r>
      <w:r>
        <w:rPr>
          <w:rFonts w:hint="eastAsia" w:ascii="Times New Roman" w:hAnsi="Times New Roman" w:eastAsia="仿宋_GB2312"/>
          <w:sz w:val="32"/>
          <w:szCs w:val="32"/>
          <w:u w:val="single"/>
        </w:rPr>
        <w:t xml:space="preserve">                             </w:t>
      </w:r>
    </w:p>
    <w:p>
      <w:pPr>
        <w:spacing w:line="900" w:lineRule="exact"/>
        <w:ind w:firstLine="0" w:firstLineChars="0"/>
        <w:rPr>
          <w:rFonts w:ascii="Times New Roman" w:hAnsi="Times New Roman" w:eastAsia="仿宋_GB2312"/>
          <w:sz w:val="32"/>
          <w:szCs w:val="32"/>
        </w:rPr>
      </w:pPr>
      <w:r>
        <w:rPr>
          <w:rFonts w:ascii="Times New Roman" w:hAnsi="Times New Roman" w:eastAsia="仿宋_GB2312"/>
          <w:sz w:val="32"/>
          <w:szCs w:val="32"/>
        </w:rPr>
        <w:t xml:space="preserve">评 </w:t>
      </w:r>
      <w:r>
        <w:rPr>
          <w:rFonts w:hint="eastAsia" w:ascii="Times New Roman" w:hAnsi="Times New Roman" w:eastAsia="仿宋_GB2312"/>
          <w:sz w:val="32"/>
          <w:szCs w:val="32"/>
        </w:rPr>
        <w:t xml:space="preserve">价 </w:t>
      </w:r>
      <w:r>
        <w:rPr>
          <w:rFonts w:ascii="Times New Roman" w:hAnsi="Times New Roman" w:eastAsia="仿宋_GB2312"/>
          <w:sz w:val="32"/>
          <w:szCs w:val="32"/>
        </w:rPr>
        <w:t>机 构</w:t>
      </w:r>
      <w:r>
        <w:rPr>
          <w:rFonts w:hint="eastAsia" w:ascii="Times New Roman" w:hAnsi="Times New Roman" w:eastAsia="仿宋_GB2312"/>
          <w:sz w:val="32"/>
          <w:szCs w:val="32"/>
        </w:rPr>
        <w:t>：</w:t>
      </w:r>
      <w:r>
        <w:rPr>
          <w:rFonts w:ascii="Times New Roman" w:hAnsi="Times New Roman" w:eastAsia="仿宋_GB2312"/>
          <w:sz w:val="32"/>
          <w:szCs w:val="32"/>
          <w:u w:val="single"/>
        </w:rPr>
        <w:t xml:space="preserve">       天津</w:t>
      </w:r>
      <w:r>
        <w:rPr>
          <w:rFonts w:hint="eastAsia" w:ascii="Times New Roman" w:hAnsi="Times New Roman" w:eastAsia="仿宋_GB2312"/>
          <w:sz w:val="32"/>
          <w:szCs w:val="32"/>
          <w:u w:val="single"/>
        </w:rPr>
        <w:t>安信管理咨询</w:t>
      </w:r>
      <w:r>
        <w:rPr>
          <w:rFonts w:ascii="Times New Roman" w:hAnsi="Times New Roman" w:eastAsia="仿宋_GB2312"/>
          <w:sz w:val="32"/>
          <w:szCs w:val="32"/>
          <w:u w:val="single"/>
        </w:rPr>
        <w:t>有限公司</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p>
    <w:p>
      <w:pPr>
        <w:spacing w:line="900" w:lineRule="exact"/>
        <w:ind w:firstLine="0" w:firstLineChars="0"/>
        <w:rPr>
          <w:rFonts w:ascii="Times New Roman" w:hAnsi="Times New Roman" w:eastAsia="仿宋_GB2312"/>
          <w:sz w:val="32"/>
          <w:szCs w:val="32"/>
          <w:u w:val="single"/>
        </w:rPr>
      </w:pPr>
      <w:r>
        <w:rPr>
          <w:rFonts w:ascii="Times New Roman" w:hAnsi="Times New Roman" w:eastAsia="仿宋_GB2312"/>
          <w:sz w:val="32"/>
          <w:szCs w:val="32"/>
        </w:rPr>
        <w:t xml:space="preserve">评 </w:t>
      </w:r>
      <w:r>
        <w:rPr>
          <w:rFonts w:hint="eastAsia" w:ascii="Times New Roman" w:hAnsi="Times New Roman" w:eastAsia="仿宋_GB2312"/>
          <w:sz w:val="32"/>
          <w:szCs w:val="32"/>
        </w:rPr>
        <w:t>价</w:t>
      </w:r>
      <w:r>
        <w:rPr>
          <w:rFonts w:ascii="Times New Roman" w:hAnsi="Times New Roman" w:eastAsia="仿宋_GB2312"/>
          <w:sz w:val="32"/>
          <w:szCs w:val="32"/>
        </w:rPr>
        <w:t xml:space="preserve"> 日 期：</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ascii="Times New Roman" w:hAnsi="Times New Roman" w:eastAsia="仿宋_GB2312" w:cs="Times New Roman"/>
          <w:sz w:val="32"/>
          <w:szCs w:val="32"/>
          <w:u w:val="single"/>
        </w:rPr>
        <w:t>202</w:t>
      </w:r>
      <w:r>
        <w:rPr>
          <w:rFonts w:hint="eastAsia" w:ascii="Times New Roman" w:hAnsi="Times New Roman" w:eastAsia="仿宋_GB2312" w:cs="Times New Roman"/>
          <w:sz w:val="32"/>
          <w:szCs w:val="32"/>
          <w:u w:val="single"/>
        </w:rPr>
        <w:t>4</w:t>
      </w:r>
      <w:r>
        <w:rPr>
          <w:rFonts w:hint="eastAsia" w:ascii="Times New Roman" w:hAnsi="Times New Roman" w:eastAsia="仿宋_GB2312"/>
          <w:sz w:val="32"/>
          <w:szCs w:val="32"/>
          <w:u w:val="single"/>
        </w:rPr>
        <w:t>年</w:t>
      </w:r>
      <w:r>
        <w:rPr>
          <w:rFonts w:hint="eastAsia" w:ascii="Times New Roman" w:hAnsi="Times New Roman" w:eastAsia="仿宋_GB2312" w:cs="Times New Roman"/>
          <w:sz w:val="32"/>
          <w:szCs w:val="32"/>
          <w:u w:val="single"/>
        </w:rPr>
        <w:t>8</w:t>
      </w:r>
      <w:r>
        <w:rPr>
          <w:rFonts w:hint="eastAsia" w:ascii="Times New Roman" w:hAnsi="Times New Roman" w:eastAsia="仿宋_GB2312"/>
          <w:sz w:val="32"/>
          <w:szCs w:val="32"/>
          <w:u w:val="single"/>
        </w:rPr>
        <w:t xml:space="preserve">月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p>
    <w:p>
      <w:pPr>
        <w:widowControl/>
        <w:spacing w:line="240" w:lineRule="auto"/>
        <w:ind w:firstLine="0" w:firstLineChars="0"/>
        <w:rPr>
          <w:rFonts w:ascii="Times New Roman" w:hAnsi="Times New Roman" w:eastAsia="黑体" w:cs="黑体"/>
          <w:sz w:val="32"/>
          <w:szCs w:val="32"/>
        </w:rPr>
      </w:pPr>
      <w:r>
        <w:rPr>
          <w:rFonts w:ascii="Times New Roman" w:hAnsi="Times New Roman" w:eastAsia="黑体" w:cs="黑体"/>
          <w:sz w:val="32"/>
          <w:szCs w:val="32"/>
        </w:rPr>
        <w:br w:type="page"/>
      </w:r>
    </w:p>
    <w:sdt>
      <w:sdtPr>
        <w:rPr>
          <w:rFonts w:ascii="Times New Roman" w:hAnsi="Times New Roman"/>
          <w:lang w:val="zh-CN"/>
        </w:rPr>
        <w:id w:val="1322844121"/>
        <w:docPartObj>
          <w:docPartGallery w:val="Table of Contents"/>
          <w:docPartUnique/>
        </w:docPartObj>
      </w:sdtPr>
      <w:sdtEndPr>
        <w:rPr>
          <w:rFonts w:ascii="Times New Roman" w:hAnsi="Times New Roman"/>
          <w:b/>
          <w:bCs/>
          <w:lang w:val="zh-CN"/>
        </w:rPr>
      </w:sdtEndPr>
      <w:sdtContent>
        <w:p>
          <w:pPr>
            <w:ind w:firstLine="420"/>
            <w:jc w:val="center"/>
            <w:rPr>
              <w:rFonts w:ascii="Times New Roman" w:hAnsi="Times New Roman"/>
              <w:bCs/>
              <w:lang w:val="zh-CN"/>
            </w:rPr>
          </w:pPr>
          <w:r>
            <w:rPr>
              <w:rFonts w:ascii="Times New Roman" w:hAnsi="Times New Roman" w:eastAsia="黑体"/>
              <w:sz w:val="36"/>
              <w:szCs w:val="36"/>
              <w:lang w:val="zh-CN"/>
            </w:rPr>
            <w:t>目</w:t>
          </w:r>
          <w:r>
            <w:rPr>
              <w:rFonts w:hint="eastAsia" w:ascii="Times New Roman" w:hAnsi="Times New Roman" w:eastAsia="黑体"/>
              <w:sz w:val="36"/>
              <w:szCs w:val="36"/>
              <w:lang w:val="zh-CN"/>
            </w:rPr>
            <w:t xml:space="preserve"> </w:t>
          </w:r>
          <w:r>
            <w:rPr>
              <w:rFonts w:ascii="Times New Roman" w:hAnsi="Times New Roman" w:eastAsia="黑体"/>
              <w:sz w:val="36"/>
              <w:szCs w:val="36"/>
              <w:lang w:val="zh-CN"/>
            </w:rPr>
            <w:t xml:space="preserve"> 录</w:t>
          </w:r>
          <w:r>
            <w:rPr>
              <w:rFonts w:ascii="Times New Roman" w:hAnsi="Times New Roman" w:cs="Times New Roman"/>
              <w:sz w:val="22"/>
              <w:szCs w:val="22"/>
            </w:rPr>
            <w:fldChar w:fldCharType="begin"/>
          </w:r>
          <w:r>
            <w:rPr>
              <w:rFonts w:ascii="Times New Roman" w:hAnsi="Times New Roman"/>
            </w:rPr>
            <w:instrText xml:space="preserve"> TOC \o "1-3" \h \z \u </w:instrText>
          </w:r>
          <w:r>
            <w:rPr>
              <w:rFonts w:ascii="Times New Roman" w:hAnsi="Times New Roman" w:cs="Times New Roman"/>
              <w:sz w:val="22"/>
              <w:szCs w:val="22"/>
            </w:rPr>
            <w:fldChar w:fldCharType="separate"/>
          </w:r>
        </w:p>
        <w:p>
          <w:pPr>
            <w:pStyle w:val="12"/>
            <w:tabs>
              <w:tab w:val="right" w:leader="dot" w:pos="8312"/>
              <w:tab w:val="clear" w:pos="8302"/>
            </w:tabs>
            <w:spacing w:after="0" w:line="560" w:lineRule="exact"/>
            <w:rPr>
              <w:rFonts w:ascii="Times New Roman" w:hAnsi="Times New Roman"/>
            </w:rPr>
          </w:pPr>
          <w:r>
            <w:fldChar w:fldCharType="begin"/>
          </w:r>
          <w:r>
            <w:instrText xml:space="preserve"> HYPERLINK \l "_Toc14456" </w:instrText>
          </w:r>
          <w:r>
            <w:fldChar w:fldCharType="separate"/>
          </w:r>
          <w:r>
            <w:rPr>
              <w:rFonts w:hint="eastAsia" w:ascii="Times New Roman" w:hAnsi="Times New Roman"/>
            </w:rPr>
            <w:t>一、项目基本情况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_Toc14456 \h </w:instrText>
          </w:r>
          <w:r>
            <w:rPr>
              <w:rFonts w:ascii="Times New Roman" w:hAnsi="Times New Roman"/>
            </w:rPr>
            <w:fldChar w:fldCharType="separate"/>
          </w:r>
          <w:r>
            <w:rPr>
              <w:rFonts w:ascii="Times New Roman" w:hAnsi="Times New Roman"/>
            </w:rPr>
            <w:t>- 1 -</w:t>
          </w:r>
          <w:r>
            <w:rPr>
              <w:rFonts w:ascii="Times New Roman" w:hAnsi="Times New Roman"/>
            </w:rPr>
            <w:fldChar w:fldCharType="end"/>
          </w:r>
          <w:r>
            <w:rPr>
              <w:rFonts w:ascii="Times New Roman" w:hAnsi="Times New Roman"/>
            </w:rPr>
            <w:fldChar w:fldCharType="end"/>
          </w:r>
        </w:p>
        <w:p>
          <w:pPr>
            <w:pStyle w:val="7"/>
            <w:tabs>
              <w:tab w:val="right" w:leader="dot" w:pos="8312"/>
              <w:tab w:val="clear" w:pos="8302"/>
            </w:tabs>
            <w:spacing w:after="0" w:line="560" w:lineRule="exact"/>
            <w:rPr>
              <w:rFonts w:ascii="Times New Roman" w:hAnsi="Times New Roman"/>
            </w:rPr>
          </w:pPr>
          <w:r>
            <w:fldChar w:fldCharType="begin"/>
          </w:r>
          <w:r>
            <w:instrText xml:space="preserve"> HYPERLINK \l "_Toc21260" </w:instrText>
          </w:r>
          <w:r>
            <w:fldChar w:fldCharType="separate"/>
          </w:r>
          <w:r>
            <w:rPr>
              <w:rFonts w:hint="eastAsia" w:ascii="Times New Roman" w:hAnsi="Times New Roman"/>
            </w:rPr>
            <w:t>（一）项目概况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_Toc21260 \h </w:instrText>
          </w:r>
          <w:r>
            <w:rPr>
              <w:rFonts w:ascii="Times New Roman" w:hAnsi="Times New Roman"/>
            </w:rPr>
            <w:fldChar w:fldCharType="separate"/>
          </w:r>
          <w:r>
            <w:rPr>
              <w:rFonts w:ascii="Times New Roman" w:hAnsi="Times New Roman"/>
            </w:rPr>
            <w:t>- 1 -</w:t>
          </w:r>
          <w:r>
            <w:rPr>
              <w:rFonts w:ascii="Times New Roman" w:hAnsi="Times New Roman"/>
            </w:rPr>
            <w:fldChar w:fldCharType="end"/>
          </w:r>
          <w:r>
            <w:rPr>
              <w:rFonts w:ascii="Times New Roman" w:hAnsi="Times New Roman"/>
            </w:rPr>
            <w:fldChar w:fldCharType="end"/>
          </w:r>
        </w:p>
        <w:p>
          <w:pPr>
            <w:pStyle w:val="7"/>
            <w:tabs>
              <w:tab w:val="right" w:leader="dot" w:pos="8312"/>
              <w:tab w:val="clear" w:pos="8302"/>
            </w:tabs>
            <w:spacing w:after="0" w:line="560" w:lineRule="exact"/>
            <w:rPr>
              <w:rFonts w:ascii="Times New Roman" w:hAnsi="Times New Roman"/>
            </w:rPr>
          </w:pPr>
          <w:r>
            <w:fldChar w:fldCharType="begin"/>
          </w:r>
          <w:r>
            <w:instrText xml:space="preserve"> HYPERLINK \l "_Toc2068" </w:instrText>
          </w:r>
          <w:r>
            <w:fldChar w:fldCharType="separate"/>
          </w:r>
          <w:r>
            <w:rPr>
              <w:rFonts w:hint="eastAsia" w:ascii="Times New Roman" w:hAnsi="Times New Roman"/>
            </w:rPr>
            <w:t>（二）项目绩效目标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_Toc2068 \h </w:instrText>
          </w:r>
          <w:r>
            <w:rPr>
              <w:rFonts w:ascii="Times New Roman" w:hAnsi="Times New Roman"/>
            </w:rPr>
            <w:fldChar w:fldCharType="separate"/>
          </w:r>
          <w:r>
            <w:rPr>
              <w:rFonts w:ascii="Times New Roman" w:hAnsi="Times New Roman"/>
            </w:rPr>
            <w:t>- 3 -</w:t>
          </w:r>
          <w:r>
            <w:rPr>
              <w:rFonts w:ascii="Times New Roman" w:hAnsi="Times New Roman"/>
            </w:rPr>
            <w:fldChar w:fldCharType="end"/>
          </w:r>
          <w:r>
            <w:rPr>
              <w:rFonts w:ascii="Times New Roman" w:hAnsi="Times New Roman"/>
            </w:rPr>
            <w:fldChar w:fldCharType="end"/>
          </w:r>
        </w:p>
        <w:p>
          <w:pPr>
            <w:pStyle w:val="12"/>
            <w:tabs>
              <w:tab w:val="right" w:leader="dot" w:pos="8312"/>
              <w:tab w:val="clear" w:pos="8302"/>
            </w:tabs>
            <w:spacing w:after="0" w:line="560" w:lineRule="exact"/>
            <w:rPr>
              <w:rFonts w:ascii="Times New Roman" w:hAnsi="Times New Roman"/>
            </w:rPr>
          </w:pPr>
          <w:r>
            <w:fldChar w:fldCharType="begin"/>
          </w:r>
          <w:r>
            <w:instrText xml:space="preserve"> HYPERLINK \l "_Toc9893" </w:instrText>
          </w:r>
          <w:r>
            <w:fldChar w:fldCharType="separate"/>
          </w:r>
          <w:r>
            <w:rPr>
              <w:rFonts w:hint="eastAsia" w:ascii="Times New Roman" w:hAnsi="Times New Roman"/>
            </w:rPr>
            <w:t>二、绩效评价工作开展情况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_Toc9893 \h </w:instrText>
          </w:r>
          <w:r>
            <w:rPr>
              <w:rFonts w:ascii="Times New Roman" w:hAnsi="Times New Roman"/>
            </w:rPr>
            <w:fldChar w:fldCharType="separate"/>
          </w:r>
          <w:r>
            <w:rPr>
              <w:rFonts w:ascii="Times New Roman" w:hAnsi="Times New Roman"/>
            </w:rPr>
            <w:t>- 4 -</w:t>
          </w:r>
          <w:r>
            <w:rPr>
              <w:rFonts w:ascii="Times New Roman" w:hAnsi="Times New Roman"/>
            </w:rPr>
            <w:fldChar w:fldCharType="end"/>
          </w:r>
          <w:r>
            <w:rPr>
              <w:rFonts w:ascii="Times New Roman" w:hAnsi="Times New Roman"/>
            </w:rPr>
            <w:fldChar w:fldCharType="end"/>
          </w:r>
        </w:p>
        <w:p>
          <w:pPr>
            <w:pStyle w:val="7"/>
            <w:tabs>
              <w:tab w:val="right" w:leader="dot" w:pos="8312"/>
              <w:tab w:val="clear" w:pos="8302"/>
            </w:tabs>
            <w:spacing w:after="0" w:line="560" w:lineRule="exact"/>
            <w:rPr>
              <w:rFonts w:ascii="Times New Roman" w:hAnsi="Times New Roman"/>
            </w:rPr>
          </w:pPr>
          <w:r>
            <w:fldChar w:fldCharType="begin"/>
          </w:r>
          <w:r>
            <w:instrText xml:space="preserve"> HYPERLINK \l "_Toc28197" </w:instrText>
          </w:r>
          <w:r>
            <w:fldChar w:fldCharType="separate"/>
          </w:r>
          <w:r>
            <w:rPr>
              <w:rFonts w:hint="eastAsia" w:ascii="Times New Roman" w:hAnsi="Times New Roman"/>
            </w:rPr>
            <w:t>（一）绩效评价的目的、对象和范围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_Toc28197 \h </w:instrText>
          </w:r>
          <w:r>
            <w:rPr>
              <w:rFonts w:ascii="Times New Roman" w:hAnsi="Times New Roman"/>
            </w:rPr>
            <w:fldChar w:fldCharType="separate"/>
          </w:r>
          <w:r>
            <w:rPr>
              <w:rFonts w:ascii="Times New Roman" w:hAnsi="Times New Roman"/>
            </w:rPr>
            <w:t>- 4 -</w:t>
          </w:r>
          <w:r>
            <w:rPr>
              <w:rFonts w:ascii="Times New Roman" w:hAnsi="Times New Roman"/>
            </w:rPr>
            <w:fldChar w:fldCharType="end"/>
          </w:r>
          <w:r>
            <w:rPr>
              <w:rFonts w:ascii="Times New Roman" w:hAnsi="Times New Roman"/>
            </w:rPr>
            <w:fldChar w:fldCharType="end"/>
          </w:r>
        </w:p>
        <w:p>
          <w:pPr>
            <w:pStyle w:val="7"/>
            <w:tabs>
              <w:tab w:val="right" w:leader="dot" w:pos="8312"/>
              <w:tab w:val="clear" w:pos="8302"/>
            </w:tabs>
            <w:spacing w:after="0" w:line="560" w:lineRule="exact"/>
            <w:rPr>
              <w:rFonts w:ascii="Times New Roman" w:hAnsi="Times New Roman"/>
            </w:rPr>
          </w:pPr>
          <w:r>
            <w:fldChar w:fldCharType="begin"/>
          </w:r>
          <w:r>
            <w:instrText xml:space="preserve"> HYPERLINK \l "_Toc22907" </w:instrText>
          </w:r>
          <w:r>
            <w:fldChar w:fldCharType="separate"/>
          </w:r>
          <w:r>
            <w:rPr>
              <w:rFonts w:hint="eastAsia" w:ascii="Times New Roman" w:hAnsi="Times New Roman"/>
            </w:rPr>
            <w:t>（二）</w:t>
          </w:r>
          <w:r>
            <w:rPr>
              <w:rFonts w:ascii="Times New Roman" w:hAnsi="Times New Roman"/>
            </w:rPr>
            <w:t>绩效评价</w:t>
          </w:r>
          <w:r>
            <w:rPr>
              <w:rFonts w:hint="eastAsia" w:ascii="Times New Roman" w:hAnsi="Times New Roman"/>
            </w:rPr>
            <w:t>原则、评价指标体系、评价方法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_Toc22907 \h </w:instrText>
          </w:r>
          <w:r>
            <w:rPr>
              <w:rFonts w:ascii="Times New Roman" w:hAnsi="Times New Roman"/>
            </w:rPr>
            <w:fldChar w:fldCharType="separate"/>
          </w:r>
          <w:r>
            <w:rPr>
              <w:rFonts w:ascii="Times New Roman" w:hAnsi="Times New Roman"/>
            </w:rPr>
            <w:t>- 5 -</w:t>
          </w:r>
          <w:r>
            <w:rPr>
              <w:rFonts w:ascii="Times New Roman" w:hAnsi="Times New Roman"/>
            </w:rPr>
            <w:fldChar w:fldCharType="end"/>
          </w:r>
          <w:r>
            <w:rPr>
              <w:rFonts w:ascii="Times New Roman" w:hAnsi="Times New Roman"/>
            </w:rPr>
            <w:fldChar w:fldCharType="end"/>
          </w:r>
        </w:p>
        <w:p>
          <w:pPr>
            <w:pStyle w:val="7"/>
            <w:tabs>
              <w:tab w:val="right" w:leader="dot" w:pos="8312"/>
              <w:tab w:val="clear" w:pos="8302"/>
            </w:tabs>
            <w:spacing w:after="0" w:line="560" w:lineRule="exact"/>
            <w:rPr>
              <w:rFonts w:ascii="Times New Roman" w:hAnsi="Times New Roman"/>
            </w:rPr>
          </w:pPr>
          <w:r>
            <w:fldChar w:fldCharType="begin"/>
          </w:r>
          <w:r>
            <w:instrText xml:space="preserve"> HYPERLINK \l "_Toc4013" </w:instrText>
          </w:r>
          <w:r>
            <w:fldChar w:fldCharType="separate"/>
          </w:r>
          <w:r>
            <w:rPr>
              <w:rFonts w:hint="eastAsia" w:ascii="Times New Roman" w:hAnsi="Times New Roman"/>
            </w:rPr>
            <w:t>（三）绩效评价工作过程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_Toc4013 \h </w:instrText>
          </w:r>
          <w:r>
            <w:rPr>
              <w:rFonts w:ascii="Times New Roman" w:hAnsi="Times New Roman"/>
            </w:rPr>
            <w:fldChar w:fldCharType="separate"/>
          </w:r>
          <w:r>
            <w:rPr>
              <w:rFonts w:ascii="Times New Roman" w:hAnsi="Times New Roman"/>
            </w:rPr>
            <w:t>- 10 -</w:t>
          </w:r>
          <w:r>
            <w:rPr>
              <w:rFonts w:ascii="Times New Roman" w:hAnsi="Times New Roman"/>
            </w:rPr>
            <w:fldChar w:fldCharType="end"/>
          </w:r>
          <w:r>
            <w:rPr>
              <w:rFonts w:ascii="Times New Roman" w:hAnsi="Times New Roman"/>
            </w:rPr>
            <w:fldChar w:fldCharType="end"/>
          </w:r>
        </w:p>
        <w:p>
          <w:pPr>
            <w:pStyle w:val="12"/>
            <w:tabs>
              <w:tab w:val="right" w:leader="dot" w:pos="8312"/>
              <w:tab w:val="clear" w:pos="8302"/>
            </w:tabs>
            <w:spacing w:after="0" w:line="560" w:lineRule="exact"/>
            <w:rPr>
              <w:rFonts w:ascii="Times New Roman" w:hAnsi="Times New Roman"/>
            </w:rPr>
          </w:pPr>
          <w:r>
            <w:fldChar w:fldCharType="begin"/>
          </w:r>
          <w:r>
            <w:instrText xml:space="preserve"> HYPERLINK \l "_Toc2919" </w:instrText>
          </w:r>
          <w:r>
            <w:fldChar w:fldCharType="separate"/>
          </w:r>
          <w:r>
            <w:rPr>
              <w:rFonts w:hint="eastAsia" w:ascii="Times New Roman" w:hAnsi="Times New Roman"/>
            </w:rPr>
            <w:t>三、综合评价情况及评价结论</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_Toc2919 \h </w:instrText>
          </w:r>
          <w:r>
            <w:rPr>
              <w:rFonts w:ascii="Times New Roman" w:hAnsi="Times New Roman"/>
            </w:rPr>
            <w:fldChar w:fldCharType="separate"/>
          </w:r>
          <w:r>
            <w:rPr>
              <w:rFonts w:ascii="Times New Roman" w:hAnsi="Times New Roman"/>
            </w:rPr>
            <w:t>- 12 -</w:t>
          </w:r>
          <w:r>
            <w:rPr>
              <w:rFonts w:ascii="Times New Roman" w:hAnsi="Times New Roman"/>
            </w:rPr>
            <w:fldChar w:fldCharType="end"/>
          </w:r>
          <w:r>
            <w:rPr>
              <w:rFonts w:ascii="Times New Roman" w:hAnsi="Times New Roman"/>
            </w:rPr>
            <w:fldChar w:fldCharType="end"/>
          </w:r>
        </w:p>
        <w:p>
          <w:pPr>
            <w:pStyle w:val="12"/>
            <w:tabs>
              <w:tab w:val="right" w:leader="dot" w:pos="8312"/>
              <w:tab w:val="clear" w:pos="8302"/>
            </w:tabs>
            <w:spacing w:after="0" w:line="560" w:lineRule="exact"/>
            <w:rPr>
              <w:rFonts w:ascii="Times New Roman" w:hAnsi="Times New Roman"/>
            </w:rPr>
          </w:pPr>
          <w:r>
            <w:fldChar w:fldCharType="begin"/>
          </w:r>
          <w:r>
            <w:instrText xml:space="preserve"> HYPERLINK \l "_Toc26742" </w:instrText>
          </w:r>
          <w:r>
            <w:fldChar w:fldCharType="separate"/>
          </w:r>
          <w:r>
            <w:rPr>
              <w:rFonts w:hint="eastAsia" w:ascii="Times New Roman" w:hAnsi="Times New Roman"/>
            </w:rPr>
            <w:t>四、绩效评价指标分析</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_Toc26742 \h </w:instrText>
          </w:r>
          <w:r>
            <w:rPr>
              <w:rFonts w:ascii="Times New Roman" w:hAnsi="Times New Roman"/>
            </w:rPr>
            <w:fldChar w:fldCharType="separate"/>
          </w:r>
          <w:r>
            <w:rPr>
              <w:rFonts w:ascii="Times New Roman" w:hAnsi="Times New Roman"/>
            </w:rPr>
            <w:t>- 13 -</w:t>
          </w:r>
          <w:r>
            <w:rPr>
              <w:rFonts w:ascii="Times New Roman" w:hAnsi="Times New Roman"/>
            </w:rPr>
            <w:fldChar w:fldCharType="end"/>
          </w:r>
          <w:r>
            <w:rPr>
              <w:rFonts w:ascii="Times New Roman" w:hAnsi="Times New Roman"/>
            </w:rPr>
            <w:fldChar w:fldCharType="end"/>
          </w:r>
        </w:p>
        <w:p>
          <w:pPr>
            <w:pStyle w:val="7"/>
            <w:tabs>
              <w:tab w:val="right" w:leader="dot" w:pos="8312"/>
              <w:tab w:val="clear" w:pos="8302"/>
            </w:tabs>
            <w:spacing w:after="0" w:line="560" w:lineRule="exact"/>
            <w:rPr>
              <w:rFonts w:ascii="Times New Roman" w:hAnsi="Times New Roman"/>
            </w:rPr>
          </w:pPr>
          <w:r>
            <w:fldChar w:fldCharType="begin"/>
          </w:r>
          <w:r>
            <w:instrText xml:space="preserve"> HYPERLINK \l "_Toc7938" </w:instrText>
          </w:r>
          <w:r>
            <w:fldChar w:fldCharType="separate"/>
          </w:r>
          <w:r>
            <w:rPr>
              <w:rFonts w:hint="eastAsia" w:ascii="Times New Roman" w:hAnsi="Times New Roman"/>
            </w:rPr>
            <w:t>（一）项目决策情况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_Toc7938 \h </w:instrText>
          </w:r>
          <w:r>
            <w:rPr>
              <w:rFonts w:ascii="Times New Roman" w:hAnsi="Times New Roman"/>
            </w:rPr>
            <w:fldChar w:fldCharType="separate"/>
          </w:r>
          <w:r>
            <w:rPr>
              <w:rFonts w:ascii="Times New Roman" w:hAnsi="Times New Roman"/>
            </w:rPr>
            <w:t>- 13 -</w:t>
          </w:r>
          <w:r>
            <w:rPr>
              <w:rFonts w:ascii="Times New Roman" w:hAnsi="Times New Roman"/>
            </w:rPr>
            <w:fldChar w:fldCharType="end"/>
          </w:r>
          <w:r>
            <w:rPr>
              <w:rFonts w:ascii="Times New Roman" w:hAnsi="Times New Roman"/>
            </w:rPr>
            <w:fldChar w:fldCharType="end"/>
          </w:r>
        </w:p>
        <w:p>
          <w:pPr>
            <w:pStyle w:val="7"/>
            <w:tabs>
              <w:tab w:val="right" w:leader="dot" w:pos="8312"/>
              <w:tab w:val="clear" w:pos="8302"/>
            </w:tabs>
            <w:spacing w:after="0" w:line="560" w:lineRule="exact"/>
            <w:rPr>
              <w:rFonts w:ascii="Times New Roman" w:hAnsi="Times New Roman"/>
            </w:rPr>
          </w:pPr>
          <w:r>
            <w:fldChar w:fldCharType="begin"/>
          </w:r>
          <w:r>
            <w:instrText xml:space="preserve"> HYPERLINK \l "_Toc5860" </w:instrText>
          </w:r>
          <w:r>
            <w:fldChar w:fldCharType="separate"/>
          </w:r>
          <w:r>
            <w:rPr>
              <w:rFonts w:hint="eastAsia" w:ascii="Times New Roman" w:hAnsi="Times New Roman"/>
            </w:rPr>
            <w:t>（二）项目过程情况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_Toc5860 \h </w:instrText>
          </w:r>
          <w:r>
            <w:rPr>
              <w:rFonts w:ascii="Times New Roman" w:hAnsi="Times New Roman"/>
            </w:rPr>
            <w:fldChar w:fldCharType="separate"/>
          </w:r>
          <w:r>
            <w:rPr>
              <w:rFonts w:ascii="Times New Roman" w:hAnsi="Times New Roman"/>
            </w:rPr>
            <w:t>- 17 -</w:t>
          </w:r>
          <w:r>
            <w:rPr>
              <w:rFonts w:ascii="Times New Roman" w:hAnsi="Times New Roman"/>
            </w:rPr>
            <w:fldChar w:fldCharType="end"/>
          </w:r>
          <w:r>
            <w:rPr>
              <w:rFonts w:ascii="Times New Roman" w:hAnsi="Times New Roman"/>
            </w:rPr>
            <w:fldChar w:fldCharType="end"/>
          </w:r>
        </w:p>
        <w:p>
          <w:pPr>
            <w:pStyle w:val="7"/>
            <w:tabs>
              <w:tab w:val="right" w:leader="dot" w:pos="8312"/>
              <w:tab w:val="clear" w:pos="8302"/>
            </w:tabs>
            <w:spacing w:after="0" w:line="560" w:lineRule="exact"/>
            <w:rPr>
              <w:rFonts w:ascii="Times New Roman" w:hAnsi="Times New Roman"/>
            </w:rPr>
          </w:pPr>
          <w:r>
            <w:fldChar w:fldCharType="begin"/>
          </w:r>
          <w:r>
            <w:instrText xml:space="preserve"> HYPERLINK \l "_Toc3746" </w:instrText>
          </w:r>
          <w:r>
            <w:fldChar w:fldCharType="separate"/>
          </w:r>
          <w:r>
            <w:rPr>
              <w:rFonts w:hint="eastAsia" w:ascii="Times New Roman" w:hAnsi="Times New Roman"/>
            </w:rPr>
            <w:t>（三）项目产出情况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_Toc3746 \h </w:instrText>
          </w:r>
          <w:r>
            <w:rPr>
              <w:rFonts w:ascii="Times New Roman" w:hAnsi="Times New Roman"/>
            </w:rPr>
            <w:fldChar w:fldCharType="separate"/>
          </w:r>
          <w:r>
            <w:rPr>
              <w:rFonts w:ascii="Times New Roman" w:hAnsi="Times New Roman"/>
            </w:rPr>
            <w:t>- 21 -</w:t>
          </w:r>
          <w:r>
            <w:rPr>
              <w:rFonts w:ascii="Times New Roman" w:hAnsi="Times New Roman"/>
            </w:rPr>
            <w:fldChar w:fldCharType="end"/>
          </w:r>
          <w:r>
            <w:rPr>
              <w:rFonts w:ascii="Times New Roman" w:hAnsi="Times New Roman"/>
            </w:rPr>
            <w:fldChar w:fldCharType="end"/>
          </w:r>
        </w:p>
        <w:p>
          <w:pPr>
            <w:pStyle w:val="7"/>
            <w:tabs>
              <w:tab w:val="right" w:leader="dot" w:pos="8312"/>
              <w:tab w:val="clear" w:pos="8302"/>
            </w:tabs>
            <w:spacing w:after="0" w:line="560" w:lineRule="exact"/>
            <w:rPr>
              <w:rFonts w:ascii="Times New Roman" w:hAnsi="Times New Roman"/>
            </w:rPr>
          </w:pPr>
          <w:r>
            <w:fldChar w:fldCharType="begin"/>
          </w:r>
          <w:r>
            <w:instrText xml:space="preserve"> HYPERLINK \l "_Toc13160" </w:instrText>
          </w:r>
          <w:r>
            <w:fldChar w:fldCharType="separate"/>
          </w:r>
          <w:r>
            <w:rPr>
              <w:rFonts w:hint="eastAsia" w:ascii="Times New Roman" w:hAnsi="Times New Roman"/>
            </w:rPr>
            <w:t>（四）项目效益情况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_Toc13160 \h </w:instrText>
          </w:r>
          <w:r>
            <w:rPr>
              <w:rFonts w:ascii="Times New Roman" w:hAnsi="Times New Roman"/>
            </w:rPr>
            <w:fldChar w:fldCharType="separate"/>
          </w:r>
          <w:r>
            <w:rPr>
              <w:rFonts w:ascii="Times New Roman" w:hAnsi="Times New Roman"/>
            </w:rPr>
            <w:t>- 23 -</w:t>
          </w:r>
          <w:r>
            <w:rPr>
              <w:rFonts w:ascii="Times New Roman" w:hAnsi="Times New Roman"/>
            </w:rPr>
            <w:fldChar w:fldCharType="end"/>
          </w:r>
          <w:r>
            <w:rPr>
              <w:rFonts w:ascii="Times New Roman" w:hAnsi="Times New Roman"/>
            </w:rPr>
            <w:fldChar w:fldCharType="end"/>
          </w:r>
        </w:p>
        <w:p>
          <w:pPr>
            <w:pStyle w:val="12"/>
            <w:tabs>
              <w:tab w:val="right" w:leader="dot" w:pos="8312"/>
              <w:tab w:val="clear" w:pos="8302"/>
            </w:tabs>
            <w:spacing w:after="0" w:line="560" w:lineRule="exact"/>
            <w:rPr>
              <w:rFonts w:ascii="Times New Roman" w:hAnsi="Times New Roman"/>
            </w:rPr>
          </w:pPr>
          <w:r>
            <w:fldChar w:fldCharType="begin"/>
          </w:r>
          <w:r>
            <w:instrText xml:space="preserve"> HYPERLINK \l "_Toc25217" </w:instrText>
          </w:r>
          <w:r>
            <w:fldChar w:fldCharType="separate"/>
          </w:r>
          <w:r>
            <w:rPr>
              <w:rFonts w:hint="eastAsia" w:ascii="Times New Roman" w:hAnsi="Times New Roman"/>
            </w:rPr>
            <w:t>五、存在的主要问题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_Toc25217 \h </w:instrText>
          </w:r>
          <w:r>
            <w:rPr>
              <w:rFonts w:ascii="Times New Roman" w:hAnsi="Times New Roman"/>
            </w:rPr>
            <w:fldChar w:fldCharType="separate"/>
          </w:r>
          <w:r>
            <w:rPr>
              <w:rFonts w:ascii="Times New Roman" w:hAnsi="Times New Roman"/>
            </w:rPr>
            <w:t>- 25 -</w:t>
          </w:r>
          <w:r>
            <w:rPr>
              <w:rFonts w:ascii="Times New Roman" w:hAnsi="Times New Roman"/>
            </w:rPr>
            <w:fldChar w:fldCharType="end"/>
          </w:r>
          <w:r>
            <w:rPr>
              <w:rFonts w:ascii="Times New Roman" w:hAnsi="Times New Roman"/>
            </w:rPr>
            <w:fldChar w:fldCharType="end"/>
          </w:r>
        </w:p>
        <w:p>
          <w:pPr>
            <w:pStyle w:val="7"/>
            <w:tabs>
              <w:tab w:val="right" w:leader="dot" w:pos="8312"/>
              <w:tab w:val="clear" w:pos="8302"/>
            </w:tabs>
            <w:spacing w:after="0" w:line="560" w:lineRule="exact"/>
            <w:rPr>
              <w:rFonts w:ascii="Times New Roman" w:hAnsi="Times New Roman"/>
            </w:rPr>
          </w:pPr>
          <w:r>
            <w:fldChar w:fldCharType="begin"/>
          </w:r>
          <w:r>
            <w:instrText xml:space="preserve"> HYPERLINK \l "_Toc30885" </w:instrText>
          </w:r>
          <w:r>
            <w:fldChar w:fldCharType="separate"/>
          </w:r>
          <w:r>
            <w:rPr>
              <w:rFonts w:hint="eastAsia" w:ascii="Times New Roman" w:hAnsi="Times New Roman"/>
            </w:rPr>
            <w:t>（一）项目绩效管理水平有待加强</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_Toc30885 \h </w:instrText>
          </w:r>
          <w:r>
            <w:rPr>
              <w:rFonts w:ascii="Times New Roman" w:hAnsi="Times New Roman"/>
            </w:rPr>
            <w:fldChar w:fldCharType="separate"/>
          </w:r>
          <w:r>
            <w:rPr>
              <w:rFonts w:ascii="Times New Roman" w:hAnsi="Times New Roman"/>
            </w:rPr>
            <w:t>- 25 -</w:t>
          </w:r>
          <w:r>
            <w:rPr>
              <w:rFonts w:ascii="Times New Roman" w:hAnsi="Times New Roman"/>
            </w:rPr>
            <w:fldChar w:fldCharType="end"/>
          </w:r>
          <w:r>
            <w:rPr>
              <w:rFonts w:ascii="Times New Roman" w:hAnsi="Times New Roman"/>
            </w:rPr>
            <w:fldChar w:fldCharType="end"/>
          </w:r>
        </w:p>
        <w:p>
          <w:pPr>
            <w:pStyle w:val="7"/>
            <w:tabs>
              <w:tab w:val="right" w:leader="dot" w:pos="8312"/>
              <w:tab w:val="clear" w:pos="8302"/>
            </w:tabs>
            <w:spacing w:after="0" w:line="560" w:lineRule="exact"/>
            <w:rPr>
              <w:rFonts w:ascii="Times New Roman" w:hAnsi="Times New Roman"/>
            </w:rPr>
          </w:pPr>
          <w:r>
            <w:fldChar w:fldCharType="begin"/>
          </w:r>
          <w:r>
            <w:instrText xml:space="preserve"> HYPERLINK \l "_Toc6365" </w:instrText>
          </w:r>
          <w:r>
            <w:fldChar w:fldCharType="separate"/>
          </w:r>
          <w:r>
            <w:rPr>
              <w:rFonts w:hint="eastAsia" w:ascii="Times New Roman" w:hAnsi="Times New Roman"/>
            </w:rPr>
            <w:t>（二）项目预算调整及时性有待提高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_Toc6365 \h </w:instrText>
          </w:r>
          <w:r>
            <w:rPr>
              <w:rFonts w:ascii="Times New Roman" w:hAnsi="Times New Roman"/>
            </w:rPr>
            <w:fldChar w:fldCharType="separate"/>
          </w:r>
          <w:r>
            <w:rPr>
              <w:rFonts w:ascii="Times New Roman" w:hAnsi="Times New Roman"/>
            </w:rPr>
            <w:t>- 26 -</w:t>
          </w:r>
          <w:r>
            <w:rPr>
              <w:rFonts w:ascii="Times New Roman" w:hAnsi="Times New Roman"/>
            </w:rPr>
            <w:fldChar w:fldCharType="end"/>
          </w:r>
          <w:r>
            <w:rPr>
              <w:rFonts w:ascii="Times New Roman" w:hAnsi="Times New Roman"/>
            </w:rPr>
            <w:fldChar w:fldCharType="end"/>
          </w:r>
        </w:p>
        <w:p>
          <w:pPr>
            <w:pStyle w:val="7"/>
            <w:tabs>
              <w:tab w:val="right" w:leader="dot" w:pos="8312"/>
              <w:tab w:val="clear" w:pos="8302"/>
            </w:tabs>
            <w:spacing w:after="0" w:line="560" w:lineRule="exact"/>
            <w:rPr>
              <w:rFonts w:ascii="Times New Roman" w:hAnsi="Times New Roman"/>
            </w:rPr>
          </w:pPr>
          <w:r>
            <w:fldChar w:fldCharType="begin"/>
          </w:r>
          <w:r>
            <w:instrText xml:space="preserve"> HYPERLINK \l "_Toc27001" </w:instrText>
          </w:r>
          <w:r>
            <w:fldChar w:fldCharType="separate"/>
          </w:r>
          <w:r>
            <w:rPr>
              <w:rFonts w:hint="eastAsia" w:ascii="Times New Roman" w:hAnsi="Times New Roman"/>
            </w:rPr>
            <w:t>（三）项目管理工作指引汇编有待建立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_Toc27001 \h </w:instrText>
          </w:r>
          <w:r>
            <w:rPr>
              <w:rFonts w:ascii="Times New Roman" w:hAnsi="Times New Roman"/>
            </w:rPr>
            <w:fldChar w:fldCharType="separate"/>
          </w:r>
          <w:r>
            <w:rPr>
              <w:rFonts w:ascii="Times New Roman" w:hAnsi="Times New Roman"/>
            </w:rPr>
            <w:t>- 26 -</w:t>
          </w:r>
          <w:r>
            <w:rPr>
              <w:rFonts w:ascii="Times New Roman" w:hAnsi="Times New Roman"/>
            </w:rPr>
            <w:fldChar w:fldCharType="end"/>
          </w:r>
          <w:r>
            <w:rPr>
              <w:rFonts w:ascii="Times New Roman" w:hAnsi="Times New Roman"/>
            </w:rPr>
            <w:fldChar w:fldCharType="end"/>
          </w:r>
        </w:p>
        <w:p>
          <w:pPr>
            <w:pStyle w:val="12"/>
            <w:tabs>
              <w:tab w:val="right" w:leader="dot" w:pos="8312"/>
              <w:tab w:val="clear" w:pos="8302"/>
            </w:tabs>
            <w:spacing w:after="0" w:line="560" w:lineRule="exact"/>
            <w:rPr>
              <w:rFonts w:ascii="Times New Roman" w:hAnsi="Times New Roman"/>
            </w:rPr>
          </w:pPr>
          <w:r>
            <w:fldChar w:fldCharType="begin"/>
          </w:r>
          <w:r>
            <w:instrText xml:space="preserve"> HYPERLINK \l "_Toc6221" </w:instrText>
          </w:r>
          <w:r>
            <w:fldChar w:fldCharType="separate"/>
          </w:r>
          <w:r>
            <w:rPr>
              <w:rFonts w:hint="eastAsia" w:ascii="Times New Roman" w:hAnsi="Times New Roman"/>
            </w:rPr>
            <w:t>六、相关建议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_Toc6221 \h </w:instrText>
          </w:r>
          <w:r>
            <w:rPr>
              <w:rFonts w:ascii="Times New Roman" w:hAnsi="Times New Roman"/>
            </w:rPr>
            <w:fldChar w:fldCharType="separate"/>
          </w:r>
          <w:r>
            <w:rPr>
              <w:rFonts w:ascii="Times New Roman" w:hAnsi="Times New Roman"/>
            </w:rPr>
            <w:t>- 26 -</w:t>
          </w:r>
          <w:r>
            <w:rPr>
              <w:rFonts w:ascii="Times New Roman" w:hAnsi="Times New Roman"/>
            </w:rPr>
            <w:fldChar w:fldCharType="end"/>
          </w:r>
          <w:r>
            <w:rPr>
              <w:rFonts w:ascii="Times New Roman" w:hAnsi="Times New Roman"/>
            </w:rPr>
            <w:fldChar w:fldCharType="end"/>
          </w:r>
        </w:p>
        <w:p>
          <w:pPr>
            <w:pStyle w:val="7"/>
            <w:tabs>
              <w:tab w:val="right" w:leader="dot" w:pos="8312"/>
              <w:tab w:val="clear" w:pos="8302"/>
            </w:tabs>
            <w:spacing w:after="0" w:line="560" w:lineRule="exact"/>
            <w:rPr>
              <w:rFonts w:ascii="Times New Roman" w:hAnsi="Times New Roman"/>
            </w:rPr>
          </w:pPr>
          <w:r>
            <w:fldChar w:fldCharType="begin"/>
          </w:r>
          <w:r>
            <w:instrText xml:space="preserve"> HYPERLINK \l "_Toc19591" </w:instrText>
          </w:r>
          <w:r>
            <w:fldChar w:fldCharType="separate"/>
          </w:r>
          <w:r>
            <w:rPr>
              <w:rFonts w:hint="eastAsia" w:ascii="Times New Roman" w:hAnsi="Times New Roman"/>
            </w:rPr>
            <w:t>（一）进一步强化项目绩效管理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_Toc19591 \h </w:instrText>
          </w:r>
          <w:r>
            <w:rPr>
              <w:rFonts w:ascii="Times New Roman" w:hAnsi="Times New Roman"/>
            </w:rPr>
            <w:fldChar w:fldCharType="separate"/>
          </w:r>
          <w:r>
            <w:rPr>
              <w:rFonts w:ascii="Times New Roman" w:hAnsi="Times New Roman"/>
            </w:rPr>
            <w:t>- 26 -</w:t>
          </w:r>
          <w:r>
            <w:rPr>
              <w:rFonts w:ascii="Times New Roman" w:hAnsi="Times New Roman"/>
            </w:rPr>
            <w:fldChar w:fldCharType="end"/>
          </w:r>
          <w:r>
            <w:rPr>
              <w:rFonts w:ascii="Times New Roman" w:hAnsi="Times New Roman"/>
            </w:rPr>
            <w:fldChar w:fldCharType="end"/>
          </w:r>
        </w:p>
        <w:p>
          <w:pPr>
            <w:pStyle w:val="7"/>
            <w:tabs>
              <w:tab w:val="right" w:leader="dot" w:pos="8312"/>
              <w:tab w:val="clear" w:pos="8302"/>
            </w:tabs>
            <w:spacing w:after="0" w:line="560" w:lineRule="exact"/>
            <w:rPr>
              <w:rFonts w:ascii="Times New Roman" w:hAnsi="Times New Roman"/>
            </w:rPr>
          </w:pPr>
          <w:r>
            <w:fldChar w:fldCharType="begin"/>
          </w:r>
          <w:r>
            <w:instrText xml:space="preserve"> HYPERLINK \l "_Toc17834" </w:instrText>
          </w:r>
          <w:r>
            <w:fldChar w:fldCharType="separate"/>
          </w:r>
          <w:r>
            <w:rPr>
              <w:rFonts w:hint="eastAsia" w:ascii="Times New Roman" w:hAnsi="Times New Roman"/>
            </w:rPr>
            <w:t>（二）及时根据项目进展申报预算调整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_Toc17834 \h </w:instrText>
          </w:r>
          <w:r>
            <w:rPr>
              <w:rFonts w:ascii="Times New Roman" w:hAnsi="Times New Roman"/>
            </w:rPr>
            <w:fldChar w:fldCharType="separate"/>
          </w:r>
          <w:r>
            <w:rPr>
              <w:rFonts w:ascii="Times New Roman" w:hAnsi="Times New Roman"/>
            </w:rPr>
            <w:t>- 27 -</w:t>
          </w:r>
          <w:r>
            <w:rPr>
              <w:rFonts w:ascii="Times New Roman" w:hAnsi="Times New Roman"/>
            </w:rPr>
            <w:fldChar w:fldCharType="end"/>
          </w:r>
          <w:r>
            <w:rPr>
              <w:rFonts w:ascii="Times New Roman" w:hAnsi="Times New Roman"/>
            </w:rPr>
            <w:fldChar w:fldCharType="end"/>
          </w:r>
        </w:p>
        <w:p>
          <w:pPr>
            <w:pStyle w:val="7"/>
            <w:tabs>
              <w:tab w:val="right" w:leader="dot" w:pos="8312"/>
              <w:tab w:val="clear" w:pos="8302"/>
            </w:tabs>
            <w:spacing w:after="0" w:line="560" w:lineRule="exact"/>
            <w:rPr>
              <w:rFonts w:ascii="Times New Roman" w:hAnsi="Times New Roman"/>
            </w:rPr>
          </w:pPr>
          <w:r>
            <w:fldChar w:fldCharType="begin"/>
          </w:r>
          <w:r>
            <w:instrText xml:space="preserve"> HYPERLINK \l "_Toc20736" </w:instrText>
          </w:r>
          <w:r>
            <w:fldChar w:fldCharType="separate"/>
          </w:r>
          <w:r>
            <w:rPr>
              <w:rFonts w:hint="eastAsia" w:ascii="Times New Roman" w:hAnsi="Times New Roman"/>
            </w:rPr>
            <w:t>（三）整合建立项目管理工作指引汇编</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_Toc20736 \h </w:instrText>
          </w:r>
          <w:r>
            <w:rPr>
              <w:rFonts w:ascii="Times New Roman" w:hAnsi="Times New Roman"/>
            </w:rPr>
            <w:fldChar w:fldCharType="separate"/>
          </w:r>
          <w:r>
            <w:rPr>
              <w:rFonts w:ascii="Times New Roman" w:hAnsi="Times New Roman"/>
            </w:rPr>
            <w:t>- 27 -</w:t>
          </w:r>
          <w:r>
            <w:rPr>
              <w:rFonts w:ascii="Times New Roman" w:hAnsi="Times New Roman"/>
            </w:rPr>
            <w:fldChar w:fldCharType="end"/>
          </w:r>
          <w:r>
            <w:rPr>
              <w:rFonts w:ascii="Times New Roman" w:hAnsi="Times New Roman"/>
            </w:rPr>
            <w:fldChar w:fldCharType="end"/>
          </w:r>
        </w:p>
        <w:p>
          <w:pPr>
            <w:pStyle w:val="12"/>
            <w:tabs>
              <w:tab w:val="right" w:leader="dot" w:pos="8312"/>
              <w:tab w:val="clear" w:pos="8302"/>
            </w:tabs>
            <w:spacing w:after="0" w:line="560" w:lineRule="exact"/>
            <w:rPr>
              <w:rFonts w:ascii="Times New Roman" w:hAnsi="Times New Roman"/>
            </w:rPr>
          </w:pPr>
          <w:r>
            <w:fldChar w:fldCharType="begin"/>
          </w:r>
          <w:r>
            <w:instrText xml:space="preserve"> HYPERLINK \l "_Toc25137" </w:instrText>
          </w:r>
          <w:r>
            <w:fldChar w:fldCharType="separate"/>
          </w:r>
          <w:r>
            <w:rPr>
              <w:rFonts w:hint="eastAsia" w:ascii="Times New Roman" w:hAnsi="Times New Roman" w:cs="黑体"/>
              <w:szCs w:val="21"/>
            </w:rPr>
            <w:t xml:space="preserve">七、 </w:t>
          </w:r>
          <w:r>
            <w:rPr>
              <w:rFonts w:hint="eastAsia" w:ascii="Times New Roman" w:hAnsi="Times New Roman"/>
            </w:rPr>
            <w:t>其他需要说明的问题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_Toc25137 \h </w:instrText>
          </w:r>
          <w:r>
            <w:rPr>
              <w:rFonts w:ascii="Times New Roman" w:hAnsi="Times New Roman"/>
            </w:rPr>
            <w:fldChar w:fldCharType="separate"/>
          </w:r>
          <w:r>
            <w:rPr>
              <w:rFonts w:ascii="Times New Roman" w:hAnsi="Times New Roman"/>
            </w:rPr>
            <w:t>- 27 -</w:t>
          </w:r>
          <w:r>
            <w:rPr>
              <w:rFonts w:ascii="Times New Roman" w:hAnsi="Times New Roman"/>
            </w:rPr>
            <w:fldChar w:fldCharType="end"/>
          </w:r>
          <w:r>
            <w:rPr>
              <w:rFonts w:ascii="Times New Roman" w:hAnsi="Times New Roman"/>
            </w:rPr>
            <w:fldChar w:fldCharType="end"/>
          </w:r>
        </w:p>
        <w:p>
          <w:pPr>
            <w:pStyle w:val="12"/>
            <w:tabs>
              <w:tab w:val="right" w:leader="dot" w:pos="8312"/>
              <w:tab w:val="clear" w:pos="8302"/>
            </w:tabs>
            <w:spacing w:after="0" w:line="560" w:lineRule="exact"/>
          </w:pPr>
          <w:r>
            <w:fldChar w:fldCharType="begin"/>
          </w:r>
          <w:r>
            <w:instrText xml:space="preserve"> HYPERLINK \l "_Toc3766" </w:instrText>
          </w:r>
          <w:r>
            <w:fldChar w:fldCharType="separate"/>
          </w:r>
          <w:r>
            <w:rPr>
              <w:rFonts w:hint="eastAsia" w:ascii="Times New Roman" w:hAnsi="Times New Roman" w:cs="黑体"/>
            </w:rPr>
            <w:t xml:space="preserve">八、 </w:t>
          </w:r>
          <w:r>
            <w:rPr>
              <w:rFonts w:hint="eastAsia" w:ascii="Times New Roman" w:hAnsi="Times New Roman"/>
            </w:rPr>
            <w:t>相关附件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_Toc3766 \h </w:instrText>
          </w:r>
          <w:r>
            <w:rPr>
              <w:rFonts w:ascii="Times New Roman" w:hAnsi="Times New Roman"/>
            </w:rPr>
            <w:fldChar w:fldCharType="separate"/>
          </w:r>
          <w:r>
            <w:rPr>
              <w:rFonts w:ascii="Times New Roman" w:hAnsi="Times New Roman"/>
            </w:rPr>
            <w:t>- 28 -</w:t>
          </w:r>
          <w:r>
            <w:rPr>
              <w:rFonts w:ascii="Times New Roman" w:hAnsi="Times New Roman"/>
            </w:rPr>
            <w:fldChar w:fldCharType="end"/>
          </w:r>
          <w:r>
            <w:rPr>
              <w:rFonts w:ascii="Times New Roman" w:hAnsi="Times New Roman"/>
            </w:rPr>
            <w:fldChar w:fldCharType="end"/>
          </w:r>
        </w:p>
        <w:p>
          <w:pPr>
            <w:pStyle w:val="50"/>
            <w:ind w:firstLine="420"/>
            <w:jc w:val="center"/>
            <w:rPr>
              <w:rFonts w:ascii="Times New Roman" w:hAnsi="Times New Roman"/>
              <w:color w:val="000000" w:themeColor="text1"/>
              <w14:textFill>
                <w14:solidFill>
                  <w14:schemeClr w14:val="tx1"/>
                </w14:solidFill>
              </w14:textFill>
            </w:rPr>
          </w:pPr>
          <w:r>
            <w:rPr>
              <w:rFonts w:ascii="Times New Roman" w:hAnsi="Times New Roman"/>
              <w:bCs/>
              <w:lang w:val="zh-CN"/>
            </w:rPr>
            <w:fldChar w:fldCharType="end"/>
          </w:r>
        </w:p>
      </w:sdtContent>
    </w:sdt>
    <w:p>
      <w:pPr>
        <w:pStyle w:val="25"/>
        <w:spacing w:before="0" w:after="0"/>
        <w:ind w:firstLine="420"/>
        <w:rPr>
          <w:rFonts w:ascii="Times New Roman" w:hAnsi="Times New Roman"/>
          <w:color w:val="000000" w:themeColor="text1"/>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4" w:left="1587" w:header="851" w:footer="992" w:gutter="0"/>
          <w:pgNumType w:fmt="numberInDash" w:start="1"/>
          <w:cols w:space="425" w:num="1"/>
          <w:docGrid w:type="lines" w:linePitch="312" w:charSpace="0"/>
        </w:sectPr>
      </w:pPr>
    </w:p>
    <w:p>
      <w:pPr>
        <w:pStyle w:val="37"/>
        <w:spacing w:line="560" w:lineRule="exact"/>
        <w:rPr>
          <w:rFonts w:ascii="方正小标宋简体" w:eastAsia="方正小标宋简体"/>
          <w:sz w:val="44"/>
          <w:szCs w:val="44"/>
        </w:rPr>
      </w:pPr>
      <w:bookmarkStart w:id="0" w:name="_Toc4563"/>
      <w:bookmarkStart w:id="1" w:name="_Toc2118676651"/>
      <w:bookmarkStart w:id="2" w:name="_Toc177990420"/>
      <w:bookmarkStart w:id="3" w:name="_Toc147673513"/>
      <w:r>
        <w:rPr>
          <w:rFonts w:hint="eastAsia" w:ascii="方正小标宋简体" w:eastAsia="方正小标宋简体"/>
          <w:sz w:val="44"/>
          <w:szCs w:val="44"/>
        </w:rPr>
        <w:t>网信办2023年度综合运营保障服务项目</w:t>
      </w:r>
    </w:p>
    <w:p>
      <w:pPr>
        <w:pStyle w:val="37"/>
        <w:spacing w:line="560" w:lineRule="exact"/>
        <w:rPr>
          <w:rFonts w:ascii="方正小标宋简体" w:eastAsia="方正小标宋简体"/>
          <w:sz w:val="44"/>
          <w:szCs w:val="44"/>
        </w:rPr>
      </w:pPr>
      <w:r>
        <w:rPr>
          <w:rFonts w:hint="eastAsia" w:ascii="方正小标宋简体" w:eastAsia="方正小标宋简体"/>
          <w:sz w:val="44"/>
          <w:szCs w:val="44"/>
        </w:rPr>
        <w:t>经费项目绩效评价报告</w:t>
      </w:r>
      <w:bookmarkEnd w:id="0"/>
      <w:bookmarkEnd w:id="1"/>
      <w:bookmarkEnd w:id="2"/>
      <w:bookmarkEnd w:id="3"/>
    </w:p>
    <w:p>
      <w:pPr>
        <w:pStyle w:val="37"/>
        <w:spacing w:line="560" w:lineRule="exact"/>
        <w:rPr>
          <w:rFonts w:ascii="方正小标宋简体" w:eastAsia="方正小标宋简体"/>
          <w:sz w:val="44"/>
          <w:szCs w:val="44"/>
        </w:rPr>
      </w:pPr>
    </w:p>
    <w:p>
      <w:pPr>
        <w:pStyle w:val="26"/>
        <w:spacing w:line="560" w:lineRule="exact"/>
        <w:ind w:firstLine="640"/>
        <w:rPr>
          <w:color w:val="000000" w:themeColor="text1"/>
          <w14:textFill>
            <w14:solidFill>
              <w14:schemeClr w14:val="tx1"/>
            </w14:solidFill>
          </w14:textFill>
        </w:rPr>
      </w:pPr>
      <w:r>
        <w:rPr>
          <w:color w:val="000000" w:themeColor="text1"/>
          <w14:textFill>
            <w14:solidFill>
              <w14:schemeClr w14:val="tx1"/>
            </w14:solidFill>
          </w14:textFill>
        </w:rPr>
        <w:t>为提高财政资金使用效益，合理配置公共财政资源，根据</w:t>
      </w:r>
      <w:r>
        <w:rPr>
          <w:rFonts w:hint="eastAsia"/>
          <w:color w:val="000000" w:themeColor="text1"/>
          <w14:textFill>
            <w14:solidFill>
              <w14:schemeClr w14:val="tx1"/>
            </w14:solidFill>
          </w14:textFill>
        </w:rPr>
        <w:t>中共和平区委</w:t>
      </w:r>
      <w:r>
        <w:rPr>
          <w:color w:val="000000" w:themeColor="text1"/>
          <w14:textFill>
            <w14:solidFill>
              <w14:schemeClr w14:val="tx1"/>
            </w14:solidFill>
          </w14:textFill>
        </w:rPr>
        <w:t xml:space="preserve"> 和平区人民政府印发&lt;关于全面推进预算绩效管理的实施方案&gt;的通知</w:t>
      </w:r>
      <w:r>
        <w:rPr>
          <w:rFonts w:hint="eastAsia"/>
          <w:color w:val="000000" w:themeColor="text1"/>
          <w14:textFill>
            <w14:solidFill>
              <w14:schemeClr w14:val="tx1"/>
            </w14:solidFill>
          </w14:textFill>
        </w:rPr>
        <w:t>（津和党发〔</w:t>
      </w:r>
      <w:r>
        <w:rPr>
          <w:color w:val="000000" w:themeColor="text1"/>
          <w14:textFill>
            <w14:solidFill>
              <w14:schemeClr w14:val="tx1"/>
            </w14:solidFill>
          </w14:textFill>
        </w:rPr>
        <w:t>2019〕23号）和《</w:t>
      </w:r>
      <w:r>
        <w:rPr>
          <w:rFonts w:hint="eastAsia"/>
          <w:color w:val="000000" w:themeColor="text1"/>
          <w14:textFill>
            <w14:solidFill>
              <w14:schemeClr w14:val="tx1"/>
            </w14:solidFill>
          </w14:textFill>
        </w:rPr>
        <w:t>和平区项目支出绩效评价管理办法</w:t>
      </w:r>
      <w:r>
        <w:rPr>
          <w:color w:val="000000" w:themeColor="text1"/>
          <w14:textFill>
            <w14:solidFill>
              <w14:schemeClr w14:val="tx1"/>
            </w14:solidFill>
          </w14:textFill>
        </w:rPr>
        <w:t>》等文件要求，天津市</w:t>
      </w:r>
      <w:r>
        <w:rPr>
          <w:rFonts w:hint="eastAsia"/>
          <w:color w:val="000000" w:themeColor="text1"/>
          <w14:textFill>
            <w14:solidFill>
              <w14:schemeClr w14:val="tx1"/>
            </w14:solidFill>
          </w14:textFill>
        </w:rPr>
        <w:t>和平区</w:t>
      </w:r>
      <w:r>
        <w:rPr>
          <w:color w:val="000000" w:themeColor="text1"/>
          <w14:textFill>
            <w14:solidFill>
              <w14:schemeClr w14:val="tx1"/>
            </w14:solidFill>
          </w14:textFill>
        </w:rPr>
        <w:t>财政局</w:t>
      </w:r>
      <w:r>
        <w:rPr>
          <w:rFonts w:hint="eastAsia"/>
          <w:color w:val="000000" w:themeColor="text1"/>
          <w14:textFill>
            <w14:solidFill>
              <w14:schemeClr w14:val="tx1"/>
            </w14:solidFill>
          </w14:textFill>
        </w:rPr>
        <w:t>通过</w:t>
      </w:r>
      <w:r>
        <w:rPr>
          <w:color w:val="000000" w:themeColor="text1"/>
          <w14:textFill>
            <w14:solidFill>
              <w14:schemeClr w14:val="tx1"/>
            </w14:solidFill>
          </w14:textFill>
        </w:rPr>
        <w:t>引入第三方专业机构成立绩效评价组</w:t>
      </w:r>
      <w:r>
        <w:rPr>
          <w:rFonts w:hint="eastAsia"/>
          <w:color w:val="000000" w:themeColor="text1"/>
          <w14:textFill>
            <w14:solidFill>
              <w14:schemeClr w14:val="tx1"/>
            </w14:solidFill>
          </w14:textFill>
        </w:rPr>
        <w:t>的方式</w:t>
      </w:r>
      <w:r>
        <w:rPr>
          <w:color w:val="000000" w:themeColor="text1"/>
          <w14:textFill>
            <w14:solidFill>
              <w14:schemeClr w14:val="tx1"/>
            </w14:solidFill>
          </w14:textFill>
        </w:rPr>
        <w:t>，于</w:t>
      </w:r>
      <w:r>
        <w:rPr>
          <w:rFonts w:hint="eastAsia"/>
          <w:color w:val="000000" w:themeColor="text1"/>
          <w14:textFill>
            <w14:solidFill>
              <w14:schemeClr w14:val="tx1"/>
            </w14:solidFill>
          </w14:textFill>
        </w:rPr>
        <w:t>2024</w:t>
      </w:r>
      <w:r>
        <w:rPr>
          <w:color w:val="000000" w:themeColor="text1"/>
          <w14:textFill>
            <w14:solidFill>
              <w14:schemeClr w14:val="tx1"/>
            </w14:solidFill>
          </w14:textFill>
        </w:rPr>
        <w:t>年</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月</w:t>
      </w:r>
      <w:r>
        <w:rPr>
          <w:rFonts w:hint="eastAsia"/>
          <w:color w:val="000000" w:themeColor="text1"/>
          <w14:textFill>
            <w14:solidFill>
              <w14:schemeClr w14:val="tx1"/>
            </w14:solidFill>
          </w14:textFill>
        </w:rPr>
        <w:t>-9月</w:t>
      </w:r>
      <w:r>
        <w:t>，</w:t>
      </w:r>
      <w:r>
        <w:rPr>
          <w:color w:val="000000" w:themeColor="text1"/>
          <w14:textFill>
            <w14:solidFill>
              <w14:schemeClr w14:val="tx1"/>
            </w14:solidFill>
          </w14:textFill>
        </w:rPr>
        <w:t>对</w:t>
      </w:r>
      <w:r>
        <w:rPr>
          <w:rFonts w:hint="eastAsia"/>
          <w:color w:val="000000" w:themeColor="text1"/>
          <w14:textFill>
            <w14:solidFill>
              <w14:schemeClr w14:val="tx1"/>
            </w14:solidFill>
          </w14:textFill>
        </w:rPr>
        <w:t>中国共产党天津市和平区委网络安全和信息化委员会办公室</w:t>
      </w:r>
      <w:r>
        <w:rPr>
          <w:color w:val="000000" w:themeColor="text1"/>
          <w14:textFill>
            <w14:solidFill>
              <w14:schemeClr w14:val="tx1"/>
            </w14:solidFill>
          </w14:textFill>
        </w:rPr>
        <w:t>的“</w:t>
      </w:r>
      <w:r>
        <w:rPr>
          <w:rFonts w:hint="eastAsia"/>
          <w:color w:val="000000" w:themeColor="text1"/>
          <w14:textFill>
            <w14:solidFill>
              <w14:schemeClr w14:val="tx1"/>
            </w14:solidFill>
          </w14:textFill>
        </w:rPr>
        <w:t>网信办2023年度综合运营保障服务项目经费</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开展了绩效评价。该项目评价结果为</w:t>
      </w:r>
      <w:r>
        <w:rPr>
          <w:rFonts w:hint="eastAsia"/>
          <w:color w:val="000000" w:themeColor="text1"/>
          <w14:textFill>
            <w14:solidFill>
              <w14:schemeClr w14:val="tx1"/>
            </w14:solidFill>
          </w14:textFill>
        </w:rPr>
        <w:t>95.18</w:t>
      </w:r>
      <w:r>
        <w:rPr>
          <w:color w:val="000000" w:themeColor="text1"/>
          <w14:textFill>
            <w14:solidFill>
              <w14:schemeClr w14:val="tx1"/>
            </w14:solidFill>
          </w14:textFill>
        </w:rPr>
        <w:t>分，评价等级为“</w:t>
      </w:r>
      <w:r>
        <w:rPr>
          <w:rFonts w:hint="eastAsia"/>
          <w:color w:val="000000" w:themeColor="text1"/>
          <w14:textFill>
            <w14:solidFill>
              <w14:schemeClr w14:val="tx1"/>
            </w14:solidFill>
          </w14:textFill>
        </w:rPr>
        <w:t>优</w:t>
      </w:r>
      <w:r>
        <w:rPr>
          <w:color w:val="000000" w:themeColor="text1"/>
          <w14:textFill>
            <w14:solidFill>
              <w14:schemeClr w14:val="tx1"/>
            </w14:solidFill>
          </w14:textFill>
        </w:rPr>
        <w:t>”，有关情况如下。</w:t>
      </w:r>
    </w:p>
    <w:p>
      <w:pPr>
        <w:pStyle w:val="29"/>
        <w:spacing w:before="0" w:after="0" w:line="560" w:lineRule="exact"/>
      </w:pPr>
      <w:bookmarkStart w:id="4" w:name="_Toc141634997"/>
      <w:bookmarkStart w:id="5" w:name="_Toc14456"/>
      <w:r>
        <w:rPr>
          <w:rFonts w:hint="eastAsia"/>
        </w:rPr>
        <w:t>一、项目基本情况</w:t>
      </w:r>
      <w:bookmarkEnd w:id="4"/>
      <w:bookmarkEnd w:id="5"/>
    </w:p>
    <w:p>
      <w:pPr>
        <w:pStyle w:val="31"/>
        <w:spacing w:before="0" w:after="0" w:line="560" w:lineRule="exact"/>
        <w:ind w:firstLine="640"/>
        <w:rPr>
          <w:rFonts w:ascii="Times New Roman" w:hAnsi="Times New Roman"/>
        </w:rPr>
      </w:pPr>
      <w:bookmarkStart w:id="6" w:name="_Toc141634998"/>
      <w:bookmarkStart w:id="7" w:name="_Toc21260"/>
      <w:r>
        <w:rPr>
          <w:rFonts w:hint="eastAsia" w:ascii="Times New Roman" w:hAnsi="Times New Roman"/>
        </w:rPr>
        <w:t>（一）项目概况</w:t>
      </w:r>
      <w:bookmarkEnd w:id="6"/>
      <w:bookmarkEnd w:id="7"/>
    </w:p>
    <w:p>
      <w:pPr>
        <w:pStyle w:val="26"/>
        <w:spacing w:line="560" w:lineRule="exact"/>
        <w:ind w:firstLine="640"/>
      </w:pPr>
      <w:r>
        <w:rPr>
          <w:rFonts w:hint="eastAsia"/>
        </w:rPr>
        <w:t>1.项目背景</w:t>
      </w:r>
    </w:p>
    <w:p>
      <w:pPr>
        <w:pStyle w:val="26"/>
        <w:spacing w:line="560" w:lineRule="exact"/>
        <w:ind w:firstLine="640"/>
      </w:pPr>
      <w:r>
        <w:rPr>
          <w:rFonts w:hint="eastAsia"/>
        </w:rPr>
        <w:t>为落实《中华人民共和国网络安全法》、《天津市网络强市战略实施纲要》、《天津市关于加强网络安全和信息化工作的实施意见》和《和平区贯彻落实数字经济发展规划的三年行动方案》相关要求，统筹完善区级政务基础设施资源体系，做好关键信息基础设施及数据资源保障，建成智慧城市建设专题视图，确保和平区网络安全与舆情管控应急指挥中心稳定运转，</w:t>
      </w:r>
      <w:r>
        <w:rPr>
          <w:rFonts w:hint="eastAsia"/>
          <w:color w:val="000000" w:themeColor="text1"/>
          <w14:textFill>
            <w14:solidFill>
              <w14:schemeClr w14:val="tx1"/>
            </w14:solidFill>
          </w14:textFill>
        </w:rPr>
        <w:t>中国共产党天津市和平区委网络安全和信息化委员会办公室</w:t>
      </w:r>
      <w:r>
        <w:rPr>
          <w:rFonts w:hint="eastAsia"/>
        </w:rPr>
        <w:t>通过采取政府购买服务的方式引入专业第三方技术团队，为提升辖区网信工作业务能力提供有力支撑。</w:t>
      </w:r>
    </w:p>
    <w:p>
      <w:pPr>
        <w:pStyle w:val="26"/>
        <w:spacing w:line="560" w:lineRule="exact"/>
        <w:ind w:firstLine="640"/>
      </w:pPr>
      <w:r>
        <w:rPr>
          <w:rFonts w:hint="eastAsia"/>
        </w:rPr>
        <w:t>2.主要内容</w:t>
      </w:r>
    </w:p>
    <w:p>
      <w:pPr>
        <w:pStyle w:val="26"/>
        <w:spacing w:line="560" w:lineRule="exact"/>
        <w:ind w:firstLine="640"/>
      </w:pPr>
      <w:r>
        <w:rPr>
          <w:rFonts w:hint="eastAsia"/>
        </w:rPr>
        <w:t>网信办2023年度综合运营保障服务项目经费项目主要内容为：通过政府购买服务的方式，聘请专业第三方技术团队根据具体工作安排按月开展综合技术值守、信息数据统计分析、重保支持、可视化运维、政务邮箱服务、应急指挥中心信息化设备保障、配套数据资源管理平台租赁服务等综合运营保障服务工作。</w:t>
      </w:r>
    </w:p>
    <w:p>
      <w:pPr>
        <w:pStyle w:val="26"/>
        <w:spacing w:line="560" w:lineRule="exact"/>
        <w:ind w:firstLine="640"/>
      </w:pPr>
      <w:r>
        <w:rPr>
          <w:rFonts w:hint="eastAsia"/>
        </w:rPr>
        <w:t>3.项目组织管理</w:t>
      </w:r>
    </w:p>
    <w:p>
      <w:pPr>
        <w:pStyle w:val="26"/>
        <w:spacing w:line="560" w:lineRule="exact"/>
        <w:ind w:firstLine="640"/>
      </w:pPr>
      <w:r>
        <w:rPr>
          <w:rFonts w:hint="eastAsia"/>
        </w:rPr>
        <w:t>网信办2023年度综合运营保障服务项目经费项目主管单位为中国共产党天津市和平区委员会，负责项目经费使用涉及相关财务核算工作；实施单位为中国共产党天津市和平区委网络安全和信息化委员会办公室（以下简称“区委网信办”），负责项目预算需求测算，综合运营保障服务涉及供应商选择、政府采购程序履行、服务工作完成质量考核等工作。</w:t>
      </w:r>
    </w:p>
    <w:p>
      <w:pPr>
        <w:pStyle w:val="26"/>
        <w:spacing w:line="560" w:lineRule="exact"/>
        <w:ind w:firstLine="640"/>
      </w:pPr>
      <w:r>
        <w:rPr>
          <w:rFonts w:hint="eastAsia"/>
        </w:rPr>
        <w:t>项目具体运维实施单位为益华惠（天津）科技有限公司，负责综合技术值守、信息数据统计分析、重保支持、可视化运维、政务邮箱服务、应急指挥中心信息化设备保障与配套数据资源管理平台租赁服务工作。</w:t>
      </w:r>
    </w:p>
    <w:p>
      <w:pPr>
        <w:pStyle w:val="26"/>
        <w:spacing w:line="560" w:lineRule="exact"/>
        <w:ind w:firstLine="640"/>
      </w:pPr>
      <w:r>
        <w:rPr>
          <w:rFonts w:hint="eastAsia"/>
        </w:rPr>
        <w:t>4.资金投入和使用情况</w:t>
      </w:r>
    </w:p>
    <w:p>
      <w:pPr>
        <w:pStyle w:val="26"/>
        <w:spacing w:line="560" w:lineRule="exact"/>
        <w:ind w:firstLine="640"/>
      </w:pPr>
      <w:r>
        <w:rPr>
          <w:rFonts w:hint="eastAsia"/>
        </w:rPr>
        <w:t>本项目2023年度资金计划下达金额为201万元，全部为区级财政资金。截至2023年12月底，实际到位资金为137.3万元，资金到位率为68.31%。项目资金主要用于综合运营保障服务费用结算工作，截至2023年12月底，项目实际支付资金为137.3万元，预算执行率为100%。资金具体情况见表1。</w:t>
      </w:r>
    </w:p>
    <w:p>
      <w:pPr>
        <w:widowControl/>
        <w:spacing w:line="560" w:lineRule="exact"/>
        <w:ind w:firstLine="0" w:firstLineChars="0"/>
        <w:jc w:val="center"/>
        <w:rPr>
          <w:rFonts w:ascii="Times New Roman" w:hAnsi="Times New Roman" w:eastAsia="黑体" w:cs="Times New Roman"/>
          <w:bCs/>
          <w:sz w:val="28"/>
          <w:szCs w:val="24"/>
        </w:rPr>
      </w:pPr>
      <w:r>
        <w:rPr>
          <w:rFonts w:ascii="Times New Roman" w:hAnsi="Times New Roman" w:eastAsia="黑体" w:cs="Times New Roman"/>
          <w:bCs/>
          <w:sz w:val="28"/>
          <w:szCs w:val="24"/>
        </w:rPr>
        <w:t>表1  资金预算执行率情况表</w:t>
      </w:r>
    </w:p>
    <w:p>
      <w:pPr>
        <w:widowControl/>
        <w:spacing w:line="560" w:lineRule="exact"/>
        <w:ind w:firstLine="0" w:firstLineChars="0"/>
        <w:jc w:val="right"/>
        <w:rPr>
          <w:rFonts w:ascii="Times New Roman" w:hAnsi="Times New Roman" w:eastAsia="宋体" w:cs="Times New Roman"/>
          <w:bCs/>
          <w:szCs w:val="18"/>
        </w:rPr>
      </w:pPr>
      <w:r>
        <w:rPr>
          <w:rFonts w:hint="eastAsia" w:ascii="Times New Roman" w:hAnsi="Times New Roman" w:eastAsia="宋体" w:cs="Times New Roman"/>
          <w:bCs/>
          <w:szCs w:val="18"/>
        </w:rPr>
        <w:t>单位：万元</w:t>
      </w:r>
    </w:p>
    <w:tbl>
      <w:tblPr>
        <w:tblStyle w:val="49"/>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510"/>
        <w:gridCol w:w="1511"/>
        <w:gridCol w:w="1510"/>
        <w:gridCol w:w="1510"/>
        <w:gridCol w:w="1510"/>
        <w:gridCol w:w="15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blHeader/>
          <w:jc w:val="center"/>
        </w:trPr>
        <w:tc>
          <w:tcPr>
            <w:tcW w:w="834" w:type="pct"/>
            <w:vAlign w:val="center"/>
          </w:tcPr>
          <w:p>
            <w:pPr>
              <w:spacing w:line="240" w:lineRule="auto"/>
              <w:ind w:firstLine="0" w:firstLineChars="0"/>
              <w:jc w:val="center"/>
              <w:rPr>
                <w:rFonts w:ascii="宋体" w:hAnsi="宋体" w:eastAsia="宋体" w:cs="宋体"/>
                <w:b/>
              </w:rPr>
            </w:pPr>
            <w:r>
              <w:rPr>
                <w:rFonts w:hint="eastAsia" w:ascii="宋体" w:hAnsi="宋体" w:eastAsia="宋体" w:cs="宋体"/>
                <w:b/>
              </w:rPr>
              <w:t>资金计划</w:t>
            </w:r>
          </w:p>
          <w:p>
            <w:pPr>
              <w:spacing w:line="240" w:lineRule="auto"/>
              <w:ind w:firstLine="0" w:firstLineChars="0"/>
              <w:jc w:val="center"/>
              <w:rPr>
                <w:rFonts w:ascii="宋体" w:hAnsi="宋体" w:eastAsia="宋体" w:cs="宋体"/>
                <w:b/>
              </w:rPr>
            </w:pPr>
            <w:r>
              <w:rPr>
                <w:rFonts w:hint="eastAsia" w:ascii="宋体" w:hAnsi="宋体" w:eastAsia="宋体" w:cs="宋体"/>
                <w:b/>
              </w:rPr>
              <w:t>下达时间</w:t>
            </w:r>
          </w:p>
        </w:tc>
        <w:tc>
          <w:tcPr>
            <w:tcW w:w="834" w:type="pct"/>
            <w:vAlign w:val="center"/>
          </w:tcPr>
          <w:p>
            <w:pPr>
              <w:spacing w:line="240" w:lineRule="auto"/>
              <w:ind w:firstLine="0" w:firstLineChars="0"/>
              <w:jc w:val="center"/>
              <w:rPr>
                <w:rFonts w:ascii="宋体" w:hAnsi="宋体" w:eastAsia="宋体" w:cs="宋体"/>
                <w:b/>
              </w:rPr>
            </w:pPr>
            <w:r>
              <w:rPr>
                <w:rFonts w:hint="eastAsia" w:ascii="宋体" w:hAnsi="宋体" w:eastAsia="宋体" w:cs="宋体"/>
                <w:b/>
              </w:rPr>
              <w:t>资金计划</w:t>
            </w:r>
          </w:p>
          <w:p>
            <w:pPr>
              <w:spacing w:line="240" w:lineRule="auto"/>
              <w:ind w:firstLine="0" w:firstLineChars="0"/>
              <w:jc w:val="center"/>
              <w:rPr>
                <w:rFonts w:ascii="宋体" w:hAnsi="宋体" w:eastAsia="宋体" w:cs="宋体"/>
                <w:b/>
              </w:rPr>
            </w:pPr>
            <w:r>
              <w:rPr>
                <w:rFonts w:hint="eastAsia" w:ascii="宋体" w:hAnsi="宋体" w:eastAsia="宋体" w:cs="宋体"/>
                <w:b/>
              </w:rPr>
              <w:t>下达金额</w:t>
            </w:r>
          </w:p>
        </w:tc>
        <w:tc>
          <w:tcPr>
            <w:tcW w:w="833" w:type="pct"/>
            <w:vAlign w:val="center"/>
          </w:tcPr>
          <w:p>
            <w:pPr>
              <w:spacing w:line="240" w:lineRule="auto"/>
              <w:ind w:firstLine="0" w:firstLineChars="0"/>
              <w:jc w:val="center"/>
              <w:rPr>
                <w:rFonts w:ascii="宋体" w:hAnsi="宋体" w:eastAsia="宋体" w:cs="宋体"/>
                <w:b/>
              </w:rPr>
            </w:pPr>
            <w:r>
              <w:rPr>
                <w:rFonts w:hint="eastAsia" w:ascii="宋体" w:hAnsi="宋体" w:eastAsia="宋体" w:cs="宋体"/>
                <w:b/>
              </w:rPr>
              <w:t>实际到位资金</w:t>
            </w:r>
          </w:p>
        </w:tc>
        <w:tc>
          <w:tcPr>
            <w:tcW w:w="833" w:type="pct"/>
            <w:vAlign w:val="center"/>
          </w:tcPr>
          <w:p>
            <w:pPr>
              <w:spacing w:line="240" w:lineRule="auto"/>
              <w:ind w:firstLine="0" w:firstLineChars="0"/>
              <w:jc w:val="center"/>
              <w:rPr>
                <w:rFonts w:ascii="宋体" w:hAnsi="宋体" w:eastAsia="宋体" w:cs="宋体"/>
                <w:b/>
              </w:rPr>
            </w:pPr>
            <w:r>
              <w:rPr>
                <w:rFonts w:hint="eastAsia" w:ascii="宋体" w:hAnsi="宋体" w:eastAsia="宋体" w:cs="宋体"/>
                <w:b/>
              </w:rPr>
              <w:t>资金到位率</w:t>
            </w:r>
          </w:p>
        </w:tc>
        <w:tc>
          <w:tcPr>
            <w:tcW w:w="833" w:type="pct"/>
            <w:vAlign w:val="center"/>
          </w:tcPr>
          <w:p>
            <w:pPr>
              <w:spacing w:line="240" w:lineRule="auto"/>
              <w:ind w:firstLine="0" w:firstLineChars="0"/>
              <w:jc w:val="center"/>
              <w:rPr>
                <w:rFonts w:ascii="宋体" w:hAnsi="宋体" w:eastAsia="宋体" w:cs="宋体"/>
                <w:b/>
              </w:rPr>
            </w:pPr>
            <w:r>
              <w:rPr>
                <w:rFonts w:hint="eastAsia" w:ascii="宋体" w:hAnsi="宋体" w:eastAsia="宋体" w:cs="宋体"/>
                <w:b/>
              </w:rPr>
              <w:t>实际支付资金</w:t>
            </w:r>
          </w:p>
        </w:tc>
        <w:tc>
          <w:tcPr>
            <w:tcW w:w="833" w:type="pct"/>
            <w:vAlign w:val="center"/>
          </w:tcPr>
          <w:p>
            <w:pPr>
              <w:spacing w:line="240" w:lineRule="auto"/>
              <w:ind w:firstLine="0" w:firstLineChars="0"/>
              <w:jc w:val="center"/>
              <w:rPr>
                <w:rFonts w:ascii="宋体" w:hAnsi="宋体" w:eastAsia="宋体" w:cs="宋体"/>
                <w:b/>
              </w:rPr>
            </w:pPr>
            <w:r>
              <w:rPr>
                <w:rFonts w:hint="eastAsia" w:ascii="宋体" w:hAnsi="宋体" w:eastAsia="宋体" w:cs="宋体"/>
                <w:b/>
              </w:rPr>
              <w:t>预算执行率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834" w:type="pct"/>
            <w:vAlign w:val="center"/>
          </w:tcPr>
          <w:p>
            <w:pPr>
              <w:ind w:firstLine="0" w:firstLineChars="0"/>
              <w:jc w:val="center"/>
              <w:rPr>
                <w:rFonts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02</w:t>
            </w:r>
            <w:r>
              <w:rPr>
                <w:rFonts w:hint="eastAsia" w:ascii="Times New Roman" w:hAnsi="Times New Roman" w:eastAsia="宋体" w:cs="Times New Roman"/>
              </w:rPr>
              <w:t>3年</w:t>
            </w:r>
          </w:p>
        </w:tc>
        <w:tc>
          <w:tcPr>
            <w:tcW w:w="834" w:type="pct"/>
            <w:vAlign w:val="center"/>
          </w:tcPr>
          <w:p>
            <w:pPr>
              <w:ind w:firstLine="0" w:firstLineChars="0"/>
              <w:jc w:val="center"/>
              <w:rPr>
                <w:rFonts w:ascii="Times New Roman" w:hAnsi="Times New Roman" w:eastAsia="宋体" w:cs="Times New Roman"/>
              </w:rPr>
            </w:pPr>
            <w:r>
              <w:rPr>
                <w:rFonts w:hint="eastAsia" w:ascii="Times New Roman" w:hAnsi="Times New Roman" w:eastAsia="宋体" w:cs="Times New Roman"/>
              </w:rPr>
              <w:t>201</w:t>
            </w:r>
          </w:p>
        </w:tc>
        <w:tc>
          <w:tcPr>
            <w:tcW w:w="833" w:type="pct"/>
            <w:vAlign w:val="center"/>
          </w:tcPr>
          <w:p>
            <w:pPr>
              <w:ind w:firstLine="0" w:firstLineChars="0"/>
              <w:jc w:val="center"/>
              <w:rPr>
                <w:rFonts w:ascii="Times New Roman" w:hAnsi="Times New Roman" w:eastAsia="宋体" w:cs="Times New Roman"/>
              </w:rPr>
            </w:pPr>
            <w:r>
              <w:rPr>
                <w:rFonts w:hint="eastAsia" w:ascii="Times New Roman" w:hAnsi="Times New Roman" w:eastAsia="宋体" w:cs="Times New Roman"/>
              </w:rPr>
              <w:t>137.3</w:t>
            </w:r>
          </w:p>
        </w:tc>
        <w:tc>
          <w:tcPr>
            <w:tcW w:w="833" w:type="pct"/>
            <w:vAlign w:val="center"/>
          </w:tcPr>
          <w:p>
            <w:pPr>
              <w:ind w:firstLine="0" w:firstLineChars="0"/>
              <w:jc w:val="center"/>
              <w:rPr>
                <w:rFonts w:ascii="Times New Roman" w:hAnsi="Times New Roman" w:eastAsia="宋体" w:cs="Times New Roman"/>
              </w:rPr>
            </w:pPr>
            <w:r>
              <w:rPr>
                <w:rFonts w:hint="eastAsia" w:ascii="Times New Roman" w:hAnsi="Times New Roman" w:eastAsia="宋体" w:cs="Times New Roman"/>
              </w:rPr>
              <w:t>68.31</w:t>
            </w:r>
            <w:r>
              <w:rPr>
                <w:rFonts w:ascii="Times New Roman" w:hAnsi="Times New Roman" w:eastAsia="宋体" w:cs="Times New Roman"/>
              </w:rPr>
              <w:t>%</w:t>
            </w:r>
          </w:p>
        </w:tc>
        <w:tc>
          <w:tcPr>
            <w:tcW w:w="833" w:type="pct"/>
            <w:vAlign w:val="center"/>
          </w:tcPr>
          <w:p>
            <w:pPr>
              <w:ind w:firstLine="0" w:firstLineChars="0"/>
              <w:jc w:val="center"/>
              <w:rPr>
                <w:rFonts w:ascii="Times New Roman" w:hAnsi="Times New Roman" w:eastAsia="宋体" w:cs="Times New Roman"/>
              </w:rPr>
            </w:pPr>
            <w:r>
              <w:rPr>
                <w:rFonts w:hint="eastAsia" w:ascii="Times New Roman" w:hAnsi="Times New Roman" w:eastAsia="宋体" w:cs="Times New Roman"/>
              </w:rPr>
              <w:t>137.3</w:t>
            </w:r>
          </w:p>
        </w:tc>
        <w:tc>
          <w:tcPr>
            <w:tcW w:w="833" w:type="pct"/>
            <w:vAlign w:val="center"/>
          </w:tcPr>
          <w:p>
            <w:pPr>
              <w:ind w:firstLine="0" w:firstLineChars="0"/>
              <w:jc w:val="center"/>
              <w:rPr>
                <w:rFonts w:ascii="Times New Roman" w:hAnsi="Times New Roman" w:eastAsia="宋体" w:cs="Times New Roman"/>
              </w:rPr>
            </w:pPr>
            <w:r>
              <w:rPr>
                <w:rFonts w:hint="eastAsia" w:ascii="Times New Roman" w:hAnsi="Times New Roman" w:eastAsia="宋体" w:cs="Times New Roman"/>
              </w:rPr>
              <w:t>100</w:t>
            </w:r>
            <w:r>
              <w:rPr>
                <w:rFonts w:ascii="Times New Roman" w:hAnsi="Times New Roman" w:eastAsia="宋体" w:cs="Times New Roman"/>
              </w:rPr>
              <w:t>%</w:t>
            </w:r>
          </w:p>
        </w:tc>
      </w:tr>
    </w:tbl>
    <w:p>
      <w:pPr>
        <w:pStyle w:val="31"/>
        <w:spacing w:before="0" w:after="0" w:line="560" w:lineRule="exact"/>
        <w:ind w:firstLine="640"/>
        <w:rPr>
          <w:rFonts w:ascii="Times New Roman" w:hAnsi="Times New Roman"/>
        </w:rPr>
      </w:pPr>
      <w:bookmarkStart w:id="8" w:name="_Toc2068"/>
      <w:bookmarkStart w:id="9" w:name="_Toc141634999"/>
      <w:r>
        <w:rPr>
          <w:rFonts w:hint="eastAsia" w:ascii="Times New Roman" w:hAnsi="Times New Roman"/>
        </w:rPr>
        <w:t>（二）项目绩效目标</w:t>
      </w:r>
      <w:bookmarkEnd w:id="8"/>
      <w:bookmarkEnd w:id="9"/>
    </w:p>
    <w:p>
      <w:pPr>
        <w:pStyle w:val="26"/>
        <w:spacing w:line="560" w:lineRule="exact"/>
        <w:ind w:firstLine="640"/>
      </w:pPr>
      <w:r>
        <w:rPr>
          <w:rFonts w:hint="eastAsia"/>
        </w:rPr>
        <w:t>网信办2023年度综合运营保障服务项目经费项目绩效目标为：通过聘请专业技术团队，提供区级信息化应用系统平台运行保障和故障应急响应服务，确保区级信息化应用系统平台可靠平稳运行。绩效指标具体情况见表</w:t>
      </w:r>
      <w:r>
        <w:t>2</w:t>
      </w:r>
      <w:r>
        <w:rPr>
          <w:rFonts w:hint="eastAsia"/>
        </w:rPr>
        <w:t>。</w:t>
      </w:r>
    </w:p>
    <w:p>
      <w:pPr>
        <w:widowControl/>
        <w:spacing w:line="560" w:lineRule="exact"/>
        <w:ind w:firstLine="420" w:firstLineChars="0"/>
        <w:jc w:val="center"/>
        <w:rPr>
          <w:rFonts w:ascii="Times New Roman" w:hAnsi="Times New Roman" w:eastAsia="黑体" w:cs="Times New Roman"/>
          <w:bCs/>
          <w:sz w:val="28"/>
          <w:szCs w:val="24"/>
        </w:rPr>
      </w:pPr>
      <w:r>
        <w:rPr>
          <w:rFonts w:ascii="Times New Roman" w:hAnsi="Times New Roman" w:eastAsia="黑体" w:cs="Times New Roman"/>
          <w:bCs/>
          <w:sz w:val="28"/>
          <w:szCs w:val="24"/>
        </w:rPr>
        <w:t>表2</w:t>
      </w:r>
      <w:r>
        <w:rPr>
          <w:rFonts w:hint="eastAsia" w:ascii="Times New Roman" w:hAnsi="Times New Roman" w:eastAsia="黑体" w:cs="Times New Roman"/>
          <w:bCs/>
          <w:sz w:val="28"/>
          <w:szCs w:val="24"/>
        </w:rPr>
        <w:t xml:space="preserve"> </w:t>
      </w:r>
      <w:r>
        <w:rPr>
          <w:rFonts w:ascii="Times New Roman" w:hAnsi="Times New Roman" w:eastAsia="黑体" w:cs="Times New Roman"/>
          <w:bCs/>
          <w:sz w:val="28"/>
          <w:szCs w:val="24"/>
        </w:rPr>
        <w:t xml:space="preserve"> </w:t>
      </w:r>
      <w:r>
        <w:rPr>
          <w:rFonts w:hint="eastAsia" w:ascii="Times New Roman" w:hAnsi="Times New Roman" w:eastAsia="黑体" w:cs="Times New Roman"/>
          <w:bCs/>
          <w:sz w:val="28"/>
          <w:szCs w:val="24"/>
        </w:rPr>
        <w:t>绩效指标制定</w:t>
      </w:r>
      <w:r>
        <w:rPr>
          <w:rFonts w:ascii="Times New Roman" w:hAnsi="Times New Roman" w:eastAsia="黑体" w:cs="Times New Roman"/>
          <w:bCs/>
          <w:sz w:val="28"/>
          <w:szCs w:val="24"/>
        </w:rPr>
        <w:t>情况表</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
        <w:gridCol w:w="2617"/>
        <w:gridCol w:w="2941"/>
        <w:gridCol w:w="2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00" w:type="pct"/>
            <w:vAlign w:val="center"/>
          </w:tcPr>
          <w:p>
            <w:pPr>
              <w:widowControl/>
              <w:spacing w:line="240" w:lineRule="auto"/>
              <w:ind w:firstLine="0" w:firstLineChars="0"/>
              <w:jc w:val="center"/>
              <w:rPr>
                <w:rFonts w:ascii="宋体" w:hAnsi="宋体" w:eastAsia="宋体" w:cs="宋体"/>
                <w:b/>
                <w:kern w:val="0"/>
                <w:sz w:val="22"/>
                <w:szCs w:val="22"/>
              </w:rPr>
            </w:pPr>
            <w:r>
              <w:rPr>
                <w:rFonts w:hint="eastAsia" w:ascii="宋体" w:hAnsi="宋体" w:eastAsia="宋体" w:cs="宋体"/>
                <w:b/>
                <w:sz w:val="22"/>
                <w:szCs w:val="22"/>
              </w:rPr>
              <w:t>一级指标</w:t>
            </w:r>
          </w:p>
        </w:tc>
        <w:tc>
          <w:tcPr>
            <w:tcW w:w="1444" w:type="pct"/>
            <w:vAlign w:val="center"/>
          </w:tcPr>
          <w:p>
            <w:pPr>
              <w:ind w:firstLine="0" w:firstLineChars="0"/>
              <w:jc w:val="center"/>
              <w:rPr>
                <w:rFonts w:ascii="宋体" w:hAnsi="宋体" w:eastAsia="宋体" w:cs="宋体"/>
                <w:b/>
                <w:sz w:val="22"/>
                <w:szCs w:val="22"/>
              </w:rPr>
            </w:pPr>
            <w:r>
              <w:rPr>
                <w:rFonts w:hint="eastAsia" w:ascii="宋体" w:hAnsi="宋体" w:eastAsia="宋体" w:cs="宋体"/>
                <w:b/>
                <w:sz w:val="22"/>
                <w:szCs w:val="22"/>
              </w:rPr>
              <w:t>二级指标</w:t>
            </w:r>
          </w:p>
        </w:tc>
        <w:tc>
          <w:tcPr>
            <w:tcW w:w="1623" w:type="pct"/>
            <w:vAlign w:val="center"/>
          </w:tcPr>
          <w:p>
            <w:pPr>
              <w:ind w:firstLine="0" w:firstLineChars="0"/>
              <w:jc w:val="center"/>
              <w:rPr>
                <w:rFonts w:ascii="宋体" w:hAnsi="宋体" w:eastAsia="宋体" w:cs="宋体"/>
                <w:b/>
                <w:sz w:val="22"/>
                <w:szCs w:val="22"/>
              </w:rPr>
            </w:pPr>
            <w:r>
              <w:rPr>
                <w:rFonts w:hint="eastAsia" w:ascii="宋体" w:hAnsi="宋体" w:eastAsia="宋体" w:cs="宋体"/>
                <w:b/>
                <w:sz w:val="22"/>
                <w:szCs w:val="22"/>
              </w:rPr>
              <w:t>三级指标</w:t>
            </w:r>
          </w:p>
        </w:tc>
        <w:tc>
          <w:tcPr>
            <w:tcW w:w="1133" w:type="pct"/>
            <w:vAlign w:val="center"/>
          </w:tcPr>
          <w:p>
            <w:pPr>
              <w:ind w:firstLine="0" w:firstLineChars="0"/>
              <w:jc w:val="center"/>
              <w:rPr>
                <w:rFonts w:ascii="宋体" w:hAnsi="宋体" w:eastAsia="宋体" w:cs="宋体"/>
                <w:b/>
                <w:sz w:val="22"/>
                <w:szCs w:val="22"/>
              </w:rPr>
            </w:pPr>
            <w:r>
              <w:rPr>
                <w:rFonts w:hint="eastAsia" w:ascii="宋体" w:hAnsi="宋体" w:eastAsia="宋体" w:cs="宋体"/>
                <w:b/>
                <w:sz w:val="22"/>
                <w:szCs w:val="22"/>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0" w:type="pct"/>
            <w:vMerge w:val="restar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产出指标</w:t>
            </w:r>
          </w:p>
        </w:tc>
        <w:tc>
          <w:tcPr>
            <w:tcW w:w="1444" w:type="pct"/>
            <w:vMerge w:val="restar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数量指标</w:t>
            </w:r>
          </w:p>
        </w:tc>
        <w:tc>
          <w:tcPr>
            <w:tcW w:w="1623" w:type="pct"/>
            <w:vAlign w:val="center"/>
          </w:tcPr>
          <w:p>
            <w:pPr>
              <w:spacing w:line="240" w:lineRule="auto"/>
              <w:ind w:firstLine="0" w:firstLineChars="0"/>
              <w:jc w:val="center"/>
              <w:rPr>
                <w:rFonts w:ascii="Times New Roman" w:hAnsi="Times New Roman" w:eastAsia="宋体" w:cs="Times New Roman"/>
              </w:rPr>
            </w:pPr>
            <w:r>
              <w:rPr>
                <w:rFonts w:ascii="Times New Roman" w:hAnsi="Times New Roman" w:eastAsia="宋体" w:cs="Times New Roman"/>
              </w:rPr>
              <w:t>聘请驻场服务人员</w:t>
            </w:r>
          </w:p>
        </w:tc>
        <w:tc>
          <w:tcPr>
            <w:tcW w:w="1133" w:type="pc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0" w:type="pct"/>
            <w:vMerge w:val="continue"/>
            <w:vAlign w:val="center"/>
          </w:tcPr>
          <w:p>
            <w:pPr>
              <w:ind w:firstLine="0" w:firstLineChars="0"/>
              <w:jc w:val="center"/>
              <w:rPr>
                <w:rFonts w:ascii="Times New Roman" w:hAnsi="Times New Roman" w:eastAsia="宋体" w:cs="Times New Roman"/>
              </w:rPr>
            </w:pPr>
          </w:p>
        </w:tc>
        <w:tc>
          <w:tcPr>
            <w:tcW w:w="1444" w:type="pct"/>
            <w:vMerge w:val="continue"/>
            <w:vAlign w:val="center"/>
          </w:tcPr>
          <w:p>
            <w:pPr>
              <w:ind w:firstLine="0" w:firstLineChars="0"/>
              <w:jc w:val="center"/>
              <w:rPr>
                <w:rFonts w:ascii="Times New Roman" w:hAnsi="Times New Roman" w:eastAsia="宋体" w:cs="Times New Roman"/>
              </w:rPr>
            </w:pPr>
          </w:p>
        </w:tc>
        <w:tc>
          <w:tcPr>
            <w:tcW w:w="1623" w:type="pct"/>
            <w:vAlign w:val="center"/>
          </w:tcPr>
          <w:p>
            <w:pPr>
              <w:spacing w:line="240" w:lineRule="auto"/>
              <w:ind w:firstLine="0" w:firstLineChars="0"/>
              <w:jc w:val="center"/>
              <w:rPr>
                <w:rFonts w:ascii="Times New Roman" w:hAnsi="Times New Roman" w:eastAsia="宋体" w:cs="Times New Roman"/>
              </w:rPr>
            </w:pPr>
            <w:r>
              <w:rPr>
                <w:rFonts w:ascii="Times New Roman" w:hAnsi="Times New Roman" w:eastAsia="宋体" w:cs="Times New Roman"/>
              </w:rPr>
              <w:t>运维保障区级信息化应用系统平台数</w:t>
            </w:r>
          </w:p>
        </w:tc>
        <w:tc>
          <w:tcPr>
            <w:tcW w:w="1133" w:type="pc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800" w:type="pct"/>
            <w:vMerge w:val="continue"/>
            <w:vAlign w:val="center"/>
          </w:tcPr>
          <w:p>
            <w:pPr>
              <w:ind w:firstLine="0" w:firstLineChars="0"/>
              <w:jc w:val="center"/>
              <w:rPr>
                <w:rFonts w:ascii="Times New Roman" w:hAnsi="Times New Roman" w:eastAsia="宋体" w:cs="Times New Roman"/>
              </w:rPr>
            </w:pPr>
          </w:p>
        </w:tc>
        <w:tc>
          <w:tcPr>
            <w:tcW w:w="1444" w:type="pct"/>
            <w:vMerge w:val="restar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质量指标</w:t>
            </w:r>
          </w:p>
        </w:tc>
        <w:tc>
          <w:tcPr>
            <w:tcW w:w="1623" w:type="pct"/>
            <w:vAlign w:val="center"/>
          </w:tcPr>
          <w:p>
            <w:pPr>
              <w:spacing w:line="240" w:lineRule="auto"/>
              <w:ind w:firstLine="0" w:firstLineChars="0"/>
              <w:jc w:val="center"/>
              <w:rPr>
                <w:rFonts w:ascii="Times New Roman" w:hAnsi="Times New Roman" w:eastAsia="宋体" w:cs="Times New Roman"/>
              </w:rPr>
            </w:pPr>
            <w:r>
              <w:rPr>
                <w:rFonts w:ascii="Times New Roman" w:hAnsi="Times New Roman" w:eastAsia="宋体" w:cs="Times New Roman"/>
              </w:rPr>
              <w:t>区级信息化应用系统平台运维保障人员资质达标率</w:t>
            </w:r>
          </w:p>
        </w:tc>
        <w:tc>
          <w:tcPr>
            <w:tcW w:w="1133" w:type="pc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 xml:space="preserve">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800" w:type="pct"/>
            <w:vMerge w:val="continue"/>
            <w:vAlign w:val="center"/>
          </w:tcPr>
          <w:p>
            <w:pPr>
              <w:ind w:firstLine="0" w:firstLineChars="0"/>
              <w:jc w:val="center"/>
              <w:rPr>
                <w:rFonts w:ascii="Times New Roman" w:hAnsi="Times New Roman" w:eastAsia="宋体" w:cs="Times New Roman"/>
              </w:rPr>
            </w:pPr>
          </w:p>
        </w:tc>
        <w:tc>
          <w:tcPr>
            <w:tcW w:w="1444" w:type="pct"/>
            <w:vMerge w:val="continue"/>
            <w:vAlign w:val="center"/>
          </w:tcPr>
          <w:p>
            <w:pPr>
              <w:ind w:firstLine="0" w:firstLineChars="0"/>
              <w:jc w:val="center"/>
              <w:rPr>
                <w:rFonts w:ascii="Times New Roman" w:hAnsi="Times New Roman" w:eastAsia="宋体" w:cs="Times New Roman"/>
              </w:rPr>
            </w:pPr>
          </w:p>
        </w:tc>
        <w:tc>
          <w:tcPr>
            <w:tcW w:w="1623" w:type="pct"/>
            <w:vAlign w:val="center"/>
          </w:tcPr>
          <w:p>
            <w:pPr>
              <w:spacing w:line="240" w:lineRule="auto"/>
              <w:ind w:firstLine="0" w:firstLineChars="0"/>
              <w:jc w:val="center"/>
              <w:rPr>
                <w:rFonts w:ascii="Times New Roman" w:hAnsi="Times New Roman" w:eastAsia="宋体" w:cs="Times New Roman"/>
              </w:rPr>
            </w:pPr>
            <w:r>
              <w:rPr>
                <w:rFonts w:ascii="Times New Roman" w:hAnsi="Times New Roman" w:eastAsia="宋体" w:cs="Times New Roman"/>
              </w:rPr>
              <w:t>区级信息化应用系统平台运维保障服务开展达标率</w:t>
            </w:r>
          </w:p>
        </w:tc>
        <w:tc>
          <w:tcPr>
            <w:tcW w:w="1133" w:type="pc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 xml:space="preserve">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00" w:type="pct"/>
            <w:vMerge w:val="continue"/>
            <w:vAlign w:val="center"/>
          </w:tcPr>
          <w:p>
            <w:pPr>
              <w:ind w:firstLine="0" w:firstLineChars="0"/>
              <w:jc w:val="center"/>
              <w:rPr>
                <w:rFonts w:ascii="Times New Roman" w:hAnsi="Times New Roman" w:eastAsia="宋体" w:cs="Times New Roman"/>
              </w:rPr>
            </w:pPr>
          </w:p>
        </w:tc>
        <w:tc>
          <w:tcPr>
            <w:tcW w:w="1444" w:type="pc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时效指标</w:t>
            </w:r>
          </w:p>
        </w:tc>
        <w:tc>
          <w:tcPr>
            <w:tcW w:w="1623" w:type="pct"/>
            <w:vAlign w:val="center"/>
          </w:tcPr>
          <w:p>
            <w:pPr>
              <w:spacing w:line="240" w:lineRule="auto"/>
              <w:ind w:firstLine="0" w:firstLineChars="0"/>
              <w:jc w:val="center"/>
              <w:rPr>
                <w:rFonts w:ascii="Times New Roman" w:hAnsi="Times New Roman" w:eastAsia="宋体" w:cs="Times New Roman"/>
              </w:rPr>
            </w:pPr>
            <w:r>
              <w:rPr>
                <w:rFonts w:ascii="Times New Roman" w:hAnsi="Times New Roman" w:eastAsia="宋体" w:cs="Times New Roman"/>
              </w:rPr>
              <w:t>区级信息化应用系统平台运行故障处置及时率</w:t>
            </w:r>
          </w:p>
        </w:tc>
        <w:tc>
          <w:tcPr>
            <w:tcW w:w="1133" w:type="pc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 xml:space="preserve">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00" w:type="pct"/>
            <w:vMerge w:val="continue"/>
            <w:vAlign w:val="center"/>
          </w:tcPr>
          <w:p>
            <w:pPr>
              <w:ind w:firstLine="0" w:firstLineChars="0"/>
              <w:jc w:val="center"/>
              <w:rPr>
                <w:rFonts w:ascii="Times New Roman" w:hAnsi="Times New Roman" w:eastAsia="宋体" w:cs="Times New Roman"/>
              </w:rPr>
            </w:pPr>
          </w:p>
        </w:tc>
        <w:tc>
          <w:tcPr>
            <w:tcW w:w="1444" w:type="pc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成本指标</w:t>
            </w:r>
          </w:p>
        </w:tc>
        <w:tc>
          <w:tcPr>
            <w:tcW w:w="1623" w:type="pct"/>
            <w:vAlign w:val="center"/>
          </w:tcPr>
          <w:p>
            <w:pPr>
              <w:spacing w:line="240" w:lineRule="auto"/>
              <w:ind w:firstLine="0" w:firstLineChars="0"/>
              <w:jc w:val="center"/>
              <w:rPr>
                <w:rFonts w:ascii="Times New Roman" w:hAnsi="Times New Roman" w:eastAsia="宋体" w:cs="Times New Roman"/>
              </w:rPr>
            </w:pPr>
            <w:r>
              <w:rPr>
                <w:rFonts w:ascii="Times New Roman" w:hAnsi="Times New Roman" w:eastAsia="宋体" w:cs="Times New Roman"/>
              </w:rPr>
              <w:t>综合运营保障服务经费</w:t>
            </w:r>
          </w:p>
        </w:tc>
        <w:tc>
          <w:tcPr>
            <w:tcW w:w="1133" w:type="pc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≤201万元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00" w:type="pc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效益指标</w:t>
            </w:r>
          </w:p>
        </w:tc>
        <w:tc>
          <w:tcPr>
            <w:tcW w:w="1444" w:type="pct"/>
            <w:vAlign w:val="center"/>
          </w:tcPr>
          <w:p>
            <w:pPr>
              <w:ind w:firstLine="0" w:firstLineChars="0"/>
              <w:jc w:val="center"/>
              <w:rPr>
                <w:rFonts w:ascii="Times New Roman" w:hAnsi="Times New Roman" w:eastAsia="宋体" w:cs="Times New Roman"/>
              </w:rPr>
            </w:pPr>
            <w:r>
              <w:rPr>
                <w:rFonts w:hint="eastAsia" w:ascii="Times New Roman" w:hAnsi="Times New Roman" w:eastAsia="宋体" w:cs="Times New Roman"/>
              </w:rPr>
              <w:t>可持续影响指标</w:t>
            </w:r>
          </w:p>
        </w:tc>
        <w:tc>
          <w:tcPr>
            <w:tcW w:w="1623" w:type="pct"/>
            <w:vAlign w:val="center"/>
          </w:tcPr>
          <w:p>
            <w:pPr>
              <w:spacing w:line="240" w:lineRule="auto"/>
              <w:ind w:firstLine="0" w:firstLineChars="0"/>
              <w:jc w:val="center"/>
              <w:rPr>
                <w:rFonts w:ascii="Times New Roman" w:hAnsi="Times New Roman" w:eastAsia="宋体" w:cs="Times New Roman"/>
              </w:rPr>
            </w:pPr>
            <w:r>
              <w:rPr>
                <w:rFonts w:ascii="Times New Roman" w:hAnsi="Times New Roman" w:eastAsia="宋体" w:cs="Times New Roman"/>
              </w:rPr>
              <w:t>区级信息化应用系统平台运行稳定率</w:t>
            </w:r>
          </w:p>
        </w:tc>
        <w:tc>
          <w:tcPr>
            <w:tcW w:w="1133" w:type="pc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 xml:space="preserve">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00" w:type="pc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满意度指标</w:t>
            </w:r>
          </w:p>
        </w:tc>
        <w:tc>
          <w:tcPr>
            <w:tcW w:w="1444" w:type="pc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服务对象满意度指标</w:t>
            </w:r>
          </w:p>
        </w:tc>
        <w:tc>
          <w:tcPr>
            <w:tcW w:w="1623" w:type="pct"/>
            <w:vAlign w:val="center"/>
          </w:tcPr>
          <w:p>
            <w:pPr>
              <w:spacing w:line="240" w:lineRule="auto"/>
              <w:ind w:firstLine="0" w:firstLineChars="0"/>
              <w:jc w:val="center"/>
              <w:rPr>
                <w:rFonts w:ascii="Times New Roman" w:hAnsi="Times New Roman" w:eastAsia="宋体" w:cs="Times New Roman"/>
              </w:rPr>
            </w:pPr>
            <w:r>
              <w:rPr>
                <w:rFonts w:ascii="Times New Roman" w:hAnsi="Times New Roman" w:eastAsia="宋体" w:cs="Times New Roman"/>
              </w:rPr>
              <w:t>区级信息化应用系统平台使用人员满意度</w:t>
            </w:r>
          </w:p>
        </w:tc>
        <w:tc>
          <w:tcPr>
            <w:tcW w:w="1133" w:type="pct"/>
            <w:vAlign w:val="center"/>
          </w:tcPr>
          <w:p>
            <w:pPr>
              <w:ind w:firstLine="0" w:firstLineChars="0"/>
              <w:jc w:val="center"/>
              <w:rPr>
                <w:rFonts w:ascii="Times New Roman" w:hAnsi="Times New Roman" w:eastAsia="宋体" w:cs="Times New Roman"/>
              </w:rPr>
            </w:pPr>
            <w:r>
              <w:rPr>
                <w:rFonts w:ascii="Times New Roman" w:hAnsi="Times New Roman" w:eastAsia="宋体" w:cs="Times New Roman"/>
              </w:rPr>
              <w:t>≥92%</w:t>
            </w:r>
          </w:p>
        </w:tc>
      </w:tr>
    </w:tbl>
    <w:p>
      <w:pPr>
        <w:pStyle w:val="29"/>
        <w:spacing w:before="0" w:after="0" w:line="560" w:lineRule="exact"/>
      </w:pPr>
      <w:bookmarkStart w:id="10" w:name="_Toc141635000"/>
      <w:bookmarkStart w:id="11" w:name="_Toc9893"/>
      <w:r>
        <w:rPr>
          <w:rFonts w:hint="eastAsia"/>
        </w:rPr>
        <w:t>二、绩效评价工作开展情况</w:t>
      </w:r>
      <w:bookmarkEnd w:id="10"/>
      <w:bookmarkEnd w:id="11"/>
    </w:p>
    <w:p>
      <w:pPr>
        <w:pStyle w:val="31"/>
        <w:spacing w:before="0" w:after="0" w:line="560" w:lineRule="exact"/>
        <w:ind w:firstLine="640"/>
        <w:rPr>
          <w:rFonts w:ascii="Times New Roman" w:hAnsi="Times New Roman"/>
        </w:rPr>
      </w:pPr>
      <w:bookmarkStart w:id="12" w:name="_Toc141635001"/>
      <w:bookmarkStart w:id="13" w:name="_Toc28197"/>
      <w:r>
        <w:rPr>
          <w:rFonts w:hint="eastAsia" w:ascii="Times New Roman" w:hAnsi="Times New Roman"/>
        </w:rPr>
        <w:t>（一）绩效评价的目的、对象和范围</w:t>
      </w:r>
      <w:bookmarkEnd w:id="12"/>
      <w:bookmarkEnd w:id="13"/>
    </w:p>
    <w:p>
      <w:pPr>
        <w:pStyle w:val="26"/>
        <w:spacing w:line="560" w:lineRule="exact"/>
        <w:ind w:firstLine="640"/>
      </w:pPr>
      <w:r>
        <w:rPr>
          <w:rFonts w:hint="eastAsia"/>
        </w:rPr>
        <w:t>1.绩效评价目的</w:t>
      </w:r>
    </w:p>
    <w:p>
      <w:pPr>
        <w:pStyle w:val="26"/>
        <w:spacing w:line="560" w:lineRule="exact"/>
        <w:ind w:firstLine="640"/>
      </w:pPr>
      <w:r>
        <w:rPr>
          <w:rFonts w:hint="eastAsia"/>
        </w:rPr>
        <w:t>本次评价以《财政部关于印发〈项目支出绩效评价管理办法〉的通知》（财预〔2020〕10号）、《中共天津市委</w:t>
      </w:r>
      <w:r>
        <w:t xml:space="preserve"> 天津市人民政府印发〈关于全面推进预算绩效管理的实施方案〉的通知》（津党发〔2019〕25号）</w:t>
      </w:r>
      <w:r>
        <w:rPr>
          <w:rFonts w:hint="eastAsia"/>
        </w:rPr>
        <w:t>、《天津市财政局关于印发</w:t>
      </w:r>
      <w:r>
        <w:t>〈</w:t>
      </w:r>
      <w:r>
        <w:rPr>
          <w:rFonts w:hint="eastAsia"/>
        </w:rPr>
        <w:t>全面推进预算绩效管理工作落实方案</w:t>
      </w:r>
      <w:r>
        <w:t>〉</w:t>
      </w:r>
      <w:r>
        <w:rPr>
          <w:rFonts w:hint="eastAsia"/>
        </w:rPr>
        <w:t>的通知</w:t>
      </w:r>
      <w:r>
        <w:t>》（津</w:t>
      </w:r>
      <w:r>
        <w:rPr>
          <w:rFonts w:hint="eastAsia"/>
        </w:rPr>
        <w:t>财绩效</w:t>
      </w:r>
      <w:r>
        <w:t>〔2020〕10号）</w:t>
      </w:r>
      <w:r>
        <w:rPr>
          <w:rFonts w:hint="eastAsia"/>
        </w:rPr>
        <w:t>、《天津市人民政府办公厅关于转发市财政局拟定的天津市市级财政专项资金管理暂行办法的通知》（津政办发〔2015〕63号）、《天津市市级财政项目支出绩效评价管理办法》（津财绩效〔2020〕12号）、《中共和平区委</w:t>
      </w:r>
      <w:r>
        <w:t xml:space="preserve"> 和平区人民政府印发〈关于全面推进预算绩效管理的实施方案〉的通知</w:t>
      </w:r>
      <w:r>
        <w:rPr>
          <w:rFonts w:hint="eastAsia"/>
        </w:rPr>
        <w:t>》</w:t>
      </w:r>
      <w:r>
        <w:t>（津和党发〔2019〕23号）</w:t>
      </w:r>
      <w:r>
        <w:rPr>
          <w:rFonts w:hint="eastAsia"/>
        </w:rPr>
        <w:t>、《和平区项目支出绩效评价管理办法》等文件为依据，对网信办2023年度综合运营保障服务项目经费项目财政专项资金使用绩效情况进行评价。开展此次评价工作的目的在于：</w:t>
      </w:r>
    </w:p>
    <w:p>
      <w:pPr>
        <w:spacing w:line="560" w:lineRule="exact"/>
        <w:ind w:firstLine="640"/>
        <w:rPr>
          <w:rFonts w:ascii="Times New Roman" w:hAnsi="Times New Roman" w:eastAsia="仿宋_GB2312"/>
          <w:sz w:val="32"/>
        </w:rPr>
      </w:pPr>
      <w:r>
        <w:rPr>
          <w:rFonts w:hint="eastAsia" w:ascii="Times New Roman" w:hAnsi="Times New Roman" w:eastAsia="仿宋_GB2312"/>
          <w:sz w:val="32"/>
        </w:rPr>
        <w:t>（1）通过本项目的实施情况进行核实评价，了解掌握项目的实施情况。</w:t>
      </w:r>
    </w:p>
    <w:p>
      <w:pPr>
        <w:spacing w:line="560" w:lineRule="exact"/>
        <w:ind w:firstLine="640"/>
        <w:rPr>
          <w:rFonts w:ascii="Times New Roman" w:hAnsi="Times New Roman" w:eastAsia="仿宋_GB2312"/>
          <w:sz w:val="32"/>
        </w:rPr>
      </w:pPr>
      <w:r>
        <w:rPr>
          <w:rFonts w:hint="eastAsia" w:ascii="Times New Roman" w:hAnsi="Times New Roman" w:eastAsia="仿宋_GB2312"/>
          <w:sz w:val="32"/>
        </w:rPr>
        <w:t>（2）根据项目实施的具体情况，评价其项目资金安排的科学性、合理性、规范性，完善项目管理办法，提高项目管理水平和资金的使用效率。</w:t>
      </w:r>
    </w:p>
    <w:p>
      <w:pPr>
        <w:spacing w:line="560" w:lineRule="exact"/>
        <w:ind w:firstLine="640"/>
        <w:jc w:val="both"/>
        <w:rPr>
          <w:rFonts w:ascii="Times New Roman" w:hAnsi="Times New Roman" w:eastAsia="仿宋_GB2312"/>
          <w:sz w:val="32"/>
        </w:rPr>
      </w:pPr>
      <w:r>
        <w:rPr>
          <w:rFonts w:hint="eastAsia" w:ascii="Times New Roman" w:hAnsi="Times New Roman" w:eastAsia="仿宋_GB2312"/>
          <w:sz w:val="32"/>
        </w:rPr>
        <w:t>（3）本次从决策、过程、产出、效益四个方面对</w:t>
      </w:r>
      <w:r>
        <w:rPr>
          <w:rFonts w:hint="eastAsia" w:ascii="Times New Roman" w:hAnsi="Times New Roman" w:eastAsia="仿宋_GB2312"/>
          <w:color w:val="030303"/>
          <w:sz w:val="32"/>
          <w:szCs w:val="32"/>
          <w:shd w:val="clear" w:color="auto" w:fill="FFFFFF"/>
        </w:rPr>
        <w:t>网信办2023年度综合运营保障服务项目经费</w:t>
      </w:r>
      <w:r>
        <w:rPr>
          <w:rFonts w:hint="eastAsia" w:ascii="Times New Roman" w:hAnsi="Times New Roman" w:eastAsia="仿宋_GB2312"/>
          <w:sz w:val="32"/>
        </w:rPr>
        <w:t>项目进行客观、公正的评价；总结项目管理与执行经验，发现项目管理和预算管理中存在的问题，提出改进意见和建议，为相关部门决策、管理提供参考依据，推动建立以绩效评价结果为导向的财政资金分配与管理制度。</w:t>
      </w:r>
    </w:p>
    <w:p>
      <w:pPr>
        <w:spacing w:line="560" w:lineRule="exact"/>
        <w:ind w:firstLine="640"/>
        <w:jc w:val="both"/>
        <w:rPr>
          <w:rFonts w:ascii="Times New Roman" w:hAnsi="Times New Roman" w:eastAsia="仿宋_GB2312"/>
          <w:sz w:val="32"/>
        </w:rPr>
      </w:pPr>
      <w:r>
        <w:rPr>
          <w:rFonts w:hint="eastAsia" w:ascii="Times New Roman" w:hAnsi="Times New Roman" w:eastAsia="仿宋_GB2312"/>
          <w:sz w:val="32"/>
        </w:rPr>
        <w:t>（4）进一步丰富和完善本项目绩效评价方法体系，推动建立以绩效评价结果为导向的财政资金分配与管理制度，提升财政资金科学化、精细化管理水平，为网信办2023年度综合运营保障服务项目经费项目专项资金的安排提供重要依据。</w:t>
      </w:r>
    </w:p>
    <w:p>
      <w:pPr>
        <w:pStyle w:val="26"/>
        <w:spacing w:line="560" w:lineRule="exact"/>
        <w:ind w:firstLine="640"/>
      </w:pPr>
      <w:r>
        <w:rPr>
          <w:rFonts w:hint="eastAsia"/>
        </w:rPr>
        <w:t>2.绩效评价对象和范围</w:t>
      </w:r>
    </w:p>
    <w:p>
      <w:pPr>
        <w:pStyle w:val="26"/>
        <w:spacing w:line="560" w:lineRule="exact"/>
        <w:ind w:firstLine="640"/>
      </w:pPr>
      <w:r>
        <w:rPr>
          <w:rFonts w:hint="eastAsia"/>
        </w:rPr>
        <w:t>本次绩效评价针对区委</w:t>
      </w:r>
      <w:r>
        <w:t>网信办2023年度综合运营保障服务项目经费项目</w:t>
      </w:r>
      <w:r>
        <w:rPr>
          <w:rFonts w:hint="eastAsia"/>
        </w:rPr>
        <w:t>展开，主要评价内容及范围如下：</w:t>
      </w:r>
    </w:p>
    <w:p>
      <w:pPr>
        <w:pStyle w:val="26"/>
        <w:spacing w:line="560" w:lineRule="exact"/>
        <w:ind w:firstLine="640"/>
      </w:pPr>
      <w:r>
        <w:rPr>
          <w:rFonts w:hint="eastAsia"/>
        </w:rPr>
        <w:t>（</w:t>
      </w:r>
      <w:r>
        <w:t>1）立项依据和立项程序情况；</w:t>
      </w:r>
    </w:p>
    <w:p>
      <w:pPr>
        <w:pStyle w:val="26"/>
        <w:spacing w:line="560" w:lineRule="exact"/>
        <w:ind w:firstLine="640"/>
      </w:pPr>
      <w:r>
        <w:rPr>
          <w:rFonts w:hint="eastAsia"/>
        </w:rPr>
        <w:t>（</w:t>
      </w:r>
      <w:r>
        <w:t>2）绩效目标和指标设定情况；</w:t>
      </w:r>
    </w:p>
    <w:p>
      <w:pPr>
        <w:pStyle w:val="26"/>
        <w:spacing w:line="560" w:lineRule="exact"/>
        <w:ind w:firstLine="640"/>
      </w:pPr>
      <w:r>
        <w:rPr>
          <w:rFonts w:hint="eastAsia"/>
        </w:rPr>
        <w:t>（</w:t>
      </w:r>
      <w:r>
        <w:t>3）预算编制和资金分配情况；</w:t>
      </w:r>
    </w:p>
    <w:p>
      <w:pPr>
        <w:pStyle w:val="26"/>
        <w:spacing w:line="560" w:lineRule="exact"/>
        <w:ind w:firstLine="640"/>
      </w:pPr>
      <w:r>
        <w:rPr>
          <w:rFonts w:hint="eastAsia"/>
        </w:rPr>
        <w:t>（</w:t>
      </w:r>
      <w:r>
        <w:t>4）资金管理和使用情况；</w:t>
      </w:r>
    </w:p>
    <w:p>
      <w:pPr>
        <w:pStyle w:val="26"/>
        <w:spacing w:line="560" w:lineRule="exact"/>
        <w:ind w:firstLine="640"/>
      </w:pPr>
      <w:r>
        <w:rPr>
          <w:rFonts w:hint="eastAsia"/>
        </w:rPr>
        <w:t>（</w:t>
      </w:r>
      <w:r>
        <w:t>5）相关制度办法的健全性及执行情况；</w:t>
      </w:r>
    </w:p>
    <w:p>
      <w:pPr>
        <w:pStyle w:val="26"/>
        <w:spacing w:line="560" w:lineRule="exact"/>
        <w:ind w:firstLine="640"/>
      </w:pPr>
      <w:r>
        <w:rPr>
          <w:rFonts w:hint="eastAsia"/>
        </w:rPr>
        <w:t>（</w:t>
      </w:r>
      <w:r>
        <w:t>6）实现的产出情况；</w:t>
      </w:r>
    </w:p>
    <w:p>
      <w:pPr>
        <w:pStyle w:val="26"/>
        <w:spacing w:line="560" w:lineRule="exact"/>
        <w:ind w:firstLine="640"/>
      </w:pPr>
      <w:r>
        <w:rPr>
          <w:rFonts w:hint="eastAsia"/>
        </w:rPr>
        <w:t>（</w:t>
      </w:r>
      <w:r>
        <w:t>7）取得的效益情况；</w:t>
      </w:r>
    </w:p>
    <w:p>
      <w:pPr>
        <w:pStyle w:val="26"/>
        <w:spacing w:line="560" w:lineRule="exact"/>
        <w:ind w:firstLine="640"/>
      </w:pPr>
      <w:r>
        <w:rPr>
          <w:rFonts w:hint="eastAsia"/>
        </w:rPr>
        <w:t>（</w:t>
      </w:r>
      <w:r>
        <w:t>8）其他相关内容。</w:t>
      </w:r>
    </w:p>
    <w:p>
      <w:pPr>
        <w:pStyle w:val="31"/>
        <w:spacing w:before="0" w:after="0" w:line="560" w:lineRule="exact"/>
        <w:ind w:firstLine="640"/>
        <w:rPr>
          <w:rFonts w:ascii="Times New Roman" w:hAnsi="Times New Roman"/>
        </w:rPr>
      </w:pPr>
      <w:bookmarkStart w:id="14" w:name="_Toc141635002"/>
      <w:bookmarkStart w:id="15" w:name="_Toc22907"/>
      <w:r>
        <w:rPr>
          <w:rFonts w:hint="eastAsia" w:ascii="Times New Roman" w:hAnsi="Times New Roman"/>
        </w:rPr>
        <w:t>（二）</w:t>
      </w:r>
      <w:r>
        <w:rPr>
          <w:rFonts w:ascii="Times New Roman" w:hAnsi="Times New Roman"/>
        </w:rPr>
        <w:t>绩效评价</w:t>
      </w:r>
      <w:r>
        <w:rPr>
          <w:rFonts w:hint="eastAsia" w:ascii="Times New Roman" w:hAnsi="Times New Roman"/>
        </w:rPr>
        <w:t>原则、评价指标体系、评价方法</w:t>
      </w:r>
      <w:bookmarkEnd w:id="14"/>
      <w:bookmarkEnd w:id="15"/>
    </w:p>
    <w:p>
      <w:pPr>
        <w:pStyle w:val="26"/>
        <w:spacing w:line="560" w:lineRule="exact"/>
        <w:ind w:firstLine="640"/>
      </w:pPr>
      <w:r>
        <w:t>1.绩效评价原则</w:t>
      </w:r>
    </w:p>
    <w:p>
      <w:pPr>
        <w:pStyle w:val="26"/>
        <w:spacing w:line="560" w:lineRule="exact"/>
        <w:ind w:firstLine="640"/>
      </w:pPr>
      <w:r>
        <w:rPr>
          <w:rFonts w:hint="eastAsia"/>
        </w:rPr>
        <w:t>（</w:t>
      </w:r>
      <w:r>
        <w:t>1）坚持科学规范的原则。此次绩效评价运用科学合理的评价指标体系和方法，按照规范的程序，对支出绩效进行客观、公正的反映。</w:t>
      </w:r>
    </w:p>
    <w:p>
      <w:pPr>
        <w:pStyle w:val="26"/>
        <w:spacing w:line="560" w:lineRule="exact"/>
        <w:ind w:firstLine="640"/>
      </w:pPr>
      <w:r>
        <w:rPr>
          <w:rFonts w:hint="eastAsia"/>
        </w:rPr>
        <w:t>（</w:t>
      </w:r>
      <w:r>
        <w:t>2</w:t>
      </w:r>
      <w:r>
        <w:rPr>
          <w:rFonts w:hint="eastAsia"/>
        </w:rPr>
        <w:t>）坚持统筹兼顾的原则。此次评价委托第三方机构在单位自评的基础上开展。</w:t>
      </w:r>
    </w:p>
    <w:p>
      <w:pPr>
        <w:pStyle w:val="26"/>
        <w:spacing w:line="560" w:lineRule="exact"/>
        <w:ind w:firstLine="640"/>
      </w:pPr>
      <w:r>
        <w:rPr>
          <w:rFonts w:hint="eastAsia"/>
        </w:rPr>
        <w:t>（</w:t>
      </w:r>
      <w:r>
        <w:t>3</w:t>
      </w:r>
      <w:r>
        <w:rPr>
          <w:rFonts w:hint="eastAsia"/>
        </w:rPr>
        <w:t>）坚持激励约束的原则。本次绩效评价结果可以作为预算安排、政策调整、改进管理的参考，绩效评价工作将体现奖优罚劣和激励相容导向，有效要安排、低效要压减、无效要问责。</w:t>
      </w:r>
    </w:p>
    <w:p>
      <w:pPr>
        <w:pStyle w:val="26"/>
        <w:spacing w:line="560" w:lineRule="exact"/>
        <w:ind w:firstLine="640"/>
      </w:pPr>
      <w:r>
        <w:rPr>
          <w:rFonts w:hint="eastAsia"/>
        </w:rPr>
        <w:t>（</w:t>
      </w:r>
      <w:r>
        <w:t>4</w:t>
      </w:r>
      <w:r>
        <w:rPr>
          <w:rFonts w:hint="eastAsia"/>
        </w:rPr>
        <w:t>）坚持公开透明的原则。承诺绩效评价结果依法依规公开，自觉接受有关机构和社会监督。</w:t>
      </w:r>
    </w:p>
    <w:p>
      <w:pPr>
        <w:pStyle w:val="26"/>
        <w:spacing w:line="560" w:lineRule="exact"/>
        <w:ind w:firstLine="640"/>
      </w:pPr>
      <w:r>
        <w:rPr>
          <w:rFonts w:hint="eastAsia"/>
        </w:rPr>
        <w:t>（</w:t>
      </w:r>
      <w:r>
        <w:t>5）坚持综合绩效评价，定量分析与定性分析相结合的原则。</w:t>
      </w:r>
    </w:p>
    <w:p>
      <w:pPr>
        <w:pStyle w:val="26"/>
        <w:spacing w:line="560" w:lineRule="exact"/>
        <w:ind w:firstLine="640"/>
      </w:pPr>
      <w:r>
        <w:rPr>
          <w:rFonts w:hint="eastAsia"/>
        </w:rPr>
        <w:t>（</w:t>
      </w:r>
      <w:r>
        <w:t>6）坚持绩效相关性原则。此次绩效评价将针对具体支出及其产出绩效进行，评价结果将清晰反映支出和产出绩效之间的紧密对应关系。</w:t>
      </w:r>
    </w:p>
    <w:p>
      <w:pPr>
        <w:pStyle w:val="26"/>
        <w:spacing w:line="560" w:lineRule="exact"/>
        <w:ind w:firstLine="640"/>
      </w:pPr>
      <w:r>
        <w:rPr>
          <w:rFonts w:hint="eastAsia"/>
        </w:rPr>
        <w:t>2.评价指标体系</w:t>
      </w:r>
    </w:p>
    <w:p>
      <w:pPr>
        <w:pStyle w:val="26"/>
        <w:spacing w:line="560" w:lineRule="exact"/>
        <w:ind w:firstLine="640"/>
      </w:pPr>
      <w:r>
        <w:rPr>
          <w:rFonts w:hint="eastAsia"/>
        </w:rPr>
        <w:t>针对</w:t>
      </w:r>
      <w:r>
        <w:t>网信办2023年度综合运营保障服务项目经费项目</w:t>
      </w:r>
      <w:r>
        <w:rPr>
          <w:rFonts w:hint="eastAsia"/>
        </w:rPr>
        <w:t>情况，从决策、过程、产出及效益四大方面拟定绩效评价指标，其中：</w:t>
      </w:r>
    </w:p>
    <w:p>
      <w:pPr>
        <w:pStyle w:val="26"/>
        <w:spacing w:line="560" w:lineRule="exact"/>
        <w:ind w:firstLine="640"/>
      </w:pPr>
      <w:r>
        <w:rPr>
          <w:rFonts w:hint="eastAsia"/>
        </w:rPr>
        <w:t>（</w:t>
      </w:r>
      <w:r>
        <w:t>1）项目决策指标</w:t>
      </w:r>
    </w:p>
    <w:p>
      <w:pPr>
        <w:pStyle w:val="26"/>
        <w:spacing w:line="560" w:lineRule="exact"/>
        <w:ind w:firstLine="640"/>
      </w:pPr>
      <w:r>
        <w:rPr>
          <w:rFonts w:hint="eastAsia"/>
        </w:rPr>
        <w:t>①项目立项</w:t>
      </w:r>
    </w:p>
    <w:p>
      <w:pPr>
        <w:pStyle w:val="26"/>
        <w:spacing w:line="560" w:lineRule="exact"/>
        <w:ind w:firstLine="640"/>
      </w:pPr>
      <w:r>
        <w:t>a.立项依据充分性。</w:t>
      </w:r>
      <w:r>
        <w:rPr>
          <w:rFonts w:hint="eastAsia"/>
        </w:rPr>
        <w:t>项目立项是否符合法律法规、相关政策、发展规划以及部门职责，用于反映和考核项目立项依据情况。</w:t>
      </w:r>
    </w:p>
    <w:p>
      <w:pPr>
        <w:pStyle w:val="26"/>
        <w:spacing w:line="560" w:lineRule="exact"/>
        <w:ind w:firstLine="640"/>
      </w:pPr>
      <w:r>
        <w:t>b.立项程序规范性。项目申请、设立过程是否符合相关要求，用以反映和考核项目立项的规范情况。</w:t>
      </w:r>
    </w:p>
    <w:p>
      <w:pPr>
        <w:pStyle w:val="26"/>
        <w:spacing w:line="560" w:lineRule="exact"/>
        <w:ind w:firstLine="640"/>
      </w:pPr>
      <w:r>
        <w:rPr>
          <w:rFonts w:hint="eastAsia"/>
        </w:rPr>
        <w:t>②绩效目标</w:t>
      </w:r>
    </w:p>
    <w:p>
      <w:pPr>
        <w:pStyle w:val="26"/>
        <w:spacing w:line="560" w:lineRule="exact"/>
        <w:ind w:firstLine="640"/>
      </w:pPr>
      <w:r>
        <w:t>a.</w:t>
      </w:r>
      <w:r>
        <w:rPr>
          <w:rFonts w:hint="eastAsia"/>
        </w:rPr>
        <w:t>绩效目标明确性</w:t>
      </w:r>
      <w:r>
        <w:t>。</w:t>
      </w:r>
      <w:r>
        <w:rPr>
          <w:rFonts w:hint="eastAsia"/>
        </w:rPr>
        <w:t>依据绩效目标设定的绩效指标是否清晰、细化、可衡量等，用以反映和考核项目绩效目标的明细化情况。</w:t>
      </w:r>
    </w:p>
    <w:p>
      <w:pPr>
        <w:pStyle w:val="26"/>
        <w:spacing w:line="560" w:lineRule="exact"/>
        <w:ind w:firstLine="640"/>
      </w:pPr>
      <w:r>
        <w:t>b.绩效目标</w:t>
      </w:r>
      <w:r>
        <w:rPr>
          <w:rFonts w:hint="eastAsia"/>
        </w:rPr>
        <w:t>合理</w:t>
      </w:r>
      <w:r>
        <w:t>性。</w:t>
      </w:r>
      <w:r>
        <w:rPr>
          <w:rFonts w:hint="eastAsia"/>
        </w:rPr>
        <w:t>项目所设定的绩效目标是否依据充分，是否符合客观实际，用以反映和考核项目绩效目标与项目实施的相符情况。</w:t>
      </w:r>
    </w:p>
    <w:p>
      <w:pPr>
        <w:pStyle w:val="26"/>
        <w:spacing w:line="560" w:lineRule="exact"/>
        <w:ind w:firstLine="640"/>
      </w:pPr>
      <w:r>
        <w:rPr>
          <w:rFonts w:hint="eastAsia"/>
        </w:rPr>
        <w:t>③测算编制</w:t>
      </w:r>
    </w:p>
    <w:p>
      <w:pPr>
        <w:pStyle w:val="26"/>
        <w:spacing w:line="560" w:lineRule="exact"/>
        <w:ind w:firstLine="640"/>
      </w:pPr>
      <w:r>
        <w:t>a.</w:t>
      </w:r>
      <w:r>
        <w:rPr>
          <w:rFonts w:hint="eastAsia"/>
        </w:rPr>
        <w:t>测</w:t>
      </w:r>
      <w:r>
        <w:t>算</w:t>
      </w:r>
      <w:r>
        <w:rPr>
          <w:rFonts w:hint="eastAsia"/>
        </w:rPr>
        <w:t>内容合规</w:t>
      </w:r>
      <w:r>
        <w:t>性。</w:t>
      </w:r>
      <w:r>
        <w:rPr>
          <w:rFonts w:hint="eastAsia"/>
        </w:rPr>
        <w:t>项目预算测算内容是否符合相关政策文件规定范围。</w:t>
      </w:r>
    </w:p>
    <w:p>
      <w:pPr>
        <w:pStyle w:val="26"/>
        <w:spacing w:line="560" w:lineRule="exact"/>
        <w:ind w:firstLine="640"/>
      </w:pPr>
      <w:r>
        <w:t>b.</w:t>
      </w:r>
      <w:r>
        <w:rPr>
          <w:rFonts w:hint="eastAsia"/>
        </w:rPr>
        <w:t>测算标准合理性</w:t>
      </w:r>
      <w:r>
        <w:t>。</w:t>
      </w:r>
      <w:r>
        <w:rPr>
          <w:rFonts w:hint="eastAsia"/>
        </w:rPr>
        <w:t>项目预算测算项目支出标准是否符合相关政策制度或行业、领域规定。</w:t>
      </w:r>
    </w:p>
    <w:p>
      <w:pPr>
        <w:pStyle w:val="26"/>
        <w:spacing w:line="560" w:lineRule="exact"/>
        <w:ind w:firstLine="640"/>
      </w:pPr>
      <w:r>
        <w:t>c.</w:t>
      </w:r>
      <w:r>
        <w:rPr>
          <w:rFonts w:hint="eastAsia"/>
        </w:rPr>
        <w:t>测算数据客观性。项目预算测算数据是否客观、真实、准确。</w:t>
      </w:r>
    </w:p>
    <w:p>
      <w:pPr>
        <w:pStyle w:val="26"/>
        <w:spacing w:line="560" w:lineRule="exact"/>
        <w:ind w:firstLine="640"/>
      </w:pPr>
      <w:r>
        <w:t>d</w:t>
      </w:r>
      <w:r>
        <w:rPr>
          <w:rFonts w:hint="eastAsia"/>
        </w:rPr>
        <w:t>.测算过程细化度。测算过程是否细化清晰。</w:t>
      </w:r>
    </w:p>
    <w:p>
      <w:pPr>
        <w:pStyle w:val="26"/>
        <w:spacing w:line="560" w:lineRule="exact"/>
        <w:ind w:firstLine="640"/>
      </w:pPr>
      <w:r>
        <w:rPr>
          <w:rFonts w:hint="eastAsia"/>
        </w:rPr>
        <w:t>（</w:t>
      </w:r>
      <w:r>
        <w:t>2）项目过程指标</w:t>
      </w:r>
    </w:p>
    <w:p>
      <w:pPr>
        <w:pStyle w:val="26"/>
        <w:spacing w:line="560" w:lineRule="exact"/>
        <w:ind w:firstLine="640"/>
      </w:pPr>
      <w:r>
        <w:rPr>
          <w:rFonts w:hint="eastAsia"/>
        </w:rPr>
        <w:t>①资金管理</w:t>
      </w:r>
    </w:p>
    <w:p>
      <w:pPr>
        <w:pStyle w:val="26"/>
        <w:spacing w:line="560" w:lineRule="exact"/>
        <w:ind w:firstLine="640"/>
      </w:pPr>
      <w:r>
        <w:rPr>
          <w:rFonts w:hint="eastAsia"/>
        </w:rPr>
        <w:t>a</w:t>
      </w:r>
      <w:r>
        <w:t>.</w:t>
      </w:r>
      <w:r>
        <w:rPr>
          <w:rFonts w:hint="eastAsia"/>
        </w:rPr>
        <w:t>资金到位率。实际到位资金与预算资金的比率，用以反映和考核资金落实情况对项目实施的总体保障程度。</w:t>
      </w:r>
    </w:p>
    <w:p>
      <w:pPr>
        <w:pStyle w:val="26"/>
        <w:spacing w:line="560" w:lineRule="exact"/>
        <w:ind w:firstLine="640"/>
      </w:pPr>
      <w:r>
        <w:rPr>
          <w:rFonts w:hint="eastAsia"/>
        </w:rPr>
        <w:t>b</w:t>
      </w:r>
      <w:r>
        <w:t>.</w:t>
      </w:r>
      <w:r>
        <w:rPr>
          <w:rFonts w:hint="eastAsia"/>
        </w:rPr>
        <w:t>资金到位及时率。及时到位资金与实际到位资金的比率，用以反映和考核项目资金落实的及时性程度。</w:t>
      </w:r>
    </w:p>
    <w:p>
      <w:pPr>
        <w:pStyle w:val="26"/>
        <w:spacing w:line="560" w:lineRule="exact"/>
        <w:ind w:firstLine="640"/>
      </w:pPr>
      <w:r>
        <w:rPr>
          <w:rFonts w:hint="eastAsia"/>
        </w:rPr>
        <w:t>c</w:t>
      </w:r>
      <w:r>
        <w:t>.</w:t>
      </w:r>
      <w:r>
        <w:rPr>
          <w:rFonts w:hint="eastAsia"/>
        </w:rPr>
        <w:t>预算执行率。项目预算资金是否按照计划执行，用以反映或考核项目预算执行情况。</w:t>
      </w:r>
    </w:p>
    <w:p>
      <w:pPr>
        <w:pStyle w:val="26"/>
        <w:spacing w:line="560" w:lineRule="exact"/>
        <w:ind w:firstLine="640"/>
      </w:pPr>
      <w:r>
        <w:rPr>
          <w:rFonts w:hint="eastAsia"/>
        </w:rPr>
        <w:t>d</w:t>
      </w:r>
      <w:r>
        <w:t>.</w:t>
      </w:r>
      <w:r>
        <w:rPr>
          <w:rFonts w:hint="eastAsia"/>
        </w:rPr>
        <w:t>资金使用合规性。项目资金使用是否符合相关的财务管理制度规定，用以反映和考核项目资金的规范运行情况。</w:t>
      </w:r>
    </w:p>
    <w:p>
      <w:pPr>
        <w:pStyle w:val="26"/>
        <w:spacing w:line="560" w:lineRule="exact"/>
        <w:ind w:firstLine="640"/>
      </w:pPr>
      <w:r>
        <w:rPr>
          <w:rFonts w:hint="eastAsia"/>
        </w:rPr>
        <w:t>②组织实施</w:t>
      </w:r>
    </w:p>
    <w:p>
      <w:pPr>
        <w:pStyle w:val="26"/>
        <w:spacing w:line="560" w:lineRule="exact"/>
        <w:ind w:firstLine="640"/>
      </w:pPr>
      <w:r>
        <w:t>a.管理制度健全性。</w:t>
      </w:r>
      <w:r>
        <w:rPr>
          <w:rFonts w:hint="eastAsia"/>
        </w:rPr>
        <w:t>项目实施单位的财务和业务管理制度是否健全，用以反映和考核财务和业务管理制度对项目顺利实施的保障情况。</w:t>
      </w:r>
    </w:p>
    <w:p>
      <w:pPr>
        <w:pStyle w:val="26"/>
        <w:spacing w:line="560" w:lineRule="exact"/>
        <w:ind w:firstLine="640"/>
      </w:pPr>
      <w:r>
        <w:rPr>
          <w:rFonts w:hint="eastAsia"/>
        </w:rPr>
        <w:t>b.政府购买服务规范性。采购需求是否合理，采购程序是否规范，采购是否通过充分遴选等，用以反映和考核项目单位采购实施的规范情况。</w:t>
      </w:r>
    </w:p>
    <w:p>
      <w:pPr>
        <w:pStyle w:val="26"/>
        <w:spacing w:line="560" w:lineRule="exact"/>
        <w:ind w:firstLine="640"/>
      </w:pPr>
      <w:r>
        <w:rPr>
          <w:rFonts w:hint="eastAsia"/>
        </w:rPr>
        <w:t>c</w:t>
      </w:r>
      <w:r>
        <w:t>.制度执行有效性</w:t>
      </w:r>
      <w:r>
        <w:rPr>
          <w:rFonts w:hint="eastAsia"/>
        </w:rPr>
        <w:t>。评价内容主要从项目申报、项目实施、项目结项等</w:t>
      </w:r>
      <w:r>
        <w:t>3个环节开展，结合相关管理规定进行评价</w:t>
      </w:r>
      <w:r>
        <w:rPr>
          <w:rFonts w:hint="eastAsia"/>
        </w:rPr>
        <w:t>。</w:t>
      </w:r>
    </w:p>
    <w:p>
      <w:pPr>
        <w:pStyle w:val="26"/>
        <w:spacing w:line="560" w:lineRule="exact"/>
        <w:ind w:firstLine="640"/>
      </w:pPr>
      <w:r>
        <w:rPr>
          <w:rFonts w:hint="eastAsia"/>
        </w:rPr>
        <w:t>（</w:t>
      </w:r>
      <w:r>
        <w:t>3）项目产出指标</w:t>
      </w:r>
    </w:p>
    <w:p>
      <w:pPr>
        <w:pStyle w:val="26"/>
        <w:spacing w:line="560" w:lineRule="exact"/>
        <w:ind w:firstLine="640"/>
      </w:pPr>
      <w:r>
        <w:rPr>
          <w:rFonts w:hint="eastAsia"/>
        </w:rPr>
        <w:t>①产出数量</w:t>
      </w:r>
    </w:p>
    <w:p>
      <w:pPr>
        <w:pStyle w:val="26"/>
        <w:spacing w:line="560" w:lineRule="exact"/>
        <w:ind w:firstLine="640"/>
      </w:pPr>
      <w:r>
        <w:rPr>
          <w:rFonts w:hint="eastAsia"/>
        </w:rPr>
        <w:t>综合运营保障任务完成率。项目实施期间实际完成综合运营保障任务项数与计划完成综合运营保障任务项数比对，反映综合运营保障任务的完成情况。</w:t>
      </w:r>
    </w:p>
    <w:p>
      <w:pPr>
        <w:pStyle w:val="26"/>
        <w:spacing w:line="560" w:lineRule="exact"/>
        <w:ind w:firstLine="640"/>
      </w:pPr>
      <w:r>
        <w:rPr>
          <w:rFonts w:hint="eastAsia"/>
        </w:rPr>
        <w:t>②产出质量</w:t>
      </w:r>
    </w:p>
    <w:p>
      <w:pPr>
        <w:pStyle w:val="26"/>
        <w:spacing w:line="560" w:lineRule="exact"/>
        <w:ind w:firstLine="640"/>
      </w:pPr>
      <w:r>
        <w:rPr>
          <w:rFonts w:hint="eastAsia"/>
        </w:rPr>
        <w:t>综合运营保障任务完成达标率。实际完成综合运营保障任务项数中达到服务考核要求任务项数与实际完成综合运营保障任务项数比对，反映综合运营保障任务完成质量是否达标的情况。</w:t>
      </w:r>
    </w:p>
    <w:p>
      <w:pPr>
        <w:pStyle w:val="26"/>
        <w:spacing w:line="560" w:lineRule="exact"/>
        <w:ind w:firstLine="640"/>
      </w:pPr>
      <w:r>
        <w:rPr>
          <w:rFonts w:hint="eastAsia"/>
        </w:rPr>
        <w:t>③产出时效</w:t>
      </w:r>
    </w:p>
    <w:p>
      <w:pPr>
        <w:pStyle w:val="26"/>
        <w:spacing w:line="560" w:lineRule="exact"/>
        <w:ind w:firstLine="640"/>
      </w:pPr>
      <w:r>
        <w:rPr>
          <w:rFonts w:hint="eastAsia"/>
        </w:rPr>
        <w:t>综合运营保障任务开展完成及时率。项目实施期间按照既定进度安排开展并完成综合运营保障任务项数与实际开展并完成综合运营保障任务项数比对，反映综合运营保障任务是否及时开展并完成的情况。</w:t>
      </w:r>
    </w:p>
    <w:p>
      <w:pPr>
        <w:pStyle w:val="26"/>
        <w:spacing w:line="560" w:lineRule="exact"/>
        <w:ind w:firstLine="640"/>
      </w:pPr>
      <w:r>
        <w:rPr>
          <w:rFonts w:hint="eastAsia"/>
        </w:rPr>
        <w:t>④产出成本</w:t>
      </w:r>
    </w:p>
    <w:p>
      <w:pPr>
        <w:pStyle w:val="26"/>
        <w:spacing w:line="560" w:lineRule="exact"/>
        <w:ind w:firstLine="640"/>
      </w:pPr>
      <w:r>
        <w:rPr>
          <w:rFonts w:hint="eastAsia"/>
        </w:rPr>
        <w:t>综合运营保障服务项目成本节约率。项目实施期间综合运营保障服务项目实际支出成本与计划支出成本比对，反映综合运营保障服务项目成本控制情况。</w:t>
      </w:r>
    </w:p>
    <w:p>
      <w:pPr>
        <w:pStyle w:val="26"/>
        <w:spacing w:line="560" w:lineRule="exact"/>
        <w:ind w:firstLine="640"/>
      </w:pPr>
      <w:r>
        <w:rPr>
          <w:rFonts w:hint="eastAsia"/>
        </w:rPr>
        <w:t>（</w:t>
      </w:r>
      <w:r>
        <w:t>4）项目</w:t>
      </w:r>
      <w:r>
        <w:rPr>
          <w:rFonts w:hint="eastAsia"/>
        </w:rPr>
        <w:t>效益指标</w:t>
      </w:r>
    </w:p>
    <w:p>
      <w:pPr>
        <w:pStyle w:val="26"/>
        <w:spacing w:line="560" w:lineRule="exact"/>
        <w:ind w:firstLine="640"/>
      </w:pPr>
      <w:r>
        <w:rPr>
          <w:rFonts w:hint="eastAsia"/>
        </w:rPr>
        <w:t>①社会效益</w:t>
      </w:r>
    </w:p>
    <w:p>
      <w:pPr>
        <w:pStyle w:val="26"/>
        <w:spacing w:line="560" w:lineRule="exact"/>
        <w:ind w:firstLine="640"/>
      </w:pPr>
      <w:r>
        <w:rPr>
          <w:rFonts w:hint="eastAsia"/>
        </w:rPr>
        <w:t>辖区政务信息化水平巩固提升情况。项目实施期间通过开展综合运营保障服务工作，反映相关工作对辖区政务信息化水平的巩固提升情况。</w:t>
      </w:r>
    </w:p>
    <w:p>
      <w:pPr>
        <w:pStyle w:val="26"/>
        <w:spacing w:line="560" w:lineRule="exact"/>
        <w:ind w:firstLine="640"/>
      </w:pPr>
      <w:r>
        <w:rPr>
          <w:rFonts w:hint="eastAsia"/>
        </w:rPr>
        <w:t>②可持续影响</w:t>
      </w:r>
    </w:p>
    <w:p>
      <w:pPr>
        <w:pStyle w:val="26"/>
        <w:spacing w:line="560" w:lineRule="exact"/>
        <w:ind w:firstLine="640"/>
      </w:pPr>
      <w:r>
        <w:rPr>
          <w:rFonts w:hint="eastAsia"/>
        </w:rPr>
        <w:t>综合运营保障服务管理机制健全性。综合运营保障服务管理机制健全性情况，用以反映综合运营保障服务管理工作开展的可持续性。</w:t>
      </w:r>
    </w:p>
    <w:p>
      <w:pPr>
        <w:pStyle w:val="26"/>
        <w:spacing w:line="560" w:lineRule="exact"/>
        <w:ind w:firstLine="640"/>
      </w:pPr>
      <w:r>
        <w:rPr>
          <w:rFonts w:hint="eastAsia"/>
        </w:rPr>
        <w:t>③服务对象满意度</w:t>
      </w:r>
    </w:p>
    <w:p>
      <w:pPr>
        <w:pStyle w:val="26"/>
        <w:spacing w:line="560" w:lineRule="exact"/>
        <w:ind w:firstLine="0" w:firstLineChars="0"/>
      </w:pPr>
      <w:r>
        <w:rPr>
          <w:rFonts w:hint="eastAsia"/>
        </w:rPr>
        <w:t xml:space="preserve"> </w:t>
      </w:r>
      <w:r>
        <w:t xml:space="preserve">  </w:t>
      </w:r>
      <w:r>
        <w:rPr>
          <w:rFonts w:hint="eastAsia"/>
        </w:rPr>
        <w:t>区委网信办业务管理人员满意度。通过调查问卷中针对提供综合运营保障服务第三方相关服务工作开展成效满意的区委网信办业务管理人员人数与参与满意度调查区委网信办业务管理人员总数比对，反映参与调查区委网信办业务管理人员对本项目实施开展成效的满意程度。</w:t>
      </w:r>
    </w:p>
    <w:p>
      <w:pPr>
        <w:pStyle w:val="26"/>
        <w:spacing w:line="560" w:lineRule="exact"/>
        <w:ind w:firstLine="640"/>
      </w:pPr>
      <w:r>
        <w:rPr>
          <w:rFonts w:hint="eastAsia"/>
        </w:rPr>
        <w:t>3</w:t>
      </w:r>
      <w:r>
        <w:t>.</w:t>
      </w:r>
      <w:r>
        <w:rPr>
          <w:rFonts w:hint="eastAsia"/>
        </w:rPr>
        <w:t>绩效评价方法</w:t>
      </w:r>
    </w:p>
    <w:p>
      <w:pPr>
        <w:pStyle w:val="26"/>
        <w:spacing w:line="560" w:lineRule="exact"/>
        <w:ind w:firstLine="640"/>
      </w:pPr>
      <w:r>
        <w:rPr>
          <w:rFonts w:hint="eastAsia"/>
        </w:rPr>
        <w:t>结合项目具体情况，本次绩效评价主要运用指标分析法结合比较法等方法进行评价。坚持定量指标优先、定量指标与定性指标相结合的方式，同时通过文献法进行资料搜索以及多因素分析来支撑评价内容的逻辑紧密性与客观性。从项目决策、项目过程、项目产出以及项目效益四个方面开展评价，并选取区委网信办</w:t>
      </w:r>
      <w:r>
        <w:t>进行了现场评价</w:t>
      </w:r>
      <w:r>
        <w:rPr>
          <w:rFonts w:hint="eastAsia"/>
        </w:rPr>
        <w:t>，</w:t>
      </w:r>
      <w:r>
        <w:t>绩效评价指标体系详见附件。</w:t>
      </w:r>
    </w:p>
    <w:p>
      <w:pPr>
        <w:pStyle w:val="31"/>
        <w:spacing w:before="0" w:after="0" w:line="560" w:lineRule="exact"/>
        <w:ind w:firstLine="640"/>
        <w:rPr>
          <w:rFonts w:ascii="Times New Roman" w:hAnsi="Times New Roman"/>
        </w:rPr>
      </w:pPr>
      <w:bookmarkStart w:id="16" w:name="_Toc141635003"/>
      <w:bookmarkStart w:id="17" w:name="_Toc4013"/>
      <w:r>
        <w:rPr>
          <w:rFonts w:hint="eastAsia" w:ascii="Times New Roman" w:hAnsi="Times New Roman"/>
        </w:rPr>
        <w:t>（三）绩效评价工作过程</w:t>
      </w:r>
      <w:bookmarkEnd w:id="16"/>
      <w:bookmarkEnd w:id="17"/>
    </w:p>
    <w:p>
      <w:pPr>
        <w:pStyle w:val="26"/>
        <w:spacing w:line="560" w:lineRule="exact"/>
        <w:ind w:firstLine="640"/>
      </w:pPr>
      <w:r>
        <w:rPr>
          <w:rFonts w:hint="eastAsia"/>
        </w:rPr>
        <w:t>1.前期准备阶段</w:t>
      </w:r>
    </w:p>
    <w:p>
      <w:pPr>
        <w:pStyle w:val="26"/>
        <w:spacing w:line="560" w:lineRule="exact"/>
        <w:ind w:firstLine="640"/>
      </w:pPr>
      <w:r>
        <w:rPr>
          <w:rFonts w:hint="eastAsia"/>
        </w:rPr>
        <w:t>（</w:t>
      </w:r>
      <w:r>
        <w:t>1）成立绩效评价项目组</w:t>
      </w:r>
    </w:p>
    <w:p>
      <w:pPr>
        <w:pStyle w:val="26"/>
        <w:spacing w:line="560" w:lineRule="exact"/>
        <w:ind w:firstLine="640"/>
      </w:pPr>
      <w:r>
        <w:rPr>
          <w:rFonts w:hint="eastAsia"/>
        </w:rPr>
        <w:t>天津市和平区财政局（以下简称“区财政局”）</w:t>
      </w:r>
      <w:r>
        <w:t>委托</w:t>
      </w:r>
      <w:r>
        <w:rPr>
          <w:rFonts w:hint="eastAsia"/>
        </w:rPr>
        <w:t>第三方机构</w:t>
      </w:r>
      <w:r>
        <w:t>对网信办2023年度综合运营保障服务项目经费项目进行绩效评价工作。</w:t>
      </w:r>
    </w:p>
    <w:p>
      <w:pPr>
        <w:pStyle w:val="26"/>
        <w:spacing w:line="560" w:lineRule="exact"/>
        <w:ind w:firstLine="640"/>
      </w:pPr>
      <w:r>
        <w:t>202</w:t>
      </w:r>
      <w:r>
        <w:rPr>
          <w:rFonts w:hint="eastAsia"/>
        </w:rPr>
        <w:t>4</w:t>
      </w:r>
      <w:r>
        <w:t>年</w:t>
      </w:r>
      <w:r>
        <w:rPr>
          <w:rFonts w:hint="eastAsia"/>
        </w:rPr>
        <w:t>8</w:t>
      </w:r>
      <w:r>
        <w:t>月</w:t>
      </w:r>
      <w:r>
        <w:rPr>
          <w:rFonts w:hint="eastAsia"/>
        </w:rPr>
        <w:t>12</w:t>
      </w:r>
      <w:r>
        <w:t>日，绩效评价项目组（以下简称“评价组”）赴</w:t>
      </w:r>
      <w:r>
        <w:rPr>
          <w:rFonts w:hint="eastAsia"/>
        </w:rPr>
        <w:t>区委网信办</w:t>
      </w:r>
      <w:r>
        <w:t>参加项目见面会，听取了该单位对“网信办2023年度综合运营保障服务项目经费项目”的</w:t>
      </w:r>
      <w:r>
        <w:rPr>
          <w:rFonts w:hint="eastAsia"/>
        </w:rPr>
        <w:t>项目背景、申请立项、资金落实、业务管理、财务管理、项目产出、项目效益</w:t>
      </w:r>
      <w:r>
        <w:t>等方面的情况介绍，并对项目后续评价工作的基本原则及所需的各类资料文件提出了要求。</w:t>
      </w:r>
    </w:p>
    <w:p>
      <w:pPr>
        <w:pStyle w:val="26"/>
        <w:spacing w:line="560" w:lineRule="exact"/>
        <w:ind w:firstLine="640"/>
      </w:pPr>
      <w:r>
        <w:rPr>
          <w:rFonts w:hint="eastAsia"/>
        </w:rPr>
        <w:t>（</w:t>
      </w:r>
      <w:r>
        <w:t>2）制定绩效评价方案</w:t>
      </w:r>
    </w:p>
    <w:p>
      <w:pPr>
        <w:pStyle w:val="26"/>
        <w:spacing w:line="560" w:lineRule="exact"/>
        <w:ind w:firstLine="640"/>
      </w:pPr>
      <w:r>
        <w:rPr>
          <w:rFonts w:hint="eastAsia"/>
        </w:rPr>
        <w:t>根据有关文件要求，评价项目组制定了《</w:t>
      </w:r>
      <w:r>
        <w:t>网信办2023年度综合运营保障服务项目经费项目绩效评价实施方案》，</w:t>
      </w:r>
      <w:r>
        <w:rPr>
          <w:rFonts w:hint="eastAsia"/>
        </w:rPr>
        <w:t>根据评价方案组织开展项目评价工作。</w:t>
      </w:r>
    </w:p>
    <w:p>
      <w:pPr>
        <w:pStyle w:val="26"/>
        <w:spacing w:line="560" w:lineRule="exact"/>
        <w:ind w:firstLine="640"/>
      </w:pPr>
      <w:r>
        <w:rPr>
          <w:rFonts w:hint="eastAsia"/>
        </w:rPr>
        <w:t>（</w:t>
      </w:r>
      <w:r>
        <w:t>3）指标体系设计</w:t>
      </w:r>
    </w:p>
    <w:p>
      <w:pPr>
        <w:pStyle w:val="26"/>
        <w:spacing w:line="560" w:lineRule="exact"/>
        <w:ind w:firstLine="640"/>
      </w:pPr>
      <w:r>
        <w:rPr>
          <w:rFonts w:hint="eastAsia"/>
        </w:rPr>
        <w:t>根据</w:t>
      </w:r>
      <w:r>
        <w:t>网信办2023年度综合运营保障服务项目经费项目绩效目标及实际工作需要，从决策、过程、产出、效益四个维度出发，设立项目立项、绩效目标、</w:t>
      </w:r>
      <w:r>
        <w:rPr>
          <w:rFonts w:hint="eastAsia"/>
        </w:rPr>
        <w:t>预算编制</w:t>
      </w:r>
      <w:r>
        <w:t>、资金管理、组织实施、产出数量、产出质量、产出时效、产出成本、</w:t>
      </w:r>
      <w:r>
        <w:rPr>
          <w:rFonts w:hint="eastAsia"/>
        </w:rPr>
        <w:t>社会</w:t>
      </w:r>
      <w:r>
        <w:t>效益、</w:t>
      </w:r>
      <w:r>
        <w:rPr>
          <w:rFonts w:hint="eastAsia"/>
        </w:rPr>
        <w:t>可持续影响、服务对象</w:t>
      </w:r>
      <w:r>
        <w:t>满意度12</w:t>
      </w:r>
      <w:r>
        <w:rPr>
          <w:rFonts w:hint="eastAsia"/>
        </w:rPr>
        <w:t>项</w:t>
      </w:r>
      <w:r>
        <w:t>二级指标和2</w:t>
      </w:r>
      <w:r>
        <w:rPr>
          <w:rFonts w:hint="eastAsia"/>
        </w:rPr>
        <w:t>2项</w:t>
      </w:r>
      <w:r>
        <w:t>三级指标，采取指标分值百分制，将2</w:t>
      </w:r>
      <w:r>
        <w:rPr>
          <w:rFonts w:hint="eastAsia"/>
        </w:rPr>
        <w:t>2项三级</w:t>
      </w:r>
      <w:r>
        <w:t>指标量化为100分</w:t>
      </w:r>
      <w:r>
        <w:rPr>
          <w:rFonts w:hint="eastAsia"/>
        </w:rPr>
        <w:t>，</w:t>
      </w:r>
      <w:r>
        <w:t>分值权重在征求被评单位意见的基础上确定，</w:t>
      </w:r>
      <w:r>
        <w:rPr>
          <w:rFonts w:hint="eastAsia"/>
        </w:rPr>
        <w:t>详见附件。</w:t>
      </w:r>
    </w:p>
    <w:p>
      <w:pPr>
        <w:pStyle w:val="26"/>
        <w:spacing w:line="560" w:lineRule="exact"/>
        <w:ind w:firstLine="640"/>
      </w:pPr>
      <w:r>
        <w:rPr>
          <w:rFonts w:hint="eastAsia"/>
        </w:rPr>
        <w:t>2.评价实施阶段</w:t>
      </w:r>
    </w:p>
    <w:p>
      <w:pPr>
        <w:pStyle w:val="26"/>
        <w:spacing w:line="560" w:lineRule="exact"/>
        <w:ind w:firstLine="640"/>
      </w:pPr>
      <w:r>
        <w:rPr>
          <w:rFonts w:hint="eastAsia"/>
        </w:rPr>
        <w:t>（</w:t>
      </w:r>
      <w:r>
        <w:t>1）正式进驻。评价组</w:t>
      </w:r>
      <w:r>
        <w:rPr>
          <w:rFonts w:hint="eastAsia"/>
        </w:rPr>
        <w:t>于</w:t>
      </w:r>
      <w:r>
        <w:t>202</w:t>
      </w:r>
      <w:r>
        <w:rPr>
          <w:rFonts w:hint="eastAsia"/>
        </w:rPr>
        <w:t>4</w:t>
      </w:r>
      <w:r>
        <w:t>年</w:t>
      </w:r>
      <w:r>
        <w:rPr>
          <w:rFonts w:hint="eastAsia"/>
        </w:rPr>
        <w:t>8</w:t>
      </w:r>
      <w:r>
        <w:t>月</w:t>
      </w:r>
      <w:r>
        <w:rPr>
          <w:rFonts w:hint="eastAsia"/>
        </w:rPr>
        <w:t>12</w:t>
      </w:r>
      <w:r>
        <w:t>日正式进驻</w:t>
      </w:r>
      <w:r>
        <w:rPr>
          <w:rFonts w:hint="eastAsia"/>
        </w:rPr>
        <w:t>区委网信办</w:t>
      </w:r>
      <w:r>
        <w:t>实施评价工作。</w:t>
      </w:r>
    </w:p>
    <w:p>
      <w:pPr>
        <w:pStyle w:val="26"/>
        <w:spacing w:line="560" w:lineRule="exact"/>
        <w:ind w:firstLine="640"/>
      </w:pPr>
      <w:r>
        <w:rPr>
          <w:rFonts w:hint="eastAsia"/>
        </w:rPr>
        <w:t>（</w:t>
      </w:r>
      <w:r>
        <w:t>2）全面审查。评价过程中，评价组对网信办2023年度综合运营保障服务项目经费项目的文件依据、预算编制、制度执行、资金拨付、资金使用情况、产生效益等方面进行了全面梳理。评价组根据</w:t>
      </w:r>
      <w:r>
        <w:rPr>
          <w:rFonts w:hint="eastAsia"/>
        </w:rPr>
        <w:t>《区委网信办关于申请追加</w:t>
      </w:r>
      <w:r>
        <w:t>2023年度综合运营保障服务项目经费财政预算的请示</w:t>
      </w:r>
      <w:r>
        <w:rPr>
          <w:rFonts w:hint="eastAsia"/>
        </w:rPr>
        <w:t>》《2023年度和平区</w:t>
      </w:r>
      <w:r>
        <w:t>综合运营保障服务项目</w:t>
      </w:r>
      <w:r>
        <w:rPr>
          <w:rFonts w:hint="eastAsia"/>
        </w:rPr>
        <w:t>申报书》</w:t>
      </w:r>
      <w:r>
        <w:t>等文件，对专项经费的到位情况、</w:t>
      </w:r>
      <w:r>
        <w:rPr>
          <w:rFonts w:hint="eastAsia"/>
        </w:rPr>
        <w:t>预算编制、实施进度等相关业务文件及财务数据进行了核查。</w:t>
      </w:r>
    </w:p>
    <w:p>
      <w:pPr>
        <w:pStyle w:val="26"/>
        <w:spacing w:line="560" w:lineRule="exact"/>
        <w:ind w:firstLine="640"/>
      </w:pPr>
      <w:r>
        <w:rPr>
          <w:rFonts w:hint="eastAsia"/>
        </w:rPr>
        <w:t>（</w:t>
      </w:r>
      <w:r>
        <w:t>3）实地核查。评价组对</w:t>
      </w:r>
      <w:r>
        <w:rPr>
          <w:rFonts w:hint="eastAsia"/>
        </w:rPr>
        <w:t>区委网信办2023年度综合运营保障服务项目经费项目工作开展情况进行实地核查</w:t>
      </w:r>
      <w:r>
        <w:t>。通过现场实际勘察，了解</w:t>
      </w:r>
      <w:r>
        <w:rPr>
          <w:rFonts w:hint="eastAsia"/>
        </w:rPr>
        <w:t>网信办2023年度综合运营保障服务项目经费项目</w:t>
      </w:r>
      <w:r>
        <w:t>的实际情况，完成调查</w:t>
      </w:r>
      <w:r>
        <w:rPr>
          <w:rFonts w:hint="eastAsia"/>
        </w:rPr>
        <w:t>表</w:t>
      </w:r>
      <w:r>
        <w:t>；并对</w:t>
      </w:r>
      <w:r>
        <w:rPr>
          <w:rFonts w:hint="eastAsia"/>
        </w:rPr>
        <w:t>网信办业务管理人员</w:t>
      </w:r>
      <w:r>
        <w:t>进行满意度调查。</w:t>
      </w:r>
    </w:p>
    <w:p>
      <w:pPr>
        <w:pStyle w:val="26"/>
        <w:spacing w:line="560" w:lineRule="exact"/>
        <w:ind w:firstLine="640"/>
      </w:pPr>
      <w:r>
        <w:rPr>
          <w:rFonts w:hint="eastAsia"/>
        </w:rPr>
        <w:t>（</w:t>
      </w:r>
      <w:r>
        <w:t>4）评价打分。按照绩效评价指标体系</w:t>
      </w:r>
      <w:r>
        <w:rPr>
          <w:rFonts w:hint="eastAsia"/>
        </w:rPr>
        <w:t>内容</w:t>
      </w:r>
      <w:r>
        <w:t>对各绩效评价指标进行了评分。</w:t>
      </w:r>
    </w:p>
    <w:p>
      <w:pPr>
        <w:pStyle w:val="26"/>
        <w:spacing w:line="560" w:lineRule="exact"/>
        <w:ind w:firstLine="640"/>
      </w:pPr>
      <w:r>
        <w:rPr>
          <w:rFonts w:hint="eastAsia"/>
        </w:rPr>
        <w:t>（</w:t>
      </w:r>
      <w:r>
        <w:t>5）编制报告。评价组根据</w:t>
      </w:r>
      <w:r>
        <w:rPr>
          <w:rFonts w:hint="eastAsia"/>
        </w:rPr>
        <w:t>现场</w:t>
      </w:r>
      <w:r>
        <w:t>评价打分</w:t>
      </w:r>
      <w:r>
        <w:rPr>
          <w:rFonts w:hint="eastAsia"/>
        </w:rPr>
        <w:t>，</w:t>
      </w:r>
      <w:r>
        <w:t>编制绩效评价报告，全面梳理</w:t>
      </w:r>
      <w:r>
        <w:rPr>
          <w:rFonts w:hint="eastAsia"/>
        </w:rPr>
        <w:t>本</w:t>
      </w:r>
      <w:r>
        <w:t>项目在决策依据、过程管理、产出情况、取得效益等方面存在的问题及工作建议。</w:t>
      </w:r>
    </w:p>
    <w:p>
      <w:pPr>
        <w:pStyle w:val="29"/>
        <w:spacing w:before="0" w:after="0" w:line="560" w:lineRule="exact"/>
      </w:pPr>
      <w:bookmarkStart w:id="18" w:name="_Toc141635004"/>
      <w:bookmarkStart w:id="19" w:name="_Toc2919"/>
      <w:r>
        <w:rPr>
          <w:rFonts w:hint="eastAsia"/>
        </w:rPr>
        <w:t>三、综合评价情况及评价结论</w:t>
      </w:r>
      <w:bookmarkEnd w:id="18"/>
      <w:bookmarkEnd w:id="19"/>
    </w:p>
    <w:p>
      <w:pPr>
        <w:pStyle w:val="26"/>
        <w:spacing w:line="560" w:lineRule="exact"/>
        <w:ind w:firstLine="640"/>
      </w:pPr>
      <w:r>
        <w:rPr>
          <w:rFonts w:hint="eastAsia"/>
        </w:rPr>
        <w:t>经过综合评价，</w:t>
      </w:r>
      <w:r>
        <w:t>网信办2023年度综合运营保障服务项目经费项目</w:t>
      </w:r>
      <w:r>
        <w:rPr>
          <w:rFonts w:hint="eastAsia"/>
        </w:rPr>
        <w:t>得分95.</w:t>
      </w:r>
      <w:r>
        <w:t>1</w:t>
      </w:r>
      <w:r>
        <w:rPr>
          <w:rFonts w:hint="eastAsia"/>
        </w:rPr>
        <w:t>8</w:t>
      </w:r>
      <w:r>
        <w:t>分，评价等级为“</w:t>
      </w:r>
      <w:r>
        <w:rPr>
          <w:rFonts w:hint="eastAsia"/>
        </w:rPr>
        <w:t>优</w:t>
      </w:r>
      <w:r>
        <w:t>”。其中，项目决策1</w:t>
      </w:r>
      <w:r>
        <w:rPr>
          <w:rFonts w:hint="eastAsia"/>
        </w:rPr>
        <w:t>3</w:t>
      </w:r>
      <w:r>
        <w:t>分，项目过程2</w:t>
      </w:r>
      <w:r>
        <w:rPr>
          <w:rFonts w:hint="eastAsia"/>
        </w:rPr>
        <w:t>2.68</w:t>
      </w:r>
      <w:r>
        <w:t>分，项目产出38分，项目效益</w:t>
      </w:r>
      <w:r>
        <w:rPr>
          <w:rFonts w:hint="eastAsia"/>
        </w:rPr>
        <w:t>21.5</w:t>
      </w:r>
      <w:r>
        <w:t>分。</w:t>
      </w:r>
      <w:r>
        <w:rPr>
          <w:rFonts w:hint="eastAsia"/>
        </w:rPr>
        <w:t>具体情况见表2。</w:t>
      </w:r>
    </w:p>
    <w:p>
      <w:pPr>
        <w:pStyle w:val="26"/>
        <w:spacing w:line="560" w:lineRule="exact"/>
        <w:ind w:firstLine="0" w:firstLineChars="0"/>
        <w:jc w:val="center"/>
        <w:rPr>
          <w:rFonts w:eastAsia="黑体" w:cs="黑体"/>
          <w:sz w:val="28"/>
          <w:szCs w:val="28"/>
        </w:rPr>
      </w:pPr>
      <w:r>
        <w:rPr>
          <w:rFonts w:hint="eastAsia" w:eastAsia="黑体" w:cs="Times New Roman"/>
          <w:bCs/>
          <w:sz w:val="28"/>
          <w:szCs w:val="24"/>
        </w:rPr>
        <w:t>表</w:t>
      </w:r>
      <w:r>
        <w:rPr>
          <w:rFonts w:eastAsia="黑体" w:cs="Times New Roman"/>
          <w:bCs/>
          <w:sz w:val="28"/>
          <w:szCs w:val="24"/>
        </w:rPr>
        <w:t>2</w:t>
      </w:r>
      <w:r>
        <w:rPr>
          <w:rFonts w:hint="eastAsia" w:eastAsia="黑体" w:cs="Times New Roman"/>
          <w:bCs/>
          <w:sz w:val="28"/>
          <w:szCs w:val="24"/>
        </w:rPr>
        <w:t xml:space="preserve">  </w:t>
      </w:r>
      <w:r>
        <w:rPr>
          <w:rFonts w:eastAsia="黑体" w:cs="黑体"/>
          <w:sz w:val="28"/>
          <w:szCs w:val="28"/>
        </w:rPr>
        <w:t>网信办2023年度综合运营保障服务项目经费项目</w:t>
      </w:r>
      <w:r>
        <w:rPr>
          <w:rFonts w:hint="eastAsia" w:eastAsia="黑体" w:cs="黑体"/>
          <w:sz w:val="28"/>
          <w:szCs w:val="28"/>
        </w:rPr>
        <w:t>绩效得分情况表</w:t>
      </w:r>
    </w:p>
    <w:tbl>
      <w:tblPr>
        <w:tblStyle w:val="15"/>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502"/>
        <w:gridCol w:w="1501"/>
        <w:gridCol w:w="1502"/>
        <w:gridCol w:w="1533"/>
        <w:gridCol w:w="1502"/>
        <w:gridCol w:w="152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829" w:type="pct"/>
            <w:vAlign w:val="center"/>
          </w:tcPr>
          <w:p>
            <w:pPr>
              <w:pStyle w:val="40"/>
              <w:rPr>
                <w:rFonts w:ascii="宋体" w:hAnsi="宋体" w:cs="宋体"/>
                <w:kern w:val="0"/>
                <w:sz w:val="21"/>
              </w:rPr>
            </w:pPr>
            <w:r>
              <w:rPr>
                <w:rFonts w:hint="eastAsia" w:ascii="宋体" w:hAnsi="宋体" w:cs="宋体"/>
                <w:kern w:val="0"/>
                <w:sz w:val="21"/>
              </w:rPr>
              <w:t>指标</w:t>
            </w:r>
          </w:p>
        </w:tc>
        <w:tc>
          <w:tcPr>
            <w:tcW w:w="828" w:type="pct"/>
            <w:vAlign w:val="center"/>
          </w:tcPr>
          <w:p>
            <w:pPr>
              <w:pStyle w:val="40"/>
              <w:rPr>
                <w:rFonts w:ascii="宋体" w:hAnsi="宋体" w:cs="宋体"/>
                <w:kern w:val="0"/>
                <w:sz w:val="21"/>
              </w:rPr>
            </w:pPr>
            <w:r>
              <w:rPr>
                <w:rFonts w:hint="eastAsia" w:ascii="宋体" w:hAnsi="宋体" w:cs="宋体"/>
                <w:kern w:val="0"/>
                <w:sz w:val="21"/>
              </w:rPr>
              <w:t>项目决策</w:t>
            </w:r>
          </w:p>
        </w:tc>
        <w:tc>
          <w:tcPr>
            <w:tcW w:w="829" w:type="pct"/>
            <w:vAlign w:val="center"/>
          </w:tcPr>
          <w:p>
            <w:pPr>
              <w:pStyle w:val="40"/>
              <w:rPr>
                <w:rFonts w:ascii="宋体" w:hAnsi="宋体" w:cs="宋体"/>
                <w:kern w:val="0"/>
                <w:sz w:val="21"/>
              </w:rPr>
            </w:pPr>
            <w:r>
              <w:rPr>
                <w:rFonts w:hint="eastAsia" w:ascii="宋体" w:hAnsi="宋体" w:cs="宋体"/>
                <w:kern w:val="0"/>
                <w:sz w:val="21"/>
              </w:rPr>
              <w:t>项目过程</w:t>
            </w:r>
          </w:p>
        </w:tc>
        <w:tc>
          <w:tcPr>
            <w:tcW w:w="846" w:type="pct"/>
            <w:vAlign w:val="center"/>
          </w:tcPr>
          <w:p>
            <w:pPr>
              <w:pStyle w:val="40"/>
              <w:rPr>
                <w:rFonts w:ascii="宋体" w:hAnsi="宋体" w:cs="宋体"/>
                <w:kern w:val="0"/>
                <w:sz w:val="21"/>
              </w:rPr>
            </w:pPr>
            <w:r>
              <w:rPr>
                <w:rFonts w:hint="eastAsia" w:ascii="宋体" w:hAnsi="宋体" w:cs="宋体"/>
                <w:kern w:val="0"/>
                <w:sz w:val="21"/>
              </w:rPr>
              <w:t>项目产出</w:t>
            </w:r>
          </w:p>
        </w:tc>
        <w:tc>
          <w:tcPr>
            <w:tcW w:w="829" w:type="pct"/>
            <w:vAlign w:val="center"/>
          </w:tcPr>
          <w:p>
            <w:pPr>
              <w:pStyle w:val="40"/>
              <w:rPr>
                <w:rFonts w:ascii="宋体" w:hAnsi="宋体" w:cs="宋体"/>
                <w:kern w:val="0"/>
                <w:sz w:val="21"/>
              </w:rPr>
            </w:pPr>
            <w:r>
              <w:rPr>
                <w:rFonts w:hint="eastAsia" w:ascii="宋体" w:hAnsi="宋体" w:cs="宋体"/>
                <w:kern w:val="0"/>
                <w:sz w:val="21"/>
              </w:rPr>
              <w:t>项目效益</w:t>
            </w:r>
          </w:p>
        </w:tc>
        <w:tc>
          <w:tcPr>
            <w:tcW w:w="840" w:type="pct"/>
            <w:vAlign w:val="center"/>
          </w:tcPr>
          <w:p>
            <w:pPr>
              <w:pStyle w:val="40"/>
              <w:rPr>
                <w:rFonts w:ascii="宋体" w:hAnsi="宋体" w:cs="宋体"/>
                <w:kern w:val="0"/>
                <w:sz w:val="21"/>
              </w:rPr>
            </w:pPr>
            <w:r>
              <w:rPr>
                <w:rFonts w:hint="eastAsia" w:ascii="宋体" w:hAnsi="宋体" w:cs="宋体"/>
                <w:kern w:val="0"/>
                <w:sz w:val="21"/>
              </w:rPr>
              <w:t>合计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829" w:type="pct"/>
            <w:vAlign w:val="center"/>
          </w:tcPr>
          <w:p>
            <w:pPr>
              <w:pStyle w:val="39"/>
              <w:jc w:val="center"/>
              <w:rPr>
                <w:kern w:val="0"/>
                <w:sz w:val="21"/>
              </w:rPr>
            </w:pPr>
            <w:r>
              <w:rPr>
                <w:rFonts w:hint="eastAsia"/>
                <w:kern w:val="0"/>
                <w:sz w:val="21"/>
              </w:rPr>
              <w:t>分值</w:t>
            </w:r>
          </w:p>
        </w:tc>
        <w:tc>
          <w:tcPr>
            <w:tcW w:w="828" w:type="pct"/>
            <w:vAlign w:val="center"/>
          </w:tcPr>
          <w:p>
            <w:pPr>
              <w:pStyle w:val="39"/>
              <w:jc w:val="center"/>
              <w:rPr>
                <w:kern w:val="0"/>
                <w:sz w:val="21"/>
              </w:rPr>
            </w:pPr>
            <w:r>
              <w:rPr>
                <w:kern w:val="0"/>
                <w:sz w:val="21"/>
              </w:rPr>
              <w:t>17</w:t>
            </w:r>
          </w:p>
        </w:tc>
        <w:tc>
          <w:tcPr>
            <w:tcW w:w="829" w:type="pct"/>
            <w:vAlign w:val="center"/>
          </w:tcPr>
          <w:p>
            <w:pPr>
              <w:pStyle w:val="39"/>
              <w:jc w:val="center"/>
              <w:rPr>
                <w:kern w:val="0"/>
                <w:sz w:val="21"/>
              </w:rPr>
            </w:pPr>
            <w:r>
              <w:rPr>
                <w:kern w:val="0"/>
                <w:sz w:val="21"/>
              </w:rPr>
              <w:t>23</w:t>
            </w:r>
          </w:p>
        </w:tc>
        <w:tc>
          <w:tcPr>
            <w:tcW w:w="846" w:type="pct"/>
            <w:vAlign w:val="center"/>
          </w:tcPr>
          <w:p>
            <w:pPr>
              <w:pStyle w:val="39"/>
              <w:jc w:val="center"/>
              <w:rPr>
                <w:kern w:val="0"/>
                <w:sz w:val="21"/>
              </w:rPr>
            </w:pPr>
            <w:r>
              <w:rPr>
                <w:kern w:val="0"/>
                <w:sz w:val="21"/>
              </w:rPr>
              <w:t>38</w:t>
            </w:r>
          </w:p>
        </w:tc>
        <w:tc>
          <w:tcPr>
            <w:tcW w:w="829" w:type="pct"/>
            <w:vAlign w:val="center"/>
          </w:tcPr>
          <w:p>
            <w:pPr>
              <w:pStyle w:val="39"/>
              <w:jc w:val="center"/>
              <w:rPr>
                <w:kern w:val="0"/>
                <w:sz w:val="21"/>
              </w:rPr>
            </w:pPr>
            <w:r>
              <w:rPr>
                <w:kern w:val="0"/>
                <w:sz w:val="21"/>
              </w:rPr>
              <w:t>22</w:t>
            </w:r>
          </w:p>
        </w:tc>
        <w:tc>
          <w:tcPr>
            <w:tcW w:w="840" w:type="pct"/>
            <w:vAlign w:val="center"/>
          </w:tcPr>
          <w:p>
            <w:pPr>
              <w:pStyle w:val="39"/>
              <w:jc w:val="center"/>
              <w:rPr>
                <w:kern w:val="0"/>
                <w:sz w:val="21"/>
              </w:rPr>
            </w:pPr>
            <w:r>
              <w:rPr>
                <w:kern w:val="0"/>
                <w:sz w:val="21"/>
              </w:rPr>
              <w:t>100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829" w:type="pct"/>
            <w:vAlign w:val="center"/>
          </w:tcPr>
          <w:p>
            <w:pPr>
              <w:pStyle w:val="39"/>
              <w:jc w:val="center"/>
              <w:rPr>
                <w:kern w:val="0"/>
                <w:sz w:val="21"/>
              </w:rPr>
            </w:pPr>
            <w:r>
              <w:rPr>
                <w:rFonts w:hint="eastAsia"/>
                <w:kern w:val="0"/>
                <w:sz w:val="21"/>
              </w:rPr>
              <w:t>得分</w:t>
            </w:r>
          </w:p>
        </w:tc>
        <w:tc>
          <w:tcPr>
            <w:tcW w:w="828" w:type="pct"/>
            <w:vAlign w:val="center"/>
          </w:tcPr>
          <w:p>
            <w:pPr>
              <w:pStyle w:val="39"/>
              <w:jc w:val="center"/>
              <w:rPr>
                <w:kern w:val="0"/>
                <w:sz w:val="21"/>
              </w:rPr>
            </w:pPr>
            <w:r>
              <w:rPr>
                <w:rFonts w:hint="eastAsia"/>
                <w:kern w:val="0"/>
                <w:sz w:val="21"/>
              </w:rPr>
              <w:t>13</w:t>
            </w:r>
          </w:p>
        </w:tc>
        <w:tc>
          <w:tcPr>
            <w:tcW w:w="829" w:type="pct"/>
            <w:vAlign w:val="center"/>
          </w:tcPr>
          <w:p>
            <w:pPr>
              <w:pStyle w:val="39"/>
              <w:jc w:val="center"/>
              <w:rPr>
                <w:kern w:val="0"/>
                <w:sz w:val="21"/>
              </w:rPr>
            </w:pPr>
            <w:r>
              <w:rPr>
                <w:rFonts w:hint="eastAsia"/>
                <w:kern w:val="0"/>
                <w:sz w:val="21"/>
              </w:rPr>
              <w:t>22.68</w:t>
            </w:r>
          </w:p>
        </w:tc>
        <w:tc>
          <w:tcPr>
            <w:tcW w:w="846" w:type="pct"/>
            <w:vAlign w:val="center"/>
          </w:tcPr>
          <w:p>
            <w:pPr>
              <w:pStyle w:val="39"/>
              <w:jc w:val="center"/>
              <w:rPr>
                <w:kern w:val="0"/>
                <w:sz w:val="21"/>
              </w:rPr>
            </w:pPr>
            <w:r>
              <w:rPr>
                <w:rFonts w:hint="eastAsia"/>
                <w:kern w:val="0"/>
                <w:sz w:val="21"/>
              </w:rPr>
              <w:t>38</w:t>
            </w:r>
          </w:p>
        </w:tc>
        <w:tc>
          <w:tcPr>
            <w:tcW w:w="829" w:type="pct"/>
            <w:vAlign w:val="center"/>
          </w:tcPr>
          <w:p>
            <w:pPr>
              <w:pStyle w:val="39"/>
              <w:jc w:val="center"/>
              <w:rPr>
                <w:kern w:val="0"/>
                <w:sz w:val="21"/>
              </w:rPr>
            </w:pPr>
            <w:r>
              <w:rPr>
                <w:rFonts w:hint="eastAsia"/>
                <w:kern w:val="0"/>
                <w:sz w:val="21"/>
              </w:rPr>
              <w:t>21.5</w:t>
            </w:r>
          </w:p>
        </w:tc>
        <w:tc>
          <w:tcPr>
            <w:tcW w:w="840" w:type="pct"/>
            <w:vAlign w:val="center"/>
          </w:tcPr>
          <w:p>
            <w:pPr>
              <w:pStyle w:val="39"/>
              <w:jc w:val="center"/>
              <w:rPr>
                <w:kern w:val="0"/>
                <w:sz w:val="21"/>
              </w:rPr>
            </w:pPr>
            <w:r>
              <w:rPr>
                <w:rFonts w:hint="eastAsia"/>
                <w:kern w:val="0"/>
                <w:sz w:val="21"/>
              </w:rPr>
              <w:t>95.18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829" w:type="pct"/>
            <w:vAlign w:val="center"/>
          </w:tcPr>
          <w:p>
            <w:pPr>
              <w:pStyle w:val="39"/>
              <w:jc w:val="center"/>
              <w:rPr>
                <w:kern w:val="0"/>
                <w:sz w:val="21"/>
              </w:rPr>
            </w:pPr>
            <w:r>
              <w:rPr>
                <w:rFonts w:hint="eastAsia"/>
                <w:kern w:val="0"/>
                <w:sz w:val="21"/>
              </w:rPr>
              <w:t>得分率</w:t>
            </w:r>
          </w:p>
        </w:tc>
        <w:tc>
          <w:tcPr>
            <w:tcW w:w="828" w:type="pct"/>
            <w:vAlign w:val="center"/>
          </w:tcPr>
          <w:p>
            <w:pPr>
              <w:pStyle w:val="39"/>
              <w:jc w:val="center"/>
              <w:rPr>
                <w:kern w:val="0"/>
                <w:sz w:val="21"/>
              </w:rPr>
            </w:pPr>
            <w:r>
              <w:rPr>
                <w:rFonts w:hint="eastAsia"/>
                <w:kern w:val="0"/>
                <w:sz w:val="21"/>
              </w:rPr>
              <w:t>76.47</w:t>
            </w:r>
            <w:r>
              <w:rPr>
                <w:kern w:val="0"/>
                <w:sz w:val="21"/>
              </w:rPr>
              <w:t>%</w:t>
            </w:r>
          </w:p>
        </w:tc>
        <w:tc>
          <w:tcPr>
            <w:tcW w:w="829" w:type="pct"/>
            <w:vAlign w:val="center"/>
          </w:tcPr>
          <w:p>
            <w:pPr>
              <w:pStyle w:val="39"/>
              <w:jc w:val="center"/>
              <w:rPr>
                <w:kern w:val="0"/>
                <w:sz w:val="21"/>
              </w:rPr>
            </w:pPr>
            <w:r>
              <w:rPr>
                <w:rFonts w:hint="eastAsia"/>
                <w:kern w:val="0"/>
                <w:sz w:val="21"/>
              </w:rPr>
              <w:t>98.61</w:t>
            </w:r>
            <w:r>
              <w:rPr>
                <w:kern w:val="0"/>
                <w:sz w:val="21"/>
              </w:rPr>
              <w:t>%</w:t>
            </w:r>
          </w:p>
        </w:tc>
        <w:tc>
          <w:tcPr>
            <w:tcW w:w="846" w:type="pct"/>
            <w:vAlign w:val="center"/>
          </w:tcPr>
          <w:p>
            <w:pPr>
              <w:pStyle w:val="39"/>
              <w:jc w:val="center"/>
              <w:rPr>
                <w:kern w:val="0"/>
                <w:sz w:val="21"/>
              </w:rPr>
            </w:pPr>
            <w:r>
              <w:rPr>
                <w:rFonts w:hint="eastAsia"/>
                <w:kern w:val="0"/>
                <w:sz w:val="21"/>
              </w:rPr>
              <w:t>1</w:t>
            </w:r>
            <w:r>
              <w:rPr>
                <w:kern w:val="0"/>
                <w:sz w:val="21"/>
              </w:rPr>
              <w:t>00%</w:t>
            </w:r>
          </w:p>
        </w:tc>
        <w:tc>
          <w:tcPr>
            <w:tcW w:w="829" w:type="pct"/>
            <w:vAlign w:val="center"/>
          </w:tcPr>
          <w:p>
            <w:pPr>
              <w:pStyle w:val="39"/>
              <w:jc w:val="center"/>
              <w:rPr>
                <w:kern w:val="0"/>
                <w:sz w:val="21"/>
              </w:rPr>
            </w:pPr>
            <w:r>
              <w:rPr>
                <w:rFonts w:hint="eastAsia"/>
                <w:kern w:val="0"/>
                <w:sz w:val="21"/>
              </w:rPr>
              <w:t>9</w:t>
            </w:r>
            <w:r>
              <w:rPr>
                <w:kern w:val="0"/>
                <w:sz w:val="21"/>
              </w:rPr>
              <w:t>7.72%</w:t>
            </w:r>
          </w:p>
        </w:tc>
        <w:tc>
          <w:tcPr>
            <w:tcW w:w="840" w:type="pct"/>
            <w:vAlign w:val="center"/>
          </w:tcPr>
          <w:p>
            <w:pPr>
              <w:pStyle w:val="39"/>
              <w:jc w:val="center"/>
              <w:rPr>
                <w:kern w:val="0"/>
                <w:sz w:val="21"/>
              </w:rPr>
            </w:pPr>
            <w:r>
              <w:rPr>
                <w:rFonts w:hint="eastAsia"/>
                <w:kern w:val="0"/>
                <w:sz w:val="21"/>
              </w:rPr>
              <w:t>95.18</w:t>
            </w:r>
            <w:r>
              <w:rPr>
                <w:kern w:val="0"/>
                <w:sz w:val="21"/>
              </w:rPr>
              <w:t>%</w:t>
            </w:r>
          </w:p>
        </w:tc>
      </w:tr>
    </w:tbl>
    <w:p>
      <w:pPr>
        <w:pStyle w:val="26"/>
        <w:spacing w:line="560" w:lineRule="exact"/>
        <w:ind w:firstLine="640"/>
        <w:rPr>
          <w:rFonts w:cs="仿宋_GB2312"/>
        </w:rPr>
      </w:pPr>
      <w:r>
        <w:rPr>
          <w:rFonts w:hint="eastAsia" w:cs="仿宋_GB2312"/>
        </w:rPr>
        <w:t>评价结论：本项目立项依据充分、立项程序规范，预算测算内容合规、标准合理、数据客观，测算过程细化。</w:t>
      </w:r>
      <w:r>
        <w:rPr>
          <w:rFonts w:hint="eastAsia"/>
        </w:rPr>
        <w:t>财政预算保障资金及时到位，项目资金使用合规。项目采购需求已经过相关行业专家评审论证，与项目实施单位职责和机构运转所需相匹配；项目采购内容为政府履职所需辅助性服务，服务事项已纳入政府购买服务指导性目录；项目实施单位已按照《政府购买服务管理办法》相关规定，通过采取竞争性磋商的方式并依据政府采购评审专家意见择优选取了服务提供商，不存在重复采购或过量采购等浪费情形，采购价格与往年可比情况下处于合理较低水平；项目合同明确规定了服务事项、服务期限、合同金额及付款方式、服务评估方式及评估标准、服务承诺、保密条款与合同履行、变更及解除过程中双方权利义务、违约责任等内容，</w:t>
      </w:r>
      <w:r>
        <w:t>合同履行过程中未发生合同变更、终止或违约事项，</w:t>
      </w:r>
      <w:r>
        <w:rPr>
          <w:rFonts w:hint="eastAsia"/>
        </w:rPr>
        <w:t>项目合同公告与</w:t>
      </w:r>
      <w:r>
        <w:t>合同</w:t>
      </w:r>
      <w:r>
        <w:rPr>
          <w:rFonts w:hint="eastAsia"/>
        </w:rPr>
        <w:t>履约情况验收工作均已正常完成。通过实施该项目，有效确保了辖区政务网络、各类网信管理系统的正常运行与全区</w:t>
      </w:r>
      <w:r>
        <w:t>行政事业单位（一级部门）的政务邮箱使用需求</w:t>
      </w:r>
      <w:r>
        <w:rPr>
          <w:rFonts w:hint="eastAsia"/>
        </w:rPr>
        <w:t>，为网络空间治理、网络舆情监控、网络安全管控和信息化资源监管等网信核心业务工作的正常开展提供了有力支撑。服务对象对项目整体执行效果满意度较高。但存在绩效目标管理不完善，项目管理工作指引汇编有待建立的问题。</w:t>
      </w:r>
    </w:p>
    <w:p>
      <w:pPr>
        <w:pStyle w:val="29"/>
        <w:spacing w:before="0" w:after="0" w:line="560" w:lineRule="exact"/>
      </w:pPr>
      <w:bookmarkStart w:id="20" w:name="_Toc141635005"/>
      <w:bookmarkStart w:id="21" w:name="_Toc26742"/>
      <w:r>
        <w:rPr>
          <w:rFonts w:hint="eastAsia"/>
        </w:rPr>
        <w:t>四、绩效评价指标分析</w:t>
      </w:r>
      <w:bookmarkEnd w:id="20"/>
      <w:bookmarkEnd w:id="21"/>
    </w:p>
    <w:p>
      <w:pPr>
        <w:pStyle w:val="31"/>
        <w:spacing w:before="0" w:after="0" w:line="560" w:lineRule="exact"/>
        <w:ind w:firstLine="640"/>
        <w:rPr>
          <w:rFonts w:ascii="Times New Roman" w:hAnsi="Times New Roman"/>
        </w:rPr>
      </w:pPr>
      <w:bookmarkStart w:id="22" w:name="_Toc141635006"/>
      <w:bookmarkStart w:id="23" w:name="_Toc7938"/>
      <w:r>
        <w:rPr>
          <w:rFonts w:hint="eastAsia" w:ascii="Times New Roman" w:hAnsi="Times New Roman"/>
        </w:rPr>
        <w:t>（一）项目决策情况</w:t>
      </w:r>
      <w:bookmarkEnd w:id="22"/>
      <w:bookmarkEnd w:id="23"/>
    </w:p>
    <w:p>
      <w:pPr>
        <w:pStyle w:val="26"/>
        <w:spacing w:line="560" w:lineRule="exact"/>
        <w:ind w:firstLine="640"/>
      </w:pPr>
      <w:r>
        <w:rPr>
          <w:rFonts w:hint="eastAsia"/>
        </w:rPr>
        <w:t>决策指标主要包括项目立项、绩效目标、预算编制</w:t>
      </w:r>
      <w:r>
        <w:t>3</w:t>
      </w:r>
      <w:r>
        <w:rPr>
          <w:rFonts w:hint="eastAsia"/>
        </w:rPr>
        <w:t>项</w:t>
      </w:r>
      <w:r>
        <w:t>二级指标，8项三级指标，基础总分17分，合计得分</w:t>
      </w:r>
      <w:r>
        <w:rPr>
          <w:rFonts w:hint="eastAsia"/>
        </w:rPr>
        <w:t>13</w:t>
      </w:r>
      <w:r>
        <w:t>分。</w:t>
      </w:r>
    </w:p>
    <w:p>
      <w:pPr>
        <w:pStyle w:val="26"/>
        <w:spacing w:line="560" w:lineRule="exact"/>
        <w:ind w:firstLine="640"/>
      </w:pPr>
      <w:bookmarkStart w:id="24" w:name="_Hlk142608856"/>
      <w:r>
        <w:t>1.项目立项</w:t>
      </w:r>
    </w:p>
    <w:p>
      <w:pPr>
        <w:pStyle w:val="26"/>
        <w:spacing w:line="560" w:lineRule="exact"/>
        <w:ind w:firstLine="640"/>
      </w:pPr>
      <w:r>
        <w:rPr>
          <w:rFonts w:hint="eastAsia"/>
        </w:rPr>
        <w:t>（</w:t>
      </w:r>
      <w:r>
        <w:t>1）立项依据充分性（总分2分，得分2分）。</w:t>
      </w:r>
      <w:r>
        <w:rPr>
          <w:rFonts w:hint="eastAsia"/>
        </w:rPr>
        <w:t>网信办2023年度综合运营保障服务项目经费项目立项依据《天津市网络强市战略实施纲要》《天津市关于加强网络安全和信息化工作的实施意见》及《和平区贯彻落实数字经济发展规划的三年行动方案》，与统筹完善区级政务基础设施资源体系、最大限度汇聚并加强辖区政务信息化基础资源整合共享水平的规划相匹配；根据区委网信办“负责建设并运维全区网络安全平台，协调处理重大网络安全事件；负责承担互联网信息内容建设管理，维护互联网意识形态安全；负责建设并运营区级网络舆论综合治理平台；统筹推动全区电子政务工作”的主要职责内容划分，该单位为辖区承担网络安全维护和信息化建设任务的主责部门。</w:t>
      </w:r>
    </w:p>
    <w:p>
      <w:pPr>
        <w:pStyle w:val="26"/>
        <w:spacing w:line="560" w:lineRule="exact"/>
        <w:ind w:firstLine="640"/>
      </w:pPr>
      <w:r>
        <w:rPr>
          <w:rFonts w:hint="eastAsia"/>
        </w:rPr>
        <w:t>根据天津市政府采购网所公布的项目采购公告信息，该项目实际采购内容为“以政府购买服务方式采购2023年度综合技术值守、信息数据统计分析、可视化运维、网信办应急指挥中心信息化设备维保等综合运营保障服务”，前述购买服务内容符合《政府购买服务管理办法》第九条“政府购买服务的内容包括政府向社会公众提供的公共服务，以及政府履职所需辅助性服务。”的规定，并纳入了《</w:t>
      </w:r>
      <w:r>
        <w:t>2023年和平区政府购买服务普适性目录</w:t>
      </w:r>
      <w:r>
        <w:rPr>
          <w:rFonts w:hint="eastAsia"/>
        </w:rPr>
        <w:t>》，属于政府履职辅助性服务-信息化服务-其他适合通过市场化方式提供的信息化服务事项。</w:t>
      </w:r>
    </w:p>
    <w:p>
      <w:pPr>
        <w:pStyle w:val="26"/>
        <w:spacing w:line="560" w:lineRule="exact"/>
        <w:ind w:firstLine="640"/>
      </w:pPr>
      <w:r>
        <w:rPr>
          <w:rFonts w:hint="eastAsia"/>
        </w:rPr>
        <w:t>综上，网信办2023年度综合运营保障服务项目经费项目立项符合国家法律法规、国民经济发展规划和相关政策；符合行业发展规划和政策要求；与部门职责范围相符，属于部门履职所需；属于公共财政支持范围；未与其他部门同类项目或部门内部相关项目重复。</w:t>
      </w:r>
    </w:p>
    <w:p>
      <w:pPr>
        <w:pStyle w:val="26"/>
        <w:spacing w:line="560" w:lineRule="exact"/>
        <w:ind w:firstLine="640"/>
      </w:pPr>
      <w:r>
        <w:rPr>
          <w:rFonts w:hint="eastAsia"/>
        </w:rPr>
        <w:t>（</w:t>
      </w:r>
      <w:r>
        <w:t>2）立项程序规范性（总分2分，得分2分）。</w:t>
      </w:r>
      <w:r>
        <w:rPr>
          <w:rFonts w:hint="eastAsia"/>
        </w:rPr>
        <w:t>网信办2023年度综合运营保障服务项目经费项目按照规定的程序申请设立实施</w:t>
      </w:r>
      <w:r>
        <w:t>，有完整的</w:t>
      </w:r>
      <w:r>
        <w:rPr>
          <w:rFonts w:hint="eastAsia"/>
        </w:rPr>
        <w:t>三重一大</w:t>
      </w:r>
      <w:r>
        <w:t>会议记录、审批文件、项目申请设立材料，立项程序符合规范要求。</w:t>
      </w:r>
    </w:p>
    <w:p>
      <w:pPr>
        <w:pStyle w:val="26"/>
        <w:spacing w:line="560" w:lineRule="exact"/>
        <w:ind w:firstLine="640"/>
      </w:pPr>
      <w:r>
        <w:t>2.绩效目标</w:t>
      </w:r>
    </w:p>
    <w:p>
      <w:pPr>
        <w:pStyle w:val="26"/>
        <w:spacing w:line="560" w:lineRule="exact"/>
        <w:ind w:firstLine="640"/>
        <w:rPr>
          <w:rFonts w:cs="Times New Roman"/>
          <w:szCs w:val="32"/>
        </w:rPr>
      </w:pPr>
      <w:r>
        <w:rPr>
          <w:rFonts w:hint="eastAsia"/>
        </w:rPr>
        <w:t>（</w:t>
      </w:r>
      <w:r>
        <w:t>1）</w:t>
      </w:r>
      <w:r>
        <w:rPr>
          <w:rFonts w:hint="eastAsia"/>
        </w:rPr>
        <w:t>绩效目标明确性</w:t>
      </w:r>
      <w:r>
        <w:t>（总分2分，得分</w:t>
      </w:r>
      <w:r>
        <w:rPr>
          <w:rFonts w:hint="eastAsia"/>
        </w:rPr>
        <w:t>1</w:t>
      </w:r>
      <w:r>
        <w:t>分）。根据《天津市财政局关于印发&lt;天津市市级部门预算绩效目标管理办法&gt;的通知》（津财绩效〔2020〕16 号）文件要求</w:t>
      </w:r>
      <w:r>
        <w:rPr>
          <w:rFonts w:hint="eastAsia"/>
        </w:rPr>
        <w:t>，绩效目标应指向明确、细化量化、合理可行、相应匹配，实现可审核、可监控、可评价</w:t>
      </w:r>
      <w:r>
        <w:t>；</w:t>
      </w:r>
      <w:r>
        <w:rPr>
          <w:rFonts w:hint="eastAsia"/>
        </w:rPr>
        <w:t>根据本项目支出绩效目标表，区委网信办所设定的绩效指标虽具有清晰、可衡量的指标值，但产出指标仅针对驻场服务人员聘请人数、区级信息化应用系统平台运维数量及运维保障人员资质达标情况、运维服务开展达标情况、故障处置及时情况予以考量，未体现综合运营保障服务项目所涉及政务邮箱服务、应急指挥中心信息化设备保障服务、重保支持服务等其他服务内容</w:t>
      </w:r>
      <w:r>
        <w:rPr>
          <w:rFonts w:hint="eastAsia" w:cs="Times New Roman"/>
          <w:szCs w:val="32"/>
        </w:rPr>
        <w:t>，且现有成本指标未根据各项服务实际测算资金需求细化设定，绩效目标明确性有待提高。</w:t>
      </w:r>
    </w:p>
    <w:p>
      <w:pPr>
        <w:pStyle w:val="26"/>
        <w:spacing w:line="560" w:lineRule="exact"/>
        <w:ind w:firstLine="640"/>
      </w:pPr>
      <w:r>
        <w:rPr>
          <w:rFonts w:hint="eastAsia"/>
        </w:rPr>
        <w:t>（</w:t>
      </w:r>
      <w:r>
        <w:t>2）</w:t>
      </w:r>
      <w:r>
        <w:rPr>
          <w:rFonts w:hint="eastAsia"/>
        </w:rPr>
        <w:t>绩效目标合理性</w:t>
      </w:r>
      <w:r>
        <w:t>（总分4分，得分</w:t>
      </w:r>
      <w:r>
        <w:rPr>
          <w:rFonts w:hint="eastAsia"/>
        </w:rPr>
        <w:t>1</w:t>
      </w:r>
      <w:r>
        <w:t>分）。</w:t>
      </w:r>
      <w:r>
        <w:rPr>
          <w:rFonts w:hint="eastAsia"/>
          <w:bCs/>
        </w:rPr>
        <w:t>根据《天津市财政局关于印发</w:t>
      </w:r>
      <w:r>
        <w:rPr>
          <w:bCs/>
        </w:rPr>
        <w:t>&lt;天津市市级部门预算绩效目标管理办法&gt;的通知》（津财绩效〔2020〕16号）文件要求</w:t>
      </w:r>
      <w:r>
        <w:rPr>
          <w:rFonts w:hint="eastAsia"/>
          <w:bCs/>
        </w:rPr>
        <w:t>，</w:t>
      </w:r>
      <w:r>
        <w:rPr>
          <w:bCs/>
        </w:rPr>
        <w:t>绩效目标</w:t>
      </w:r>
      <w:r>
        <w:rPr>
          <w:rFonts w:hint="eastAsia"/>
          <w:bCs/>
        </w:rPr>
        <w:t>需</w:t>
      </w:r>
      <w:r>
        <w:rPr>
          <w:bCs/>
        </w:rPr>
        <w:t>清晰反映预算资金的预期产出和效果</w:t>
      </w:r>
      <w:r>
        <w:rPr>
          <w:rFonts w:hint="eastAsia"/>
          <w:bCs/>
        </w:rPr>
        <w:t>。</w:t>
      </w:r>
      <w:r>
        <w:rPr>
          <w:rFonts w:hint="eastAsia"/>
        </w:rPr>
        <w:t>根据本项目支出绩效目标表，区委网信办所设定的绩效目标为“通过聘请专业技术人员团队，提供区级信息化应用系统平台运行保障和故障应急响应服务，确保区级信息化应用系统平台可靠平稳运行”。现有绩效目标内容虽与项目实际工作内容具有一定相关性并细化分解设置了对应绩效指标，但未体现综合运营保障服务项目所涉及政务邮箱服务、应急指挥中心信息化设备保障服务、重保支持服务等其他服务内容，与项目预期产出效益及预算确定的资金量不匹配，绩效目标合理性有待提高。</w:t>
      </w:r>
    </w:p>
    <w:p>
      <w:pPr>
        <w:pStyle w:val="26"/>
        <w:spacing w:line="560" w:lineRule="exact"/>
        <w:ind w:firstLine="640"/>
      </w:pPr>
      <w:r>
        <w:t>3.</w:t>
      </w:r>
      <w:r>
        <w:rPr>
          <w:rFonts w:hint="eastAsia"/>
        </w:rPr>
        <w:t>预算编制</w:t>
      </w:r>
    </w:p>
    <w:p>
      <w:pPr>
        <w:pStyle w:val="26"/>
        <w:spacing w:line="560" w:lineRule="exact"/>
        <w:ind w:firstLine="640"/>
      </w:pPr>
      <w:r>
        <w:rPr>
          <w:rFonts w:hint="eastAsia"/>
        </w:rPr>
        <w:t>（</w:t>
      </w:r>
      <w:r>
        <w:t>1）</w:t>
      </w:r>
      <w:r>
        <w:rPr>
          <w:rFonts w:hint="eastAsia"/>
        </w:rPr>
        <w:t>测算内容合规性</w:t>
      </w:r>
      <w:r>
        <w:t>（总分2分，得分2分）。</w:t>
      </w:r>
      <w:r>
        <w:rPr>
          <w:rFonts w:hint="eastAsia"/>
        </w:rPr>
        <w:t>本项目预算测算内容主要为综合技术值守、信息数据统计分析服务、重保支持服务、可视化运维服务、政务邮箱服务、信息化设备保障服务、配套数据资源管理平台租赁服务经费，符合综合运营保障服务所涉及范围，预算测算内容不存在重复测算政策规定内相同内容，测算内容合规性较高。</w:t>
      </w:r>
    </w:p>
    <w:p>
      <w:pPr>
        <w:pStyle w:val="26"/>
        <w:spacing w:line="560" w:lineRule="exact"/>
        <w:ind w:firstLine="640"/>
      </w:pPr>
      <w:r>
        <w:rPr>
          <w:rFonts w:hint="eastAsia"/>
        </w:rPr>
        <w:t>（</w:t>
      </w:r>
      <w:r>
        <w:t>2）</w:t>
      </w:r>
      <w:r>
        <w:rPr>
          <w:rFonts w:hint="eastAsia"/>
        </w:rPr>
        <w:t>测算标准合理性</w:t>
      </w:r>
      <w:r>
        <w:t>（总分1分，得分1分）。</w:t>
      </w:r>
      <w:r>
        <w:rPr>
          <w:rFonts w:hint="eastAsia"/>
        </w:rPr>
        <w:t>本项目</w:t>
      </w:r>
      <w:r>
        <w:rPr>
          <w:rFonts w:cs="Times New Roman"/>
        </w:rPr>
        <w:t>预算测算标准</w:t>
      </w:r>
      <w:r>
        <w:rPr>
          <w:rFonts w:hint="eastAsia" w:cs="Times New Roman"/>
        </w:rPr>
        <w:t>由区委网信办参考市级网信管理部门综合运营保障服务通用核算成本、行业标准及上年度服务费用标准</w:t>
      </w:r>
      <w:r>
        <w:rPr>
          <w:rFonts w:hint="eastAsia"/>
        </w:rPr>
        <w:t>及区财政局所聘请行业专家评审建议确定</w:t>
      </w:r>
      <w:r>
        <w:rPr>
          <w:rFonts w:cs="Times New Roman"/>
        </w:rPr>
        <w:t>，</w:t>
      </w:r>
      <w:r>
        <w:rPr>
          <w:rFonts w:cs="Times New Roman"/>
          <w:bCs/>
        </w:rPr>
        <w:t>测算标准合理性较高。</w:t>
      </w:r>
    </w:p>
    <w:p>
      <w:pPr>
        <w:pStyle w:val="26"/>
        <w:spacing w:line="560" w:lineRule="exact"/>
        <w:ind w:firstLine="640"/>
      </w:pPr>
      <w:r>
        <w:rPr>
          <w:rFonts w:hint="eastAsia"/>
        </w:rPr>
        <w:t>（</w:t>
      </w:r>
      <w:r>
        <w:t>3）</w:t>
      </w:r>
      <w:r>
        <w:rPr>
          <w:rFonts w:hint="eastAsia"/>
        </w:rPr>
        <w:t>测算数据客观性</w:t>
      </w:r>
      <w:r>
        <w:t>（总分2分，得分2分）。</w:t>
      </w:r>
    </w:p>
    <w:p>
      <w:pPr>
        <w:pStyle w:val="26"/>
        <w:spacing w:line="560" w:lineRule="exact"/>
        <w:ind w:firstLine="640"/>
      </w:pPr>
      <w:r>
        <w:rPr>
          <w:rFonts w:hint="eastAsia"/>
        </w:rPr>
        <w:t>本项目预算测算数据符合2023年度综合运营保障服务项目开展各项服务工作所需经费客观需求，且本项目为经常性项目，具有历史数据可比性。同时项目预算测算数据均有合规佐证依据，测算数据客观性较高。</w:t>
      </w:r>
    </w:p>
    <w:p>
      <w:pPr>
        <w:pStyle w:val="26"/>
        <w:spacing w:line="560" w:lineRule="exact"/>
        <w:ind w:firstLine="640"/>
      </w:pPr>
      <w:r>
        <w:rPr>
          <w:rFonts w:hint="eastAsia"/>
        </w:rPr>
        <w:t>（</w:t>
      </w:r>
      <w:r>
        <w:t>4）</w:t>
      </w:r>
      <w:bookmarkStart w:id="54" w:name="_GoBack"/>
      <w:r>
        <w:rPr>
          <w:rFonts w:hint="eastAsia"/>
        </w:rPr>
        <w:t>测算过程</w:t>
      </w:r>
      <w:bookmarkEnd w:id="54"/>
      <w:r>
        <w:rPr>
          <w:rFonts w:hint="eastAsia"/>
        </w:rPr>
        <w:t>细化度</w:t>
      </w:r>
      <w:r>
        <w:t>（总分2分，得分2分）。</w:t>
      </w:r>
    </w:p>
    <w:p>
      <w:pPr>
        <w:pStyle w:val="26"/>
        <w:spacing w:line="560" w:lineRule="exact"/>
        <w:ind w:firstLine="640"/>
      </w:pPr>
      <w:r>
        <w:rPr>
          <w:rFonts w:hint="eastAsia"/>
        </w:rPr>
        <w:t>本项目已按事权划分准确核定了本级财政支出，项目预算资金全部由区级财政资金进行保障，且区委网信办已按照项目经费实际支出内容（综合运营保障服务）准确核定了投入运营保障服务费与相关设备运维服务费等各项支出成本，项目预算测算过程细化程度较高</w:t>
      </w:r>
      <w:r>
        <w:rPr>
          <w:rFonts w:hint="eastAsia"/>
          <w:bCs/>
        </w:rPr>
        <w:t>。</w:t>
      </w:r>
    </w:p>
    <w:p>
      <w:pPr>
        <w:pStyle w:val="31"/>
        <w:spacing w:before="0" w:after="0" w:line="560" w:lineRule="exact"/>
        <w:ind w:firstLine="640"/>
        <w:rPr>
          <w:rFonts w:ascii="Times New Roman" w:hAnsi="Times New Roman"/>
        </w:rPr>
      </w:pPr>
      <w:bookmarkStart w:id="25" w:name="_Toc141635007"/>
      <w:bookmarkStart w:id="26" w:name="_Toc5860"/>
      <w:r>
        <w:rPr>
          <w:rFonts w:hint="eastAsia" w:ascii="Times New Roman" w:hAnsi="Times New Roman"/>
        </w:rPr>
        <w:t>（二）项目过程情况</w:t>
      </w:r>
      <w:bookmarkEnd w:id="25"/>
      <w:bookmarkEnd w:id="26"/>
    </w:p>
    <w:p>
      <w:pPr>
        <w:pStyle w:val="26"/>
        <w:spacing w:line="560" w:lineRule="exact"/>
        <w:ind w:firstLine="640"/>
      </w:pPr>
      <w:r>
        <w:rPr>
          <w:rFonts w:hint="eastAsia"/>
        </w:rPr>
        <w:t>过程指标主要包括资金管理、组织实施</w:t>
      </w:r>
      <w:r>
        <w:t>2</w:t>
      </w:r>
      <w:r>
        <w:rPr>
          <w:rFonts w:hint="eastAsia"/>
        </w:rPr>
        <w:t>项</w:t>
      </w:r>
      <w:r>
        <w:t>二级指标，</w:t>
      </w:r>
      <w:r>
        <w:rPr>
          <w:rFonts w:hint="eastAsia"/>
        </w:rPr>
        <w:t>7</w:t>
      </w:r>
      <w:r>
        <w:t>项三级指标，基础总分23分，合计得分</w:t>
      </w:r>
      <w:r>
        <w:rPr>
          <w:rFonts w:hint="eastAsia"/>
        </w:rPr>
        <w:t>22.68</w:t>
      </w:r>
      <w:r>
        <w:t>分。</w:t>
      </w:r>
    </w:p>
    <w:p>
      <w:pPr>
        <w:pStyle w:val="26"/>
        <w:spacing w:line="560" w:lineRule="exact"/>
        <w:ind w:firstLine="640"/>
      </w:pPr>
      <w:r>
        <w:t>1.资金管理</w:t>
      </w:r>
    </w:p>
    <w:p>
      <w:pPr>
        <w:pStyle w:val="26"/>
        <w:spacing w:line="560" w:lineRule="exact"/>
        <w:ind w:firstLine="640"/>
      </w:pPr>
      <w:r>
        <w:rPr>
          <w:rFonts w:hint="eastAsia"/>
        </w:rPr>
        <w:t>（</w:t>
      </w:r>
      <w:r>
        <w:t>1）资金到位率（总分</w:t>
      </w:r>
      <w:r>
        <w:rPr>
          <w:rFonts w:hint="eastAsia"/>
        </w:rPr>
        <w:t>1</w:t>
      </w:r>
      <w:r>
        <w:t>分，得分</w:t>
      </w:r>
      <w:r>
        <w:rPr>
          <w:rFonts w:hint="eastAsia"/>
        </w:rPr>
        <w:t>0.68</w:t>
      </w:r>
      <w:r>
        <w:t>分）。</w:t>
      </w:r>
      <w:r>
        <w:rPr>
          <w:rFonts w:hint="eastAsia"/>
        </w:rPr>
        <w:t>网信办2023年度综合运营保障服务项目经费项目</w:t>
      </w:r>
      <w:r>
        <w:rPr>
          <w:rFonts w:hint="eastAsia"/>
          <w:bCs/>
        </w:rPr>
        <w:t>共计申请预算资金201万元，全部为区级财政预算资金，截至2</w:t>
      </w:r>
      <w:r>
        <w:rPr>
          <w:bCs/>
        </w:rPr>
        <w:t>02</w:t>
      </w:r>
      <w:r>
        <w:rPr>
          <w:rFonts w:hint="eastAsia"/>
          <w:bCs/>
        </w:rPr>
        <w:t>3年</w:t>
      </w:r>
      <w:r>
        <w:rPr>
          <w:bCs/>
        </w:rPr>
        <w:t>12</w:t>
      </w:r>
      <w:r>
        <w:rPr>
          <w:rFonts w:hint="eastAsia"/>
          <w:bCs/>
        </w:rPr>
        <w:t>月</w:t>
      </w:r>
      <w:r>
        <w:rPr>
          <w:bCs/>
        </w:rPr>
        <w:t>31</w:t>
      </w:r>
      <w:r>
        <w:rPr>
          <w:rFonts w:hint="eastAsia"/>
          <w:bCs/>
        </w:rPr>
        <w:t>日，项目实际到位预算资金137.3万元，资金到位率为68.31%。</w:t>
      </w:r>
    </w:p>
    <w:p>
      <w:pPr>
        <w:pStyle w:val="26"/>
        <w:spacing w:line="560" w:lineRule="exact"/>
        <w:ind w:firstLine="640"/>
      </w:pPr>
      <w:r>
        <w:rPr>
          <w:rFonts w:hint="eastAsia"/>
        </w:rPr>
        <w:t>（</w:t>
      </w:r>
      <w:r>
        <w:t>2）</w:t>
      </w:r>
      <w:r>
        <w:rPr>
          <w:rFonts w:hint="eastAsia"/>
        </w:rPr>
        <w:t>资金到位及时率</w:t>
      </w:r>
      <w:r>
        <w:t>（总分1分，得分1分）。</w:t>
      </w:r>
      <w:r>
        <w:rPr>
          <w:rFonts w:hint="eastAsia"/>
        </w:rPr>
        <w:t>网信办2023年度综合运营保障服务项目经费项目本年</w:t>
      </w:r>
      <w:r>
        <w:rPr>
          <w:rFonts w:hint="eastAsia"/>
          <w:bCs/>
        </w:rPr>
        <w:t>实际到位资金137.3万元</w:t>
      </w:r>
      <w:r>
        <w:rPr>
          <w:rFonts w:hint="eastAsia"/>
        </w:rPr>
        <w:t>，区委网信办已于2023年12月31日前完成资金支付工作，资金到位及时率为10</w:t>
      </w:r>
      <w:r>
        <w:t>0%。</w:t>
      </w:r>
    </w:p>
    <w:p>
      <w:pPr>
        <w:pStyle w:val="26"/>
        <w:spacing w:line="560" w:lineRule="exact"/>
        <w:ind w:firstLine="640"/>
      </w:pPr>
      <w:r>
        <w:rPr>
          <w:rFonts w:hint="eastAsia"/>
        </w:rPr>
        <w:t>（</w:t>
      </w:r>
      <w:r>
        <w:t>3）</w:t>
      </w:r>
      <w:r>
        <w:rPr>
          <w:rFonts w:hint="eastAsia"/>
        </w:rPr>
        <w:t>预算执行</w:t>
      </w:r>
      <w:r>
        <w:t>率（总分2分，得分2分）。</w:t>
      </w:r>
      <w:r>
        <w:rPr>
          <w:rFonts w:hint="eastAsia"/>
          <w:bCs/>
        </w:rPr>
        <w:t>截至2</w:t>
      </w:r>
      <w:r>
        <w:rPr>
          <w:bCs/>
        </w:rPr>
        <w:t>02</w:t>
      </w:r>
      <w:r>
        <w:rPr>
          <w:rFonts w:hint="eastAsia"/>
          <w:bCs/>
        </w:rPr>
        <w:t>3年</w:t>
      </w:r>
      <w:r>
        <w:rPr>
          <w:bCs/>
        </w:rPr>
        <w:t>12</w:t>
      </w:r>
      <w:r>
        <w:rPr>
          <w:rFonts w:hint="eastAsia"/>
          <w:bCs/>
        </w:rPr>
        <w:t>月</w:t>
      </w:r>
      <w:r>
        <w:rPr>
          <w:bCs/>
        </w:rPr>
        <w:t>31</w:t>
      </w:r>
      <w:r>
        <w:rPr>
          <w:rFonts w:hint="eastAsia"/>
          <w:bCs/>
        </w:rPr>
        <w:t>日，</w:t>
      </w:r>
      <w:r>
        <w:rPr>
          <w:rFonts w:hint="eastAsia"/>
        </w:rPr>
        <w:t>网信办2023年度综合运营保障服务项目经费项目</w:t>
      </w:r>
      <w:r>
        <w:rPr>
          <w:rFonts w:hint="eastAsia"/>
          <w:bCs/>
        </w:rPr>
        <w:t>实际到位预算资金137.3万元。根据区委网信办所提供预算一体化指标执行情况与财务核算平台支付明细数据统计，本项目实际支出预算资金137.3万元，预算执行率为</w:t>
      </w:r>
      <w:r>
        <w:rPr>
          <w:bCs/>
        </w:rPr>
        <w:t>100</w:t>
      </w:r>
      <w:r>
        <w:rPr>
          <w:rFonts w:hint="eastAsia"/>
          <w:bCs/>
        </w:rPr>
        <w:t>%。</w:t>
      </w:r>
    </w:p>
    <w:p>
      <w:pPr>
        <w:pStyle w:val="26"/>
        <w:spacing w:line="560" w:lineRule="exact"/>
        <w:ind w:firstLine="640"/>
        <w:rPr>
          <w:bCs/>
        </w:rPr>
      </w:pPr>
      <w:r>
        <w:rPr>
          <w:rFonts w:hint="eastAsia"/>
        </w:rPr>
        <w:t>（</w:t>
      </w:r>
      <w:r>
        <w:t>4）</w:t>
      </w:r>
      <w:r>
        <w:rPr>
          <w:rFonts w:hint="eastAsia"/>
        </w:rPr>
        <w:t>资金使用合规性</w:t>
      </w:r>
      <w:r>
        <w:t>（总分</w:t>
      </w:r>
      <w:r>
        <w:rPr>
          <w:rFonts w:hint="eastAsia"/>
        </w:rPr>
        <w:t>9</w:t>
      </w:r>
      <w:r>
        <w:t>分，得分</w:t>
      </w:r>
      <w:r>
        <w:rPr>
          <w:rFonts w:hint="eastAsia"/>
        </w:rPr>
        <w:t>9</w:t>
      </w:r>
      <w:r>
        <w:t>分）。</w:t>
      </w:r>
      <w:r>
        <w:rPr>
          <w:rFonts w:hint="eastAsia"/>
          <w:bCs/>
        </w:rPr>
        <w:t>通过查阅本项目相关业务与财务资料，区委网信办所提供记账凭证及请款单据完整，项目资金拨付有完整的审批程序和手续并经单位领导班子集体审议，各项明细支出有完整的请款申请及资金审批单据；项目支出符合预算批复规定用途；项目资金不存在截留、挤占、挪用、虚列支出等情况；本项目属于政府购买服务范畴，区委网信办已按照相关要求严格履行了政府采购程序，做到了应采尽采；各项审计、巡视、财政检查等工作未针对本项目提出相关待整改问题。</w:t>
      </w:r>
    </w:p>
    <w:p>
      <w:pPr>
        <w:pStyle w:val="26"/>
        <w:spacing w:line="560" w:lineRule="exact"/>
        <w:ind w:firstLine="640"/>
      </w:pPr>
      <w:r>
        <w:t>2.</w:t>
      </w:r>
      <w:r>
        <w:rPr>
          <w:rFonts w:hint="eastAsia"/>
        </w:rPr>
        <w:t>组织实施</w:t>
      </w:r>
    </w:p>
    <w:p>
      <w:pPr>
        <w:pStyle w:val="26"/>
        <w:spacing w:line="560" w:lineRule="exact"/>
        <w:ind w:firstLine="640"/>
      </w:pPr>
      <w:r>
        <w:rPr>
          <w:rFonts w:hint="eastAsia"/>
        </w:rPr>
        <w:t>（</w:t>
      </w:r>
      <w:r>
        <w:t>1）</w:t>
      </w:r>
      <w:r>
        <w:rPr>
          <w:rFonts w:hint="eastAsia"/>
        </w:rPr>
        <w:t>管理制度健全性</w:t>
      </w:r>
      <w:r>
        <w:t>（总分2分，得分</w:t>
      </w:r>
      <w:r>
        <w:rPr>
          <w:rFonts w:hint="eastAsia"/>
        </w:rPr>
        <w:t>2</w:t>
      </w:r>
      <w:r>
        <w:t>分）。</w:t>
      </w:r>
      <w:r>
        <w:rPr>
          <w:rFonts w:hint="eastAsia"/>
        </w:rPr>
        <w:t>区委网信办根据实际需要，制定了财务管理制度、经费支出审批制度、机房安全管理制度、设备作业管理制度、驻场工程师管理制度、节假日及重大时间节点保障方案、政务邮件系统授权使用管理办法、日常会议保障管理规章制度、运维工作人员日常管理制度，相关制度与上位法要求相符，侧重点明细；现有财务及业务管理制度合法、合规、完整，管理制度健全性较高。</w:t>
      </w:r>
    </w:p>
    <w:p>
      <w:pPr>
        <w:pStyle w:val="26"/>
        <w:spacing w:line="560" w:lineRule="exact"/>
        <w:ind w:firstLine="640"/>
      </w:pPr>
      <w:r>
        <w:rPr>
          <w:rFonts w:hint="eastAsia"/>
        </w:rPr>
        <w:t>（2</w:t>
      </w:r>
      <w:r>
        <w:t>）</w:t>
      </w:r>
      <w:r>
        <w:rPr>
          <w:rFonts w:hint="eastAsia"/>
        </w:rPr>
        <w:t>政府购买服务规范性</w:t>
      </w:r>
      <w:r>
        <w:t>（总分</w:t>
      </w:r>
      <w:r>
        <w:rPr>
          <w:rFonts w:hint="eastAsia"/>
        </w:rPr>
        <w:t>3</w:t>
      </w:r>
      <w:r>
        <w:t>分，得分</w:t>
      </w:r>
      <w:r>
        <w:rPr>
          <w:rFonts w:hint="eastAsia"/>
        </w:rPr>
        <w:t>3</w:t>
      </w:r>
      <w:r>
        <w:t>分）。</w:t>
      </w:r>
      <w:r>
        <w:rPr>
          <w:rFonts w:hint="eastAsia"/>
        </w:rPr>
        <w:t>根据区委网信办所提供本项目涉及政府采购工作相关材料与现场调研沟通反馈结果，2023年度综合运营保障服务所包含综合技术值守服务、信息数据统计分析服务、重保支持服务、可视化运维服务、政务邮箱服务、应急指挥中心信息化设备保障服务与配套数据资源管理平台租赁服务采购需求均与区委网信办“负责建设并运维全区网络安全平台，协调处理重大网络安全事件；负责承担互联网信息内容建设管理，维护互联网意识形态安全；负责建设并运营区级网络舆论综合治理平台；统筹推动全区电子政务工作”的部门履职相匹配，上述服务采购需求均已经过相关行业专家评审论证。</w:t>
      </w:r>
    </w:p>
    <w:p>
      <w:pPr>
        <w:pStyle w:val="26"/>
        <w:spacing w:line="560" w:lineRule="exact"/>
        <w:ind w:firstLine="640"/>
      </w:pPr>
      <w:r>
        <w:rPr>
          <w:rFonts w:hint="eastAsia"/>
        </w:rPr>
        <w:t>区委网信办委托天津宸颖工程咨询有限公司负责此项政府购买服务招标工作，并于2023年7月4日在天津市政府采购网发布招标公告，共有三家意向提供服务供应商（益华惠（天津）科技有限公司、友和利德（天津）科技有限公司、安联恒信（天津）信息技术有限公司）参与投标，由政府采购评审专家根据项目实际需求，资格审查表、初步评审表与资信、技术部分评审表所列示各项审查标准及评审细则实施现场评标工作。根据评审专家意见与相关工作记录，以上三家参与投标单位均不存在政府采购严重违法失信行为记录，所提供响应文件均满足磋商文件商务、技术要求，最终依据综合评分排序确定益华惠（天津）科技有限公司为成交供应商，并于2023年7月14日在天津市政府采购网发布成交公告。本项目最终成交金额为159.84万元，经相关行业专家审定不存在重复采购或过量采购等浪费情形，采购价格与往年可比情况下处于合理较低水平。</w:t>
      </w:r>
    </w:p>
    <w:p>
      <w:pPr>
        <w:pStyle w:val="26"/>
        <w:spacing w:line="560" w:lineRule="exact"/>
        <w:ind w:firstLine="640"/>
        <w:rPr>
          <w:color w:val="FF0000"/>
        </w:rPr>
      </w:pPr>
      <w:r>
        <w:rPr>
          <w:rFonts w:hint="eastAsia"/>
        </w:rPr>
        <w:t>（3</w:t>
      </w:r>
      <w:r>
        <w:t>）</w:t>
      </w:r>
      <w:r>
        <w:rPr>
          <w:rFonts w:hint="eastAsia"/>
        </w:rPr>
        <w:t>制度执行有效性</w:t>
      </w:r>
      <w:r>
        <w:t>（总分5分，得分5分）</w:t>
      </w:r>
      <w:r>
        <w:rPr>
          <w:rFonts w:hint="eastAsia"/>
        </w:rPr>
        <w:t>。根据区委网信办所提供项目预算申请、请款事项呈办单、政府采购实施文件（采购人代表授权委托书、采购人评标代表授权委托书、保密承诺书、磋商文件确认告知函、竞争性磋商公告、成交结果确认告知函、成交公告、投标单位报名登记表与文件领取表、项目开标与评标报告、投标文件签收凭证、投标文件密封确认表、唱标记录表、资格审查表、评标责任书、磋商小组成员回避确认表、磋商小组组长推荐书、政府采购严重违法失信行为查询记录、初步评审表、资信与技术部分评审表、资信与技术因素汇总表、价格评审表、评审结果确认表、评审专家意见表等）、项目合同书、项目合同履约情况验收报告、国库集中支付凭证、相关工作会议纪要等材料与现场调研沟通反馈结果，项目实施遵守相关法律法规和业务管理制度规定，项目资金支出手续完备，项目实施人员、信息支撑均已落实到位。区委网信办与益华惠（天津）科技有限公司所签订的项目合同明确规定了服务事项、服务期限、合同金额及付款方式、服务评估方式及评估标准、服务承诺、保密条款与合同履行、变更及解除过程中双方权利义务、违约责任等内容，并于</w:t>
      </w:r>
      <w:r>
        <w:t>2023年07月20日</w:t>
      </w:r>
      <w:r>
        <w:rPr>
          <w:rFonts w:hint="eastAsia"/>
        </w:rPr>
        <w:t>在天津市政府采购网进行了合同公告，符合《政府购买服务管理办法》第二十三条“政府购买服务合同应当明确服务的内容、期限、数量、质量、价格，资金结算方式，各方权利义务事项和违约责任等内容。政府购买服务合同应当依法予以公告。”的有关规定；项目合同履行过程中</w:t>
      </w:r>
      <w:r>
        <w:rPr>
          <w:rFonts w:hint="eastAsia"/>
          <w:bCs/>
        </w:rPr>
        <w:t>未发生合同</w:t>
      </w:r>
      <w:r>
        <w:rPr>
          <w:bCs/>
        </w:rPr>
        <w:t>变更</w:t>
      </w:r>
      <w:r>
        <w:rPr>
          <w:rFonts w:hint="eastAsia"/>
          <w:bCs/>
        </w:rPr>
        <w:t>、</w:t>
      </w:r>
      <w:r>
        <w:rPr>
          <w:bCs/>
        </w:rPr>
        <w:t>终止</w:t>
      </w:r>
      <w:r>
        <w:rPr>
          <w:rFonts w:hint="eastAsia"/>
          <w:bCs/>
        </w:rPr>
        <w:t>或违约事项</w:t>
      </w:r>
      <w:r>
        <w:rPr>
          <w:rFonts w:hint="eastAsia"/>
        </w:rPr>
        <w:t>，区委网信办于2024年7月26日组织开展项目合同履约情况验收工作，通过聘请外部专家完成了相关工作记录查阅与服务提供商现场质询工作。项目合同书、项目合同履约情况验收报告、验收签到表、专家意见表、项目运行月报与季度考核报告、项目实施过程中各项请款、付款文件与业务工作记录文件齐全并及时归档，</w:t>
      </w:r>
      <w:r>
        <w:t>项目</w:t>
      </w:r>
      <w:r>
        <w:rPr>
          <w:rFonts w:hint="eastAsia"/>
        </w:rPr>
        <w:t>制度执行有效。</w:t>
      </w:r>
      <w:bookmarkEnd w:id="24"/>
    </w:p>
    <w:p>
      <w:pPr>
        <w:pStyle w:val="31"/>
        <w:spacing w:before="0" w:after="0" w:line="560" w:lineRule="exact"/>
        <w:ind w:firstLine="640"/>
        <w:rPr>
          <w:rFonts w:ascii="Times New Roman" w:hAnsi="Times New Roman"/>
        </w:rPr>
      </w:pPr>
      <w:bookmarkStart w:id="27" w:name="_Toc141635008"/>
      <w:bookmarkStart w:id="28" w:name="_Toc3746"/>
      <w:r>
        <w:rPr>
          <w:rFonts w:hint="eastAsia" w:ascii="Times New Roman" w:hAnsi="Times New Roman"/>
        </w:rPr>
        <w:t>（三）项目产出情况</w:t>
      </w:r>
      <w:bookmarkEnd w:id="27"/>
      <w:bookmarkEnd w:id="28"/>
      <w:r>
        <w:rPr>
          <w:rFonts w:hint="eastAsia" w:ascii="Times New Roman" w:hAnsi="Times New Roman"/>
        </w:rPr>
        <w:t xml:space="preserve"> </w:t>
      </w:r>
    </w:p>
    <w:p>
      <w:pPr>
        <w:pStyle w:val="26"/>
        <w:spacing w:line="560" w:lineRule="exact"/>
        <w:ind w:firstLine="640"/>
      </w:pPr>
      <w:r>
        <w:rPr>
          <w:rFonts w:hint="eastAsia"/>
        </w:rPr>
        <w:t>产出指标主要包括产出数量、产出质量、产出时效、产出成本</w:t>
      </w:r>
      <w:r>
        <w:t>4</w:t>
      </w:r>
      <w:r>
        <w:rPr>
          <w:rFonts w:hint="eastAsia"/>
        </w:rPr>
        <w:t>项</w:t>
      </w:r>
      <w:r>
        <w:t>二级指标，</w:t>
      </w:r>
      <w:r>
        <w:rPr>
          <w:rFonts w:hint="eastAsia"/>
        </w:rPr>
        <w:t>4</w:t>
      </w:r>
      <w:r>
        <w:t>项三级指标，基础总分38分，合计得分38分。</w:t>
      </w:r>
    </w:p>
    <w:p>
      <w:pPr>
        <w:pStyle w:val="26"/>
        <w:spacing w:line="560" w:lineRule="exact"/>
        <w:ind w:firstLine="640"/>
      </w:pPr>
      <w:r>
        <w:t>1.产出数量</w:t>
      </w:r>
    </w:p>
    <w:p>
      <w:pPr>
        <w:pStyle w:val="26"/>
        <w:spacing w:line="560" w:lineRule="exact"/>
        <w:ind w:firstLine="640"/>
        <w:rPr>
          <w:bCs/>
        </w:rPr>
      </w:pPr>
      <w:r>
        <w:rPr>
          <w:rFonts w:hint="eastAsia"/>
        </w:rPr>
        <w:t>（1）综合运营保障任务完成率（总分9分，得分9分）。根据现场调研沟通反馈结果与区委网信办所提供2023年度综合运营保障服务项目服务期（2023年7月至2024年7月）运行月报，本项目服务供应商益华惠（天津）科技有限公司已按照项目合同约定开展并完成了综合技术值守、信息数据统计分析、重保支持、可视化运维、政务邮箱服务、应急指挥中心信息化设备保障与配套数据资源管理平台租赁服务各项任务</w:t>
      </w:r>
      <w:r>
        <w:rPr>
          <w:rFonts w:hint="eastAsia"/>
          <w:bCs/>
        </w:rPr>
        <w:t>。综上所述，</w:t>
      </w:r>
      <w:r>
        <w:rPr>
          <w:rFonts w:hint="eastAsia"/>
        </w:rPr>
        <w:t>综合运营保障任务完成率</w:t>
      </w:r>
      <w:r>
        <w:rPr>
          <w:rFonts w:hint="eastAsia"/>
          <w:bCs/>
        </w:rPr>
        <w:t>为1</w:t>
      </w:r>
      <w:r>
        <w:rPr>
          <w:bCs/>
        </w:rPr>
        <w:t>00</w:t>
      </w:r>
      <w:r>
        <w:rPr>
          <w:rFonts w:hint="eastAsia"/>
          <w:bCs/>
        </w:rPr>
        <w:t>%。</w:t>
      </w:r>
    </w:p>
    <w:p>
      <w:pPr>
        <w:pStyle w:val="26"/>
        <w:spacing w:line="560" w:lineRule="exact"/>
        <w:ind w:firstLine="640"/>
      </w:pPr>
      <w:r>
        <w:t>2.产出</w:t>
      </w:r>
      <w:r>
        <w:rPr>
          <w:rFonts w:hint="eastAsia"/>
        </w:rPr>
        <w:t xml:space="preserve">质量 </w:t>
      </w:r>
    </w:p>
    <w:p>
      <w:pPr>
        <w:pStyle w:val="26"/>
        <w:spacing w:line="560" w:lineRule="exact"/>
        <w:ind w:firstLine="640"/>
        <w:rPr>
          <w:bCs/>
        </w:rPr>
      </w:pPr>
      <w:r>
        <w:rPr>
          <w:rFonts w:hint="eastAsia"/>
        </w:rPr>
        <w:t>（</w:t>
      </w:r>
      <w:r>
        <w:t>1</w:t>
      </w:r>
      <w:r>
        <w:rPr>
          <w:rFonts w:hint="eastAsia"/>
        </w:rPr>
        <w:t>）综合运营保障任务完成达标率（总分10分，得分10分）。</w:t>
      </w:r>
      <w:r>
        <w:rPr>
          <w:rFonts w:hint="eastAsia"/>
          <w:bCs/>
        </w:rPr>
        <w:t>根据现场调研沟通反馈结果与</w:t>
      </w:r>
      <w:r>
        <w:rPr>
          <w:rFonts w:hint="eastAsia"/>
        </w:rPr>
        <w:t>区委网信办所提供2023年度综合运营保障服务项目服务期（2023年7月至2024年7月）阶段性考核记录，本项目服务供应商益华惠（天津）科技有限公司所投入驻场服务人员符合项目技术能力要求，并严格执行了考勤管理规定</w:t>
      </w:r>
      <w:r>
        <w:rPr>
          <w:rFonts w:hint="eastAsia"/>
          <w:bCs/>
        </w:rPr>
        <w:t>；日常巡检与维护、状态监测、现场巡检、远程技术支持、软件预防性维护、系统性能优化服务、数据采集服务、重点时期（法定节假日与两会期间）保障支持、可视化视图引擎运维、政务邮箱资源服务等相关保障任务均已按照区委网信办阶段性考核要求开展并完成。综上所述，</w:t>
      </w:r>
      <w:r>
        <w:rPr>
          <w:rFonts w:hint="eastAsia"/>
        </w:rPr>
        <w:t>综合运营保障任务完成达标率</w:t>
      </w:r>
      <w:r>
        <w:rPr>
          <w:rFonts w:hint="eastAsia"/>
          <w:bCs/>
        </w:rPr>
        <w:t>为1</w:t>
      </w:r>
      <w:r>
        <w:rPr>
          <w:bCs/>
        </w:rPr>
        <w:t>00</w:t>
      </w:r>
      <w:r>
        <w:rPr>
          <w:rFonts w:hint="eastAsia"/>
          <w:bCs/>
        </w:rPr>
        <w:t>%。</w:t>
      </w:r>
    </w:p>
    <w:p>
      <w:pPr>
        <w:pStyle w:val="26"/>
        <w:spacing w:line="560" w:lineRule="exact"/>
        <w:ind w:firstLine="640"/>
      </w:pPr>
      <w:r>
        <w:t>3.产出</w:t>
      </w:r>
      <w:r>
        <w:rPr>
          <w:rFonts w:hint="eastAsia"/>
        </w:rPr>
        <w:t xml:space="preserve">时效 </w:t>
      </w:r>
    </w:p>
    <w:p>
      <w:pPr>
        <w:pStyle w:val="26"/>
        <w:spacing w:line="560" w:lineRule="exact"/>
        <w:ind w:firstLine="640"/>
        <w:rPr>
          <w:bCs/>
        </w:rPr>
      </w:pPr>
      <w:r>
        <w:rPr>
          <w:rFonts w:hint="eastAsia"/>
        </w:rPr>
        <w:t>（</w:t>
      </w:r>
      <w:r>
        <w:t>1</w:t>
      </w:r>
      <w:r>
        <w:rPr>
          <w:rFonts w:hint="eastAsia"/>
        </w:rPr>
        <w:t>）综合运营保障任务开展完成及时率（总分10分，得分10分）。根据现场调研沟通反馈结果区委网信办所提供2023年度综合运营保障服务项目服务期（23年7月至24年7月）运行月报与阶段性考核记录，本项目服务供应商益华惠（天津）科技有限公司所投入驻场服务人员均已依照既定安排按月开展了综合技术值守服务（7*24小时）、信息数据统计分析服务、重保支持服务、可视化运维服务、政务邮箱服务、应急指挥中心信息化设备保障服务、配套数据资源管理平台租赁服务，日常巡检监测异常情况、各类信息化设备故障、智慧城市相关信息数据统计分析需求与相关数据可视化运维等需求均已得到及时处理与满足。</w:t>
      </w:r>
      <w:r>
        <w:rPr>
          <w:rFonts w:hint="eastAsia"/>
          <w:bCs/>
        </w:rPr>
        <w:t>综上所述，</w:t>
      </w:r>
      <w:r>
        <w:rPr>
          <w:rFonts w:hint="eastAsia"/>
        </w:rPr>
        <w:t>综合运营保障任务开展完成及时率</w:t>
      </w:r>
      <w:r>
        <w:rPr>
          <w:rFonts w:hint="eastAsia"/>
          <w:bCs/>
        </w:rPr>
        <w:t>为1</w:t>
      </w:r>
      <w:r>
        <w:rPr>
          <w:bCs/>
        </w:rPr>
        <w:t>00</w:t>
      </w:r>
      <w:r>
        <w:rPr>
          <w:rFonts w:hint="eastAsia"/>
          <w:bCs/>
        </w:rPr>
        <w:t>%。</w:t>
      </w:r>
    </w:p>
    <w:p>
      <w:pPr>
        <w:pStyle w:val="26"/>
        <w:spacing w:line="560" w:lineRule="exact"/>
        <w:ind w:firstLine="640"/>
        <w:rPr>
          <w:color w:val="FF0000"/>
          <w:sz w:val="28"/>
          <w:szCs w:val="20"/>
        </w:rPr>
      </w:pPr>
      <w:r>
        <w:t>4.产出</w:t>
      </w:r>
      <w:r>
        <w:rPr>
          <w:rFonts w:hint="eastAsia"/>
        </w:rPr>
        <w:t>成本</w:t>
      </w:r>
    </w:p>
    <w:p>
      <w:pPr>
        <w:pStyle w:val="26"/>
        <w:spacing w:line="560" w:lineRule="exact"/>
        <w:ind w:firstLine="640"/>
        <w:rPr>
          <w:bCs/>
        </w:rPr>
      </w:pPr>
      <w:r>
        <w:rPr>
          <w:rFonts w:hint="eastAsia"/>
        </w:rPr>
        <w:t>综合运营保障服务项目成本节约率（总分9分，得分9分）。</w:t>
      </w:r>
      <w:r>
        <w:rPr>
          <w:rFonts w:hint="eastAsia"/>
          <w:bCs/>
        </w:rPr>
        <w:t>根据区委网信办所提供本项目服务合同、项目预算指标执行情况、支出明细账与决算表数据统计，</w:t>
      </w:r>
      <w:r>
        <w:rPr>
          <w:rFonts w:hint="eastAsia"/>
        </w:rPr>
        <w:t>2023年度综合运营保障服务总价款为159.84万元，截至2023年12月31日，实际支出资金为137.3万元</w:t>
      </w:r>
      <w:r>
        <w:rPr>
          <w:rFonts w:hint="eastAsia"/>
          <w:bCs/>
        </w:rPr>
        <w:t>。综上所述，</w:t>
      </w:r>
      <w:r>
        <w:rPr>
          <w:rFonts w:hint="eastAsia"/>
        </w:rPr>
        <w:t>综合运营保障服务项目成本节约率为14.1</w:t>
      </w:r>
      <w:r>
        <w:rPr>
          <w:rFonts w:hint="eastAsia"/>
          <w:bCs/>
        </w:rPr>
        <w:t>%。</w:t>
      </w:r>
    </w:p>
    <w:p>
      <w:pPr>
        <w:pStyle w:val="31"/>
        <w:spacing w:before="0" w:after="0" w:line="560" w:lineRule="exact"/>
        <w:ind w:firstLine="640"/>
        <w:rPr>
          <w:rFonts w:ascii="Times New Roman" w:hAnsi="Times New Roman"/>
        </w:rPr>
      </w:pPr>
      <w:bookmarkStart w:id="29" w:name="_Toc141635009"/>
      <w:bookmarkStart w:id="30" w:name="_Toc13160"/>
      <w:r>
        <w:rPr>
          <w:rFonts w:hint="eastAsia" w:ascii="Times New Roman" w:hAnsi="Times New Roman"/>
        </w:rPr>
        <w:t>（四）项目效益情况</w:t>
      </w:r>
      <w:bookmarkEnd w:id="29"/>
      <w:bookmarkEnd w:id="30"/>
    </w:p>
    <w:p>
      <w:pPr>
        <w:pStyle w:val="26"/>
        <w:spacing w:line="560" w:lineRule="exact"/>
        <w:ind w:firstLine="640"/>
      </w:pPr>
      <w:r>
        <w:rPr>
          <w:rFonts w:hint="eastAsia"/>
        </w:rPr>
        <w:t>效益指标主要包括社会效益、可持续影响、服务对象满意度</w:t>
      </w:r>
      <w:r>
        <w:t>3</w:t>
      </w:r>
      <w:r>
        <w:rPr>
          <w:rFonts w:hint="eastAsia"/>
        </w:rPr>
        <w:t>项</w:t>
      </w:r>
      <w:r>
        <w:t>二级指标，3项三级指标，基础总分22分，合计得分</w:t>
      </w:r>
      <w:r>
        <w:rPr>
          <w:rFonts w:hint="eastAsia"/>
        </w:rPr>
        <w:t>21.5</w:t>
      </w:r>
      <w:r>
        <w:t>分。</w:t>
      </w:r>
    </w:p>
    <w:p>
      <w:pPr>
        <w:pStyle w:val="26"/>
        <w:spacing w:line="560" w:lineRule="exact"/>
        <w:ind w:firstLine="640"/>
        <w:rPr>
          <w:szCs w:val="32"/>
        </w:rPr>
      </w:pPr>
      <w:r>
        <w:rPr>
          <w:rFonts w:hint="eastAsia"/>
          <w:szCs w:val="32"/>
        </w:rPr>
        <w:t>1.社会效益</w:t>
      </w:r>
    </w:p>
    <w:p>
      <w:pPr>
        <w:pStyle w:val="26"/>
        <w:spacing w:line="560" w:lineRule="exact"/>
        <w:ind w:firstLine="640"/>
        <w:rPr>
          <w:rFonts w:ascii="仿宋_GB2312"/>
          <w:szCs w:val="32"/>
        </w:rPr>
      </w:pPr>
      <w:r>
        <w:rPr>
          <w:rFonts w:hint="eastAsia"/>
          <w:szCs w:val="32"/>
        </w:rPr>
        <w:t>辖区政务信息化水平巩固提升情况（总分</w:t>
      </w:r>
      <w:r>
        <w:rPr>
          <w:szCs w:val="32"/>
        </w:rPr>
        <w:t>1</w:t>
      </w:r>
      <w:r>
        <w:rPr>
          <w:rFonts w:hint="eastAsia"/>
          <w:szCs w:val="32"/>
        </w:rPr>
        <w:t>0分，得分</w:t>
      </w:r>
      <w:r>
        <w:rPr>
          <w:szCs w:val="32"/>
        </w:rPr>
        <w:t>1</w:t>
      </w:r>
      <w:r>
        <w:rPr>
          <w:rFonts w:hint="eastAsia"/>
          <w:szCs w:val="32"/>
        </w:rPr>
        <w:t>0分）。根据现场调研沟通反馈结果</w:t>
      </w:r>
      <w:r>
        <w:rPr>
          <w:szCs w:val="32"/>
        </w:rPr>
        <w:t>，</w:t>
      </w:r>
      <w:r>
        <w:rPr>
          <w:rFonts w:hint="eastAsia"/>
          <w:szCs w:val="32"/>
        </w:rPr>
        <w:t>综合运营保障服务第三方供应商益华惠（天津）科技有限公司在本项目服务实施周期内（2023年7月至2024年7月）通过做好7*24小时运营保障服务，针对区委网信办计算机终端、服务器、网络交换机、安全设备、多媒体设备等各类设备巡检异常情况以及应急指挥调度系统、敏感信息及指令处理系统、日常值守系统等相关业务系统状态监测异常情况、日常会议及市、区应急视频会议系统故障、VPN及系统登录异常情况以及政务安全邮箱登录密码丢失、登录受限、用户禁用等问题进行了及时处置，并配合联通工程师完成政务内网专线铺设、协助保密局工程师完成政务内网专线配置等其他技术支持工作，有效确保了辖区政务网络与各类网信管理系统正常运行，保障了辖区68个行政事业单位（一级部门）的政务邮箱使用需求；此外，通过按月做好智慧城市工作相关数据的收集处理，对智慧城市建设相关视图数据底座、</w:t>
      </w:r>
      <w:r>
        <w:rPr>
          <w:rFonts w:hint="eastAsia" w:ascii="仿宋_GB2312"/>
          <w:szCs w:val="32"/>
        </w:rPr>
        <w:t>数字社会、数字化发展环境、互联网党建、智慧品牌、数字基础设施与网络互联网企</w:t>
      </w:r>
      <w:r>
        <w:rPr>
          <w:rFonts w:hint="eastAsia"/>
          <w:szCs w:val="32"/>
        </w:rPr>
        <w:t>业党建等96个</w:t>
      </w:r>
      <w:r>
        <w:rPr>
          <w:rFonts w:hint="eastAsia" w:ascii="仿宋_GB2312"/>
          <w:szCs w:val="32"/>
        </w:rPr>
        <w:t>专题视图进行监测更新，定制了“智慧+”品牌、数字基础设施、服务招商等专题可视化大屏视图，提高了智慧城市平台有效应用性。</w:t>
      </w:r>
    </w:p>
    <w:p>
      <w:pPr>
        <w:pStyle w:val="26"/>
        <w:spacing w:line="560" w:lineRule="exact"/>
        <w:ind w:firstLine="640"/>
      </w:pPr>
      <w:r>
        <w:t>2</w:t>
      </w:r>
      <w:r>
        <w:rPr>
          <w:rFonts w:hint="eastAsia"/>
        </w:rPr>
        <w:t>.可持续影响</w:t>
      </w:r>
    </w:p>
    <w:p>
      <w:pPr>
        <w:pStyle w:val="26"/>
        <w:spacing w:line="560" w:lineRule="exact"/>
        <w:ind w:firstLine="640"/>
      </w:pPr>
      <w:r>
        <w:rPr>
          <w:rFonts w:hint="eastAsia"/>
        </w:rPr>
        <w:t>综合运营保障服务管理机制健全性（总分6分，得分5.5分）。根据现场调研及沟通反馈结果，区委网信办虽已针对本项目分别建立了机房安全管理制度、设备作业管理制度、驻场工程师管理制度、节假日及重大时间节点保障方案、政务邮件系统授权使用管理办法、日常会议保障管理规章制度、运维工作人员日常管理制度、项目运行工作月报机制以及综合运营保障服务整体考核事项，并于以上各项规章制度与方案明确了具体适用范围、注意要点等相关内容，为综合运营保障服务管理工作长效开展提供了有力保障，但未结合综合运营保障服务项目实施全流程建立对应管理工作指引汇编，如若发生业务管理人员变更情况仅能通过“以老带新”的形式实现相关工作事项顺利交接的目标，综合运营保障服务管理机制健全性存在进一步提高的空间。</w:t>
      </w:r>
    </w:p>
    <w:p>
      <w:pPr>
        <w:pStyle w:val="26"/>
        <w:spacing w:line="560" w:lineRule="exact"/>
        <w:ind w:firstLine="640"/>
      </w:pPr>
      <w:r>
        <w:t>3.</w:t>
      </w:r>
      <w:r>
        <w:rPr>
          <w:rFonts w:hint="eastAsia"/>
        </w:rPr>
        <w:t>服务对象满意度</w:t>
      </w:r>
    </w:p>
    <w:p>
      <w:pPr>
        <w:pStyle w:val="26"/>
        <w:spacing w:line="560" w:lineRule="exact"/>
        <w:ind w:firstLine="640"/>
      </w:pPr>
      <w:r>
        <w:rPr>
          <w:rFonts w:hint="eastAsia"/>
        </w:rPr>
        <w:t>区委网信办业务管理人员满意度</w:t>
      </w:r>
      <w:r>
        <w:t>（总分6分，得分6分）。</w:t>
      </w:r>
      <w:r>
        <w:rPr>
          <w:rFonts w:hint="eastAsia"/>
        </w:rPr>
        <w:t>依据</w:t>
      </w:r>
      <w:r>
        <w:t>网信办2023年度综合运营保障服务项目经费项目主要实施内容，</w:t>
      </w:r>
      <w:r>
        <w:rPr>
          <w:rFonts w:hint="eastAsia"/>
        </w:rPr>
        <w:t>项目</w:t>
      </w:r>
      <w:r>
        <w:t>实际受益对象</w:t>
      </w:r>
      <w:r>
        <w:rPr>
          <w:rFonts w:hint="eastAsia"/>
        </w:rPr>
        <w:t>为区委网信办业务管理人员</w:t>
      </w:r>
      <w:r>
        <w:t>，</w:t>
      </w:r>
      <w:r>
        <w:rPr>
          <w:rFonts w:hint="eastAsia"/>
        </w:rPr>
        <w:t>评价组</w:t>
      </w:r>
      <w:r>
        <w:t>对</w:t>
      </w:r>
      <w:r>
        <w:rPr>
          <w:rFonts w:hint="eastAsia"/>
        </w:rPr>
        <w:t>区委网信办业务管理人员</w:t>
      </w:r>
      <w:r>
        <w:t>进行随机满意度调查，共发放10份问卷，实际收回有效问卷共10份，</w:t>
      </w:r>
      <w:r>
        <w:rPr>
          <w:rFonts w:hint="eastAsia"/>
        </w:rPr>
        <w:t>针对综合运营保障服务第三方供应商益华惠（天津）科技有限公司在本项目服务期内的日常巡检监测异常情况及各类信息化设备故障处置是否到位、智慧城市相关信息数据统计分析结果与相关数据可视化运维质量是否满足对应需求等问题进行满意度调查，区委网信办业务管理人员的综合满意度为</w:t>
      </w:r>
      <w:r>
        <w:t>100%</w:t>
      </w:r>
      <w:r>
        <w:rPr>
          <w:rFonts w:hint="eastAsia"/>
        </w:rPr>
        <w:t>。</w:t>
      </w:r>
    </w:p>
    <w:p>
      <w:pPr>
        <w:pStyle w:val="29"/>
        <w:spacing w:before="0" w:after="0" w:line="560" w:lineRule="exact"/>
      </w:pPr>
      <w:bookmarkStart w:id="31" w:name="_Toc141635010"/>
      <w:bookmarkStart w:id="32" w:name="_Toc25217"/>
      <w:r>
        <w:rPr>
          <w:rFonts w:hint="eastAsia"/>
        </w:rPr>
        <w:t>五、</w:t>
      </w:r>
      <w:bookmarkStart w:id="33" w:name="_Hlk141628425"/>
      <w:r>
        <w:rPr>
          <w:rFonts w:hint="eastAsia"/>
        </w:rPr>
        <w:t>存在的主要问题</w:t>
      </w:r>
      <w:bookmarkEnd w:id="31"/>
      <w:bookmarkEnd w:id="32"/>
      <w:bookmarkEnd w:id="33"/>
    </w:p>
    <w:p>
      <w:pPr>
        <w:pStyle w:val="31"/>
        <w:spacing w:before="0" w:after="0" w:line="560" w:lineRule="exact"/>
        <w:ind w:firstLine="640"/>
      </w:pPr>
      <w:bookmarkStart w:id="34" w:name="_Toc30885"/>
      <w:r>
        <w:rPr>
          <w:rFonts w:hint="eastAsia"/>
        </w:rPr>
        <w:t>（一）项目绩效管理水平有待加强</w:t>
      </w:r>
      <w:bookmarkEnd w:id="34"/>
    </w:p>
    <w:p>
      <w:pPr>
        <w:pStyle w:val="26"/>
        <w:spacing w:line="560" w:lineRule="exact"/>
        <w:ind w:firstLine="640"/>
      </w:pPr>
      <w:r>
        <w:rPr>
          <w:rFonts w:hint="eastAsia"/>
        </w:rPr>
        <w:t>本项目绩效目标未体现综合运营保障服务项目所涉及政务邮箱服务、应急指挥中心信息化设备保障服务、重保支持服务等其他服务内容，与项目预期产出与效益及预算确定的资金量不匹配。同时未针对综合运营保障服务项目所涉及政务邮箱服务、应急指挥中心信息化设备保障服务、重保支持服务等其他服务内容设定相关指标予以考量，成本指标未根据各项服务实际测算资金需求进行细化，项目绩效目标设置合理性不足，绩效管理水平有待加强。</w:t>
      </w:r>
    </w:p>
    <w:p>
      <w:pPr>
        <w:pStyle w:val="31"/>
        <w:spacing w:before="0" w:after="0" w:line="560" w:lineRule="exact"/>
        <w:ind w:firstLine="640"/>
      </w:pPr>
      <w:bookmarkStart w:id="35" w:name="_Toc180700693"/>
      <w:bookmarkStart w:id="36" w:name="_Toc6365"/>
      <w:r>
        <w:rPr>
          <w:rFonts w:hint="eastAsia"/>
        </w:rPr>
        <w:t>（二）项目预算调整及时性有待提高</w:t>
      </w:r>
      <w:bookmarkEnd w:id="35"/>
      <w:bookmarkEnd w:id="36"/>
    </w:p>
    <w:p>
      <w:pPr>
        <w:pStyle w:val="26"/>
        <w:spacing w:line="560" w:lineRule="exact"/>
        <w:ind w:firstLine="640"/>
      </w:pPr>
      <w:r>
        <w:rPr>
          <w:rFonts w:hint="eastAsia"/>
        </w:rPr>
        <w:t>在调研过程中发现，项目最终中标金额与预算批复金额差异较大，区委网信办未根据项目实际采购合同确定的服务金额及时与区财政局沟通并做好预算调整申报工作，导致部分财政资金无法充分发挥其效益，项目预算调整及时性有待提高。</w:t>
      </w:r>
    </w:p>
    <w:p>
      <w:pPr>
        <w:pStyle w:val="31"/>
        <w:spacing w:before="0" w:after="0" w:line="560" w:lineRule="exact"/>
        <w:ind w:firstLine="640"/>
      </w:pPr>
      <w:bookmarkStart w:id="37" w:name="_Toc27001"/>
      <w:bookmarkStart w:id="38" w:name="_Toc141635013"/>
      <w:r>
        <w:rPr>
          <w:rFonts w:hint="eastAsia" w:ascii="Times New Roman" w:hAnsi="Times New Roman"/>
        </w:rPr>
        <w:t>（</w:t>
      </w:r>
      <w:r>
        <w:rPr>
          <w:rFonts w:hint="eastAsia"/>
        </w:rPr>
        <w:t>三</w:t>
      </w:r>
      <w:r>
        <w:rPr>
          <w:rFonts w:hint="eastAsia" w:ascii="Times New Roman" w:hAnsi="Times New Roman"/>
        </w:rPr>
        <w:t>）</w:t>
      </w:r>
      <w:r>
        <w:rPr>
          <w:rFonts w:hint="eastAsia"/>
        </w:rPr>
        <w:t>项目管理工作指引汇编有待建立</w:t>
      </w:r>
      <w:bookmarkEnd w:id="37"/>
    </w:p>
    <w:p>
      <w:pPr>
        <w:pStyle w:val="26"/>
        <w:spacing w:line="560" w:lineRule="exact"/>
        <w:ind w:firstLine="640"/>
      </w:pPr>
      <w:r>
        <w:rPr>
          <w:rFonts w:hint="eastAsia"/>
        </w:rPr>
        <w:t>区委网信办虽已针对本项目分别建立了机房安全管理制度、设备作业管理制度、驻场工程师管理制度、节假日及重大时间节点保障方案、政务邮件系统授权使用管理办法、日常会议保障管理规章制度、运维工作人员日常管理制度、项目运行工作月报机制以及综合运营保障服务整体考核事项，但未结合综合运营保障服务项目实施全流程建立对应管理工作指引汇编，如若发生业务管理人员变更情况仅能通过“以老带新”的形式实现相关工作事项顺利交接的目标，综合运营保障服务管理机制健全性有待进一步提高。</w:t>
      </w:r>
    </w:p>
    <w:p>
      <w:pPr>
        <w:pStyle w:val="29"/>
        <w:spacing w:before="0" w:after="0" w:line="560" w:lineRule="exact"/>
      </w:pPr>
      <w:bookmarkStart w:id="39" w:name="_Toc6221"/>
      <w:r>
        <w:rPr>
          <w:rFonts w:hint="eastAsia"/>
        </w:rPr>
        <w:t>六、相关建议</w:t>
      </w:r>
      <w:bookmarkEnd w:id="38"/>
      <w:bookmarkEnd w:id="39"/>
    </w:p>
    <w:p>
      <w:pPr>
        <w:pStyle w:val="31"/>
        <w:spacing w:before="0" w:after="0" w:line="560" w:lineRule="exact"/>
        <w:ind w:firstLine="640"/>
        <w:rPr>
          <w:rFonts w:ascii="Times New Roman" w:hAnsi="Times New Roman"/>
        </w:rPr>
      </w:pPr>
      <w:bookmarkStart w:id="40" w:name="_Toc141635014"/>
      <w:bookmarkStart w:id="41" w:name="_Toc19591"/>
      <w:r>
        <w:rPr>
          <w:rFonts w:hint="eastAsia" w:ascii="Times New Roman" w:hAnsi="Times New Roman"/>
        </w:rPr>
        <w:t>（一）</w:t>
      </w:r>
      <w:bookmarkEnd w:id="40"/>
      <w:r>
        <w:rPr>
          <w:rFonts w:hint="eastAsia" w:ascii="Times New Roman" w:hAnsi="Times New Roman"/>
        </w:rPr>
        <w:t>进一步</w:t>
      </w:r>
      <w:r>
        <w:rPr>
          <w:rFonts w:hint="eastAsia"/>
        </w:rPr>
        <w:t>强化项目绩效管理</w:t>
      </w:r>
      <w:bookmarkEnd w:id="41"/>
    </w:p>
    <w:p>
      <w:pPr>
        <w:pStyle w:val="26"/>
        <w:spacing w:line="560" w:lineRule="exact"/>
        <w:ind w:firstLine="640"/>
      </w:pPr>
      <w:r>
        <w:rPr>
          <w:rFonts w:hint="eastAsia"/>
        </w:rPr>
        <w:t>建议区委网信办定期开展单位内部预算绩效管理培训，深化理解预算绩效管理工作必要性，贯彻落实财政绩效管理工作要求，规范绩效目标指标编报。在设置项目绩效指标时，充分细化各项</w:t>
      </w:r>
      <w:r>
        <w:rPr>
          <w:rFonts w:hint="eastAsia"/>
          <w:bCs/>
        </w:rPr>
        <w:t>工作任务</w:t>
      </w:r>
      <w:r>
        <w:rPr>
          <w:rFonts w:hint="eastAsia"/>
        </w:rPr>
        <w:t>，全面、准确反映</w:t>
      </w:r>
      <w:r>
        <w:rPr>
          <w:rFonts w:hint="eastAsia"/>
          <w:bCs/>
        </w:rPr>
        <w:t>项目实施内容</w:t>
      </w:r>
      <w:r>
        <w:rPr>
          <w:rFonts w:hint="eastAsia"/>
        </w:rPr>
        <w:t>，规范、合理设置项目绩效目标和绩效指标。如成本指标应根据项目资金具体支出方向进行细化设定，结合本项目实际情况可细化为综合技术值守服务经费、信息数据统计分析服务经费、重保支持服务经费、可视化运维服务经费、政务邮箱服务经费、应急指挥中心信息化设备保障服务经费与配套数据资源管理平台租赁服务经费。</w:t>
      </w:r>
    </w:p>
    <w:p>
      <w:pPr>
        <w:pStyle w:val="31"/>
        <w:spacing w:before="0" w:after="0" w:line="560" w:lineRule="exact"/>
        <w:ind w:firstLine="640"/>
      </w:pPr>
      <w:bookmarkStart w:id="42" w:name="_Toc180700697"/>
      <w:bookmarkStart w:id="43" w:name="_Toc17834"/>
      <w:r>
        <w:rPr>
          <w:rFonts w:hint="eastAsia"/>
        </w:rPr>
        <w:t>（二）</w:t>
      </w:r>
      <w:bookmarkEnd w:id="42"/>
      <w:r>
        <w:rPr>
          <w:rFonts w:hint="eastAsia"/>
        </w:rPr>
        <w:t>及时根据项目进展申报预算调整</w:t>
      </w:r>
      <w:bookmarkEnd w:id="43"/>
    </w:p>
    <w:p>
      <w:pPr>
        <w:pStyle w:val="26"/>
        <w:spacing w:line="560" w:lineRule="exact"/>
        <w:ind w:firstLine="640"/>
        <w:rPr>
          <w:highlight w:val="red"/>
        </w:rPr>
      </w:pPr>
      <w:r>
        <w:rPr>
          <w:rFonts w:hint="eastAsia"/>
        </w:rPr>
        <w:t>建议</w:t>
      </w:r>
      <w:r>
        <w:rPr>
          <w:rFonts w:hint="eastAsia" w:ascii="仿宋_GB2312" w:hAnsi="微软雅黑"/>
          <w:szCs w:val="32"/>
          <w:shd w:val="clear" w:color="auto" w:fill="FFFFFF"/>
        </w:rPr>
        <w:t>区委网信办在今后开展同类政府购买服务项目过程中，及时根据项目实际采购中标价格做好项目预算调整申报工作，</w:t>
      </w:r>
      <w:r>
        <w:rPr>
          <w:rFonts w:hint="eastAsia"/>
        </w:rPr>
        <w:t>推动闲置预算资金调剂，统筹用于其他急需的项目或者领域，避免出现挤占预算额度造成财政资源闲置浪费的问题，进一步提高财政资金的使用效益。</w:t>
      </w:r>
    </w:p>
    <w:p>
      <w:pPr>
        <w:pStyle w:val="31"/>
        <w:spacing w:before="0" w:after="0" w:line="560" w:lineRule="exact"/>
        <w:ind w:firstLine="640"/>
      </w:pPr>
      <w:bookmarkStart w:id="44" w:name="_Toc119268071"/>
      <w:bookmarkStart w:id="45" w:name="_Toc20736"/>
      <w:r>
        <w:rPr>
          <w:rFonts w:hint="eastAsia"/>
        </w:rPr>
        <w:t>（三）整合建立项目管理工作指引汇编</w:t>
      </w:r>
      <w:bookmarkEnd w:id="44"/>
      <w:bookmarkEnd w:id="45"/>
    </w:p>
    <w:p>
      <w:pPr>
        <w:pStyle w:val="26"/>
        <w:spacing w:line="560" w:lineRule="exact"/>
        <w:ind w:firstLine="640"/>
      </w:pPr>
      <w:r>
        <w:rPr>
          <w:rFonts w:hint="eastAsia"/>
        </w:rPr>
        <w:t>建议</w:t>
      </w:r>
      <w:r>
        <w:rPr>
          <w:rFonts w:hint="eastAsia" w:ascii="仿宋_GB2312" w:hAnsi="微软雅黑"/>
          <w:szCs w:val="32"/>
          <w:shd w:val="clear" w:color="auto" w:fill="FFFFFF"/>
        </w:rPr>
        <w:t>区委网信办根据综合运营保障服务项目实施流程，整合建立包含事前（针对政府购买服务所涉及政府采购制度文件、过往同类项目关于预算测算口径与标准、评审专家信息、市区两级政府关于网信工作所制定出台的相关规章制度）、事中（针对综合运营保障服务供应商所投入人员日常管理、服务运行工作月报管理、机房安全管理、设备作业管理与相关工作预案管理）与事后（针对综合运营保障服务供</w:t>
      </w:r>
      <w:r>
        <w:rPr>
          <w:rFonts w:hint="eastAsia"/>
        </w:rPr>
        <w:t>应商服务质量考核制度）的项目管理工作指引汇编，为单位业务管理人员开展综合运营保障服务管理工作提供重要抓手。</w:t>
      </w:r>
    </w:p>
    <w:p>
      <w:pPr>
        <w:pStyle w:val="29"/>
        <w:numPr>
          <w:ilvl w:val="0"/>
          <w:numId w:val="1"/>
        </w:numPr>
        <w:spacing w:before="0" w:after="0" w:line="560" w:lineRule="exact"/>
        <w:rPr>
          <w:rFonts w:eastAsia="仿宋_GB2312" w:cstheme="minorBidi"/>
          <w:szCs w:val="21"/>
        </w:rPr>
      </w:pPr>
      <w:bookmarkStart w:id="46" w:name="_Toc29032"/>
      <w:bookmarkStart w:id="47" w:name="_Toc20252"/>
      <w:bookmarkStart w:id="48" w:name="_Toc32216"/>
      <w:bookmarkStart w:id="49" w:name="_Toc25137"/>
      <w:r>
        <w:rPr>
          <w:rFonts w:hint="eastAsia"/>
        </w:rPr>
        <w:t>其他需要说明的问题</w:t>
      </w:r>
      <w:bookmarkEnd w:id="46"/>
      <w:bookmarkEnd w:id="47"/>
      <w:bookmarkEnd w:id="48"/>
      <w:bookmarkEnd w:id="49"/>
    </w:p>
    <w:p>
      <w:pPr>
        <w:pStyle w:val="26"/>
        <w:spacing w:line="560" w:lineRule="exact"/>
        <w:ind w:firstLine="640"/>
      </w:pPr>
      <w:r>
        <w:rPr>
          <w:rFonts w:hint="eastAsia"/>
        </w:rPr>
        <w:t>无</w:t>
      </w:r>
    </w:p>
    <w:p>
      <w:pPr>
        <w:pStyle w:val="29"/>
        <w:numPr>
          <w:ilvl w:val="0"/>
          <w:numId w:val="1"/>
        </w:numPr>
        <w:spacing w:before="0" w:after="0" w:line="560" w:lineRule="exact"/>
        <w:rPr>
          <w:color w:val="000000" w:themeColor="text1"/>
          <w14:textFill>
            <w14:solidFill>
              <w14:schemeClr w14:val="tx1"/>
            </w14:solidFill>
          </w14:textFill>
        </w:rPr>
      </w:pPr>
      <w:bookmarkStart w:id="50" w:name="_Toc1672"/>
      <w:bookmarkStart w:id="51" w:name="_Toc22245"/>
      <w:bookmarkStart w:id="52" w:name="_Toc3766"/>
      <w:bookmarkStart w:id="53" w:name="_Toc31979"/>
      <w:r>
        <w:rPr>
          <w:rFonts w:hint="eastAsia"/>
        </w:rPr>
        <w:t>相关附件</w:t>
      </w:r>
      <w:bookmarkEnd w:id="50"/>
      <w:bookmarkEnd w:id="51"/>
      <w:bookmarkEnd w:id="52"/>
      <w:bookmarkEnd w:id="53"/>
    </w:p>
    <w:p>
      <w:pPr>
        <w:pStyle w:val="26"/>
        <w:ind w:firstLine="640"/>
      </w:pPr>
      <w:r>
        <w:rPr>
          <w:rFonts w:hint="eastAsia"/>
        </w:rPr>
        <w:t>网信办2023年度综合运营保障服务项目经费项目绩效评价指标体系及评分表</w:t>
      </w:r>
    </w:p>
    <w:sectPr>
      <w:footerReference r:id="rId11" w:type="default"/>
      <w:pgSz w:w="11906" w:h="16838"/>
      <w:pgMar w:top="2098" w:right="1474" w:bottom="1984" w:left="1587"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42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eastAsia" w:ascii="宋体" w:hAnsi="宋体" w:eastAsia="宋体" w:cs="宋体"/>
                              <w:sz w:val="28"/>
                              <w:szCs w:val="28"/>
                            </w:rPr>
                            <w:id w:val="-1193064254"/>
                          </w:sdtPr>
                          <w:sdtEndPr>
                            <w:rPr>
                              <w:rFonts w:hint="eastAsia" w:ascii="宋体" w:hAnsi="宋体" w:eastAsia="宋体" w:cs="宋体"/>
                              <w:sz w:val="28"/>
                              <w:szCs w:val="28"/>
                            </w:rPr>
                          </w:sdtEndPr>
                          <w:sdtContent>
                            <w:p>
                              <w:pPr>
                                <w:pStyle w:val="9"/>
                                <w:ind w:firstLine="420"/>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lang w:val="zh-CN"/>
                                </w:rPr>
                                <w:t>-</w:t>
                              </w:r>
                              <w:r>
                                <w:rPr>
                                  <w:rFonts w:ascii="宋体" w:hAnsi="宋体" w:eastAsia="宋体" w:cs="宋体"/>
                                  <w:sz w:val="28"/>
                                  <w:szCs w:val="28"/>
                                </w:rPr>
                                <w:t xml:space="preserve"> 7 -</w:t>
                              </w:r>
                              <w:r>
                                <w:rPr>
                                  <w:rFonts w:hint="eastAsia" w:ascii="宋体" w:hAnsi="宋体" w:eastAsia="宋体" w:cs="宋体"/>
                                  <w:sz w:val="28"/>
                                  <w:szCs w:val="28"/>
                                </w:rPr>
                                <w:fldChar w:fldCharType="end"/>
                              </w:r>
                            </w:p>
                          </w:sdtContent>
                        </w:sdt>
                        <w:p>
                          <w:pPr>
                            <w:ind w:firstLine="42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rPr>
                        <w:rFonts w:hint="eastAsia" w:ascii="宋体" w:hAnsi="宋体" w:eastAsia="宋体" w:cs="宋体"/>
                        <w:sz w:val="28"/>
                        <w:szCs w:val="28"/>
                      </w:rPr>
                      <w:id w:val="-1193064254"/>
                    </w:sdtPr>
                    <w:sdtEndPr>
                      <w:rPr>
                        <w:rFonts w:hint="eastAsia" w:ascii="宋体" w:hAnsi="宋体" w:eastAsia="宋体" w:cs="宋体"/>
                        <w:sz w:val="28"/>
                        <w:szCs w:val="28"/>
                      </w:rPr>
                    </w:sdtEndPr>
                    <w:sdtContent>
                      <w:p>
                        <w:pPr>
                          <w:pStyle w:val="9"/>
                          <w:ind w:firstLine="420"/>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lang w:val="zh-CN"/>
                          </w:rPr>
                          <w:t>-</w:t>
                        </w:r>
                        <w:r>
                          <w:rPr>
                            <w:rFonts w:ascii="宋体" w:hAnsi="宋体" w:eastAsia="宋体" w:cs="宋体"/>
                            <w:sz w:val="28"/>
                            <w:szCs w:val="28"/>
                          </w:rPr>
                          <w:t xml:space="preserve"> 7 -</w:t>
                        </w:r>
                        <w:r>
                          <w:rPr>
                            <w:rFonts w:hint="eastAsia" w:ascii="宋体" w:hAnsi="宋体" w:eastAsia="宋体" w:cs="宋体"/>
                            <w:sz w:val="28"/>
                            <w:szCs w:val="28"/>
                          </w:rPr>
                          <w:fldChar w:fldCharType="end"/>
                        </w:r>
                      </w:p>
                    </w:sdtContent>
                  </w:sdt>
                  <w:p>
                    <w:pPr>
                      <w:ind w:firstLine="420"/>
                    </w:pPr>
                  </w:p>
                </w:txbxContent>
              </v:textbox>
            </v:shape>
          </w:pict>
        </mc:Fallback>
      </mc:AlternateContent>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F5182C"/>
    <w:multiLevelType w:val="singleLevel"/>
    <w:tmpl w:val="25F5182C"/>
    <w:lvl w:ilvl="0" w:tentative="0">
      <w:start w:val="7"/>
      <w:numFmt w:val="chineseCounting"/>
      <w:suff w:val="nothing"/>
      <w:lvlText w:val="%1、"/>
      <w:lvlJc w:val="left"/>
      <w:rPr>
        <w:rFonts w:hint="eastAsia" w:ascii="黑体" w:hAnsi="黑体" w:eastAsia="黑体" w:cs="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hhNTBkODQwYjc1MGI1Yjk3OTliNDI3M2M3MGYyOTUifQ=="/>
  </w:docVars>
  <w:rsids>
    <w:rsidRoot w:val="0072406C"/>
    <w:rsid w:val="000003BE"/>
    <w:rsid w:val="000005C4"/>
    <w:rsid w:val="00001AE1"/>
    <w:rsid w:val="00001BB3"/>
    <w:rsid w:val="00001F53"/>
    <w:rsid w:val="000020B8"/>
    <w:rsid w:val="00002F90"/>
    <w:rsid w:val="00003AAC"/>
    <w:rsid w:val="00005983"/>
    <w:rsid w:val="00006499"/>
    <w:rsid w:val="00006B97"/>
    <w:rsid w:val="000072AE"/>
    <w:rsid w:val="000073F1"/>
    <w:rsid w:val="00007BA4"/>
    <w:rsid w:val="00010D37"/>
    <w:rsid w:val="000117A7"/>
    <w:rsid w:val="000122EC"/>
    <w:rsid w:val="00012D12"/>
    <w:rsid w:val="00013271"/>
    <w:rsid w:val="000144F2"/>
    <w:rsid w:val="0001457A"/>
    <w:rsid w:val="00016A60"/>
    <w:rsid w:val="00016E3C"/>
    <w:rsid w:val="0001767C"/>
    <w:rsid w:val="00017840"/>
    <w:rsid w:val="00020699"/>
    <w:rsid w:val="00020870"/>
    <w:rsid w:val="00020A59"/>
    <w:rsid w:val="000217AF"/>
    <w:rsid w:val="000231BE"/>
    <w:rsid w:val="000238A0"/>
    <w:rsid w:val="00023BD1"/>
    <w:rsid w:val="00023D8C"/>
    <w:rsid w:val="00025085"/>
    <w:rsid w:val="00030C03"/>
    <w:rsid w:val="00030E1F"/>
    <w:rsid w:val="0003289E"/>
    <w:rsid w:val="0003396F"/>
    <w:rsid w:val="00033A5C"/>
    <w:rsid w:val="00033B3B"/>
    <w:rsid w:val="000351BD"/>
    <w:rsid w:val="00035AD0"/>
    <w:rsid w:val="00035C47"/>
    <w:rsid w:val="000378FB"/>
    <w:rsid w:val="00037D9D"/>
    <w:rsid w:val="000412B8"/>
    <w:rsid w:val="000415A2"/>
    <w:rsid w:val="000423D1"/>
    <w:rsid w:val="00042612"/>
    <w:rsid w:val="00042D52"/>
    <w:rsid w:val="00043307"/>
    <w:rsid w:val="00044528"/>
    <w:rsid w:val="000448D5"/>
    <w:rsid w:val="000448F6"/>
    <w:rsid w:val="00044AA3"/>
    <w:rsid w:val="00044D9E"/>
    <w:rsid w:val="00045C8D"/>
    <w:rsid w:val="00046065"/>
    <w:rsid w:val="00046641"/>
    <w:rsid w:val="000471A7"/>
    <w:rsid w:val="00047673"/>
    <w:rsid w:val="00047DA4"/>
    <w:rsid w:val="000514F5"/>
    <w:rsid w:val="0005371E"/>
    <w:rsid w:val="000546E2"/>
    <w:rsid w:val="0005499E"/>
    <w:rsid w:val="00055089"/>
    <w:rsid w:val="00055543"/>
    <w:rsid w:val="000557A4"/>
    <w:rsid w:val="00056206"/>
    <w:rsid w:val="00060636"/>
    <w:rsid w:val="00060AAF"/>
    <w:rsid w:val="00060FDE"/>
    <w:rsid w:val="0006101C"/>
    <w:rsid w:val="00061606"/>
    <w:rsid w:val="00061BD0"/>
    <w:rsid w:val="00063ABA"/>
    <w:rsid w:val="00063D08"/>
    <w:rsid w:val="0006469E"/>
    <w:rsid w:val="00064896"/>
    <w:rsid w:val="00064E5E"/>
    <w:rsid w:val="00065046"/>
    <w:rsid w:val="00065119"/>
    <w:rsid w:val="00066D7D"/>
    <w:rsid w:val="00070190"/>
    <w:rsid w:val="000707E7"/>
    <w:rsid w:val="00073049"/>
    <w:rsid w:val="00074120"/>
    <w:rsid w:val="00075F16"/>
    <w:rsid w:val="000766A1"/>
    <w:rsid w:val="00077105"/>
    <w:rsid w:val="000834AE"/>
    <w:rsid w:val="00084301"/>
    <w:rsid w:val="000863E0"/>
    <w:rsid w:val="00086531"/>
    <w:rsid w:val="000874BB"/>
    <w:rsid w:val="00087AF3"/>
    <w:rsid w:val="00087C72"/>
    <w:rsid w:val="00087DB5"/>
    <w:rsid w:val="00091A99"/>
    <w:rsid w:val="00092274"/>
    <w:rsid w:val="00092A72"/>
    <w:rsid w:val="0009479F"/>
    <w:rsid w:val="00095919"/>
    <w:rsid w:val="00097C03"/>
    <w:rsid w:val="000A0167"/>
    <w:rsid w:val="000A0EB3"/>
    <w:rsid w:val="000A1A1B"/>
    <w:rsid w:val="000A22B6"/>
    <w:rsid w:val="000A269B"/>
    <w:rsid w:val="000A374D"/>
    <w:rsid w:val="000A546C"/>
    <w:rsid w:val="000A6A64"/>
    <w:rsid w:val="000A7113"/>
    <w:rsid w:val="000A73F1"/>
    <w:rsid w:val="000A7499"/>
    <w:rsid w:val="000B159D"/>
    <w:rsid w:val="000B212C"/>
    <w:rsid w:val="000B21BC"/>
    <w:rsid w:val="000B23CF"/>
    <w:rsid w:val="000B311C"/>
    <w:rsid w:val="000B357B"/>
    <w:rsid w:val="000B42F3"/>
    <w:rsid w:val="000B4678"/>
    <w:rsid w:val="000B4E77"/>
    <w:rsid w:val="000B5151"/>
    <w:rsid w:val="000B5267"/>
    <w:rsid w:val="000B5966"/>
    <w:rsid w:val="000B6765"/>
    <w:rsid w:val="000B6868"/>
    <w:rsid w:val="000B6A82"/>
    <w:rsid w:val="000B6FB3"/>
    <w:rsid w:val="000B7D78"/>
    <w:rsid w:val="000C0241"/>
    <w:rsid w:val="000C1676"/>
    <w:rsid w:val="000C17CE"/>
    <w:rsid w:val="000C1875"/>
    <w:rsid w:val="000C18A6"/>
    <w:rsid w:val="000C1980"/>
    <w:rsid w:val="000C1CE2"/>
    <w:rsid w:val="000C24B7"/>
    <w:rsid w:val="000C2923"/>
    <w:rsid w:val="000C2EE0"/>
    <w:rsid w:val="000C3B25"/>
    <w:rsid w:val="000C3E86"/>
    <w:rsid w:val="000C592D"/>
    <w:rsid w:val="000C5A83"/>
    <w:rsid w:val="000C5C99"/>
    <w:rsid w:val="000C6B83"/>
    <w:rsid w:val="000C7A63"/>
    <w:rsid w:val="000D045D"/>
    <w:rsid w:val="000D191B"/>
    <w:rsid w:val="000D208D"/>
    <w:rsid w:val="000D2948"/>
    <w:rsid w:val="000D29E9"/>
    <w:rsid w:val="000D2D10"/>
    <w:rsid w:val="000D4EA7"/>
    <w:rsid w:val="000D4FE0"/>
    <w:rsid w:val="000D54B4"/>
    <w:rsid w:val="000D6438"/>
    <w:rsid w:val="000D67EA"/>
    <w:rsid w:val="000D6EBE"/>
    <w:rsid w:val="000D7DA2"/>
    <w:rsid w:val="000E02B8"/>
    <w:rsid w:val="000E0E2F"/>
    <w:rsid w:val="000E3301"/>
    <w:rsid w:val="000E467C"/>
    <w:rsid w:val="000E4B75"/>
    <w:rsid w:val="000E4F59"/>
    <w:rsid w:val="000E79D7"/>
    <w:rsid w:val="000F00E2"/>
    <w:rsid w:val="000F03EE"/>
    <w:rsid w:val="000F090B"/>
    <w:rsid w:val="000F15BC"/>
    <w:rsid w:val="000F1DCE"/>
    <w:rsid w:val="000F1FBC"/>
    <w:rsid w:val="000F21F0"/>
    <w:rsid w:val="000F23CB"/>
    <w:rsid w:val="000F283D"/>
    <w:rsid w:val="000F2A5F"/>
    <w:rsid w:val="000F2BEA"/>
    <w:rsid w:val="000F2F39"/>
    <w:rsid w:val="000F3EBF"/>
    <w:rsid w:val="000F42EB"/>
    <w:rsid w:val="000F4542"/>
    <w:rsid w:val="000F530E"/>
    <w:rsid w:val="000F5BAB"/>
    <w:rsid w:val="000F5E55"/>
    <w:rsid w:val="000F6A02"/>
    <w:rsid w:val="000F7EB2"/>
    <w:rsid w:val="00100448"/>
    <w:rsid w:val="0010091C"/>
    <w:rsid w:val="00100F0F"/>
    <w:rsid w:val="00103625"/>
    <w:rsid w:val="0010532F"/>
    <w:rsid w:val="001056F5"/>
    <w:rsid w:val="001060F6"/>
    <w:rsid w:val="0010633B"/>
    <w:rsid w:val="0010757A"/>
    <w:rsid w:val="00111D71"/>
    <w:rsid w:val="00111E5D"/>
    <w:rsid w:val="00111EE8"/>
    <w:rsid w:val="001124C4"/>
    <w:rsid w:val="0011390D"/>
    <w:rsid w:val="00113E11"/>
    <w:rsid w:val="00114362"/>
    <w:rsid w:val="001147AE"/>
    <w:rsid w:val="00114B99"/>
    <w:rsid w:val="00115F12"/>
    <w:rsid w:val="00116E23"/>
    <w:rsid w:val="0011703B"/>
    <w:rsid w:val="00120282"/>
    <w:rsid w:val="00120DF6"/>
    <w:rsid w:val="001210D3"/>
    <w:rsid w:val="00121A35"/>
    <w:rsid w:val="00122664"/>
    <w:rsid w:val="00123E52"/>
    <w:rsid w:val="00124789"/>
    <w:rsid w:val="00124B7D"/>
    <w:rsid w:val="00125E82"/>
    <w:rsid w:val="00126316"/>
    <w:rsid w:val="00130284"/>
    <w:rsid w:val="00130A78"/>
    <w:rsid w:val="00130ED7"/>
    <w:rsid w:val="001319D1"/>
    <w:rsid w:val="001337A1"/>
    <w:rsid w:val="0013393C"/>
    <w:rsid w:val="00134003"/>
    <w:rsid w:val="00134577"/>
    <w:rsid w:val="001406DF"/>
    <w:rsid w:val="00141129"/>
    <w:rsid w:val="00141969"/>
    <w:rsid w:val="001441F7"/>
    <w:rsid w:val="00145D90"/>
    <w:rsid w:val="001461E5"/>
    <w:rsid w:val="001463AB"/>
    <w:rsid w:val="00146AFE"/>
    <w:rsid w:val="00147F88"/>
    <w:rsid w:val="00150900"/>
    <w:rsid w:val="001512E1"/>
    <w:rsid w:val="001516C2"/>
    <w:rsid w:val="00152AFE"/>
    <w:rsid w:val="00153670"/>
    <w:rsid w:val="00153816"/>
    <w:rsid w:val="00153A90"/>
    <w:rsid w:val="0015538E"/>
    <w:rsid w:val="001563E9"/>
    <w:rsid w:val="00157073"/>
    <w:rsid w:val="00157934"/>
    <w:rsid w:val="00157EF7"/>
    <w:rsid w:val="00161F61"/>
    <w:rsid w:val="00164A63"/>
    <w:rsid w:val="00165852"/>
    <w:rsid w:val="00165A04"/>
    <w:rsid w:val="00165E4E"/>
    <w:rsid w:val="00166BA5"/>
    <w:rsid w:val="00166C0F"/>
    <w:rsid w:val="00167682"/>
    <w:rsid w:val="00167F9D"/>
    <w:rsid w:val="001712AF"/>
    <w:rsid w:val="001728DB"/>
    <w:rsid w:val="00173415"/>
    <w:rsid w:val="0017363A"/>
    <w:rsid w:val="0017402E"/>
    <w:rsid w:val="00174DEC"/>
    <w:rsid w:val="00175501"/>
    <w:rsid w:val="00176475"/>
    <w:rsid w:val="0017682A"/>
    <w:rsid w:val="00176872"/>
    <w:rsid w:val="00180335"/>
    <w:rsid w:val="00181EFF"/>
    <w:rsid w:val="00182C53"/>
    <w:rsid w:val="00182D73"/>
    <w:rsid w:val="001835DE"/>
    <w:rsid w:val="00184A9C"/>
    <w:rsid w:val="00184E86"/>
    <w:rsid w:val="0018565B"/>
    <w:rsid w:val="001863CA"/>
    <w:rsid w:val="00187ABC"/>
    <w:rsid w:val="00190A59"/>
    <w:rsid w:val="001920B3"/>
    <w:rsid w:val="00192D1E"/>
    <w:rsid w:val="0019306C"/>
    <w:rsid w:val="00193C69"/>
    <w:rsid w:val="00194FC1"/>
    <w:rsid w:val="001957FA"/>
    <w:rsid w:val="00195A93"/>
    <w:rsid w:val="001971C3"/>
    <w:rsid w:val="0019753F"/>
    <w:rsid w:val="00197FEB"/>
    <w:rsid w:val="001A02D1"/>
    <w:rsid w:val="001A1D52"/>
    <w:rsid w:val="001A317B"/>
    <w:rsid w:val="001A63BF"/>
    <w:rsid w:val="001A6DE2"/>
    <w:rsid w:val="001A7B06"/>
    <w:rsid w:val="001B07AA"/>
    <w:rsid w:val="001B1089"/>
    <w:rsid w:val="001B1CB7"/>
    <w:rsid w:val="001B21D3"/>
    <w:rsid w:val="001B2C0E"/>
    <w:rsid w:val="001B479F"/>
    <w:rsid w:val="001B5737"/>
    <w:rsid w:val="001B6AF8"/>
    <w:rsid w:val="001B74BB"/>
    <w:rsid w:val="001B798C"/>
    <w:rsid w:val="001B7D12"/>
    <w:rsid w:val="001C078C"/>
    <w:rsid w:val="001C08E3"/>
    <w:rsid w:val="001C12BF"/>
    <w:rsid w:val="001C12F4"/>
    <w:rsid w:val="001C1A59"/>
    <w:rsid w:val="001C1D72"/>
    <w:rsid w:val="001C24A4"/>
    <w:rsid w:val="001C3961"/>
    <w:rsid w:val="001C45E9"/>
    <w:rsid w:val="001C5563"/>
    <w:rsid w:val="001C562A"/>
    <w:rsid w:val="001C5E9D"/>
    <w:rsid w:val="001C7314"/>
    <w:rsid w:val="001D0196"/>
    <w:rsid w:val="001D02BC"/>
    <w:rsid w:val="001D0AC0"/>
    <w:rsid w:val="001D0DE0"/>
    <w:rsid w:val="001D100E"/>
    <w:rsid w:val="001D1A59"/>
    <w:rsid w:val="001D34A0"/>
    <w:rsid w:val="001D41B8"/>
    <w:rsid w:val="001D51C4"/>
    <w:rsid w:val="001D6D48"/>
    <w:rsid w:val="001E0C47"/>
    <w:rsid w:val="001E0E2F"/>
    <w:rsid w:val="001E1F24"/>
    <w:rsid w:val="001E4294"/>
    <w:rsid w:val="001E42BF"/>
    <w:rsid w:val="001E4682"/>
    <w:rsid w:val="001E54C2"/>
    <w:rsid w:val="001E6B79"/>
    <w:rsid w:val="001E6CFB"/>
    <w:rsid w:val="001E6DA4"/>
    <w:rsid w:val="001E76A9"/>
    <w:rsid w:val="001F014E"/>
    <w:rsid w:val="001F0DED"/>
    <w:rsid w:val="001F1D06"/>
    <w:rsid w:val="001F1D9F"/>
    <w:rsid w:val="001F1DD9"/>
    <w:rsid w:val="001F2F49"/>
    <w:rsid w:val="001F3AD7"/>
    <w:rsid w:val="001F4A71"/>
    <w:rsid w:val="001F4ADF"/>
    <w:rsid w:val="001F642B"/>
    <w:rsid w:val="001F72F3"/>
    <w:rsid w:val="001F7DD3"/>
    <w:rsid w:val="00200197"/>
    <w:rsid w:val="002011A9"/>
    <w:rsid w:val="00201E3C"/>
    <w:rsid w:val="00202247"/>
    <w:rsid w:val="00203293"/>
    <w:rsid w:val="002035EF"/>
    <w:rsid w:val="00205987"/>
    <w:rsid w:val="00207979"/>
    <w:rsid w:val="002103BF"/>
    <w:rsid w:val="002107B6"/>
    <w:rsid w:val="00210C19"/>
    <w:rsid w:val="00212278"/>
    <w:rsid w:val="002132CC"/>
    <w:rsid w:val="002149BD"/>
    <w:rsid w:val="00216FEC"/>
    <w:rsid w:val="0022354C"/>
    <w:rsid w:val="00223986"/>
    <w:rsid w:val="002240EF"/>
    <w:rsid w:val="002245BF"/>
    <w:rsid w:val="002248D0"/>
    <w:rsid w:val="00225401"/>
    <w:rsid w:val="002268C7"/>
    <w:rsid w:val="00226FE7"/>
    <w:rsid w:val="0022741B"/>
    <w:rsid w:val="002303BF"/>
    <w:rsid w:val="00230BB7"/>
    <w:rsid w:val="00231FC7"/>
    <w:rsid w:val="00232A7B"/>
    <w:rsid w:val="00232DC4"/>
    <w:rsid w:val="002332F8"/>
    <w:rsid w:val="0023375B"/>
    <w:rsid w:val="00233B3D"/>
    <w:rsid w:val="00234170"/>
    <w:rsid w:val="002343A4"/>
    <w:rsid w:val="00235094"/>
    <w:rsid w:val="002361D1"/>
    <w:rsid w:val="002367C2"/>
    <w:rsid w:val="00237309"/>
    <w:rsid w:val="00241F30"/>
    <w:rsid w:val="0024626A"/>
    <w:rsid w:val="00246B75"/>
    <w:rsid w:val="00247A87"/>
    <w:rsid w:val="002512E1"/>
    <w:rsid w:val="00253102"/>
    <w:rsid w:val="002544D7"/>
    <w:rsid w:val="00255F1C"/>
    <w:rsid w:val="002560A8"/>
    <w:rsid w:val="00256C05"/>
    <w:rsid w:val="00256FA3"/>
    <w:rsid w:val="00260DD7"/>
    <w:rsid w:val="00261A90"/>
    <w:rsid w:val="00261E6F"/>
    <w:rsid w:val="002627F7"/>
    <w:rsid w:val="00263348"/>
    <w:rsid w:val="00263721"/>
    <w:rsid w:val="00263BAE"/>
    <w:rsid w:val="0026454E"/>
    <w:rsid w:val="002651DE"/>
    <w:rsid w:val="00265AA3"/>
    <w:rsid w:val="00265E02"/>
    <w:rsid w:val="00266CFC"/>
    <w:rsid w:val="00267BAC"/>
    <w:rsid w:val="002703C1"/>
    <w:rsid w:val="002706ED"/>
    <w:rsid w:val="00271BF7"/>
    <w:rsid w:val="0027310F"/>
    <w:rsid w:val="0027311A"/>
    <w:rsid w:val="00273C0A"/>
    <w:rsid w:val="00273DBE"/>
    <w:rsid w:val="00274BC8"/>
    <w:rsid w:val="00275FB4"/>
    <w:rsid w:val="0027730F"/>
    <w:rsid w:val="002773ED"/>
    <w:rsid w:val="002776F4"/>
    <w:rsid w:val="00280F9D"/>
    <w:rsid w:val="00281004"/>
    <w:rsid w:val="00281F72"/>
    <w:rsid w:val="002828AB"/>
    <w:rsid w:val="00282EB6"/>
    <w:rsid w:val="00283098"/>
    <w:rsid w:val="00283AAF"/>
    <w:rsid w:val="0028441E"/>
    <w:rsid w:val="002859CC"/>
    <w:rsid w:val="00285DCE"/>
    <w:rsid w:val="00290178"/>
    <w:rsid w:val="00290F91"/>
    <w:rsid w:val="0029291B"/>
    <w:rsid w:val="00293088"/>
    <w:rsid w:val="002931B7"/>
    <w:rsid w:val="002931DC"/>
    <w:rsid w:val="00293400"/>
    <w:rsid w:val="00294E8F"/>
    <w:rsid w:val="00295C5E"/>
    <w:rsid w:val="002974EB"/>
    <w:rsid w:val="002A0E56"/>
    <w:rsid w:val="002A1610"/>
    <w:rsid w:val="002A375B"/>
    <w:rsid w:val="002A38E3"/>
    <w:rsid w:val="002A5B30"/>
    <w:rsid w:val="002A5EE0"/>
    <w:rsid w:val="002A7694"/>
    <w:rsid w:val="002A7DEC"/>
    <w:rsid w:val="002B01A3"/>
    <w:rsid w:val="002B05E6"/>
    <w:rsid w:val="002B1AEA"/>
    <w:rsid w:val="002B1B16"/>
    <w:rsid w:val="002B218C"/>
    <w:rsid w:val="002B2CB5"/>
    <w:rsid w:val="002B34BF"/>
    <w:rsid w:val="002B39DC"/>
    <w:rsid w:val="002B4F27"/>
    <w:rsid w:val="002B571D"/>
    <w:rsid w:val="002B5E9B"/>
    <w:rsid w:val="002B630E"/>
    <w:rsid w:val="002B7CC5"/>
    <w:rsid w:val="002B7F75"/>
    <w:rsid w:val="002C0624"/>
    <w:rsid w:val="002C0F49"/>
    <w:rsid w:val="002C1465"/>
    <w:rsid w:val="002C17CF"/>
    <w:rsid w:val="002C3F6B"/>
    <w:rsid w:val="002C5275"/>
    <w:rsid w:val="002C79A8"/>
    <w:rsid w:val="002D0374"/>
    <w:rsid w:val="002D0E62"/>
    <w:rsid w:val="002D48E8"/>
    <w:rsid w:val="002D5CA3"/>
    <w:rsid w:val="002D6D74"/>
    <w:rsid w:val="002D6DC7"/>
    <w:rsid w:val="002D7317"/>
    <w:rsid w:val="002D7394"/>
    <w:rsid w:val="002E0421"/>
    <w:rsid w:val="002E0F87"/>
    <w:rsid w:val="002E2571"/>
    <w:rsid w:val="002E2AE4"/>
    <w:rsid w:val="002E309E"/>
    <w:rsid w:val="002E3F97"/>
    <w:rsid w:val="002E4881"/>
    <w:rsid w:val="002E672E"/>
    <w:rsid w:val="002F1813"/>
    <w:rsid w:val="002F1E63"/>
    <w:rsid w:val="002F1F72"/>
    <w:rsid w:val="002F2BED"/>
    <w:rsid w:val="002F3582"/>
    <w:rsid w:val="002F378B"/>
    <w:rsid w:val="002F3CE4"/>
    <w:rsid w:val="002F3CE5"/>
    <w:rsid w:val="002F4D04"/>
    <w:rsid w:val="002F633B"/>
    <w:rsid w:val="002F7121"/>
    <w:rsid w:val="002F7174"/>
    <w:rsid w:val="002F7B3A"/>
    <w:rsid w:val="002F7D91"/>
    <w:rsid w:val="0030157C"/>
    <w:rsid w:val="00301A80"/>
    <w:rsid w:val="00301C0B"/>
    <w:rsid w:val="00302782"/>
    <w:rsid w:val="003042ED"/>
    <w:rsid w:val="00304BF5"/>
    <w:rsid w:val="00304EDB"/>
    <w:rsid w:val="00310CD4"/>
    <w:rsid w:val="003116ED"/>
    <w:rsid w:val="003119CD"/>
    <w:rsid w:val="003122AC"/>
    <w:rsid w:val="00312AD8"/>
    <w:rsid w:val="00312E74"/>
    <w:rsid w:val="00313920"/>
    <w:rsid w:val="00313EDD"/>
    <w:rsid w:val="00314642"/>
    <w:rsid w:val="003147AE"/>
    <w:rsid w:val="00314D5D"/>
    <w:rsid w:val="00315181"/>
    <w:rsid w:val="0031741D"/>
    <w:rsid w:val="00320568"/>
    <w:rsid w:val="00321370"/>
    <w:rsid w:val="0032143F"/>
    <w:rsid w:val="0032210F"/>
    <w:rsid w:val="00322C5C"/>
    <w:rsid w:val="00322E6A"/>
    <w:rsid w:val="00323B14"/>
    <w:rsid w:val="00324B28"/>
    <w:rsid w:val="00325029"/>
    <w:rsid w:val="0032686A"/>
    <w:rsid w:val="00326BDA"/>
    <w:rsid w:val="00326CF5"/>
    <w:rsid w:val="0032710F"/>
    <w:rsid w:val="00327723"/>
    <w:rsid w:val="00327DF3"/>
    <w:rsid w:val="00327EB7"/>
    <w:rsid w:val="00330258"/>
    <w:rsid w:val="00330A50"/>
    <w:rsid w:val="00331D2B"/>
    <w:rsid w:val="00332A30"/>
    <w:rsid w:val="00333A86"/>
    <w:rsid w:val="00334699"/>
    <w:rsid w:val="00334923"/>
    <w:rsid w:val="00335FAA"/>
    <w:rsid w:val="00336B12"/>
    <w:rsid w:val="00336FA4"/>
    <w:rsid w:val="00337611"/>
    <w:rsid w:val="00337983"/>
    <w:rsid w:val="00337E10"/>
    <w:rsid w:val="003408EC"/>
    <w:rsid w:val="00341B27"/>
    <w:rsid w:val="003428C4"/>
    <w:rsid w:val="00342AE3"/>
    <w:rsid w:val="00343A93"/>
    <w:rsid w:val="00343E73"/>
    <w:rsid w:val="0034480E"/>
    <w:rsid w:val="00345470"/>
    <w:rsid w:val="003460CA"/>
    <w:rsid w:val="0034782E"/>
    <w:rsid w:val="00347A91"/>
    <w:rsid w:val="00347AEE"/>
    <w:rsid w:val="00350B45"/>
    <w:rsid w:val="0035135B"/>
    <w:rsid w:val="00353233"/>
    <w:rsid w:val="003535A3"/>
    <w:rsid w:val="003556DF"/>
    <w:rsid w:val="00356978"/>
    <w:rsid w:val="00357DCC"/>
    <w:rsid w:val="003600FA"/>
    <w:rsid w:val="00362573"/>
    <w:rsid w:val="0036389A"/>
    <w:rsid w:val="00363FFC"/>
    <w:rsid w:val="00364CAE"/>
    <w:rsid w:val="00366836"/>
    <w:rsid w:val="00366E2E"/>
    <w:rsid w:val="003675FC"/>
    <w:rsid w:val="00367CA9"/>
    <w:rsid w:val="00370698"/>
    <w:rsid w:val="00371B76"/>
    <w:rsid w:val="00373B55"/>
    <w:rsid w:val="00374E0D"/>
    <w:rsid w:val="003751DA"/>
    <w:rsid w:val="00376BB3"/>
    <w:rsid w:val="00377339"/>
    <w:rsid w:val="0037792A"/>
    <w:rsid w:val="0038010E"/>
    <w:rsid w:val="003806C0"/>
    <w:rsid w:val="00380811"/>
    <w:rsid w:val="003830E3"/>
    <w:rsid w:val="0038489D"/>
    <w:rsid w:val="003858DE"/>
    <w:rsid w:val="00385DA9"/>
    <w:rsid w:val="0038607E"/>
    <w:rsid w:val="003860B2"/>
    <w:rsid w:val="00386B84"/>
    <w:rsid w:val="00386BC6"/>
    <w:rsid w:val="00387B4E"/>
    <w:rsid w:val="00387F03"/>
    <w:rsid w:val="00390039"/>
    <w:rsid w:val="0039150A"/>
    <w:rsid w:val="003929B5"/>
    <w:rsid w:val="0039398A"/>
    <w:rsid w:val="00393EF2"/>
    <w:rsid w:val="003965A8"/>
    <w:rsid w:val="00397010"/>
    <w:rsid w:val="003A0E67"/>
    <w:rsid w:val="003A1E91"/>
    <w:rsid w:val="003A2BEB"/>
    <w:rsid w:val="003A3986"/>
    <w:rsid w:val="003A49CC"/>
    <w:rsid w:val="003A58A6"/>
    <w:rsid w:val="003A5FCE"/>
    <w:rsid w:val="003A671E"/>
    <w:rsid w:val="003A6F1A"/>
    <w:rsid w:val="003A6FED"/>
    <w:rsid w:val="003A753E"/>
    <w:rsid w:val="003B09E1"/>
    <w:rsid w:val="003B28A8"/>
    <w:rsid w:val="003B349A"/>
    <w:rsid w:val="003B49CA"/>
    <w:rsid w:val="003B6104"/>
    <w:rsid w:val="003B67CB"/>
    <w:rsid w:val="003B784C"/>
    <w:rsid w:val="003C099C"/>
    <w:rsid w:val="003C0F0D"/>
    <w:rsid w:val="003C111D"/>
    <w:rsid w:val="003C1556"/>
    <w:rsid w:val="003C1C0D"/>
    <w:rsid w:val="003C1CAB"/>
    <w:rsid w:val="003C1FE2"/>
    <w:rsid w:val="003C2929"/>
    <w:rsid w:val="003C4068"/>
    <w:rsid w:val="003C4E2C"/>
    <w:rsid w:val="003C62C4"/>
    <w:rsid w:val="003C72CE"/>
    <w:rsid w:val="003C741D"/>
    <w:rsid w:val="003C74AD"/>
    <w:rsid w:val="003C75B7"/>
    <w:rsid w:val="003C7899"/>
    <w:rsid w:val="003C7A8C"/>
    <w:rsid w:val="003D27C8"/>
    <w:rsid w:val="003D3F11"/>
    <w:rsid w:val="003D4DEC"/>
    <w:rsid w:val="003D51FD"/>
    <w:rsid w:val="003D5CAA"/>
    <w:rsid w:val="003D6505"/>
    <w:rsid w:val="003D6615"/>
    <w:rsid w:val="003D6D09"/>
    <w:rsid w:val="003D7176"/>
    <w:rsid w:val="003D765A"/>
    <w:rsid w:val="003E024D"/>
    <w:rsid w:val="003E2133"/>
    <w:rsid w:val="003E2248"/>
    <w:rsid w:val="003E22D5"/>
    <w:rsid w:val="003E240A"/>
    <w:rsid w:val="003E2F3E"/>
    <w:rsid w:val="003E69C0"/>
    <w:rsid w:val="003E6DC8"/>
    <w:rsid w:val="003E6F78"/>
    <w:rsid w:val="003E7BF8"/>
    <w:rsid w:val="003F0D16"/>
    <w:rsid w:val="003F13E9"/>
    <w:rsid w:val="003F4409"/>
    <w:rsid w:val="003F497B"/>
    <w:rsid w:val="003F4E08"/>
    <w:rsid w:val="003F4F2D"/>
    <w:rsid w:val="003F51CB"/>
    <w:rsid w:val="003F559A"/>
    <w:rsid w:val="003F5ED4"/>
    <w:rsid w:val="003F6275"/>
    <w:rsid w:val="003F6283"/>
    <w:rsid w:val="003F715C"/>
    <w:rsid w:val="00400C7B"/>
    <w:rsid w:val="00400F81"/>
    <w:rsid w:val="004014C5"/>
    <w:rsid w:val="0040153A"/>
    <w:rsid w:val="0040171B"/>
    <w:rsid w:val="004023D4"/>
    <w:rsid w:val="004028E0"/>
    <w:rsid w:val="00402DBD"/>
    <w:rsid w:val="00404A75"/>
    <w:rsid w:val="00404DD5"/>
    <w:rsid w:val="00405524"/>
    <w:rsid w:val="00406062"/>
    <w:rsid w:val="00406C8C"/>
    <w:rsid w:val="00410190"/>
    <w:rsid w:val="00412851"/>
    <w:rsid w:val="00412F84"/>
    <w:rsid w:val="00413820"/>
    <w:rsid w:val="00413EA5"/>
    <w:rsid w:val="004146B0"/>
    <w:rsid w:val="004146EE"/>
    <w:rsid w:val="00414BB4"/>
    <w:rsid w:val="00416825"/>
    <w:rsid w:val="00417890"/>
    <w:rsid w:val="00421FAA"/>
    <w:rsid w:val="00425F97"/>
    <w:rsid w:val="004264DB"/>
    <w:rsid w:val="0042737B"/>
    <w:rsid w:val="00427B57"/>
    <w:rsid w:val="00427D25"/>
    <w:rsid w:val="00427E4B"/>
    <w:rsid w:val="00430B2F"/>
    <w:rsid w:val="00430D70"/>
    <w:rsid w:val="00431ED6"/>
    <w:rsid w:val="00432E53"/>
    <w:rsid w:val="00434CFD"/>
    <w:rsid w:val="004351B0"/>
    <w:rsid w:val="00435327"/>
    <w:rsid w:val="00437035"/>
    <w:rsid w:val="00437E78"/>
    <w:rsid w:val="00437EF0"/>
    <w:rsid w:val="00441F72"/>
    <w:rsid w:val="00443572"/>
    <w:rsid w:val="00443CEA"/>
    <w:rsid w:val="00443CEF"/>
    <w:rsid w:val="004445AC"/>
    <w:rsid w:val="00444FDD"/>
    <w:rsid w:val="00445681"/>
    <w:rsid w:val="00446345"/>
    <w:rsid w:val="004463FB"/>
    <w:rsid w:val="00446F0B"/>
    <w:rsid w:val="00447249"/>
    <w:rsid w:val="004476E7"/>
    <w:rsid w:val="00450127"/>
    <w:rsid w:val="0045174F"/>
    <w:rsid w:val="00451948"/>
    <w:rsid w:val="00451A69"/>
    <w:rsid w:val="00452A06"/>
    <w:rsid w:val="00453125"/>
    <w:rsid w:val="004531BE"/>
    <w:rsid w:val="00454C05"/>
    <w:rsid w:val="004551E4"/>
    <w:rsid w:val="00455A94"/>
    <w:rsid w:val="00455B15"/>
    <w:rsid w:val="00455DDA"/>
    <w:rsid w:val="0045649A"/>
    <w:rsid w:val="00457F6B"/>
    <w:rsid w:val="0046136F"/>
    <w:rsid w:val="00461DDE"/>
    <w:rsid w:val="004629AF"/>
    <w:rsid w:val="0046568D"/>
    <w:rsid w:val="00465FDE"/>
    <w:rsid w:val="004667E0"/>
    <w:rsid w:val="00466D35"/>
    <w:rsid w:val="00470A40"/>
    <w:rsid w:val="00471ED5"/>
    <w:rsid w:val="004721A3"/>
    <w:rsid w:val="004734C8"/>
    <w:rsid w:val="00473BEF"/>
    <w:rsid w:val="00475266"/>
    <w:rsid w:val="0047535E"/>
    <w:rsid w:val="00476390"/>
    <w:rsid w:val="004770FF"/>
    <w:rsid w:val="004777DA"/>
    <w:rsid w:val="00480579"/>
    <w:rsid w:val="00481B60"/>
    <w:rsid w:val="00482624"/>
    <w:rsid w:val="00483259"/>
    <w:rsid w:val="00484964"/>
    <w:rsid w:val="004849A9"/>
    <w:rsid w:val="00486A74"/>
    <w:rsid w:val="0049033A"/>
    <w:rsid w:val="00490828"/>
    <w:rsid w:val="00490997"/>
    <w:rsid w:val="00491F82"/>
    <w:rsid w:val="0049268E"/>
    <w:rsid w:val="00492F60"/>
    <w:rsid w:val="0049322D"/>
    <w:rsid w:val="004939CC"/>
    <w:rsid w:val="00493A76"/>
    <w:rsid w:val="00493B11"/>
    <w:rsid w:val="00494D4B"/>
    <w:rsid w:val="00494E8B"/>
    <w:rsid w:val="0049723F"/>
    <w:rsid w:val="00497492"/>
    <w:rsid w:val="004976C1"/>
    <w:rsid w:val="004A0310"/>
    <w:rsid w:val="004A1721"/>
    <w:rsid w:val="004A1867"/>
    <w:rsid w:val="004A1EB0"/>
    <w:rsid w:val="004A2CBA"/>
    <w:rsid w:val="004A4B2B"/>
    <w:rsid w:val="004A4E22"/>
    <w:rsid w:val="004A521C"/>
    <w:rsid w:val="004A6A46"/>
    <w:rsid w:val="004A76CD"/>
    <w:rsid w:val="004A7A26"/>
    <w:rsid w:val="004B03DD"/>
    <w:rsid w:val="004B0F4F"/>
    <w:rsid w:val="004B14BA"/>
    <w:rsid w:val="004B436F"/>
    <w:rsid w:val="004B47CB"/>
    <w:rsid w:val="004C0C35"/>
    <w:rsid w:val="004C2C0A"/>
    <w:rsid w:val="004C3271"/>
    <w:rsid w:val="004C4473"/>
    <w:rsid w:val="004C4F8B"/>
    <w:rsid w:val="004C57B3"/>
    <w:rsid w:val="004C5C39"/>
    <w:rsid w:val="004C5E2E"/>
    <w:rsid w:val="004C6243"/>
    <w:rsid w:val="004C6435"/>
    <w:rsid w:val="004C6E2C"/>
    <w:rsid w:val="004C7E13"/>
    <w:rsid w:val="004D0713"/>
    <w:rsid w:val="004D173F"/>
    <w:rsid w:val="004D2029"/>
    <w:rsid w:val="004D207A"/>
    <w:rsid w:val="004D2266"/>
    <w:rsid w:val="004D23A4"/>
    <w:rsid w:val="004D24B7"/>
    <w:rsid w:val="004D2622"/>
    <w:rsid w:val="004D305B"/>
    <w:rsid w:val="004D3A54"/>
    <w:rsid w:val="004D55C4"/>
    <w:rsid w:val="004D645A"/>
    <w:rsid w:val="004D6C07"/>
    <w:rsid w:val="004D7C80"/>
    <w:rsid w:val="004E04A3"/>
    <w:rsid w:val="004E06F6"/>
    <w:rsid w:val="004E0898"/>
    <w:rsid w:val="004E18E5"/>
    <w:rsid w:val="004E3E7F"/>
    <w:rsid w:val="004E5A42"/>
    <w:rsid w:val="004E6F8C"/>
    <w:rsid w:val="004E7677"/>
    <w:rsid w:val="004F011B"/>
    <w:rsid w:val="004F350F"/>
    <w:rsid w:val="004F4681"/>
    <w:rsid w:val="004F520C"/>
    <w:rsid w:val="004F7DF3"/>
    <w:rsid w:val="00500C86"/>
    <w:rsid w:val="00501510"/>
    <w:rsid w:val="00501928"/>
    <w:rsid w:val="00502275"/>
    <w:rsid w:val="00503F72"/>
    <w:rsid w:val="0050454C"/>
    <w:rsid w:val="00504B69"/>
    <w:rsid w:val="00505A5E"/>
    <w:rsid w:val="00506830"/>
    <w:rsid w:val="00507CD2"/>
    <w:rsid w:val="0051080A"/>
    <w:rsid w:val="00511D27"/>
    <w:rsid w:val="00512A98"/>
    <w:rsid w:val="00513276"/>
    <w:rsid w:val="00513AB9"/>
    <w:rsid w:val="005140B4"/>
    <w:rsid w:val="005141DC"/>
    <w:rsid w:val="005146A9"/>
    <w:rsid w:val="00514E21"/>
    <w:rsid w:val="00514F54"/>
    <w:rsid w:val="00514FE8"/>
    <w:rsid w:val="0051551B"/>
    <w:rsid w:val="00515C6C"/>
    <w:rsid w:val="00515D55"/>
    <w:rsid w:val="005174E4"/>
    <w:rsid w:val="005207A1"/>
    <w:rsid w:val="0052327C"/>
    <w:rsid w:val="00523FC9"/>
    <w:rsid w:val="00524277"/>
    <w:rsid w:val="00524D84"/>
    <w:rsid w:val="00525E6D"/>
    <w:rsid w:val="005303DB"/>
    <w:rsid w:val="00530D23"/>
    <w:rsid w:val="00530DA3"/>
    <w:rsid w:val="00532A6F"/>
    <w:rsid w:val="005330D7"/>
    <w:rsid w:val="005336DA"/>
    <w:rsid w:val="00533BC8"/>
    <w:rsid w:val="00534934"/>
    <w:rsid w:val="005358CA"/>
    <w:rsid w:val="00536A41"/>
    <w:rsid w:val="00536EEA"/>
    <w:rsid w:val="005378BD"/>
    <w:rsid w:val="005403B2"/>
    <w:rsid w:val="00540AD9"/>
    <w:rsid w:val="00541491"/>
    <w:rsid w:val="00543625"/>
    <w:rsid w:val="0054421A"/>
    <w:rsid w:val="00545DBD"/>
    <w:rsid w:val="00546ED0"/>
    <w:rsid w:val="0054703E"/>
    <w:rsid w:val="0054711D"/>
    <w:rsid w:val="005473B9"/>
    <w:rsid w:val="00547CC9"/>
    <w:rsid w:val="00550033"/>
    <w:rsid w:val="005501F4"/>
    <w:rsid w:val="0055049D"/>
    <w:rsid w:val="0055141A"/>
    <w:rsid w:val="00551754"/>
    <w:rsid w:val="00551F4E"/>
    <w:rsid w:val="00552AC1"/>
    <w:rsid w:val="00552D6B"/>
    <w:rsid w:val="00555DE1"/>
    <w:rsid w:val="00557ED2"/>
    <w:rsid w:val="00560306"/>
    <w:rsid w:val="00561D89"/>
    <w:rsid w:val="0056366A"/>
    <w:rsid w:val="00563B1B"/>
    <w:rsid w:val="00564730"/>
    <w:rsid w:val="00567008"/>
    <w:rsid w:val="00567C74"/>
    <w:rsid w:val="00570AE0"/>
    <w:rsid w:val="00570F3F"/>
    <w:rsid w:val="0057186E"/>
    <w:rsid w:val="0057216D"/>
    <w:rsid w:val="005729AB"/>
    <w:rsid w:val="00573427"/>
    <w:rsid w:val="005738EC"/>
    <w:rsid w:val="00573A24"/>
    <w:rsid w:val="005752FD"/>
    <w:rsid w:val="005758B8"/>
    <w:rsid w:val="00575AFF"/>
    <w:rsid w:val="00576452"/>
    <w:rsid w:val="00577FD0"/>
    <w:rsid w:val="005807DB"/>
    <w:rsid w:val="00580E9A"/>
    <w:rsid w:val="00582E2E"/>
    <w:rsid w:val="00585538"/>
    <w:rsid w:val="00590539"/>
    <w:rsid w:val="00593A8F"/>
    <w:rsid w:val="00595982"/>
    <w:rsid w:val="00596921"/>
    <w:rsid w:val="00596F3E"/>
    <w:rsid w:val="00597300"/>
    <w:rsid w:val="005A0AAF"/>
    <w:rsid w:val="005A1612"/>
    <w:rsid w:val="005A2136"/>
    <w:rsid w:val="005A22EA"/>
    <w:rsid w:val="005A2734"/>
    <w:rsid w:val="005A2920"/>
    <w:rsid w:val="005A3C6E"/>
    <w:rsid w:val="005A432C"/>
    <w:rsid w:val="005A5A8E"/>
    <w:rsid w:val="005A721F"/>
    <w:rsid w:val="005A73B3"/>
    <w:rsid w:val="005A7DB7"/>
    <w:rsid w:val="005A7F3E"/>
    <w:rsid w:val="005B180A"/>
    <w:rsid w:val="005B2534"/>
    <w:rsid w:val="005B2D65"/>
    <w:rsid w:val="005B4521"/>
    <w:rsid w:val="005B47B4"/>
    <w:rsid w:val="005B48DB"/>
    <w:rsid w:val="005B4DAD"/>
    <w:rsid w:val="005B54C0"/>
    <w:rsid w:val="005B6738"/>
    <w:rsid w:val="005B68C8"/>
    <w:rsid w:val="005B7962"/>
    <w:rsid w:val="005C04A7"/>
    <w:rsid w:val="005C2F74"/>
    <w:rsid w:val="005C35F0"/>
    <w:rsid w:val="005C3BF4"/>
    <w:rsid w:val="005C4B54"/>
    <w:rsid w:val="005C4D5B"/>
    <w:rsid w:val="005C68AC"/>
    <w:rsid w:val="005C7E86"/>
    <w:rsid w:val="005D052F"/>
    <w:rsid w:val="005D0C3D"/>
    <w:rsid w:val="005D0D16"/>
    <w:rsid w:val="005D1A04"/>
    <w:rsid w:val="005D26DD"/>
    <w:rsid w:val="005D314B"/>
    <w:rsid w:val="005D4698"/>
    <w:rsid w:val="005D4A0C"/>
    <w:rsid w:val="005D5161"/>
    <w:rsid w:val="005E03B9"/>
    <w:rsid w:val="005E114D"/>
    <w:rsid w:val="005E246F"/>
    <w:rsid w:val="005E4201"/>
    <w:rsid w:val="005E5FE4"/>
    <w:rsid w:val="005E7540"/>
    <w:rsid w:val="005E7FA6"/>
    <w:rsid w:val="005F0758"/>
    <w:rsid w:val="005F1566"/>
    <w:rsid w:val="005F1BD4"/>
    <w:rsid w:val="005F1DA7"/>
    <w:rsid w:val="005F1E42"/>
    <w:rsid w:val="005F2D31"/>
    <w:rsid w:val="005F3F5A"/>
    <w:rsid w:val="005F46A8"/>
    <w:rsid w:val="005F4DDA"/>
    <w:rsid w:val="005F5A42"/>
    <w:rsid w:val="005F67D3"/>
    <w:rsid w:val="005F708F"/>
    <w:rsid w:val="005F719F"/>
    <w:rsid w:val="00601154"/>
    <w:rsid w:val="006011FD"/>
    <w:rsid w:val="00604A5B"/>
    <w:rsid w:val="00605399"/>
    <w:rsid w:val="00605B2D"/>
    <w:rsid w:val="00605C72"/>
    <w:rsid w:val="0060655D"/>
    <w:rsid w:val="00606932"/>
    <w:rsid w:val="00607490"/>
    <w:rsid w:val="00607FFE"/>
    <w:rsid w:val="006102C8"/>
    <w:rsid w:val="006114B5"/>
    <w:rsid w:val="00611DFC"/>
    <w:rsid w:val="006121FC"/>
    <w:rsid w:val="006128B9"/>
    <w:rsid w:val="00613A54"/>
    <w:rsid w:val="006145E5"/>
    <w:rsid w:val="00614BDF"/>
    <w:rsid w:val="00614D74"/>
    <w:rsid w:val="00615803"/>
    <w:rsid w:val="00616E7A"/>
    <w:rsid w:val="00617830"/>
    <w:rsid w:val="00620162"/>
    <w:rsid w:val="00620A64"/>
    <w:rsid w:val="006218BB"/>
    <w:rsid w:val="00626523"/>
    <w:rsid w:val="00626CA6"/>
    <w:rsid w:val="00627081"/>
    <w:rsid w:val="006302B8"/>
    <w:rsid w:val="00631EC5"/>
    <w:rsid w:val="0063278F"/>
    <w:rsid w:val="00633585"/>
    <w:rsid w:val="0063361C"/>
    <w:rsid w:val="00633AD3"/>
    <w:rsid w:val="00634027"/>
    <w:rsid w:val="006343A3"/>
    <w:rsid w:val="00634856"/>
    <w:rsid w:val="00635328"/>
    <w:rsid w:val="00635445"/>
    <w:rsid w:val="006354DA"/>
    <w:rsid w:val="0064016A"/>
    <w:rsid w:val="00640ADE"/>
    <w:rsid w:val="006416CF"/>
    <w:rsid w:val="00641BBB"/>
    <w:rsid w:val="00641DC0"/>
    <w:rsid w:val="00642177"/>
    <w:rsid w:val="006430B9"/>
    <w:rsid w:val="006438BD"/>
    <w:rsid w:val="00643976"/>
    <w:rsid w:val="00643E6F"/>
    <w:rsid w:val="00644824"/>
    <w:rsid w:val="006449B5"/>
    <w:rsid w:val="00645B2C"/>
    <w:rsid w:val="00645E76"/>
    <w:rsid w:val="00647007"/>
    <w:rsid w:val="00647B1B"/>
    <w:rsid w:val="006515B1"/>
    <w:rsid w:val="00651AE2"/>
    <w:rsid w:val="00652689"/>
    <w:rsid w:val="00652AA1"/>
    <w:rsid w:val="00652B55"/>
    <w:rsid w:val="006545AD"/>
    <w:rsid w:val="006560B7"/>
    <w:rsid w:val="00657787"/>
    <w:rsid w:val="00657BEF"/>
    <w:rsid w:val="00660339"/>
    <w:rsid w:val="00661417"/>
    <w:rsid w:val="00661678"/>
    <w:rsid w:val="00661CC8"/>
    <w:rsid w:val="00662D00"/>
    <w:rsid w:val="00662F73"/>
    <w:rsid w:val="006637B4"/>
    <w:rsid w:val="006644A0"/>
    <w:rsid w:val="00664C26"/>
    <w:rsid w:val="00665338"/>
    <w:rsid w:val="00665471"/>
    <w:rsid w:val="00665C75"/>
    <w:rsid w:val="006661C4"/>
    <w:rsid w:val="0066697F"/>
    <w:rsid w:val="00667098"/>
    <w:rsid w:val="0067125D"/>
    <w:rsid w:val="0067305F"/>
    <w:rsid w:val="0067381D"/>
    <w:rsid w:val="00674963"/>
    <w:rsid w:val="0067603C"/>
    <w:rsid w:val="006763AB"/>
    <w:rsid w:val="0067653B"/>
    <w:rsid w:val="00676597"/>
    <w:rsid w:val="00677136"/>
    <w:rsid w:val="00677510"/>
    <w:rsid w:val="00681148"/>
    <w:rsid w:val="0068320B"/>
    <w:rsid w:val="00683B69"/>
    <w:rsid w:val="00683BD3"/>
    <w:rsid w:val="00684536"/>
    <w:rsid w:val="006850C5"/>
    <w:rsid w:val="00686743"/>
    <w:rsid w:val="0069177F"/>
    <w:rsid w:val="006926EE"/>
    <w:rsid w:val="0069491F"/>
    <w:rsid w:val="006964E8"/>
    <w:rsid w:val="006967A5"/>
    <w:rsid w:val="006967F5"/>
    <w:rsid w:val="00696FA1"/>
    <w:rsid w:val="006A08E8"/>
    <w:rsid w:val="006A1D89"/>
    <w:rsid w:val="006A20D6"/>
    <w:rsid w:val="006A23E3"/>
    <w:rsid w:val="006A2B64"/>
    <w:rsid w:val="006A2DE0"/>
    <w:rsid w:val="006A2FD6"/>
    <w:rsid w:val="006A46A7"/>
    <w:rsid w:val="006A48F1"/>
    <w:rsid w:val="006A5311"/>
    <w:rsid w:val="006A5614"/>
    <w:rsid w:val="006A6597"/>
    <w:rsid w:val="006A66D6"/>
    <w:rsid w:val="006A675A"/>
    <w:rsid w:val="006A6B40"/>
    <w:rsid w:val="006A7EFC"/>
    <w:rsid w:val="006B087F"/>
    <w:rsid w:val="006B31BD"/>
    <w:rsid w:val="006B39CF"/>
    <w:rsid w:val="006B5601"/>
    <w:rsid w:val="006B5B7B"/>
    <w:rsid w:val="006B5D14"/>
    <w:rsid w:val="006B6623"/>
    <w:rsid w:val="006B7599"/>
    <w:rsid w:val="006B7974"/>
    <w:rsid w:val="006C02BE"/>
    <w:rsid w:val="006C0AB2"/>
    <w:rsid w:val="006C17D0"/>
    <w:rsid w:val="006C2F14"/>
    <w:rsid w:val="006C2F92"/>
    <w:rsid w:val="006C3494"/>
    <w:rsid w:val="006C3F50"/>
    <w:rsid w:val="006C5B30"/>
    <w:rsid w:val="006C649E"/>
    <w:rsid w:val="006C71AC"/>
    <w:rsid w:val="006D01A0"/>
    <w:rsid w:val="006D2151"/>
    <w:rsid w:val="006D360B"/>
    <w:rsid w:val="006D360C"/>
    <w:rsid w:val="006D3A31"/>
    <w:rsid w:val="006D57DD"/>
    <w:rsid w:val="006D5B9D"/>
    <w:rsid w:val="006D629E"/>
    <w:rsid w:val="006D7F29"/>
    <w:rsid w:val="006E27E2"/>
    <w:rsid w:val="006E2F03"/>
    <w:rsid w:val="006E5DEC"/>
    <w:rsid w:val="006E5FCA"/>
    <w:rsid w:val="006E7536"/>
    <w:rsid w:val="006E7AB3"/>
    <w:rsid w:val="006F0073"/>
    <w:rsid w:val="006F27D5"/>
    <w:rsid w:val="006F3445"/>
    <w:rsid w:val="006F6A05"/>
    <w:rsid w:val="006F735D"/>
    <w:rsid w:val="006F791F"/>
    <w:rsid w:val="006F79FB"/>
    <w:rsid w:val="00700682"/>
    <w:rsid w:val="007018AE"/>
    <w:rsid w:val="00701BF7"/>
    <w:rsid w:val="007026A9"/>
    <w:rsid w:val="00702AAC"/>
    <w:rsid w:val="00702EDA"/>
    <w:rsid w:val="00702F04"/>
    <w:rsid w:val="0070458F"/>
    <w:rsid w:val="00704E00"/>
    <w:rsid w:val="00705C20"/>
    <w:rsid w:val="00706FBB"/>
    <w:rsid w:val="007078AA"/>
    <w:rsid w:val="0070795D"/>
    <w:rsid w:val="00710688"/>
    <w:rsid w:val="00710D36"/>
    <w:rsid w:val="00711A53"/>
    <w:rsid w:val="007128B3"/>
    <w:rsid w:val="007136AA"/>
    <w:rsid w:val="007148D3"/>
    <w:rsid w:val="007155C1"/>
    <w:rsid w:val="00715658"/>
    <w:rsid w:val="0071642A"/>
    <w:rsid w:val="00716DFD"/>
    <w:rsid w:val="00717CDE"/>
    <w:rsid w:val="00720313"/>
    <w:rsid w:val="00720E5C"/>
    <w:rsid w:val="00721A13"/>
    <w:rsid w:val="00722F27"/>
    <w:rsid w:val="007238ED"/>
    <w:rsid w:val="00723A9E"/>
    <w:rsid w:val="0072406C"/>
    <w:rsid w:val="00724A22"/>
    <w:rsid w:val="00724CD2"/>
    <w:rsid w:val="00724F0D"/>
    <w:rsid w:val="00724F22"/>
    <w:rsid w:val="00725413"/>
    <w:rsid w:val="00726AB9"/>
    <w:rsid w:val="007270BE"/>
    <w:rsid w:val="00727246"/>
    <w:rsid w:val="007304B5"/>
    <w:rsid w:val="0073061E"/>
    <w:rsid w:val="00731192"/>
    <w:rsid w:val="007311DC"/>
    <w:rsid w:val="00733A38"/>
    <w:rsid w:val="00733D58"/>
    <w:rsid w:val="00734406"/>
    <w:rsid w:val="007352AF"/>
    <w:rsid w:val="00735AAA"/>
    <w:rsid w:val="00735F15"/>
    <w:rsid w:val="00736636"/>
    <w:rsid w:val="007413AE"/>
    <w:rsid w:val="00741D44"/>
    <w:rsid w:val="0074398B"/>
    <w:rsid w:val="00743D9F"/>
    <w:rsid w:val="007457D6"/>
    <w:rsid w:val="0074618C"/>
    <w:rsid w:val="00746D5E"/>
    <w:rsid w:val="00747CC6"/>
    <w:rsid w:val="0075093F"/>
    <w:rsid w:val="00751669"/>
    <w:rsid w:val="007522CC"/>
    <w:rsid w:val="00752697"/>
    <w:rsid w:val="00752CC5"/>
    <w:rsid w:val="00753B66"/>
    <w:rsid w:val="00753FA6"/>
    <w:rsid w:val="00755965"/>
    <w:rsid w:val="00755BF5"/>
    <w:rsid w:val="00755CFC"/>
    <w:rsid w:val="007600FC"/>
    <w:rsid w:val="00760A7B"/>
    <w:rsid w:val="00762624"/>
    <w:rsid w:val="00765687"/>
    <w:rsid w:val="0076580B"/>
    <w:rsid w:val="00766004"/>
    <w:rsid w:val="00766125"/>
    <w:rsid w:val="007664D6"/>
    <w:rsid w:val="0076760C"/>
    <w:rsid w:val="0077207C"/>
    <w:rsid w:val="007725D6"/>
    <w:rsid w:val="00772A7B"/>
    <w:rsid w:val="007742EE"/>
    <w:rsid w:val="00774C6E"/>
    <w:rsid w:val="00774F39"/>
    <w:rsid w:val="007755FF"/>
    <w:rsid w:val="0077612A"/>
    <w:rsid w:val="00776BD3"/>
    <w:rsid w:val="00777178"/>
    <w:rsid w:val="00777B17"/>
    <w:rsid w:val="00780389"/>
    <w:rsid w:val="00780E54"/>
    <w:rsid w:val="0078178B"/>
    <w:rsid w:val="007817C2"/>
    <w:rsid w:val="00781AF0"/>
    <w:rsid w:val="007822AF"/>
    <w:rsid w:val="007824EC"/>
    <w:rsid w:val="007826E4"/>
    <w:rsid w:val="0078376A"/>
    <w:rsid w:val="007837DB"/>
    <w:rsid w:val="00783EF7"/>
    <w:rsid w:val="00786E0A"/>
    <w:rsid w:val="00787D5D"/>
    <w:rsid w:val="00791250"/>
    <w:rsid w:val="007913A9"/>
    <w:rsid w:val="0079249B"/>
    <w:rsid w:val="00792FE0"/>
    <w:rsid w:val="00793756"/>
    <w:rsid w:val="00793DA5"/>
    <w:rsid w:val="007944ED"/>
    <w:rsid w:val="00794F43"/>
    <w:rsid w:val="0079572B"/>
    <w:rsid w:val="00795E9B"/>
    <w:rsid w:val="007978EB"/>
    <w:rsid w:val="007A2EF5"/>
    <w:rsid w:val="007A30BB"/>
    <w:rsid w:val="007A312F"/>
    <w:rsid w:val="007A3904"/>
    <w:rsid w:val="007A3FEC"/>
    <w:rsid w:val="007A5095"/>
    <w:rsid w:val="007A52E2"/>
    <w:rsid w:val="007A5449"/>
    <w:rsid w:val="007A5608"/>
    <w:rsid w:val="007A57D8"/>
    <w:rsid w:val="007A5898"/>
    <w:rsid w:val="007A6309"/>
    <w:rsid w:val="007A7D6A"/>
    <w:rsid w:val="007B1D23"/>
    <w:rsid w:val="007B3264"/>
    <w:rsid w:val="007B4189"/>
    <w:rsid w:val="007B4B22"/>
    <w:rsid w:val="007B59DC"/>
    <w:rsid w:val="007B6575"/>
    <w:rsid w:val="007C0DD6"/>
    <w:rsid w:val="007C1219"/>
    <w:rsid w:val="007C23F8"/>
    <w:rsid w:val="007C2941"/>
    <w:rsid w:val="007C2FED"/>
    <w:rsid w:val="007C3BEF"/>
    <w:rsid w:val="007C52BB"/>
    <w:rsid w:val="007C6756"/>
    <w:rsid w:val="007C6774"/>
    <w:rsid w:val="007C6972"/>
    <w:rsid w:val="007C7D5A"/>
    <w:rsid w:val="007D104C"/>
    <w:rsid w:val="007D15F9"/>
    <w:rsid w:val="007D1B16"/>
    <w:rsid w:val="007D2668"/>
    <w:rsid w:val="007D2A91"/>
    <w:rsid w:val="007D5887"/>
    <w:rsid w:val="007D5ECB"/>
    <w:rsid w:val="007D6335"/>
    <w:rsid w:val="007D73CE"/>
    <w:rsid w:val="007E3090"/>
    <w:rsid w:val="007E38A7"/>
    <w:rsid w:val="007E4B4B"/>
    <w:rsid w:val="007E575E"/>
    <w:rsid w:val="007E5884"/>
    <w:rsid w:val="007E6F12"/>
    <w:rsid w:val="007E725A"/>
    <w:rsid w:val="007E75F0"/>
    <w:rsid w:val="007E7B3D"/>
    <w:rsid w:val="007F01BF"/>
    <w:rsid w:val="007F0C17"/>
    <w:rsid w:val="007F1270"/>
    <w:rsid w:val="007F1669"/>
    <w:rsid w:val="007F29D3"/>
    <w:rsid w:val="007F2A3C"/>
    <w:rsid w:val="007F460D"/>
    <w:rsid w:val="007F4974"/>
    <w:rsid w:val="008007C8"/>
    <w:rsid w:val="008029DA"/>
    <w:rsid w:val="008030BE"/>
    <w:rsid w:val="00803BCC"/>
    <w:rsid w:val="00807E1A"/>
    <w:rsid w:val="008105CE"/>
    <w:rsid w:val="00811A41"/>
    <w:rsid w:val="00812DBB"/>
    <w:rsid w:val="008130D4"/>
    <w:rsid w:val="00813701"/>
    <w:rsid w:val="008139D4"/>
    <w:rsid w:val="00815B82"/>
    <w:rsid w:val="00816DFF"/>
    <w:rsid w:val="008174C3"/>
    <w:rsid w:val="00817819"/>
    <w:rsid w:val="00817E66"/>
    <w:rsid w:val="0082044D"/>
    <w:rsid w:val="00821554"/>
    <w:rsid w:val="008215C1"/>
    <w:rsid w:val="00823A92"/>
    <w:rsid w:val="00824A5B"/>
    <w:rsid w:val="00825C95"/>
    <w:rsid w:val="00825D47"/>
    <w:rsid w:val="008301DD"/>
    <w:rsid w:val="0083304D"/>
    <w:rsid w:val="008337D7"/>
    <w:rsid w:val="00834E2B"/>
    <w:rsid w:val="0083558D"/>
    <w:rsid w:val="008357E2"/>
    <w:rsid w:val="008404FB"/>
    <w:rsid w:val="0084077D"/>
    <w:rsid w:val="008407DF"/>
    <w:rsid w:val="00841A6C"/>
    <w:rsid w:val="00842316"/>
    <w:rsid w:val="00845B0C"/>
    <w:rsid w:val="00845F57"/>
    <w:rsid w:val="00846D4D"/>
    <w:rsid w:val="008504AD"/>
    <w:rsid w:val="00850AD4"/>
    <w:rsid w:val="00851544"/>
    <w:rsid w:val="00851964"/>
    <w:rsid w:val="008537C0"/>
    <w:rsid w:val="00853F00"/>
    <w:rsid w:val="008546A7"/>
    <w:rsid w:val="00854DA4"/>
    <w:rsid w:val="008553BB"/>
    <w:rsid w:val="00855A04"/>
    <w:rsid w:val="00855EA6"/>
    <w:rsid w:val="008566E6"/>
    <w:rsid w:val="00857043"/>
    <w:rsid w:val="008571C9"/>
    <w:rsid w:val="0085758A"/>
    <w:rsid w:val="0085781F"/>
    <w:rsid w:val="00857D90"/>
    <w:rsid w:val="00860A9D"/>
    <w:rsid w:val="0086197F"/>
    <w:rsid w:val="0086241D"/>
    <w:rsid w:val="008629BA"/>
    <w:rsid w:val="00862EE0"/>
    <w:rsid w:val="00863023"/>
    <w:rsid w:val="00863D5F"/>
    <w:rsid w:val="00866317"/>
    <w:rsid w:val="008671E5"/>
    <w:rsid w:val="00870A8D"/>
    <w:rsid w:val="0087120D"/>
    <w:rsid w:val="008717AE"/>
    <w:rsid w:val="00873309"/>
    <w:rsid w:val="00873611"/>
    <w:rsid w:val="008755D9"/>
    <w:rsid w:val="00876FA3"/>
    <w:rsid w:val="008779D7"/>
    <w:rsid w:val="008804B7"/>
    <w:rsid w:val="00880AAA"/>
    <w:rsid w:val="008818C6"/>
    <w:rsid w:val="00882048"/>
    <w:rsid w:val="008828A9"/>
    <w:rsid w:val="008832BD"/>
    <w:rsid w:val="00885397"/>
    <w:rsid w:val="0088551C"/>
    <w:rsid w:val="00885E16"/>
    <w:rsid w:val="008864C8"/>
    <w:rsid w:val="008866B2"/>
    <w:rsid w:val="008867C3"/>
    <w:rsid w:val="00886CD0"/>
    <w:rsid w:val="00890C0B"/>
    <w:rsid w:val="008912FF"/>
    <w:rsid w:val="00891CB6"/>
    <w:rsid w:val="00892C6F"/>
    <w:rsid w:val="00893197"/>
    <w:rsid w:val="0089436B"/>
    <w:rsid w:val="00894694"/>
    <w:rsid w:val="00895CB3"/>
    <w:rsid w:val="008968CD"/>
    <w:rsid w:val="00897153"/>
    <w:rsid w:val="008971F6"/>
    <w:rsid w:val="0089764E"/>
    <w:rsid w:val="00897DD5"/>
    <w:rsid w:val="00897F6E"/>
    <w:rsid w:val="008A3BAE"/>
    <w:rsid w:val="008A546E"/>
    <w:rsid w:val="008A665B"/>
    <w:rsid w:val="008A7520"/>
    <w:rsid w:val="008A7C1B"/>
    <w:rsid w:val="008B08B6"/>
    <w:rsid w:val="008B21B5"/>
    <w:rsid w:val="008B44F3"/>
    <w:rsid w:val="008B4564"/>
    <w:rsid w:val="008B5110"/>
    <w:rsid w:val="008B5971"/>
    <w:rsid w:val="008B5E9D"/>
    <w:rsid w:val="008B6997"/>
    <w:rsid w:val="008B6B0E"/>
    <w:rsid w:val="008C0FA6"/>
    <w:rsid w:val="008C1E7E"/>
    <w:rsid w:val="008C2282"/>
    <w:rsid w:val="008C2B9B"/>
    <w:rsid w:val="008C2FF3"/>
    <w:rsid w:val="008C4185"/>
    <w:rsid w:val="008C5016"/>
    <w:rsid w:val="008C607A"/>
    <w:rsid w:val="008D087D"/>
    <w:rsid w:val="008D0B48"/>
    <w:rsid w:val="008D126B"/>
    <w:rsid w:val="008D1CD0"/>
    <w:rsid w:val="008D1DDE"/>
    <w:rsid w:val="008D2B88"/>
    <w:rsid w:val="008D3A8B"/>
    <w:rsid w:val="008D59D7"/>
    <w:rsid w:val="008D5BB1"/>
    <w:rsid w:val="008D5BC8"/>
    <w:rsid w:val="008D605C"/>
    <w:rsid w:val="008D60DF"/>
    <w:rsid w:val="008D65CB"/>
    <w:rsid w:val="008D67AF"/>
    <w:rsid w:val="008D6A48"/>
    <w:rsid w:val="008D7A44"/>
    <w:rsid w:val="008E1134"/>
    <w:rsid w:val="008E2576"/>
    <w:rsid w:val="008E2929"/>
    <w:rsid w:val="008E2BB0"/>
    <w:rsid w:val="008E5096"/>
    <w:rsid w:val="008E5997"/>
    <w:rsid w:val="008E6199"/>
    <w:rsid w:val="008E6689"/>
    <w:rsid w:val="008E6AFD"/>
    <w:rsid w:val="008E77B6"/>
    <w:rsid w:val="008E7C4A"/>
    <w:rsid w:val="008F0A17"/>
    <w:rsid w:val="008F51B0"/>
    <w:rsid w:val="008F53A1"/>
    <w:rsid w:val="008F611E"/>
    <w:rsid w:val="008F733B"/>
    <w:rsid w:val="008F78BE"/>
    <w:rsid w:val="009013BE"/>
    <w:rsid w:val="00901B2F"/>
    <w:rsid w:val="009029A8"/>
    <w:rsid w:val="00905229"/>
    <w:rsid w:val="0090536E"/>
    <w:rsid w:val="00905CC7"/>
    <w:rsid w:val="00905E42"/>
    <w:rsid w:val="009075D5"/>
    <w:rsid w:val="0091123C"/>
    <w:rsid w:val="009123D3"/>
    <w:rsid w:val="0091277B"/>
    <w:rsid w:val="00913028"/>
    <w:rsid w:val="00913E81"/>
    <w:rsid w:val="009141D2"/>
    <w:rsid w:val="009167EC"/>
    <w:rsid w:val="009172AB"/>
    <w:rsid w:val="00921458"/>
    <w:rsid w:val="009224F5"/>
    <w:rsid w:val="00922583"/>
    <w:rsid w:val="009238CA"/>
    <w:rsid w:val="00923F77"/>
    <w:rsid w:val="009241A6"/>
    <w:rsid w:val="00924B8F"/>
    <w:rsid w:val="00924D24"/>
    <w:rsid w:val="00925C23"/>
    <w:rsid w:val="00926A42"/>
    <w:rsid w:val="00926AEA"/>
    <w:rsid w:val="009270DC"/>
    <w:rsid w:val="00927439"/>
    <w:rsid w:val="00927CAE"/>
    <w:rsid w:val="0093139E"/>
    <w:rsid w:val="00931D99"/>
    <w:rsid w:val="00932403"/>
    <w:rsid w:val="00932504"/>
    <w:rsid w:val="009330F2"/>
    <w:rsid w:val="009349B8"/>
    <w:rsid w:val="00934EBA"/>
    <w:rsid w:val="0093500F"/>
    <w:rsid w:val="00935FE7"/>
    <w:rsid w:val="00936A01"/>
    <w:rsid w:val="00940175"/>
    <w:rsid w:val="009403A9"/>
    <w:rsid w:val="00942220"/>
    <w:rsid w:val="009430E2"/>
    <w:rsid w:val="009432D7"/>
    <w:rsid w:val="00943CDE"/>
    <w:rsid w:val="009468EE"/>
    <w:rsid w:val="00950327"/>
    <w:rsid w:val="009514A4"/>
    <w:rsid w:val="009516BD"/>
    <w:rsid w:val="00952341"/>
    <w:rsid w:val="00952753"/>
    <w:rsid w:val="00952F7B"/>
    <w:rsid w:val="00954CCF"/>
    <w:rsid w:val="009555FF"/>
    <w:rsid w:val="00956312"/>
    <w:rsid w:val="00956F27"/>
    <w:rsid w:val="009571AF"/>
    <w:rsid w:val="0095752D"/>
    <w:rsid w:val="009602D3"/>
    <w:rsid w:val="009604E8"/>
    <w:rsid w:val="009608E3"/>
    <w:rsid w:val="00960BB5"/>
    <w:rsid w:val="00961667"/>
    <w:rsid w:val="009617DA"/>
    <w:rsid w:val="0096185C"/>
    <w:rsid w:val="009624D7"/>
    <w:rsid w:val="0096327E"/>
    <w:rsid w:val="009641D8"/>
    <w:rsid w:val="00965A31"/>
    <w:rsid w:val="009674D7"/>
    <w:rsid w:val="00967690"/>
    <w:rsid w:val="009676F4"/>
    <w:rsid w:val="0096784A"/>
    <w:rsid w:val="00967A5C"/>
    <w:rsid w:val="00970D8F"/>
    <w:rsid w:val="00970EBB"/>
    <w:rsid w:val="00971E03"/>
    <w:rsid w:val="009723E4"/>
    <w:rsid w:val="00972DCA"/>
    <w:rsid w:val="009754E9"/>
    <w:rsid w:val="0097691A"/>
    <w:rsid w:val="0097717E"/>
    <w:rsid w:val="0097760A"/>
    <w:rsid w:val="009806FE"/>
    <w:rsid w:val="00980CC4"/>
    <w:rsid w:val="00981225"/>
    <w:rsid w:val="009817BA"/>
    <w:rsid w:val="00983D9B"/>
    <w:rsid w:val="00984CC1"/>
    <w:rsid w:val="00987344"/>
    <w:rsid w:val="00987823"/>
    <w:rsid w:val="00991833"/>
    <w:rsid w:val="009936CA"/>
    <w:rsid w:val="00993B57"/>
    <w:rsid w:val="00995AA3"/>
    <w:rsid w:val="00996211"/>
    <w:rsid w:val="00996F30"/>
    <w:rsid w:val="00997416"/>
    <w:rsid w:val="00997D4D"/>
    <w:rsid w:val="009A09D5"/>
    <w:rsid w:val="009A0EF2"/>
    <w:rsid w:val="009A1319"/>
    <w:rsid w:val="009A165B"/>
    <w:rsid w:val="009A26E2"/>
    <w:rsid w:val="009A26E4"/>
    <w:rsid w:val="009A324D"/>
    <w:rsid w:val="009A3AA8"/>
    <w:rsid w:val="009A6CF8"/>
    <w:rsid w:val="009B029F"/>
    <w:rsid w:val="009B04AF"/>
    <w:rsid w:val="009B075B"/>
    <w:rsid w:val="009B08EF"/>
    <w:rsid w:val="009B09E0"/>
    <w:rsid w:val="009B15B9"/>
    <w:rsid w:val="009B1D0D"/>
    <w:rsid w:val="009B3CC6"/>
    <w:rsid w:val="009B6462"/>
    <w:rsid w:val="009B69F3"/>
    <w:rsid w:val="009B6ADC"/>
    <w:rsid w:val="009B734E"/>
    <w:rsid w:val="009B7A4E"/>
    <w:rsid w:val="009C070D"/>
    <w:rsid w:val="009C07B4"/>
    <w:rsid w:val="009C0E01"/>
    <w:rsid w:val="009C17C4"/>
    <w:rsid w:val="009C1D0D"/>
    <w:rsid w:val="009C2131"/>
    <w:rsid w:val="009C25E4"/>
    <w:rsid w:val="009C2A34"/>
    <w:rsid w:val="009C2C56"/>
    <w:rsid w:val="009C324C"/>
    <w:rsid w:val="009C454B"/>
    <w:rsid w:val="009C73E1"/>
    <w:rsid w:val="009C75C9"/>
    <w:rsid w:val="009C7F80"/>
    <w:rsid w:val="009D0FD8"/>
    <w:rsid w:val="009D130A"/>
    <w:rsid w:val="009D16E5"/>
    <w:rsid w:val="009D1B07"/>
    <w:rsid w:val="009D2257"/>
    <w:rsid w:val="009D2D5B"/>
    <w:rsid w:val="009D34BB"/>
    <w:rsid w:val="009D3F53"/>
    <w:rsid w:val="009D59F2"/>
    <w:rsid w:val="009D652C"/>
    <w:rsid w:val="009D7331"/>
    <w:rsid w:val="009D7902"/>
    <w:rsid w:val="009D7D6C"/>
    <w:rsid w:val="009D7F0F"/>
    <w:rsid w:val="009E0A41"/>
    <w:rsid w:val="009E137B"/>
    <w:rsid w:val="009E1D9C"/>
    <w:rsid w:val="009E1F32"/>
    <w:rsid w:val="009E2566"/>
    <w:rsid w:val="009E28A2"/>
    <w:rsid w:val="009E3F56"/>
    <w:rsid w:val="009E40D1"/>
    <w:rsid w:val="009E49C4"/>
    <w:rsid w:val="009E535E"/>
    <w:rsid w:val="009E58D6"/>
    <w:rsid w:val="009E5A38"/>
    <w:rsid w:val="009E7B8C"/>
    <w:rsid w:val="009F00CA"/>
    <w:rsid w:val="009F11D0"/>
    <w:rsid w:val="009F1F3A"/>
    <w:rsid w:val="009F3215"/>
    <w:rsid w:val="009F445D"/>
    <w:rsid w:val="009F4744"/>
    <w:rsid w:val="009F4B15"/>
    <w:rsid w:val="009F5762"/>
    <w:rsid w:val="009F63ED"/>
    <w:rsid w:val="009F685A"/>
    <w:rsid w:val="009F75DF"/>
    <w:rsid w:val="00A008CE"/>
    <w:rsid w:val="00A00DAC"/>
    <w:rsid w:val="00A01384"/>
    <w:rsid w:val="00A01936"/>
    <w:rsid w:val="00A02241"/>
    <w:rsid w:val="00A02927"/>
    <w:rsid w:val="00A03B1D"/>
    <w:rsid w:val="00A044BC"/>
    <w:rsid w:val="00A04C89"/>
    <w:rsid w:val="00A050F6"/>
    <w:rsid w:val="00A05A85"/>
    <w:rsid w:val="00A05B9A"/>
    <w:rsid w:val="00A06099"/>
    <w:rsid w:val="00A06429"/>
    <w:rsid w:val="00A06E0D"/>
    <w:rsid w:val="00A074FF"/>
    <w:rsid w:val="00A11612"/>
    <w:rsid w:val="00A11A94"/>
    <w:rsid w:val="00A12936"/>
    <w:rsid w:val="00A12BD2"/>
    <w:rsid w:val="00A12DFA"/>
    <w:rsid w:val="00A14E31"/>
    <w:rsid w:val="00A15635"/>
    <w:rsid w:val="00A157FD"/>
    <w:rsid w:val="00A172D5"/>
    <w:rsid w:val="00A17B20"/>
    <w:rsid w:val="00A22112"/>
    <w:rsid w:val="00A229B4"/>
    <w:rsid w:val="00A22E84"/>
    <w:rsid w:val="00A230AA"/>
    <w:rsid w:val="00A23C2F"/>
    <w:rsid w:val="00A2439D"/>
    <w:rsid w:val="00A24E5A"/>
    <w:rsid w:val="00A25553"/>
    <w:rsid w:val="00A257DD"/>
    <w:rsid w:val="00A25CCE"/>
    <w:rsid w:val="00A26524"/>
    <w:rsid w:val="00A27C1A"/>
    <w:rsid w:val="00A312D1"/>
    <w:rsid w:val="00A313FC"/>
    <w:rsid w:val="00A32FBF"/>
    <w:rsid w:val="00A335E4"/>
    <w:rsid w:val="00A3452F"/>
    <w:rsid w:val="00A350D6"/>
    <w:rsid w:val="00A35D98"/>
    <w:rsid w:val="00A3725C"/>
    <w:rsid w:val="00A3764C"/>
    <w:rsid w:val="00A37A2A"/>
    <w:rsid w:val="00A37CCE"/>
    <w:rsid w:val="00A40A2C"/>
    <w:rsid w:val="00A40E3B"/>
    <w:rsid w:val="00A4105B"/>
    <w:rsid w:val="00A41924"/>
    <w:rsid w:val="00A42938"/>
    <w:rsid w:val="00A42C9E"/>
    <w:rsid w:val="00A439E4"/>
    <w:rsid w:val="00A4431F"/>
    <w:rsid w:val="00A45CBB"/>
    <w:rsid w:val="00A45E38"/>
    <w:rsid w:val="00A47296"/>
    <w:rsid w:val="00A47E53"/>
    <w:rsid w:val="00A47FCC"/>
    <w:rsid w:val="00A50533"/>
    <w:rsid w:val="00A5099E"/>
    <w:rsid w:val="00A52C3D"/>
    <w:rsid w:val="00A53D30"/>
    <w:rsid w:val="00A541D0"/>
    <w:rsid w:val="00A55D0A"/>
    <w:rsid w:val="00A5601A"/>
    <w:rsid w:val="00A570CF"/>
    <w:rsid w:val="00A577AB"/>
    <w:rsid w:val="00A60016"/>
    <w:rsid w:val="00A602CD"/>
    <w:rsid w:val="00A61631"/>
    <w:rsid w:val="00A618EB"/>
    <w:rsid w:val="00A63888"/>
    <w:rsid w:val="00A64E08"/>
    <w:rsid w:val="00A652E8"/>
    <w:rsid w:val="00A6580D"/>
    <w:rsid w:val="00A65D78"/>
    <w:rsid w:val="00A66F3B"/>
    <w:rsid w:val="00A67433"/>
    <w:rsid w:val="00A67566"/>
    <w:rsid w:val="00A67631"/>
    <w:rsid w:val="00A70BFC"/>
    <w:rsid w:val="00A71026"/>
    <w:rsid w:val="00A74826"/>
    <w:rsid w:val="00A75310"/>
    <w:rsid w:val="00A757C5"/>
    <w:rsid w:val="00A75F79"/>
    <w:rsid w:val="00A8018F"/>
    <w:rsid w:val="00A80DC7"/>
    <w:rsid w:val="00A81FBA"/>
    <w:rsid w:val="00A82416"/>
    <w:rsid w:val="00A824AC"/>
    <w:rsid w:val="00A844A3"/>
    <w:rsid w:val="00A844F8"/>
    <w:rsid w:val="00A850C3"/>
    <w:rsid w:val="00A87B94"/>
    <w:rsid w:val="00A90062"/>
    <w:rsid w:val="00A91F20"/>
    <w:rsid w:val="00A94F2F"/>
    <w:rsid w:val="00A955A8"/>
    <w:rsid w:val="00A956C5"/>
    <w:rsid w:val="00A95844"/>
    <w:rsid w:val="00A966E9"/>
    <w:rsid w:val="00AA1114"/>
    <w:rsid w:val="00AA1586"/>
    <w:rsid w:val="00AA1792"/>
    <w:rsid w:val="00AA225A"/>
    <w:rsid w:val="00AA2736"/>
    <w:rsid w:val="00AA2E44"/>
    <w:rsid w:val="00AA3826"/>
    <w:rsid w:val="00AA399D"/>
    <w:rsid w:val="00AA5000"/>
    <w:rsid w:val="00AA6112"/>
    <w:rsid w:val="00AA621A"/>
    <w:rsid w:val="00AA6371"/>
    <w:rsid w:val="00AA7DA6"/>
    <w:rsid w:val="00AB0EF5"/>
    <w:rsid w:val="00AB14BD"/>
    <w:rsid w:val="00AB235A"/>
    <w:rsid w:val="00AB37CE"/>
    <w:rsid w:val="00AB5D8B"/>
    <w:rsid w:val="00AB63CF"/>
    <w:rsid w:val="00AB6624"/>
    <w:rsid w:val="00AB6C4B"/>
    <w:rsid w:val="00AC0CA3"/>
    <w:rsid w:val="00AC119C"/>
    <w:rsid w:val="00AC24CB"/>
    <w:rsid w:val="00AC265E"/>
    <w:rsid w:val="00AC3064"/>
    <w:rsid w:val="00AC34AB"/>
    <w:rsid w:val="00AC38E0"/>
    <w:rsid w:val="00AC537D"/>
    <w:rsid w:val="00AD13F6"/>
    <w:rsid w:val="00AD15B2"/>
    <w:rsid w:val="00AD178A"/>
    <w:rsid w:val="00AD1F79"/>
    <w:rsid w:val="00AD24BD"/>
    <w:rsid w:val="00AD42EE"/>
    <w:rsid w:val="00AD4BFC"/>
    <w:rsid w:val="00AD5183"/>
    <w:rsid w:val="00AD6125"/>
    <w:rsid w:val="00AD761A"/>
    <w:rsid w:val="00AD7DE4"/>
    <w:rsid w:val="00AE0FA4"/>
    <w:rsid w:val="00AE105A"/>
    <w:rsid w:val="00AE1AA8"/>
    <w:rsid w:val="00AE2F9F"/>
    <w:rsid w:val="00AE3213"/>
    <w:rsid w:val="00AE354D"/>
    <w:rsid w:val="00AE3A81"/>
    <w:rsid w:val="00AE43D4"/>
    <w:rsid w:val="00AE7C1B"/>
    <w:rsid w:val="00AF033D"/>
    <w:rsid w:val="00AF12B3"/>
    <w:rsid w:val="00AF1489"/>
    <w:rsid w:val="00AF1AE8"/>
    <w:rsid w:val="00AF1D4B"/>
    <w:rsid w:val="00AF2B59"/>
    <w:rsid w:val="00AF2F93"/>
    <w:rsid w:val="00AF5D8A"/>
    <w:rsid w:val="00AF5E3B"/>
    <w:rsid w:val="00AF65D8"/>
    <w:rsid w:val="00AF7A37"/>
    <w:rsid w:val="00B01E15"/>
    <w:rsid w:val="00B0257E"/>
    <w:rsid w:val="00B04A7A"/>
    <w:rsid w:val="00B051E1"/>
    <w:rsid w:val="00B051E7"/>
    <w:rsid w:val="00B05427"/>
    <w:rsid w:val="00B05D72"/>
    <w:rsid w:val="00B05DD7"/>
    <w:rsid w:val="00B05F0F"/>
    <w:rsid w:val="00B07A8F"/>
    <w:rsid w:val="00B112E1"/>
    <w:rsid w:val="00B12281"/>
    <w:rsid w:val="00B127E2"/>
    <w:rsid w:val="00B130A9"/>
    <w:rsid w:val="00B13AD7"/>
    <w:rsid w:val="00B15B78"/>
    <w:rsid w:val="00B1641C"/>
    <w:rsid w:val="00B165AB"/>
    <w:rsid w:val="00B17529"/>
    <w:rsid w:val="00B233C6"/>
    <w:rsid w:val="00B23B0D"/>
    <w:rsid w:val="00B25096"/>
    <w:rsid w:val="00B261C1"/>
    <w:rsid w:val="00B26202"/>
    <w:rsid w:val="00B26AA9"/>
    <w:rsid w:val="00B27FB4"/>
    <w:rsid w:val="00B301DC"/>
    <w:rsid w:val="00B30796"/>
    <w:rsid w:val="00B31D89"/>
    <w:rsid w:val="00B31E1F"/>
    <w:rsid w:val="00B337CE"/>
    <w:rsid w:val="00B338CC"/>
    <w:rsid w:val="00B343D2"/>
    <w:rsid w:val="00B3468F"/>
    <w:rsid w:val="00B36155"/>
    <w:rsid w:val="00B36CE2"/>
    <w:rsid w:val="00B36EBA"/>
    <w:rsid w:val="00B3779E"/>
    <w:rsid w:val="00B405B5"/>
    <w:rsid w:val="00B41126"/>
    <w:rsid w:val="00B4113C"/>
    <w:rsid w:val="00B41C55"/>
    <w:rsid w:val="00B42885"/>
    <w:rsid w:val="00B45AC2"/>
    <w:rsid w:val="00B45CCA"/>
    <w:rsid w:val="00B461CD"/>
    <w:rsid w:val="00B50CFF"/>
    <w:rsid w:val="00B50E7F"/>
    <w:rsid w:val="00B513AE"/>
    <w:rsid w:val="00B51A50"/>
    <w:rsid w:val="00B52B88"/>
    <w:rsid w:val="00B52D5C"/>
    <w:rsid w:val="00B53432"/>
    <w:rsid w:val="00B53EFC"/>
    <w:rsid w:val="00B54AA5"/>
    <w:rsid w:val="00B55455"/>
    <w:rsid w:val="00B55848"/>
    <w:rsid w:val="00B55BE5"/>
    <w:rsid w:val="00B560FE"/>
    <w:rsid w:val="00B56C2D"/>
    <w:rsid w:val="00B57CE7"/>
    <w:rsid w:val="00B60135"/>
    <w:rsid w:val="00B611FD"/>
    <w:rsid w:val="00B63F1A"/>
    <w:rsid w:val="00B64E12"/>
    <w:rsid w:val="00B64E3B"/>
    <w:rsid w:val="00B663ED"/>
    <w:rsid w:val="00B67A33"/>
    <w:rsid w:val="00B67AD1"/>
    <w:rsid w:val="00B7178A"/>
    <w:rsid w:val="00B72712"/>
    <w:rsid w:val="00B72F01"/>
    <w:rsid w:val="00B74D88"/>
    <w:rsid w:val="00B74F1B"/>
    <w:rsid w:val="00B77E93"/>
    <w:rsid w:val="00B81512"/>
    <w:rsid w:val="00B8156C"/>
    <w:rsid w:val="00B81C57"/>
    <w:rsid w:val="00B829CA"/>
    <w:rsid w:val="00B83777"/>
    <w:rsid w:val="00B83EAD"/>
    <w:rsid w:val="00B84749"/>
    <w:rsid w:val="00B84CD8"/>
    <w:rsid w:val="00B84EA0"/>
    <w:rsid w:val="00B86848"/>
    <w:rsid w:val="00B90FC0"/>
    <w:rsid w:val="00B92349"/>
    <w:rsid w:val="00B930BA"/>
    <w:rsid w:val="00B937A6"/>
    <w:rsid w:val="00B93A5E"/>
    <w:rsid w:val="00B93D61"/>
    <w:rsid w:val="00B94543"/>
    <w:rsid w:val="00B9478C"/>
    <w:rsid w:val="00B95F28"/>
    <w:rsid w:val="00B97445"/>
    <w:rsid w:val="00B97616"/>
    <w:rsid w:val="00B9779D"/>
    <w:rsid w:val="00BA0F19"/>
    <w:rsid w:val="00BA19AA"/>
    <w:rsid w:val="00BA1AC7"/>
    <w:rsid w:val="00BA248B"/>
    <w:rsid w:val="00BA2A44"/>
    <w:rsid w:val="00BA37D1"/>
    <w:rsid w:val="00BA4058"/>
    <w:rsid w:val="00BA43C8"/>
    <w:rsid w:val="00BA44F8"/>
    <w:rsid w:val="00BA5DB8"/>
    <w:rsid w:val="00BA5F07"/>
    <w:rsid w:val="00BA66CB"/>
    <w:rsid w:val="00BA6742"/>
    <w:rsid w:val="00BA682F"/>
    <w:rsid w:val="00BB282A"/>
    <w:rsid w:val="00BB3B51"/>
    <w:rsid w:val="00BB40F2"/>
    <w:rsid w:val="00BB506E"/>
    <w:rsid w:val="00BB7310"/>
    <w:rsid w:val="00BB739D"/>
    <w:rsid w:val="00BC04C5"/>
    <w:rsid w:val="00BC0DA1"/>
    <w:rsid w:val="00BC1627"/>
    <w:rsid w:val="00BC1995"/>
    <w:rsid w:val="00BC1A9D"/>
    <w:rsid w:val="00BC4EB4"/>
    <w:rsid w:val="00BC56A5"/>
    <w:rsid w:val="00BC62DE"/>
    <w:rsid w:val="00BC6A8B"/>
    <w:rsid w:val="00BC795A"/>
    <w:rsid w:val="00BC79F5"/>
    <w:rsid w:val="00BD124E"/>
    <w:rsid w:val="00BD4DEA"/>
    <w:rsid w:val="00BD4E10"/>
    <w:rsid w:val="00BD59AD"/>
    <w:rsid w:val="00BD6674"/>
    <w:rsid w:val="00BD74FF"/>
    <w:rsid w:val="00BD7A1F"/>
    <w:rsid w:val="00BD7D89"/>
    <w:rsid w:val="00BE080C"/>
    <w:rsid w:val="00BE0D5D"/>
    <w:rsid w:val="00BE0E10"/>
    <w:rsid w:val="00BE30B3"/>
    <w:rsid w:val="00BE4331"/>
    <w:rsid w:val="00BE436B"/>
    <w:rsid w:val="00BE6195"/>
    <w:rsid w:val="00BE79E5"/>
    <w:rsid w:val="00BF013A"/>
    <w:rsid w:val="00BF16B9"/>
    <w:rsid w:val="00BF1D7B"/>
    <w:rsid w:val="00BF2965"/>
    <w:rsid w:val="00BF313E"/>
    <w:rsid w:val="00BF33A1"/>
    <w:rsid w:val="00BF3D61"/>
    <w:rsid w:val="00BF4512"/>
    <w:rsid w:val="00BF4E61"/>
    <w:rsid w:val="00BF6F75"/>
    <w:rsid w:val="00C00B3D"/>
    <w:rsid w:val="00C00B65"/>
    <w:rsid w:val="00C0172F"/>
    <w:rsid w:val="00C02F9C"/>
    <w:rsid w:val="00C03FC7"/>
    <w:rsid w:val="00C062FB"/>
    <w:rsid w:val="00C065A8"/>
    <w:rsid w:val="00C066E7"/>
    <w:rsid w:val="00C0766A"/>
    <w:rsid w:val="00C078D0"/>
    <w:rsid w:val="00C07CC7"/>
    <w:rsid w:val="00C10128"/>
    <w:rsid w:val="00C11809"/>
    <w:rsid w:val="00C11D29"/>
    <w:rsid w:val="00C12C1E"/>
    <w:rsid w:val="00C154F0"/>
    <w:rsid w:val="00C1552E"/>
    <w:rsid w:val="00C16CA6"/>
    <w:rsid w:val="00C207CC"/>
    <w:rsid w:val="00C20E80"/>
    <w:rsid w:val="00C20F71"/>
    <w:rsid w:val="00C22473"/>
    <w:rsid w:val="00C2347C"/>
    <w:rsid w:val="00C23B03"/>
    <w:rsid w:val="00C26823"/>
    <w:rsid w:val="00C26F49"/>
    <w:rsid w:val="00C31E4E"/>
    <w:rsid w:val="00C33470"/>
    <w:rsid w:val="00C34D19"/>
    <w:rsid w:val="00C37148"/>
    <w:rsid w:val="00C3751E"/>
    <w:rsid w:val="00C401D5"/>
    <w:rsid w:val="00C411AC"/>
    <w:rsid w:val="00C427A5"/>
    <w:rsid w:val="00C43F03"/>
    <w:rsid w:val="00C442EE"/>
    <w:rsid w:val="00C44C75"/>
    <w:rsid w:val="00C44FB3"/>
    <w:rsid w:val="00C45070"/>
    <w:rsid w:val="00C4523E"/>
    <w:rsid w:val="00C46677"/>
    <w:rsid w:val="00C4729C"/>
    <w:rsid w:val="00C473BF"/>
    <w:rsid w:val="00C47642"/>
    <w:rsid w:val="00C477AB"/>
    <w:rsid w:val="00C47AE6"/>
    <w:rsid w:val="00C516B7"/>
    <w:rsid w:val="00C51B53"/>
    <w:rsid w:val="00C52E5B"/>
    <w:rsid w:val="00C543B6"/>
    <w:rsid w:val="00C577CA"/>
    <w:rsid w:val="00C57F8D"/>
    <w:rsid w:val="00C60CBC"/>
    <w:rsid w:val="00C61EB2"/>
    <w:rsid w:val="00C62EBE"/>
    <w:rsid w:val="00C63714"/>
    <w:rsid w:val="00C64D43"/>
    <w:rsid w:val="00C6560A"/>
    <w:rsid w:val="00C66B22"/>
    <w:rsid w:val="00C67A6E"/>
    <w:rsid w:val="00C70DB8"/>
    <w:rsid w:val="00C739E8"/>
    <w:rsid w:val="00C76633"/>
    <w:rsid w:val="00C773C0"/>
    <w:rsid w:val="00C77729"/>
    <w:rsid w:val="00C824BC"/>
    <w:rsid w:val="00C82818"/>
    <w:rsid w:val="00C8332F"/>
    <w:rsid w:val="00C835D8"/>
    <w:rsid w:val="00C84E46"/>
    <w:rsid w:val="00C87F9E"/>
    <w:rsid w:val="00C90EF0"/>
    <w:rsid w:val="00C9110F"/>
    <w:rsid w:val="00C91167"/>
    <w:rsid w:val="00C91FB1"/>
    <w:rsid w:val="00C92EED"/>
    <w:rsid w:val="00C93524"/>
    <w:rsid w:val="00C93EE8"/>
    <w:rsid w:val="00C93F48"/>
    <w:rsid w:val="00C9409A"/>
    <w:rsid w:val="00C94C0D"/>
    <w:rsid w:val="00C95D32"/>
    <w:rsid w:val="00CA07FB"/>
    <w:rsid w:val="00CA0854"/>
    <w:rsid w:val="00CA1BB8"/>
    <w:rsid w:val="00CA2B72"/>
    <w:rsid w:val="00CA4D11"/>
    <w:rsid w:val="00CA5612"/>
    <w:rsid w:val="00CA5A20"/>
    <w:rsid w:val="00CA64C0"/>
    <w:rsid w:val="00CA6DB7"/>
    <w:rsid w:val="00CA7677"/>
    <w:rsid w:val="00CA7DBE"/>
    <w:rsid w:val="00CB0AC9"/>
    <w:rsid w:val="00CB0B17"/>
    <w:rsid w:val="00CB0D52"/>
    <w:rsid w:val="00CB11A3"/>
    <w:rsid w:val="00CB13E7"/>
    <w:rsid w:val="00CB1AE9"/>
    <w:rsid w:val="00CB2B28"/>
    <w:rsid w:val="00CB2F6D"/>
    <w:rsid w:val="00CB323C"/>
    <w:rsid w:val="00CB328C"/>
    <w:rsid w:val="00CB5055"/>
    <w:rsid w:val="00CB5F44"/>
    <w:rsid w:val="00CB6E5E"/>
    <w:rsid w:val="00CB73CB"/>
    <w:rsid w:val="00CC1B57"/>
    <w:rsid w:val="00CC3327"/>
    <w:rsid w:val="00CC3E80"/>
    <w:rsid w:val="00CC5558"/>
    <w:rsid w:val="00CC5709"/>
    <w:rsid w:val="00CC6490"/>
    <w:rsid w:val="00CC699E"/>
    <w:rsid w:val="00CC6C9D"/>
    <w:rsid w:val="00CC72E0"/>
    <w:rsid w:val="00CD160D"/>
    <w:rsid w:val="00CD1DC7"/>
    <w:rsid w:val="00CD21E8"/>
    <w:rsid w:val="00CD223A"/>
    <w:rsid w:val="00CD23AD"/>
    <w:rsid w:val="00CD240A"/>
    <w:rsid w:val="00CD25FF"/>
    <w:rsid w:val="00CD3093"/>
    <w:rsid w:val="00CD3D39"/>
    <w:rsid w:val="00CD497A"/>
    <w:rsid w:val="00CD4D34"/>
    <w:rsid w:val="00CD5084"/>
    <w:rsid w:val="00CD670E"/>
    <w:rsid w:val="00CD6776"/>
    <w:rsid w:val="00CD7117"/>
    <w:rsid w:val="00CE0E00"/>
    <w:rsid w:val="00CE1A11"/>
    <w:rsid w:val="00CE1AA1"/>
    <w:rsid w:val="00CE301C"/>
    <w:rsid w:val="00CE309F"/>
    <w:rsid w:val="00CE3F8D"/>
    <w:rsid w:val="00CE3F97"/>
    <w:rsid w:val="00CE468E"/>
    <w:rsid w:val="00CE5C16"/>
    <w:rsid w:val="00CE5C28"/>
    <w:rsid w:val="00CE63D6"/>
    <w:rsid w:val="00CE64A6"/>
    <w:rsid w:val="00CF07BE"/>
    <w:rsid w:val="00CF0EA0"/>
    <w:rsid w:val="00CF1CE4"/>
    <w:rsid w:val="00CF2635"/>
    <w:rsid w:val="00CF481A"/>
    <w:rsid w:val="00CF4D11"/>
    <w:rsid w:val="00CF4DA9"/>
    <w:rsid w:val="00CF4FF8"/>
    <w:rsid w:val="00CF69AE"/>
    <w:rsid w:val="00CF79AB"/>
    <w:rsid w:val="00CF7BCA"/>
    <w:rsid w:val="00D00550"/>
    <w:rsid w:val="00D00645"/>
    <w:rsid w:val="00D0072F"/>
    <w:rsid w:val="00D00934"/>
    <w:rsid w:val="00D02325"/>
    <w:rsid w:val="00D04839"/>
    <w:rsid w:val="00D0533C"/>
    <w:rsid w:val="00D05451"/>
    <w:rsid w:val="00D0600F"/>
    <w:rsid w:val="00D06089"/>
    <w:rsid w:val="00D068D2"/>
    <w:rsid w:val="00D06C67"/>
    <w:rsid w:val="00D07779"/>
    <w:rsid w:val="00D077E3"/>
    <w:rsid w:val="00D1164F"/>
    <w:rsid w:val="00D127EE"/>
    <w:rsid w:val="00D12BB8"/>
    <w:rsid w:val="00D130AF"/>
    <w:rsid w:val="00D14076"/>
    <w:rsid w:val="00D15EF7"/>
    <w:rsid w:val="00D17670"/>
    <w:rsid w:val="00D17C6C"/>
    <w:rsid w:val="00D20FCA"/>
    <w:rsid w:val="00D2254D"/>
    <w:rsid w:val="00D238CB"/>
    <w:rsid w:val="00D23D65"/>
    <w:rsid w:val="00D2484D"/>
    <w:rsid w:val="00D25E6B"/>
    <w:rsid w:val="00D26703"/>
    <w:rsid w:val="00D270C0"/>
    <w:rsid w:val="00D3033D"/>
    <w:rsid w:val="00D305C7"/>
    <w:rsid w:val="00D319B2"/>
    <w:rsid w:val="00D31AB1"/>
    <w:rsid w:val="00D31B50"/>
    <w:rsid w:val="00D33D6D"/>
    <w:rsid w:val="00D35E66"/>
    <w:rsid w:val="00D403D4"/>
    <w:rsid w:val="00D40428"/>
    <w:rsid w:val="00D40B7F"/>
    <w:rsid w:val="00D411BF"/>
    <w:rsid w:val="00D45141"/>
    <w:rsid w:val="00D468DF"/>
    <w:rsid w:val="00D47985"/>
    <w:rsid w:val="00D51D3D"/>
    <w:rsid w:val="00D52083"/>
    <w:rsid w:val="00D532F4"/>
    <w:rsid w:val="00D5368D"/>
    <w:rsid w:val="00D54688"/>
    <w:rsid w:val="00D548A6"/>
    <w:rsid w:val="00D54EB5"/>
    <w:rsid w:val="00D55470"/>
    <w:rsid w:val="00D55573"/>
    <w:rsid w:val="00D57E6C"/>
    <w:rsid w:val="00D57E72"/>
    <w:rsid w:val="00D61B14"/>
    <w:rsid w:val="00D61C9F"/>
    <w:rsid w:val="00D6223B"/>
    <w:rsid w:val="00D625FD"/>
    <w:rsid w:val="00D62620"/>
    <w:rsid w:val="00D639CD"/>
    <w:rsid w:val="00D63C83"/>
    <w:rsid w:val="00D6547D"/>
    <w:rsid w:val="00D65B75"/>
    <w:rsid w:val="00D66D10"/>
    <w:rsid w:val="00D6794F"/>
    <w:rsid w:val="00D67B33"/>
    <w:rsid w:val="00D72203"/>
    <w:rsid w:val="00D7274A"/>
    <w:rsid w:val="00D727F0"/>
    <w:rsid w:val="00D72DC8"/>
    <w:rsid w:val="00D73C19"/>
    <w:rsid w:val="00D7408F"/>
    <w:rsid w:val="00D750CE"/>
    <w:rsid w:val="00D7744F"/>
    <w:rsid w:val="00D800CD"/>
    <w:rsid w:val="00D806EF"/>
    <w:rsid w:val="00D80E8D"/>
    <w:rsid w:val="00D81858"/>
    <w:rsid w:val="00D829B9"/>
    <w:rsid w:val="00D82BC2"/>
    <w:rsid w:val="00D831D0"/>
    <w:rsid w:val="00D83605"/>
    <w:rsid w:val="00D84D00"/>
    <w:rsid w:val="00D8552E"/>
    <w:rsid w:val="00D90088"/>
    <w:rsid w:val="00D9018B"/>
    <w:rsid w:val="00D92902"/>
    <w:rsid w:val="00D92E45"/>
    <w:rsid w:val="00D93B10"/>
    <w:rsid w:val="00D9446A"/>
    <w:rsid w:val="00D9613F"/>
    <w:rsid w:val="00D96432"/>
    <w:rsid w:val="00D97346"/>
    <w:rsid w:val="00D97491"/>
    <w:rsid w:val="00D97871"/>
    <w:rsid w:val="00DA0700"/>
    <w:rsid w:val="00DA0DB8"/>
    <w:rsid w:val="00DA104B"/>
    <w:rsid w:val="00DA11E8"/>
    <w:rsid w:val="00DA19F0"/>
    <w:rsid w:val="00DA3408"/>
    <w:rsid w:val="00DA4FDE"/>
    <w:rsid w:val="00DA5BF2"/>
    <w:rsid w:val="00DA6F58"/>
    <w:rsid w:val="00DB0268"/>
    <w:rsid w:val="00DB093C"/>
    <w:rsid w:val="00DB1CEC"/>
    <w:rsid w:val="00DB271E"/>
    <w:rsid w:val="00DB2FC6"/>
    <w:rsid w:val="00DB30FE"/>
    <w:rsid w:val="00DB3170"/>
    <w:rsid w:val="00DB3388"/>
    <w:rsid w:val="00DB3863"/>
    <w:rsid w:val="00DB3BA1"/>
    <w:rsid w:val="00DB4157"/>
    <w:rsid w:val="00DB4700"/>
    <w:rsid w:val="00DB5EFD"/>
    <w:rsid w:val="00DB78ED"/>
    <w:rsid w:val="00DC0CDE"/>
    <w:rsid w:val="00DC100F"/>
    <w:rsid w:val="00DC170B"/>
    <w:rsid w:val="00DC17A8"/>
    <w:rsid w:val="00DC47A3"/>
    <w:rsid w:val="00DC54E0"/>
    <w:rsid w:val="00DC5814"/>
    <w:rsid w:val="00DC5FC2"/>
    <w:rsid w:val="00DC6857"/>
    <w:rsid w:val="00DC737C"/>
    <w:rsid w:val="00DC7C3C"/>
    <w:rsid w:val="00DD04B1"/>
    <w:rsid w:val="00DD0825"/>
    <w:rsid w:val="00DD1814"/>
    <w:rsid w:val="00DD3418"/>
    <w:rsid w:val="00DD5B4A"/>
    <w:rsid w:val="00DD62D9"/>
    <w:rsid w:val="00DE1BF9"/>
    <w:rsid w:val="00DE1D7D"/>
    <w:rsid w:val="00DE33C9"/>
    <w:rsid w:val="00DE51CC"/>
    <w:rsid w:val="00DE5A87"/>
    <w:rsid w:val="00DE5B9F"/>
    <w:rsid w:val="00DE604E"/>
    <w:rsid w:val="00DE68F2"/>
    <w:rsid w:val="00DE6F29"/>
    <w:rsid w:val="00DE711D"/>
    <w:rsid w:val="00DE750C"/>
    <w:rsid w:val="00DF02AF"/>
    <w:rsid w:val="00DF0B38"/>
    <w:rsid w:val="00DF0F0F"/>
    <w:rsid w:val="00DF12E1"/>
    <w:rsid w:val="00DF5362"/>
    <w:rsid w:val="00DF56EB"/>
    <w:rsid w:val="00DF5D24"/>
    <w:rsid w:val="00DF692E"/>
    <w:rsid w:val="00DF7250"/>
    <w:rsid w:val="00DF789A"/>
    <w:rsid w:val="00DF79E5"/>
    <w:rsid w:val="00E0029E"/>
    <w:rsid w:val="00E010CE"/>
    <w:rsid w:val="00E01A62"/>
    <w:rsid w:val="00E0222A"/>
    <w:rsid w:val="00E03110"/>
    <w:rsid w:val="00E0318C"/>
    <w:rsid w:val="00E031E3"/>
    <w:rsid w:val="00E039EC"/>
    <w:rsid w:val="00E043C8"/>
    <w:rsid w:val="00E06365"/>
    <w:rsid w:val="00E07310"/>
    <w:rsid w:val="00E07746"/>
    <w:rsid w:val="00E078B5"/>
    <w:rsid w:val="00E11839"/>
    <w:rsid w:val="00E1198E"/>
    <w:rsid w:val="00E1229B"/>
    <w:rsid w:val="00E122DB"/>
    <w:rsid w:val="00E130D0"/>
    <w:rsid w:val="00E14079"/>
    <w:rsid w:val="00E14219"/>
    <w:rsid w:val="00E15179"/>
    <w:rsid w:val="00E156CB"/>
    <w:rsid w:val="00E161EB"/>
    <w:rsid w:val="00E16E02"/>
    <w:rsid w:val="00E209F4"/>
    <w:rsid w:val="00E21D6B"/>
    <w:rsid w:val="00E231BE"/>
    <w:rsid w:val="00E2428D"/>
    <w:rsid w:val="00E253E6"/>
    <w:rsid w:val="00E2608A"/>
    <w:rsid w:val="00E2687E"/>
    <w:rsid w:val="00E268A4"/>
    <w:rsid w:val="00E271B7"/>
    <w:rsid w:val="00E27617"/>
    <w:rsid w:val="00E276D2"/>
    <w:rsid w:val="00E302C4"/>
    <w:rsid w:val="00E307BF"/>
    <w:rsid w:val="00E31C5C"/>
    <w:rsid w:val="00E34C1B"/>
    <w:rsid w:val="00E34D3D"/>
    <w:rsid w:val="00E36365"/>
    <w:rsid w:val="00E40108"/>
    <w:rsid w:val="00E4046E"/>
    <w:rsid w:val="00E40615"/>
    <w:rsid w:val="00E40DD5"/>
    <w:rsid w:val="00E41C4F"/>
    <w:rsid w:val="00E42475"/>
    <w:rsid w:val="00E42678"/>
    <w:rsid w:val="00E4331B"/>
    <w:rsid w:val="00E434D5"/>
    <w:rsid w:val="00E4351E"/>
    <w:rsid w:val="00E45147"/>
    <w:rsid w:val="00E471ED"/>
    <w:rsid w:val="00E4763E"/>
    <w:rsid w:val="00E504F9"/>
    <w:rsid w:val="00E50721"/>
    <w:rsid w:val="00E50B95"/>
    <w:rsid w:val="00E52AFE"/>
    <w:rsid w:val="00E52CEE"/>
    <w:rsid w:val="00E53421"/>
    <w:rsid w:val="00E53D37"/>
    <w:rsid w:val="00E545B4"/>
    <w:rsid w:val="00E549F1"/>
    <w:rsid w:val="00E557A7"/>
    <w:rsid w:val="00E56432"/>
    <w:rsid w:val="00E565CE"/>
    <w:rsid w:val="00E5667F"/>
    <w:rsid w:val="00E57151"/>
    <w:rsid w:val="00E60467"/>
    <w:rsid w:val="00E6071C"/>
    <w:rsid w:val="00E60B08"/>
    <w:rsid w:val="00E61241"/>
    <w:rsid w:val="00E61A52"/>
    <w:rsid w:val="00E622C1"/>
    <w:rsid w:val="00E62E8F"/>
    <w:rsid w:val="00E63C40"/>
    <w:rsid w:val="00E63D30"/>
    <w:rsid w:val="00E63FDD"/>
    <w:rsid w:val="00E64FF5"/>
    <w:rsid w:val="00E65110"/>
    <w:rsid w:val="00E6644B"/>
    <w:rsid w:val="00E679EE"/>
    <w:rsid w:val="00E703C6"/>
    <w:rsid w:val="00E70AA6"/>
    <w:rsid w:val="00E71667"/>
    <w:rsid w:val="00E735A1"/>
    <w:rsid w:val="00E7471F"/>
    <w:rsid w:val="00E7513A"/>
    <w:rsid w:val="00E75CCF"/>
    <w:rsid w:val="00E77298"/>
    <w:rsid w:val="00E8115F"/>
    <w:rsid w:val="00E814AD"/>
    <w:rsid w:val="00E81575"/>
    <w:rsid w:val="00E82C4F"/>
    <w:rsid w:val="00E82DD0"/>
    <w:rsid w:val="00E82F2E"/>
    <w:rsid w:val="00E84E19"/>
    <w:rsid w:val="00E850AD"/>
    <w:rsid w:val="00E85893"/>
    <w:rsid w:val="00E906B6"/>
    <w:rsid w:val="00E908C0"/>
    <w:rsid w:val="00E90B04"/>
    <w:rsid w:val="00E910B5"/>
    <w:rsid w:val="00E91253"/>
    <w:rsid w:val="00E91568"/>
    <w:rsid w:val="00E91F55"/>
    <w:rsid w:val="00E92359"/>
    <w:rsid w:val="00E936F6"/>
    <w:rsid w:val="00E93B4C"/>
    <w:rsid w:val="00E93DCE"/>
    <w:rsid w:val="00E94E23"/>
    <w:rsid w:val="00E95031"/>
    <w:rsid w:val="00E95563"/>
    <w:rsid w:val="00E965CD"/>
    <w:rsid w:val="00E96B0A"/>
    <w:rsid w:val="00E97162"/>
    <w:rsid w:val="00E97374"/>
    <w:rsid w:val="00E97CC2"/>
    <w:rsid w:val="00E97DCF"/>
    <w:rsid w:val="00E97F77"/>
    <w:rsid w:val="00EA0416"/>
    <w:rsid w:val="00EA2508"/>
    <w:rsid w:val="00EA2BEE"/>
    <w:rsid w:val="00EA4B39"/>
    <w:rsid w:val="00EA64E4"/>
    <w:rsid w:val="00EB1110"/>
    <w:rsid w:val="00EB2394"/>
    <w:rsid w:val="00EB2D8B"/>
    <w:rsid w:val="00EB35C0"/>
    <w:rsid w:val="00EB4D9A"/>
    <w:rsid w:val="00EB5855"/>
    <w:rsid w:val="00EB663A"/>
    <w:rsid w:val="00EB746D"/>
    <w:rsid w:val="00EC02AA"/>
    <w:rsid w:val="00EC0B0A"/>
    <w:rsid w:val="00EC0CA9"/>
    <w:rsid w:val="00EC111F"/>
    <w:rsid w:val="00EC1332"/>
    <w:rsid w:val="00EC13D3"/>
    <w:rsid w:val="00EC1B17"/>
    <w:rsid w:val="00EC2A20"/>
    <w:rsid w:val="00EC3ACB"/>
    <w:rsid w:val="00EC4118"/>
    <w:rsid w:val="00EC418C"/>
    <w:rsid w:val="00EC48AA"/>
    <w:rsid w:val="00EC6862"/>
    <w:rsid w:val="00ED0228"/>
    <w:rsid w:val="00ED0ACA"/>
    <w:rsid w:val="00ED144D"/>
    <w:rsid w:val="00ED16CF"/>
    <w:rsid w:val="00ED1A07"/>
    <w:rsid w:val="00ED2188"/>
    <w:rsid w:val="00ED3AAF"/>
    <w:rsid w:val="00ED3BB1"/>
    <w:rsid w:val="00ED42C9"/>
    <w:rsid w:val="00ED4808"/>
    <w:rsid w:val="00ED6234"/>
    <w:rsid w:val="00ED6489"/>
    <w:rsid w:val="00ED77A8"/>
    <w:rsid w:val="00ED7CD1"/>
    <w:rsid w:val="00EE0838"/>
    <w:rsid w:val="00EE0F03"/>
    <w:rsid w:val="00EE11F4"/>
    <w:rsid w:val="00EE143E"/>
    <w:rsid w:val="00EE159C"/>
    <w:rsid w:val="00EE1AFF"/>
    <w:rsid w:val="00EE2BD1"/>
    <w:rsid w:val="00EE2E6F"/>
    <w:rsid w:val="00EE3539"/>
    <w:rsid w:val="00EE4750"/>
    <w:rsid w:val="00EE4EEA"/>
    <w:rsid w:val="00EE52FD"/>
    <w:rsid w:val="00EE5A74"/>
    <w:rsid w:val="00EE610B"/>
    <w:rsid w:val="00EE7DD4"/>
    <w:rsid w:val="00EE7E29"/>
    <w:rsid w:val="00EF0D1F"/>
    <w:rsid w:val="00EF13C1"/>
    <w:rsid w:val="00EF2631"/>
    <w:rsid w:val="00EF269E"/>
    <w:rsid w:val="00EF2AF9"/>
    <w:rsid w:val="00EF4859"/>
    <w:rsid w:val="00EF4E50"/>
    <w:rsid w:val="00EF524E"/>
    <w:rsid w:val="00EF6F2D"/>
    <w:rsid w:val="00EF7A42"/>
    <w:rsid w:val="00F0038F"/>
    <w:rsid w:val="00F016AB"/>
    <w:rsid w:val="00F01A5C"/>
    <w:rsid w:val="00F01AA1"/>
    <w:rsid w:val="00F022AC"/>
    <w:rsid w:val="00F029AD"/>
    <w:rsid w:val="00F030EC"/>
    <w:rsid w:val="00F04744"/>
    <w:rsid w:val="00F04A0E"/>
    <w:rsid w:val="00F04DD3"/>
    <w:rsid w:val="00F05863"/>
    <w:rsid w:val="00F05A3F"/>
    <w:rsid w:val="00F0740C"/>
    <w:rsid w:val="00F1086C"/>
    <w:rsid w:val="00F12D2B"/>
    <w:rsid w:val="00F1345C"/>
    <w:rsid w:val="00F151A1"/>
    <w:rsid w:val="00F159AB"/>
    <w:rsid w:val="00F176A3"/>
    <w:rsid w:val="00F179E7"/>
    <w:rsid w:val="00F20183"/>
    <w:rsid w:val="00F213B0"/>
    <w:rsid w:val="00F21442"/>
    <w:rsid w:val="00F21B84"/>
    <w:rsid w:val="00F21C9A"/>
    <w:rsid w:val="00F22186"/>
    <w:rsid w:val="00F22D60"/>
    <w:rsid w:val="00F22FD8"/>
    <w:rsid w:val="00F238DF"/>
    <w:rsid w:val="00F24540"/>
    <w:rsid w:val="00F2464D"/>
    <w:rsid w:val="00F253FD"/>
    <w:rsid w:val="00F25DAD"/>
    <w:rsid w:val="00F26FB2"/>
    <w:rsid w:val="00F276DD"/>
    <w:rsid w:val="00F27E1A"/>
    <w:rsid w:val="00F3018A"/>
    <w:rsid w:val="00F303B3"/>
    <w:rsid w:val="00F30FE9"/>
    <w:rsid w:val="00F3207F"/>
    <w:rsid w:val="00F3212F"/>
    <w:rsid w:val="00F3419C"/>
    <w:rsid w:val="00F348B3"/>
    <w:rsid w:val="00F34E91"/>
    <w:rsid w:val="00F355FA"/>
    <w:rsid w:val="00F35664"/>
    <w:rsid w:val="00F3750B"/>
    <w:rsid w:val="00F3778E"/>
    <w:rsid w:val="00F37B09"/>
    <w:rsid w:val="00F4050E"/>
    <w:rsid w:val="00F4099E"/>
    <w:rsid w:val="00F4198B"/>
    <w:rsid w:val="00F4304A"/>
    <w:rsid w:val="00F4357E"/>
    <w:rsid w:val="00F44B29"/>
    <w:rsid w:val="00F452DE"/>
    <w:rsid w:val="00F468D0"/>
    <w:rsid w:val="00F502D3"/>
    <w:rsid w:val="00F50CEC"/>
    <w:rsid w:val="00F50F31"/>
    <w:rsid w:val="00F52B58"/>
    <w:rsid w:val="00F52B94"/>
    <w:rsid w:val="00F53931"/>
    <w:rsid w:val="00F543B3"/>
    <w:rsid w:val="00F5573C"/>
    <w:rsid w:val="00F56486"/>
    <w:rsid w:val="00F56E6B"/>
    <w:rsid w:val="00F571F5"/>
    <w:rsid w:val="00F57444"/>
    <w:rsid w:val="00F60194"/>
    <w:rsid w:val="00F6051B"/>
    <w:rsid w:val="00F62CEB"/>
    <w:rsid w:val="00F6428A"/>
    <w:rsid w:val="00F64A1B"/>
    <w:rsid w:val="00F67BF7"/>
    <w:rsid w:val="00F7110F"/>
    <w:rsid w:val="00F720E8"/>
    <w:rsid w:val="00F728D0"/>
    <w:rsid w:val="00F72C4E"/>
    <w:rsid w:val="00F736B9"/>
    <w:rsid w:val="00F7409C"/>
    <w:rsid w:val="00F74513"/>
    <w:rsid w:val="00F77EC9"/>
    <w:rsid w:val="00F81895"/>
    <w:rsid w:val="00F83808"/>
    <w:rsid w:val="00F83A73"/>
    <w:rsid w:val="00F83D4E"/>
    <w:rsid w:val="00F84C27"/>
    <w:rsid w:val="00F84F26"/>
    <w:rsid w:val="00F90C8A"/>
    <w:rsid w:val="00F923C7"/>
    <w:rsid w:val="00F9393E"/>
    <w:rsid w:val="00F9497B"/>
    <w:rsid w:val="00F94D86"/>
    <w:rsid w:val="00F94E3C"/>
    <w:rsid w:val="00F9628A"/>
    <w:rsid w:val="00F97374"/>
    <w:rsid w:val="00F97E3D"/>
    <w:rsid w:val="00FA158D"/>
    <w:rsid w:val="00FA1A39"/>
    <w:rsid w:val="00FA273A"/>
    <w:rsid w:val="00FA28FB"/>
    <w:rsid w:val="00FA2A0C"/>
    <w:rsid w:val="00FA2A69"/>
    <w:rsid w:val="00FA56AE"/>
    <w:rsid w:val="00FA5A75"/>
    <w:rsid w:val="00FA694F"/>
    <w:rsid w:val="00FA721E"/>
    <w:rsid w:val="00FA77E3"/>
    <w:rsid w:val="00FB14FB"/>
    <w:rsid w:val="00FB1A96"/>
    <w:rsid w:val="00FB29C2"/>
    <w:rsid w:val="00FB3C5B"/>
    <w:rsid w:val="00FB45DF"/>
    <w:rsid w:val="00FB6BA6"/>
    <w:rsid w:val="00FB6C04"/>
    <w:rsid w:val="00FC03F1"/>
    <w:rsid w:val="00FC066A"/>
    <w:rsid w:val="00FC14ED"/>
    <w:rsid w:val="00FC1A2C"/>
    <w:rsid w:val="00FC22A7"/>
    <w:rsid w:val="00FC24C0"/>
    <w:rsid w:val="00FC2979"/>
    <w:rsid w:val="00FC3889"/>
    <w:rsid w:val="00FC501E"/>
    <w:rsid w:val="00FC51C1"/>
    <w:rsid w:val="00FC5924"/>
    <w:rsid w:val="00FC6C21"/>
    <w:rsid w:val="00FC7707"/>
    <w:rsid w:val="00FD1169"/>
    <w:rsid w:val="00FD23DD"/>
    <w:rsid w:val="00FD2621"/>
    <w:rsid w:val="00FD3D9E"/>
    <w:rsid w:val="00FD4070"/>
    <w:rsid w:val="00FD4B96"/>
    <w:rsid w:val="00FD5191"/>
    <w:rsid w:val="00FD6059"/>
    <w:rsid w:val="00FD66A9"/>
    <w:rsid w:val="00FE01A7"/>
    <w:rsid w:val="00FE01A9"/>
    <w:rsid w:val="00FE0C0A"/>
    <w:rsid w:val="00FE1B95"/>
    <w:rsid w:val="00FE1E3D"/>
    <w:rsid w:val="00FE2121"/>
    <w:rsid w:val="00FE219F"/>
    <w:rsid w:val="00FE241C"/>
    <w:rsid w:val="00FE309B"/>
    <w:rsid w:val="00FE39C2"/>
    <w:rsid w:val="00FE4F43"/>
    <w:rsid w:val="00FE5087"/>
    <w:rsid w:val="00FE61D4"/>
    <w:rsid w:val="00FE636B"/>
    <w:rsid w:val="00FE6773"/>
    <w:rsid w:val="00FF0045"/>
    <w:rsid w:val="00FF0104"/>
    <w:rsid w:val="00FF0632"/>
    <w:rsid w:val="00FF087B"/>
    <w:rsid w:val="00FF1A21"/>
    <w:rsid w:val="00FF2D5D"/>
    <w:rsid w:val="00FF4789"/>
    <w:rsid w:val="00FF5592"/>
    <w:rsid w:val="00FF57C1"/>
    <w:rsid w:val="00FF655D"/>
    <w:rsid w:val="00FF6B21"/>
    <w:rsid w:val="00FF7639"/>
    <w:rsid w:val="00FF7921"/>
    <w:rsid w:val="02592404"/>
    <w:rsid w:val="0495719A"/>
    <w:rsid w:val="07384448"/>
    <w:rsid w:val="097A7DB6"/>
    <w:rsid w:val="0B016D33"/>
    <w:rsid w:val="0F607AC1"/>
    <w:rsid w:val="199E04CA"/>
    <w:rsid w:val="19F0323E"/>
    <w:rsid w:val="24885842"/>
    <w:rsid w:val="25F70FFE"/>
    <w:rsid w:val="2D16020C"/>
    <w:rsid w:val="2D5B2A2B"/>
    <w:rsid w:val="2E36783C"/>
    <w:rsid w:val="2FFFB80C"/>
    <w:rsid w:val="32955E28"/>
    <w:rsid w:val="360E7813"/>
    <w:rsid w:val="3D0108AB"/>
    <w:rsid w:val="3FFF3860"/>
    <w:rsid w:val="470315A2"/>
    <w:rsid w:val="47436716"/>
    <w:rsid w:val="47537C07"/>
    <w:rsid w:val="4A897A9B"/>
    <w:rsid w:val="4B0C38F4"/>
    <w:rsid w:val="4F017603"/>
    <w:rsid w:val="4F215A12"/>
    <w:rsid w:val="526254AB"/>
    <w:rsid w:val="5813680C"/>
    <w:rsid w:val="595A2602"/>
    <w:rsid w:val="59FE78EC"/>
    <w:rsid w:val="5E7F3237"/>
    <w:rsid w:val="629E0971"/>
    <w:rsid w:val="6AC94772"/>
    <w:rsid w:val="6D7C15BE"/>
    <w:rsid w:val="703F70C0"/>
    <w:rsid w:val="71740A6E"/>
    <w:rsid w:val="7187350C"/>
    <w:rsid w:val="738531BD"/>
    <w:rsid w:val="74112337"/>
    <w:rsid w:val="744F4F1D"/>
    <w:rsid w:val="77A7030A"/>
    <w:rsid w:val="7A684727"/>
    <w:rsid w:val="7AC6510D"/>
    <w:rsid w:val="7B4641D4"/>
    <w:rsid w:val="7FE16F0B"/>
    <w:rsid w:val="BFD7B5CD"/>
    <w:rsid w:val="E7934D8F"/>
    <w:rsid w:val="FAFBE7B8"/>
    <w:rsid w:val="FFFE8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5"/>
    <w:semiHidden/>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2"/>
    <w:unhideWhenUsed/>
    <w:qFormat/>
    <w:uiPriority w:val="0"/>
  </w:style>
  <w:style w:type="paragraph" w:styleId="6">
    <w:name w:val="Body Text"/>
    <w:basedOn w:val="1"/>
    <w:link w:val="24"/>
    <w:qFormat/>
    <w:uiPriority w:val="99"/>
    <w:pPr>
      <w:spacing w:after="120" w:line="240" w:lineRule="auto"/>
      <w:ind w:firstLine="0" w:firstLineChars="0"/>
      <w:jc w:val="both"/>
    </w:pPr>
    <w:rPr>
      <w:rFonts w:ascii="Times New Roman" w:hAnsi="Times New Roman" w:eastAsia="宋体" w:cs="Times New Roman"/>
      <w:kern w:val="0"/>
      <w:sz w:val="32"/>
      <w:szCs w:val="32"/>
    </w:rPr>
  </w:style>
  <w:style w:type="paragraph" w:styleId="7">
    <w:name w:val="toc 3"/>
    <w:basedOn w:val="1"/>
    <w:next w:val="1"/>
    <w:unhideWhenUsed/>
    <w:qFormat/>
    <w:uiPriority w:val="39"/>
    <w:pPr>
      <w:widowControl/>
      <w:tabs>
        <w:tab w:val="right" w:leader="dot" w:pos="8302"/>
      </w:tabs>
      <w:spacing w:after="100" w:line="259" w:lineRule="auto"/>
      <w:ind w:left="284" w:firstLine="0" w:firstLineChars="0"/>
    </w:pPr>
    <w:rPr>
      <w:rFonts w:ascii="仿宋_GB2312" w:eastAsia="仿宋_GB2312" w:cs="Times New Roman"/>
      <w:spacing w:val="-20"/>
      <w:sz w:val="32"/>
      <w:szCs w:val="32"/>
    </w:rPr>
  </w:style>
  <w:style w:type="paragraph" w:styleId="8">
    <w:name w:val="Balloon Text"/>
    <w:basedOn w:val="1"/>
    <w:link w:val="44"/>
    <w:semiHidden/>
    <w:unhideWhenUsed/>
    <w:qFormat/>
    <w:uiPriority w:val="99"/>
    <w:pPr>
      <w:spacing w:line="240" w:lineRule="auto"/>
    </w:pPr>
    <w:rPr>
      <w:sz w:val="18"/>
      <w:szCs w:val="18"/>
    </w:rPr>
  </w:style>
  <w:style w:type="paragraph" w:styleId="9">
    <w:name w:val="footer"/>
    <w:basedOn w:val="1"/>
    <w:link w:val="23"/>
    <w:unhideWhenUsed/>
    <w:qFormat/>
    <w:uiPriority w:val="99"/>
    <w:pPr>
      <w:tabs>
        <w:tab w:val="center" w:pos="4153"/>
        <w:tab w:val="right" w:pos="8306"/>
      </w:tabs>
      <w:snapToGrid w:val="0"/>
      <w:spacing w:line="240" w:lineRule="auto"/>
      <w:ind w:firstLine="0" w:firstLineChars="0"/>
    </w:pPr>
    <w:rPr>
      <w:sz w:val="18"/>
      <w:szCs w:val="18"/>
    </w:rPr>
  </w:style>
  <w:style w:type="paragraph" w:styleId="10">
    <w:name w:val="header"/>
    <w:basedOn w:val="1"/>
    <w:link w:val="22"/>
    <w:unhideWhenUsed/>
    <w:qFormat/>
    <w:uiPriority w:val="99"/>
    <w:pPr>
      <w:pBdr>
        <w:bottom w:val="single" w:color="auto" w:sz="6" w:space="1"/>
      </w:pBdr>
      <w:tabs>
        <w:tab w:val="center" w:pos="4153"/>
        <w:tab w:val="right" w:pos="8306"/>
      </w:tabs>
      <w:snapToGrid w:val="0"/>
      <w:spacing w:line="240" w:lineRule="auto"/>
      <w:ind w:firstLine="0" w:firstLineChars="0"/>
      <w:jc w:val="center"/>
    </w:pPr>
    <w:rPr>
      <w:sz w:val="18"/>
      <w:szCs w:val="18"/>
    </w:rPr>
  </w:style>
  <w:style w:type="paragraph" w:styleId="11">
    <w:name w:val="toc 1"/>
    <w:basedOn w:val="1"/>
    <w:next w:val="1"/>
    <w:unhideWhenUsed/>
    <w:qFormat/>
    <w:uiPriority w:val="39"/>
    <w:pPr>
      <w:widowControl/>
      <w:spacing w:after="100" w:line="259" w:lineRule="auto"/>
      <w:ind w:firstLine="0" w:firstLineChars="0"/>
    </w:pPr>
    <w:rPr>
      <w:rFonts w:cs="Times New Roman"/>
      <w:kern w:val="0"/>
      <w:sz w:val="22"/>
      <w:szCs w:val="22"/>
    </w:rPr>
  </w:style>
  <w:style w:type="paragraph" w:styleId="12">
    <w:name w:val="toc 2"/>
    <w:basedOn w:val="1"/>
    <w:next w:val="1"/>
    <w:unhideWhenUsed/>
    <w:qFormat/>
    <w:uiPriority w:val="39"/>
    <w:pPr>
      <w:widowControl/>
      <w:tabs>
        <w:tab w:val="right" w:leader="dot" w:pos="8302"/>
      </w:tabs>
      <w:spacing w:after="100" w:line="259" w:lineRule="auto"/>
      <w:ind w:firstLine="0" w:firstLineChars="0"/>
    </w:pPr>
    <w:rPr>
      <w:rFonts w:ascii="仿宋_GB2312" w:eastAsia="仿宋_GB2312" w:cs="Times New Roman"/>
      <w:b/>
      <w:kern w:val="0"/>
      <w:sz w:val="32"/>
      <w:szCs w:val="32"/>
    </w:rPr>
  </w:style>
  <w:style w:type="paragraph" w:styleId="13">
    <w:name w:val="annotation subject"/>
    <w:basedOn w:val="5"/>
    <w:next w:val="5"/>
    <w:link w:val="43"/>
    <w:semiHidden/>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Emphasis"/>
    <w:basedOn w:val="16"/>
    <w:qFormat/>
    <w:uiPriority w:val="20"/>
    <w:rPr>
      <w:i/>
      <w:iCs/>
    </w:rPr>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styleId="19">
    <w:name w:val="annotation reference"/>
    <w:basedOn w:val="16"/>
    <w:semiHidden/>
    <w:unhideWhenUsed/>
    <w:qFormat/>
    <w:uiPriority w:val="99"/>
    <w:rPr>
      <w:sz w:val="21"/>
      <w:szCs w:val="21"/>
    </w:rPr>
  </w:style>
  <w:style w:type="paragraph" w:customStyle="1" w:styleId="20">
    <w:name w:val="绩效正文"/>
    <w:basedOn w:val="1"/>
    <w:link w:val="21"/>
    <w:qFormat/>
    <w:uiPriority w:val="0"/>
    <w:pPr>
      <w:spacing w:line="480" w:lineRule="exact"/>
      <w:textAlignment w:val="baseline"/>
    </w:pPr>
    <w:rPr>
      <w:rFonts w:ascii="Times New Roman" w:hAnsi="Times New Roman" w:eastAsia="仿宋_GB2312" w:cs="Times New Roman"/>
      <w:sz w:val="32"/>
      <w:szCs w:val="24"/>
    </w:rPr>
  </w:style>
  <w:style w:type="character" w:customStyle="1" w:styleId="21">
    <w:name w:val="绩效正文 字符"/>
    <w:basedOn w:val="16"/>
    <w:link w:val="20"/>
    <w:qFormat/>
    <w:uiPriority w:val="0"/>
    <w:rPr>
      <w:rFonts w:ascii="Times New Roman" w:hAnsi="Times New Roman" w:eastAsia="仿宋_GB2312" w:cs="Times New Roman"/>
      <w:sz w:val="32"/>
      <w:szCs w:val="24"/>
    </w:rPr>
  </w:style>
  <w:style w:type="character" w:customStyle="1" w:styleId="22">
    <w:name w:val="页眉 字符"/>
    <w:basedOn w:val="16"/>
    <w:link w:val="10"/>
    <w:qFormat/>
    <w:uiPriority w:val="99"/>
    <w:rPr>
      <w:sz w:val="18"/>
      <w:szCs w:val="18"/>
    </w:rPr>
  </w:style>
  <w:style w:type="character" w:customStyle="1" w:styleId="23">
    <w:name w:val="页脚 字符"/>
    <w:basedOn w:val="16"/>
    <w:link w:val="9"/>
    <w:qFormat/>
    <w:uiPriority w:val="99"/>
    <w:rPr>
      <w:sz w:val="18"/>
      <w:szCs w:val="18"/>
    </w:rPr>
  </w:style>
  <w:style w:type="character" w:customStyle="1" w:styleId="24">
    <w:name w:val="正文文本 字符"/>
    <w:basedOn w:val="16"/>
    <w:link w:val="6"/>
    <w:qFormat/>
    <w:uiPriority w:val="99"/>
    <w:rPr>
      <w:rFonts w:ascii="Times New Roman" w:hAnsi="Times New Roman" w:eastAsia="宋体" w:cs="Times New Roman"/>
      <w:kern w:val="0"/>
      <w:sz w:val="32"/>
      <w:szCs w:val="32"/>
    </w:rPr>
  </w:style>
  <w:style w:type="paragraph" w:customStyle="1" w:styleId="25">
    <w:name w:val="市局绩效-标题"/>
    <w:basedOn w:val="2"/>
    <w:link w:val="27"/>
    <w:qFormat/>
    <w:uiPriority w:val="0"/>
    <w:pPr>
      <w:spacing w:line="600" w:lineRule="exact"/>
      <w:ind w:firstLine="0" w:firstLineChars="0"/>
      <w:jc w:val="center"/>
    </w:pPr>
    <w:rPr>
      <w:rFonts w:ascii="方正小标宋简体" w:hAnsi="方正小标宋简体" w:eastAsia="方正小标宋简体"/>
      <w:b w:val="0"/>
    </w:rPr>
  </w:style>
  <w:style w:type="paragraph" w:customStyle="1" w:styleId="26">
    <w:name w:val="市局绩效-正文"/>
    <w:basedOn w:val="1"/>
    <w:link w:val="30"/>
    <w:qFormat/>
    <w:uiPriority w:val="0"/>
    <w:pPr>
      <w:spacing w:line="600" w:lineRule="exact"/>
      <w:jc w:val="both"/>
    </w:pPr>
    <w:rPr>
      <w:rFonts w:ascii="Times New Roman" w:hAnsi="Times New Roman" w:eastAsia="仿宋_GB2312"/>
      <w:sz w:val="32"/>
    </w:rPr>
  </w:style>
  <w:style w:type="character" w:customStyle="1" w:styleId="27">
    <w:name w:val="市局绩效-标题 字符"/>
    <w:basedOn w:val="28"/>
    <w:link w:val="25"/>
    <w:qFormat/>
    <w:uiPriority w:val="0"/>
    <w:rPr>
      <w:rFonts w:ascii="方正小标宋简体" w:hAnsi="方正小标宋简体" w:eastAsia="方正小标宋简体"/>
      <w:b w:val="0"/>
      <w:kern w:val="44"/>
      <w:sz w:val="44"/>
      <w:szCs w:val="44"/>
    </w:rPr>
  </w:style>
  <w:style w:type="character" w:customStyle="1" w:styleId="28">
    <w:name w:val="标题 1 字符"/>
    <w:basedOn w:val="16"/>
    <w:link w:val="2"/>
    <w:qFormat/>
    <w:uiPriority w:val="9"/>
    <w:rPr>
      <w:b/>
      <w:bCs/>
      <w:kern w:val="44"/>
      <w:sz w:val="44"/>
      <w:szCs w:val="44"/>
    </w:rPr>
  </w:style>
  <w:style w:type="paragraph" w:customStyle="1" w:styleId="29">
    <w:name w:val="市局绩效-一级标题"/>
    <w:basedOn w:val="3"/>
    <w:link w:val="32"/>
    <w:qFormat/>
    <w:uiPriority w:val="0"/>
    <w:pPr>
      <w:spacing w:line="600" w:lineRule="exact"/>
      <w:ind w:firstLine="641" w:firstLineChars="0"/>
      <w:jc w:val="both"/>
    </w:pPr>
    <w:rPr>
      <w:rFonts w:ascii="Times New Roman" w:hAnsi="Times New Roman" w:eastAsia="黑体"/>
      <w:b w:val="0"/>
    </w:rPr>
  </w:style>
  <w:style w:type="character" w:customStyle="1" w:styleId="30">
    <w:name w:val="市局绩效-正文 字符"/>
    <w:basedOn w:val="16"/>
    <w:link w:val="26"/>
    <w:qFormat/>
    <w:uiPriority w:val="0"/>
    <w:rPr>
      <w:rFonts w:ascii="Times New Roman" w:hAnsi="Times New Roman" w:eastAsia="仿宋_GB2312"/>
      <w:sz w:val="32"/>
      <w:szCs w:val="21"/>
    </w:rPr>
  </w:style>
  <w:style w:type="paragraph" w:customStyle="1" w:styleId="31">
    <w:name w:val="市局绩效-二级标题"/>
    <w:basedOn w:val="4"/>
    <w:link w:val="34"/>
    <w:qFormat/>
    <w:uiPriority w:val="0"/>
    <w:pPr>
      <w:spacing w:line="600" w:lineRule="exact"/>
      <w:jc w:val="both"/>
    </w:pPr>
    <w:rPr>
      <w:rFonts w:eastAsia="楷体_GB2312"/>
      <w:b w:val="0"/>
    </w:rPr>
  </w:style>
  <w:style w:type="character" w:customStyle="1" w:styleId="32">
    <w:name w:val="市局绩效-一级标题 字符"/>
    <w:basedOn w:val="33"/>
    <w:link w:val="29"/>
    <w:qFormat/>
    <w:uiPriority w:val="0"/>
    <w:rPr>
      <w:rFonts w:ascii="Times New Roman" w:hAnsi="Times New Roman" w:eastAsia="黑体" w:cstheme="majorBidi"/>
      <w:b w:val="0"/>
      <w:sz w:val="32"/>
      <w:szCs w:val="32"/>
    </w:rPr>
  </w:style>
  <w:style w:type="character" w:customStyle="1" w:styleId="33">
    <w:name w:val="标题 2 字符"/>
    <w:basedOn w:val="16"/>
    <w:link w:val="3"/>
    <w:semiHidden/>
    <w:qFormat/>
    <w:uiPriority w:val="9"/>
    <w:rPr>
      <w:rFonts w:asciiTheme="majorHAnsi" w:hAnsiTheme="majorHAnsi" w:eastAsiaTheme="majorEastAsia" w:cstheme="majorBidi"/>
      <w:b/>
      <w:bCs/>
      <w:sz w:val="32"/>
      <w:szCs w:val="32"/>
    </w:rPr>
  </w:style>
  <w:style w:type="character" w:customStyle="1" w:styleId="34">
    <w:name w:val="市局绩效-二级标题 字符"/>
    <w:basedOn w:val="35"/>
    <w:link w:val="31"/>
    <w:qFormat/>
    <w:uiPriority w:val="0"/>
    <w:rPr>
      <w:rFonts w:eastAsia="楷体_GB2312"/>
      <w:b w:val="0"/>
      <w:sz w:val="32"/>
      <w:szCs w:val="32"/>
    </w:rPr>
  </w:style>
  <w:style w:type="character" w:customStyle="1" w:styleId="35">
    <w:name w:val="标题 3 字符"/>
    <w:basedOn w:val="16"/>
    <w:link w:val="4"/>
    <w:semiHidden/>
    <w:qFormat/>
    <w:uiPriority w:val="9"/>
    <w:rPr>
      <w:b/>
      <w:bCs/>
      <w:sz w:val="32"/>
      <w:szCs w:val="32"/>
    </w:rPr>
  </w:style>
  <w:style w:type="character" w:customStyle="1" w:styleId="36">
    <w:name w:val="市局绩效-表格标题 字符"/>
    <w:basedOn w:val="16"/>
    <w:link w:val="37"/>
    <w:qFormat/>
    <w:locked/>
    <w:uiPriority w:val="0"/>
    <w:rPr>
      <w:rFonts w:ascii="Times New Roman" w:hAnsi="Times New Roman" w:eastAsia="宋体" w:cs="Times New Roman"/>
      <w:bCs/>
      <w:sz w:val="24"/>
      <w:szCs w:val="24"/>
    </w:rPr>
  </w:style>
  <w:style w:type="paragraph" w:customStyle="1" w:styleId="37">
    <w:name w:val="市局绩效-表格标题"/>
    <w:basedOn w:val="1"/>
    <w:link w:val="36"/>
    <w:qFormat/>
    <w:uiPriority w:val="0"/>
    <w:pPr>
      <w:widowControl/>
      <w:spacing w:line="240" w:lineRule="auto"/>
      <w:ind w:firstLine="0" w:firstLineChars="0"/>
      <w:jc w:val="center"/>
    </w:pPr>
    <w:rPr>
      <w:rFonts w:ascii="Times New Roman" w:hAnsi="Times New Roman" w:eastAsia="宋体" w:cs="Times New Roman"/>
      <w:bCs/>
      <w:sz w:val="24"/>
      <w:szCs w:val="24"/>
    </w:rPr>
  </w:style>
  <w:style w:type="character" w:customStyle="1" w:styleId="38">
    <w:name w:val="市局绩效-表格内容 字符"/>
    <w:basedOn w:val="30"/>
    <w:link w:val="39"/>
    <w:qFormat/>
    <w:locked/>
    <w:uiPriority w:val="0"/>
    <w:rPr>
      <w:rFonts w:ascii="Times New Roman" w:hAnsi="Times New Roman" w:eastAsia="宋体" w:cs="Times New Roman"/>
      <w:sz w:val="32"/>
      <w:szCs w:val="21"/>
    </w:rPr>
  </w:style>
  <w:style w:type="paragraph" w:customStyle="1" w:styleId="39">
    <w:name w:val="市局绩效-表格内容"/>
    <w:basedOn w:val="26"/>
    <w:link w:val="38"/>
    <w:qFormat/>
    <w:uiPriority w:val="0"/>
    <w:pPr>
      <w:spacing w:line="240" w:lineRule="auto"/>
      <w:ind w:firstLine="0" w:firstLineChars="0"/>
    </w:pPr>
    <w:rPr>
      <w:rFonts w:eastAsia="宋体" w:cs="Times New Roman"/>
    </w:rPr>
  </w:style>
  <w:style w:type="paragraph" w:customStyle="1" w:styleId="40">
    <w:name w:val="市局绩效-表格表头"/>
    <w:basedOn w:val="26"/>
    <w:link w:val="41"/>
    <w:qFormat/>
    <w:uiPriority w:val="0"/>
    <w:pPr>
      <w:spacing w:line="240" w:lineRule="auto"/>
      <w:ind w:firstLine="0" w:firstLineChars="0"/>
      <w:jc w:val="center"/>
    </w:pPr>
    <w:rPr>
      <w:rFonts w:eastAsia="宋体"/>
      <w:b/>
    </w:rPr>
  </w:style>
  <w:style w:type="character" w:customStyle="1" w:styleId="41">
    <w:name w:val="市局绩效-表格表头 字符"/>
    <w:basedOn w:val="30"/>
    <w:link w:val="40"/>
    <w:qFormat/>
    <w:uiPriority w:val="0"/>
    <w:rPr>
      <w:rFonts w:ascii="Times New Roman" w:hAnsi="Times New Roman" w:eastAsia="宋体"/>
      <w:b/>
      <w:sz w:val="32"/>
      <w:szCs w:val="21"/>
    </w:rPr>
  </w:style>
  <w:style w:type="character" w:customStyle="1" w:styleId="42">
    <w:name w:val="批注文字 字符"/>
    <w:basedOn w:val="16"/>
    <w:link w:val="5"/>
    <w:qFormat/>
    <w:uiPriority w:val="0"/>
    <w:rPr>
      <w:szCs w:val="21"/>
    </w:rPr>
  </w:style>
  <w:style w:type="character" w:customStyle="1" w:styleId="43">
    <w:name w:val="批注主题 字符"/>
    <w:basedOn w:val="42"/>
    <w:link w:val="13"/>
    <w:semiHidden/>
    <w:qFormat/>
    <w:uiPriority w:val="99"/>
    <w:rPr>
      <w:b/>
      <w:bCs/>
      <w:szCs w:val="21"/>
    </w:rPr>
  </w:style>
  <w:style w:type="character" w:customStyle="1" w:styleId="44">
    <w:name w:val="批注框文本 字符"/>
    <w:basedOn w:val="16"/>
    <w:link w:val="8"/>
    <w:semiHidden/>
    <w:qFormat/>
    <w:uiPriority w:val="99"/>
    <w:rPr>
      <w:sz w:val="18"/>
      <w:szCs w:val="18"/>
    </w:rPr>
  </w:style>
  <w:style w:type="paragraph" w:customStyle="1" w:styleId="4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46">
    <w:name w:val="TOC 标题1"/>
    <w:basedOn w:val="2"/>
    <w:next w:val="1"/>
    <w:unhideWhenUsed/>
    <w:qFormat/>
    <w:uiPriority w:val="39"/>
    <w:pPr>
      <w:widowControl/>
      <w:spacing w:before="240" w:after="0" w:line="259" w:lineRule="auto"/>
      <w:ind w:firstLine="0" w:firstLineChars="0"/>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47">
    <w:name w:val="市局绩效-表格单位"/>
    <w:basedOn w:val="1"/>
    <w:link w:val="48"/>
    <w:qFormat/>
    <w:uiPriority w:val="0"/>
    <w:pPr>
      <w:widowControl/>
      <w:spacing w:line="240" w:lineRule="auto"/>
      <w:ind w:firstLine="0" w:firstLineChars="0"/>
      <w:jc w:val="right"/>
    </w:pPr>
    <w:rPr>
      <w:rFonts w:ascii="Times New Roman" w:hAnsi="Times New Roman" w:eastAsia="宋体"/>
      <w:bCs/>
      <w:szCs w:val="18"/>
    </w:rPr>
  </w:style>
  <w:style w:type="character" w:customStyle="1" w:styleId="48">
    <w:name w:val="市局绩效-表格单位 字符"/>
    <w:basedOn w:val="16"/>
    <w:link w:val="47"/>
    <w:qFormat/>
    <w:uiPriority w:val="0"/>
    <w:rPr>
      <w:rFonts w:ascii="Times New Roman" w:hAnsi="Times New Roman" w:eastAsia="宋体"/>
      <w:bCs/>
      <w:szCs w:val="18"/>
    </w:rPr>
  </w:style>
  <w:style w:type="table" w:customStyle="1" w:styleId="49">
    <w:name w:val="网格型1"/>
    <w:basedOn w:val="14"/>
    <w:qFormat/>
    <w:uiPriority w:val="39"/>
    <w:rPr>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
    <w:name w:val="TOC 标题2"/>
    <w:basedOn w:val="2"/>
    <w:next w:val="1"/>
    <w:unhideWhenUsed/>
    <w:qFormat/>
    <w:uiPriority w:val="39"/>
    <w:pPr>
      <w:widowControl/>
      <w:spacing w:before="240" w:after="0" w:line="259" w:lineRule="auto"/>
      <w:ind w:firstLine="0" w:firstLineChars="0"/>
      <w:outlineLvl w:val="9"/>
    </w:pPr>
    <w:rPr>
      <w:rFonts w:asciiTheme="majorHAnsi" w:hAnsiTheme="majorHAnsi" w:eastAsiaTheme="majorEastAsia" w:cstheme="majorBidi"/>
      <w:b w:val="0"/>
      <w:bCs w:val="0"/>
      <w:color w:val="2E75B6" w:themeColor="accent1" w:themeShade="BF"/>
      <w:kern w:val="0"/>
      <w:sz w:val="32"/>
      <w:szCs w:val="32"/>
    </w:rPr>
  </w:style>
  <w:style w:type="table" w:customStyle="1" w:styleId="51">
    <w:name w:val="网格型2"/>
    <w:basedOn w:val="14"/>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21B154-64A5-4D98-96C0-22844F4C912D}">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31</Pages>
  <Words>2416</Words>
  <Characters>13772</Characters>
  <Lines>114</Lines>
  <Paragraphs>32</Paragraphs>
  <TotalTime>10</TotalTime>
  <ScaleCrop>false</ScaleCrop>
  <LinksUpToDate>false</LinksUpToDate>
  <CharactersWithSpaces>16156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2022-04-29T18:22:00Z</dcterms:created>
  <dc:creator>11866</dc:creator>
  <cp:lastModifiedBy>Admin</cp:lastModifiedBy>
  <cp:lastPrinted>2023-08-13T00:38:00Z</cp:lastPrinted>
  <dcterms:modified xsi:type="dcterms:W3CDTF">2024-11-06T07:08:59Z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164EDF4FA17D4E52A14DD3A73742EF5C_12</vt:lpwstr>
  </property>
</Properties>
</file>