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jc w:val="center"/>
        <w:rPr>
          <w:rFonts w:ascii="Times New Roman" w:hAnsi="Times New Roman" w:eastAsia="方正小标宋简体"/>
          <w:sz w:val="52"/>
          <w:szCs w:val="52"/>
        </w:rPr>
      </w:pPr>
      <w:r>
        <w:rPr>
          <w:rFonts w:hint="eastAsia" w:ascii="Times New Roman" w:hAnsi="Times New Roman" w:eastAsia="方正小标宋简体"/>
          <w:sz w:val="52"/>
          <w:szCs w:val="52"/>
          <w:lang w:eastAsia="zh-Hans"/>
        </w:rPr>
        <w:t>项目</w:t>
      </w:r>
      <w:r>
        <w:rPr>
          <w:rFonts w:ascii="Times New Roman" w:hAnsi="Times New Roman" w:eastAsia="方正小标宋简体"/>
          <w:sz w:val="52"/>
          <w:szCs w:val="52"/>
        </w:rPr>
        <w:t>支出</w:t>
      </w:r>
      <w:r>
        <w:rPr>
          <w:rFonts w:hint="eastAsia" w:ascii="Times New Roman" w:hAnsi="Times New Roman" w:eastAsia="方正小标宋简体"/>
          <w:sz w:val="52"/>
          <w:szCs w:val="52"/>
        </w:rPr>
        <w:t>绩效评价</w:t>
      </w:r>
      <w:r>
        <w:rPr>
          <w:rFonts w:ascii="Times New Roman" w:hAnsi="Times New Roman" w:eastAsia="方正小标宋简体"/>
          <w:sz w:val="52"/>
          <w:szCs w:val="52"/>
        </w:rPr>
        <w:t>报告</w:t>
      </w:r>
    </w:p>
    <w:p>
      <w:pPr>
        <w:spacing w:line="800" w:lineRule="exact"/>
        <w:ind w:firstLine="0" w:firstLineChars="0"/>
        <w:jc w:val="center"/>
        <w:rPr>
          <w:rFonts w:ascii="Times New Roman" w:hAnsi="Times New Roman" w:eastAsia="方正小标宋简体"/>
          <w:sz w:val="48"/>
          <w:szCs w:val="44"/>
        </w:rPr>
      </w:pPr>
      <w:r>
        <w:rPr>
          <w:rFonts w:ascii="Times New Roman" w:hAnsi="Times New Roman" w:eastAsia="方正小标宋简体"/>
          <w:sz w:val="40"/>
          <w:szCs w:val="36"/>
        </w:rPr>
        <w:t>（</w:t>
      </w:r>
      <w:r>
        <w:rPr>
          <w:rFonts w:ascii="Times New Roman" w:hAnsi="Times New Roman" w:eastAsia="方正小标宋简体" w:cs="Times New Roman"/>
          <w:sz w:val="40"/>
          <w:szCs w:val="40"/>
        </w:rPr>
        <w:t>202</w:t>
      </w:r>
      <w:r>
        <w:rPr>
          <w:rFonts w:hint="eastAsia" w:ascii="Times New Roman" w:hAnsi="Times New Roman" w:eastAsia="方正小标宋简体" w:cs="Times New Roman"/>
          <w:sz w:val="40"/>
          <w:szCs w:val="40"/>
        </w:rPr>
        <w:t>3</w:t>
      </w:r>
      <w:r>
        <w:rPr>
          <w:rFonts w:ascii="Times New Roman" w:hAnsi="Times New Roman" w:eastAsia="方正小标宋简体"/>
          <w:sz w:val="40"/>
          <w:szCs w:val="36"/>
        </w:rPr>
        <w:t>年度）</w:t>
      </w: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900" w:lineRule="exact"/>
        <w:ind w:firstLine="0" w:firstLineChars="0"/>
        <w:rPr>
          <w:rFonts w:ascii="Times New Roman" w:hAnsi="Times New Roman" w:eastAsia="仿宋_GB2312"/>
          <w:sz w:val="32"/>
          <w:szCs w:val="32"/>
        </w:rPr>
      </w:pPr>
      <w:r>
        <w:rPr>
          <w:rFonts w:hint="eastAsia" w:ascii="Times New Roman" w:hAnsi="Times New Roman" w:eastAsia="仿宋_GB2312"/>
          <w:sz w:val="32"/>
          <w:szCs w:val="32"/>
        </w:rPr>
        <w:t>项 目 名 称：</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环卫作业市场化经费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单 位</w:t>
      </w:r>
      <w:r>
        <w:rPr>
          <w:rFonts w:ascii="Times New Roman" w:hAnsi="Times New Roman" w:eastAsia="仿宋_GB2312"/>
          <w:sz w:val="32"/>
          <w:szCs w:val="32"/>
        </w:rPr>
        <w:t>：</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hint="eastAsia" w:ascii="Times New Roman" w:hAnsi="Times New Roman" w:eastAsia="仿宋_GB2312"/>
          <w:sz w:val="32"/>
          <w:szCs w:val="32"/>
          <w:u w:val="single"/>
        </w:rPr>
        <w:t>天津市和平区城市管理委员会</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left="2240" w:hanging="2240" w:hangingChars="700"/>
        <w:rPr>
          <w:rFonts w:ascii="Times New Roman" w:hAnsi="Times New Roman" w:eastAsia="仿宋_GB2312"/>
          <w:sz w:val="32"/>
          <w:szCs w:val="32"/>
          <w:u w:val="single"/>
        </w:rPr>
      </w:pPr>
      <w:r>
        <w:rPr>
          <w:rFonts w:hint="eastAsia" w:ascii="Times New Roman" w:hAnsi="Times New Roman" w:eastAsia="仿宋_GB2312"/>
          <w:sz w:val="32"/>
          <w:szCs w:val="32"/>
        </w:rPr>
        <w:t>主 管 部 门：</w:t>
      </w:r>
      <w:r>
        <w:rPr>
          <w:rFonts w:hint="eastAsia" w:ascii="Times New Roman" w:hAnsi="Times New Roman" w:eastAsia="仿宋_GB2312"/>
          <w:sz w:val="32"/>
          <w:szCs w:val="32"/>
          <w:u w:val="single"/>
        </w:rPr>
        <w:t xml:space="preserve">        天津市和平区城市管理委员会        </w:t>
      </w:r>
    </w:p>
    <w:p>
      <w:pPr>
        <w:spacing w:line="900" w:lineRule="exact"/>
        <w:ind w:firstLine="0" w:firstLineChars="0"/>
        <w:rPr>
          <w:rFonts w:ascii="Times New Roman" w:hAnsi="Times New Roman" w:eastAsia="仿宋_GB2312"/>
          <w:sz w:val="32"/>
          <w:szCs w:val="32"/>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 xml:space="preserve">价 </w:t>
      </w:r>
      <w:r>
        <w:rPr>
          <w:rFonts w:ascii="Times New Roman" w:hAnsi="Times New Roman" w:eastAsia="仿宋_GB2312"/>
          <w:sz w:val="32"/>
          <w:szCs w:val="32"/>
        </w:rPr>
        <w:t>机 构</w:t>
      </w:r>
      <w:r>
        <w:rPr>
          <w:rFonts w:hint="eastAsia" w:ascii="Times New Roman" w:hAnsi="Times New Roman" w:eastAsia="仿宋_GB2312"/>
          <w:sz w:val="32"/>
          <w:szCs w:val="32"/>
        </w:rPr>
        <w:t>：</w:t>
      </w:r>
      <w:r>
        <w:rPr>
          <w:rFonts w:ascii="Times New Roman" w:hAnsi="Times New Roman" w:eastAsia="仿宋_GB2312"/>
          <w:sz w:val="32"/>
          <w:szCs w:val="32"/>
          <w:u w:val="single"/>
        </w:rPr>
        <w:t xml:space="preserve">         天津</w:t>
      </w:r>
      <w:r>
        <w:rPr>
          <w:rFonts w:hint="eastAsia" w:ascii="Times New Roman" w:hAnsi="Times New Roman" w:eastAsia="仿宋_GB2312"/>
          <w:sz w:val="32"/>
          <w:szCs w:val="32"/>
          <w:u w:val="single"/>
        </w:rPr>
        <w:t>安信管理咨询</w:t>
      </w:r>
      <w:r>
        <w:rPr>
          <w:rFonts w:ascii="Times New Roman" w:hAnsi="Times New Roman" w:eastAsia="仿宋_GB2312"/>
          <w:sz w:val="32"/>
          <w:szCs w:val="32"/>
          <w:u w:val="single"/>
        </w:rPr>
        <w:t>有限公司</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价</w:t>
      </w:r>
      <w:r>
        <w:rPr>
          <w:rFonts w:ascii="Times New Roman" w:hAnsi="Times New Roman" w:eastAsia="仿宋_GB2312"/>
          <w:sz w:val="32"/>
          <w:szCs w:val="32"/>
        </w:rPr>
        <w:t xml:space="preserve"> 日 期：</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cs="Times New Roman"/>
          <w:sz w:val="32"/>
          <w:szCs w:val="32"/>
          <w:u w:val="single"/>
        </w:rPr>
        <w:t>202</w:t>
      </w:r>
      <w:r>
        <w:rPr>
          <w:rFonts w:hint="eastAsia" w:ascii="Times New Roman" w:hAnsi="Times New Roman" w:eastAsia="仿宋_GB2312" w:cs="Times New Roman"/>
          <w:sz w:val="32"/>
          <w:szCs w:val="32"/>
          <w:u w:val="single"/>
        </w:rPr>
        <w:t>4</w:t>
      </w:r>
      <w:r>
        <w:rPr>
          <w:rFonts w:hint="eastAsia" w:ascii="Times New Roman" w:hAnsi="Times New Roman" w:eastAsia="仿宋_GB2312"/>
          <w:sz w:val="32"/>
          <w:szCs w:val="32"/>
          <w:u w:val="single"/>
        </w:rPr>
        <w:t>年</w:t>
      </w:r>
      <w:r>
        <w:rPr>
          <w:rFonts w:hint="eastAsia" w:ascii="Times New Roman" w:hAnsi="Times New Roman" w:eastAsia="仿宋_GB2312" w:cs="Times New Roman"/>
          <w:sz w:val="32"/>
          <w:szCs w:val="32"/>
          <w:u w:val="single"/>
        </w:rPr>
        <w:t>8</w:t>
      </w:r>
      <w:r>
        <w:rPr>
          <w:rFonts w:hint="eastAsia" w:ascii="Times New Roman" w:hAnsi="Times New Roman" w:eastAsia="仿宋_GB2312"/>
          <w:sz w:val="32"/>
          <w:szCs w:val="32"/>
          <w:u w:val="single"/>
        </w:rPr>
        <w:t xml:space="preserve">月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p>
    <w:p>
      <w:pPr>
        <w:widowControl/>
        <w:spacing w:line="240" w:lineRule="auto"/>
        <w:ind w:firstLine="0" w:firstLineChars="0"/>
        <w:rPr>
          <w:rFonts w:ascii="Times New Roman" w:hAnsi="Times New Roman" w:eastAsia="方正小标宋简体"/>
          <w:bCs/>
          <w:color w:val="000000" w:themeColor="text1"/>
          <w:kern w:val="44"/>
          <w:sz w:val="44"/>
          <w:szCs w:val="44"/>
          <w14:textFill>
            <w14:solidFill>
              <w14:schemeClr w14:val="tx1"/>
            </w14:solidFill>
          </w14:textFill>
        </w:rPr>
      </w:pPr>
      <w:r>
        <w:rPr>
          <w:rFonts w:ascii="Times New Roman" w:hAnsi="Times New Roman" w:eastAsia="方正小标宋简体"/>
          <w:bCs/>
          <w:color w:val="000000" w:themeColor="text1"/>
          <w:kern w:val="44"/>
          <w:sz w:val="44"/>
          <w:szCs w:val="44"/>
          <w14:textFill>
            <w14:solidFill>
              <w14:schemeClr w14:val="tx1"/>
            </w14:solidFill>
          </w14:textFill>
        </w:rPr>
        <w:br w:type="page"/>
      </w:r>
    </w:p>
    <w:sdt>
      <w:sdtPr>
        <w:rPr>
          <w:rFonts w:ascii="Times New Roman" w:hAnsi="Times New Roman" w:eastAsiaTheme="majorEastAsia" w:cstheme="majorBidi"/>
          <w:color w:val="2F5597" w:themeColor="accent1" w:themeShade="BF"/>
          <w:kern w:val="0"/>
          <w:sz w:val="32"/>
          <w:szCs w:val="32"/>
          <w:lang w:val="zh-CN"/>
        </w:rPr>
        <w:id w:val="-505280812"/>
        <w:docPartObj>
          <w:docPartGallery w:val="Table of Contents"/>
          <w:docPartUnique/>
        </w:docPartObj>
      </w:sdtPr>
      <w:sdtEndPr>
        <w:rPr>
          <w:rFonts w:ascii="Times New Roman" w:hAnsi="Times New Roman" w:eastAsiaTheme="majorEastAsia" w:cstheme="majorBidi"/>
          <w:b/>
          <w:bCs/>
          <w:color w:val="2F5597" w:themeColor="accent1" w:themeShade="BF"/>
          <w:kern w:val="0"/>
          <w:sz w:val="32"/>
          <w:szCs w:val="32"/>
          <w:lang w:val="zh-CN"/>
        </w:rPr>
      </w:sdtEndPr>
      <w:sdtContent>
        <w:p>
          <w:pPr>
            <w:spacing w:line="560" w:lineRule="exact"/>
            <w:ind w:firstLine="0" w:firstLineChars="0"/>
            <w:jc w:val="center"/>
            <w:rPr>
              <w:rFonts w:ascii="Times New Roman" w:hAnsi="Times New Roman" w:eastAsia="黑体" w:cs="黑体"/>
            </w:rPr>
          </w:pPr>
          <w:r>
            <w:rPr>
              <w:rFonts w:hint="eastAsia" w:ascii="Times New Roman" w:hAnsi="Times New Roman" w:eastAsia="黑体" w:cs="黑体"/>
              <w:sz w:val="36"/>
              <w:szCs w:val="36"/>
            </w:rPr>
            <w:t>目  录</w:t>
          </w:r>
          <w:r>
            <w:rPr>
              <w:rFonts w:ascii="Times New Roman" w:hAnsi="Times New Roman" w:eastAsia="黑体" w:cs="黑体"/>
            </w:rPr>
            <w:fldChar w:fldCharType="begin"/>
          </w:r>
          <w:r>
            <w:rPr>
              <w:rFonts w:ascii="Times New Roman" w:hAnsi="Times New Roman" w:eastAsia="黑体" w:cs="黑体"/>
            </w:rPr>
            <w:instrText xml:space="preserve"> </w:instrText>
          </w:r>
          <w:r>
            <w:rPr>
              <w:rFonts w:hint="eastAsia" w:ascii="Times New Roman" w:hAnsi="Times New Roman" w:eastAsia="黑体" w:cs="黑体"/>
            </w:rPr>
            <w:instrText xml:space="preserve">TOC \o "1-3" \h \z \u</w:instrText>
          </w:r>
          <w:r>
            <w:rPr>
              <w:rFonts w:ascii="Times New Roman" w:hAnsi="Times New Roman" w:eastAsia="黑体" w:cs="黑体"/>
            </w:rPr>
            <w:instrText xml:space="preserve"> </w:instrText>
          </w:r>
          <w:r>
            <w:rPr>
              <w:rFonts w:ascii="Times New Roman" w:hAnsi="Times New Roman" w:eastAsia="黑体" w:cs="黑体"/>
            </w:rPr>
            <w:fldChar w:fldCharType="separate"/>
          </w:r>
        </w:p>
        <w:p>
          <w:pPr>
            <w:pStyle w:val="12"/>
            <w:tabs>
              <w:tab w:val="right" w:leader="dot" w:pos="8844"/>
              <w:tab w:val="clear" w:pos="8834"/>
            </w:tabs>
            <w:spacing w:line="560" w:lineRule="exact"/>
            <w:ind w:left="643" w:hanging="643"/>
          </w:pPr>
          <w:r>
            <w:fldChar w:fldCharType="begin"/>
          </w:r>
          <w:r>
            <w:instrText xml:space="preserve"> HYPERLINK \l "_Toc18544" </w:instrText>
          </w:r>
          <w:r>
            <w:fldChar w:fldCharType="separate"/>
          </w:r>
          <w:r>
            <w:rPr>
              <w:rFonts w:hint="eastAsia"/>
            </w:rPr>
            <w:t>一、项目基本情况</w:t>
          </w:r>
          <w:r>
            <w:tab/>
          </w:r>
          <w:r>
            <w:fldChar w:fldCharType="begin"/>
          </w:r>
          <w:r>
            <w:instrText xml:space="preserve"> PAGEREF _Toc18544 \h </w:instrText>
          </w:r>
          <w:r>
            <w:fldChar w:fldCharType="separate"/>
          </w:r>
          <w:r>
            <w:t>- 1 -</w:t>
          </w:r>
          <w:r>
            <w:fldChar w:fldCharType="end"/>
          </w:r>
          <w: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"_Toc12208" </w:instrText>
          </w:r>
          <w:r>
            <w:fldChar w:fldCharType="separate"/>
          </w:r>
          <w:r>
            <w:rPr>
              <w:rFonts w:hint="eastAsia" w:ascii="Times New Roman" w:hAnsi="Times New Roman"/>
            </w:rPr>
            <w:t>（一）项目概况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_Toc12208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"_Toc26529" </w:instrText>
          </w:r>
          <w:r>
            <w:fldChar w:fldCharType="separate"/>
          </w:r>
          <w:r>
            <w:rPr>
              <w:rFonts w:hint="eastAsia" w:ascii="Times New Roman" w:hAnsi="Times New Roman"/>
            </w:rPr>
            <w:t>（二）项目绩效目标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_Toc26529 \h </w:instrText>
          </w:r>
          <w:r>
            <w:rPr>
              <w:rFonts w:ascii="Times New Roman" w:hAnsi="Times New Roman"/>
            </w:rPr>
            <w:fldChar w:fldCharType="separate"/>
          </w:r>
          <w:r>
            <w:rPr>
              <w:rFonts w:ascii="Times New Roman" w:hAnsi="Times New Roman"/>
            </w:rPr>
            <w:t>- 3 -</w:t>
          </w:r>
          <w:r>
            <w:rPr>
              <w:rFonts w:ascii="Times New Roman" w:hAnsi="Times New Roman"/>
            </w:rPr>
            <w:fldChar w:fldCharType="end"/>
          </w:r>
          <w:r>
            <w:rPr>
              <w:rFonts w:ascii="Times New Roman" w:hAnsi="Times New Roman"/>
            </w:rPr>
            <w:fldChar w:fldCharType="end"/>
          </w:r>
        </w:p>
        <w:p>
          <w:pPr>
            <w:pStyle w:val="12"/>
            <w:tabs>
              <w:tab w:val="right" w:leader="dot" w:pos="8844"/>
              <w:tab w:val="clear" w:pos="8834"/>
            </w:tabs>
            <w:spacing w:line="560" w:lineRule="exact"/>
            <w:ind w:left="643" w:hanging="643"/>
          </w:pPr>
          <w:r>
            <w:fldChar w:fldCharType="begin"/>
          </w:r>
          <w:r>
            <w:instrText xml:space="preserve"> HYPERLINK \l "_Toc22060" </w:instrText>
          </w:r>
          <w:r>
            <w:fldChar w:fldCharType="separate"/>
          </w:r>
          <w:r>
            <w:rPr>
              <w:rFonts w:hint="eastAsia"/>
            </w:rPr>
            <w:t>二、绩效评价工作开展情况</w:t>
          </w:r>
          <w:r>
            <w:tab/>
          </w:r>
          <w:r>
            <w:fldChar w:fldCharType="begin"/>
          </w:r>
          <w:r>
            <w:instrText xml:space="preserve"> PAGEREF _Toc22060 \h </w:instrText>
          </w:r>
          <w:r>
            <w:fldChar w:fldCharType="separate"/>
          </w:r>
          <w:r>
            <w:t>- 3 -</w:t>
          </w:r>
          <w:r>
            <w:fldChar w:fldCharType="end"/>
          </w:r>
          <w: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"_Toc26918" </w:instrText>
          </w:r>
          <w:r>
            <w:fldChar w:fldCharType="separate"/>
          </w:r>
          <w:r>
            <w:rPr>
              <w:rFonts w:hint="eastAsia" w:ascii="Times New Roman" w:hAnsi="Times New Roman"/>
            </w:rPr>
            <w:t>（一）绩效评价的目的、对象和范围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_Toc26918 \h </w:instrText>
          </w:r>
          <w:r>
            <w:rPr>
              <w:rFonts w:ascii="Times New Roman" w:hAnsi="Times New Roman"/>
            </w:rPr>
            <w:fldChar w:fldCharType="separate"/>
          </w:r>
          <w:r>
            <w:rPr>
              <w:rFonts w:ascii="Times New Roman" w:hAnsi="Times New Roman"/>
            </w:rPr>
            <w:t>- 3 -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"_Toc28505" </w:instrText>
          </w:r>
          <w:r>
            <w:fldChar w:fldCharType="separate"/>
          </w:r>
          <w:r>
            <w:rPr>
              <w:rFonts w:hint="eastAsia" w:ascii="Times New Roman" w:hAnsi="Times New Roman"/>
            </w:rPr>
            <w:t>（二）</w:t>
          </w:r>
          <w:r>
            <w:rPr>
              <w:rFonts w:hint="eastAsia" w:ascii="Times New Roman" w:hAnsi="Times New Roman" w:cs="楷体_GB2312"/>
            </w:rPr>
            <w:t>绩效评价原则、评价指标体系、评价方法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_Toc28505 \h </w:instrText>
          </w:r>
          <w:r>
            <w:rPr>
              <w:rFonts w:ascii="Times New Roman" w:hAnsi="Times New Roman"/>
            </w:rPr>
            <w:fldChar w:fldCharType="separate"/>
          </w:r>
          <w:r>
            <w:rPr>
              <w:rFonts w:ascii="Times New Roman" w:hAnsi="Times New Roman"/>
            </w:rPr>
            <w:t>- 5 -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"_Toc20106" </w:instrText>
          </w:r>
          <w:r>
            <w:fldChar w:fldCharType="separate"/>
          </w:r>
          <w:r>
            <w:rPr>
              <w:rFonts w:hint="eastAsia" w:ascii="Times New Roman" w:hAnsi="Times New Roman"/>
            </w:rPr>
            <w:t>（三）绩效评价工作过程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_Toc20106 \h </w:instrText>
          </w:r>
          <w:r>
            <w:rPr>
              <w:rFonts w:ascii="Times New Roman" w:hAnsi="Times New Roman"/>
            </w:rPr>
            <w:fldChar w:fldCharType="separate"/>
          </w:r>
          <w:r>
            <w:rPr>
              <w:rFonts w:ascii="Times New Roman" w:hAnsi="Times New Roman"/>
            </w:rPr>
            <w:t>- 9 -</w:t>
          </w:r>
          <w:r>
            <w:rPr>
              <w:rFonts w:ascii="Times New Roman" w:hAnsi="Times New Roman"/>
            </w:rPr>
            <w:fldChar w:fldCharType="end"/>
          </w:r>
          <w:r>
            <w:rPr>
              <w:rFonts w:ascii="Times New Roman" w:hAnsi="Times New Roman"/>
            </w:rPr>
            <w:fldChar w:fldCharType="end"/>
          </w:r>
        </w:p>
        <w:p>
          <w:pPr>
            <w:pStyle w:val="12"/>
            <w:tabs>
              <w:tab w:val="right" w:leader="dot" w:pos="8844"/>
              <w:tab w:val="clear" w:pos="8834"/>
            </w:tabs>
            <w:spacing w:line="560" w:lineRule="exact"/>
            <w:ind w:left="643" w:hanging="643"/>
          </w:pPr>
          <w:r>
            <w:fldChar w:fldCharType="begin"/>
          </w:r>
          <w:r>
            <w:instrText xml:space="preserve"> HYPERLINK \l "_Toc3593" </w:instrText>
          </w:r>
          <w:r>
            <w:fldChar w:fldCharType="separate"/>
          </w:r>
          <w:r>
            <w:rPr>
              <w:rFonts w:hint="eastAsia"/>
            </w:rPr>
            <w:t>三、综合评价情况及评价结论</w:t>
          </w:r>
          <w:r>
            <w:tab/>
          </w:r>
          <w:r>
            <w:fldChar w:fldCharType="begin"/>
          </w:r>
          <w:r>
            <w:instrText xml:space="preserve"> PAGEREF _Toc3593 \h </w:instrText>
          </w:r>
          <w:r>
            <w:fldChar w:fldCharType="separate"/>
          </w:r>
          <w:r>
            <w:t>- 11 -</w:t>
          </w:r>
          <w:r>
            <w:fldChar w:fldCharType="end"/>
          </w:r>
          <w:r>
            <w:fldChar w:fldCharType="end"/>
          </w:r>
        </w:p>
        <w:p>
          <w:pPr>
            <w:pStyle w:val="12"/>
            <w:tabs>
              <w:tab w:val="right" w:leader="dot" w:pos="8844"/>
              <w:tab w:val="clear" w:pos="8834"/>
            </w:tabs>
            <w:spacing w:line="560" w:lineRule="exact"/>
            <w:ind w:left="643" w:hanging="643"/>
          </w:pPr>
          <w:r>
            <w:fldChar w:fldCharType="begin"/>
          </w:r>
          <w:r>
            <w:instrText xml:space="preserve"> HYPERLINK \l "_Toc24839" </w:instrText>
          </w:r>
          <w:r>
            <w:fldChar w:fldCharType="separate"/>
          </w:r>
          <w:r>
            <w:rPr>
              <w:rFonts w:hint="eastAsia"/>
            </w:rPr>
            <w:t>四、绩效评价指标分析</w:t>
          </w:r>
          <w:r>
            <w:tab/>
          </w:r>
          <w:r>
            <w:fldChar w:fldCharType="begin"/>
          </w:r>
          <w:r>
            <w:instrText xml:space="preserve"> PAGEREF _Toc24839 \h </w:instrText>
          </w:r>
          <w:r>
            <w:fldChar w:fldCharType="separate"/>
          </w:r>
          <w:r>
            <w:t>- 12 -</w:t>
          </w:r>
          <w:r>
            <w:fldChar w:fldCharType="end"/>
          </w:r>
          <w: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"_Toc31122" </w:instrText>
          </w:r>
          <w:r>
            <w:fldChar w:fldCharType="separate"/>
          </w:r>
          <w:r>
            <w:rPr>
              <w:rFonts w:hint="eastAsia" w:ascii="Times New Roman" w:hAnsi="Times New Roman"/>
            </w:rPr>
            <w:t>（一）项目决策情况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_Toc31122 \h </w:instrText>
          </w:r>
          <w:r>
            <w:rPr>
              <w:rFonts w:ascii="Times New Roman" w:hAnsi="Times New Roman"/>
            </w:rPr>
            <w:fldChar w:fldCharType="separate"/>
          </w:r>
          <w:r>
            <w:rPr>
              <w:rFonts w:ascii="Times New Roman" w:hAnsi="Times New Roman"/>
            </w:rPr>
            <w:t>- 12 -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"_Toc27023" </w:instrText>
          </w:r>
          <w:r>
            <w:fldChar w:fldCharType="separate"/>
          </w:r>
          <w:r>
            <w:rPr>
              <w:rFonts w:hint="eastAsia" w:ascii="Times New Roman" w:hAnsi="Times New Roman"/>
            </w:rPr>
            <w:t>（二）项目过程情况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_Toc27023 \h </w:instrText>
          </w:r>
          <w:r>
            <w:rPr>
              <w:rFonts w:ascii="Times New Roman" w:hAnsi="Times New Roman"/>
            </w:rPr>
            <w:fldChar w:fldCharType="separate"/>
          </w:r>
          <w:r>
            <w:rPr>
              <w:rFonts w:ascii="Times New Roman" w:hAnsi="Times New Roman"/>
            </w:rPr>
            <w:t>- 15 -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"_Toc25132" </w:instrText>
          </w:r>
          <w:r>
            <w:fldChar w:fldCharType="separate"/>
          </w:r>
          <w:r>
            <w:rPr>
              <w:rFonts w:hint="eastAsia" w:ascii="Times New Roman" w:hAnsi="Times New Roman"/>
            </w:rPr>
            <w:t>（三）项目产出情况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_Toc25132 \h </w:instrText>
          </w:r>
          <w:r>
            <w:rPr>
              <w:rFonts w:ascii="Times New Roman" w:hAnsi="Times New Roman"/>
            </w:rPr>
            <w:fldChar w:fldCharType="separate"/>
          </w:r>
          <w:r>
            <w:rPr>
              <w:rFonts w:ascii="Times New Roman" w:hAnsi="Times New Roman"/>
            </w:rPr>
            <w:t>- 18 -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"_Toc32327" </w:instrText>
          </w:r>
          <w:r>
            <w:fldChar w:fldCharType="separate"/>
          </w:r>
          <w:r>
            <w:rPr>
              <w:rFonts w:hint="eastAsia" w:ascii="Times New Roman" w:hAnsi="Times New Roman"/>
            </w:rPr>
            <w:t>（四）项目效益情况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_Toc32327 \h </w:instrText>
          </w:r>
          <w:r>
            <w:rPr>
              <w:rFonts w:ascii="Times New Roman" w:hAnsi="Times New Roman"/>
            </w:rPr>
            <w:fldChar w:fldCharType="separate"/>
          </w:r>
          <w:r>
            <w:rPr>
              <w:rFonts w:ascii="Times New Roman" w:hAnsi="Times New Roman"/>
            </w:rPr>
            <w:t>- 19 -</w:t>
          </w:r>
          <w:r>
            <w:rPr>
              <w:rFonts w:ascii="Times New Roman" w:hAnsi="Times New Roman"/>
            </w:rPr>
            <w:fldChar w:fldCharType="end"/>
          </w:r>
          <w:r>
            <w:rPr>
              <w:rFonts w:ascii="Times New Roman" w:hAnsi="Times New Roman"/>
            </w:rPr>
            <w:fldChar w:fldCharType="end"/>
          </w:r>
        </w:p>
        <w:p>
          <w:pPr>
            <w:pStyle w:val="12"/>
            <w:tabs>
              <w:tab w:val="right" w:leader="dot" w:pos="8844"/>
              <w:tab w:val="clear" w:pos="8834"/>
            </w:tabs>
            <w:spacing w:line="560" w:lineRule="exact"/>
            <w:ind w:left="643" w:hanging="643"/>
          </w:pPr>
          <w:r>
            <w:fldChar w:fldCharType="begin"/>
          </w:r>
          <w:r>
            <w:instrText xml:space="preserve"> HYPERLINK \l "_Toc14604" </w:instrText>
          </w:r>
          <w:r>
            <w:fldChar w:fldCharType="separate"/>
          </w:r>
          <w:r>
            <w:rPr>
              <w:rFonts w:hint="eastAsia"/>
            </w:rPr>
            <w:t>五、存在的主要问题</w:t>
          </w:r>
          <w:r>
            <w:tab/>
          </w:r>
          <w:r>
            <w:fldChar w:fldCharType="begin"/>
          </w:r>
          <w:r>
            <w:instrText xml:space="preserve"> PAGEREF _Toc14604 \h </w:instrText>
          </w:r>
          <w:r>
            <w:fldChar w:fldCharType="separate"/>
          </w:r>
          <w:r>
            <w:t>- 20 -</w:t>
          </w:r>
          <w:r>
            <w:fldChar w:fldCharType="end"/>
          </w:r>
          <w: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"_Toc14508" </w:instrText>
          </w:r>
          <w:r>
            <w:fldChar w:fldCharType="separate"/>
          </w:r>
          <w:r>
            <w:rPr>
              <w:rFonts w:hint="eastAsia" w:ascii="Times New Roman" w:hAnsi="Times New Roman"/>
            </w:rPr>
            <w:t>（一）环卫作业质量有待提升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_Toc14508 \h </w:instrText>
          </w:r>
          <w:r>
            <w:rPr>
              <w:rFonts w:ascii="Times New Roman" w:hAnsi="Times New Roman"/>
            </w:rPr>
            <w:fldChar w:fldCharType="separate"/>
          </w:r>
          <w:r>
            <w:rPr>
              <w:rFonts w:ascii="Times New Roman" w:hAnsi="Times New Roman"/>
            </w:rPr>
            <w:t>- 20 -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"_Toc21102" </w:instrText>
          </w:r>
          <w:r>
            <w:fldChar w:fldCharType="separate"/>
          </w:r>
          <w:r>
            <w:rPr>
              <w:rFonts w:hint="eastAsia" w:ascii="Times New Roman" w:hAnsi="Times New Roman"/>
            </w:rPr>
            <w:t>（二）环卫作业开展及时性有待加强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_Toc21102 \h </w:instrText>
          </w:r>
          <w:r>
            <w:rPr>
              <w:rFonts w:ascii="Times New Roman" w:hAnsi="Times New Roman"/>
            </w:rPr>
            <w:fldChar w:fldCharType="separate"/>
          </w:r>
          <w:r>
            <w:rPr>
              <w:rFonts w:ascii="Times New Roman" w:hAnsi="Times New Roman"/>
            </w:rPr>
            <w:t>- 21 -</w:t>
          </w:r>
          <w:r>
            <w:rPr>
              <w:rFonts w:ascii="Times New Roman" w:hAnsi="Times New Roman"/>
            </w:rPr>
            <w:fldChar w:fldCharType="end"/>
          </w:r>
          <w:r>
            <w:rPr>
              <w:rFonts w:ascii="Times New Roman" w:hAnsi="Times New Roman"/>
            </w:rPr>
            <w:fldChar w:fldCharType="end"/>
          </w:r>
        </w:p>
        <w:p>
          <w:pPr>
            <w:pStyle w:val="12"/>
            <w:tabs>
              <w:tab w:val="right" w:leader="dot" w:pos="8844"/>
              <w:tab w:val="clear" w:pos="8834"/>
            </w:tabs>
            <w:spacing w:line="560" w:lineRule="exact"/>
            <w:ind w:left="643" w:hanging="643"/>
          </w:pPr>
          <w:r>
            <w:fldChar w:fldCharType="begin"/>
          </w:r>
          <w:r>
            <w:instrText xml:space="preserve"> HYPERLINK \l "_Toc499" </w:instrText>
          </w:r>
          <w:r>
            <w:fldChar w:fldCharType="separate"/>
          </w:r>
          <w:r>
            <w:rPr>
              <w:rFonts w:hint="eastAsia"/>
            </w:rPr>
            <w:t>六、相关建议</w:t>
          </w:r>
          <w:r>
            <w:tab/>
          </w:r>
          <w:r>
            <w:fldChar w:fldCharType="begin"/>
          </w:r>
          <w:r>
            <w:instrText xml:space="preserve"> PAGEREF _Toc499 \h </w:instrText>
          </w:r>
          <w:r>
            <w:fldChar w:fldCharType="separate"/>
          </w:r>
          <w:r>
            <w:t>- 21 -</w:t>
          </w:r>
          <w:r>
            <w:fldChar w:fldCharType="end"/>
          </w:r>
          <w: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"_Toc26870" </w:instrText>
          </w:r>
          <w:r>
            <w:fldChar w:fldCharType="separate"/>
          </w:r>
          <w:r>
            <w:rPr>
              <w:rFonts w:hint="eastAsia" w:ascii="Times New Roman" w:hAnsi="Times New Roman"/>
            </w:rPr>
            <w:t>（一）加大监督考核力度，严格执行检查考核制度</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_Toc26870 \h </w:instrText>
          </w:r>
          <w:r>
            <w:rPr>
              <w:rFonts w:ascii="Times New Roman" w:hAnsi="Times New Roman"/>
            </w:rPr>
            <w:fldChar w:fldCharType="separate"/>
          </w:r>
          <w:r>
            <w:rPr>
              <w:rFonts w:ascii="Times New Roman" w:hAnsi="Times New Roman"/>
            </w:rPr>
            <w:t>- 21 -</w:t>
          </w:r>
          <w:r>
            <w:rPr>
              <w:rFonts w:ascii="Times New Roman" w:hAnsi="Times New Roman"/>
            </w:rPr>
            <w:fldChar w:fldCharType="end"/>
          </w:r>
          <w:r>
            <w:rPr>
              <w:rFonts w:ascii="Times New Roman" w:hAnsi="Times New Roman"/>
            </w:rPr>
            <w:fldChar w:fldCharType="end"/>
          </w:r>
        </w:p>
        <w:p>
          <w:pPr>
            <w:pStyle w:val="8"/>
            <w:tabs>
              <w:tab w:val="right" w:leader="dot" w:pos="8844"/>
              <w:tab w:val="clear" w:pos="8834"/>
            </w:tabs>
            <w:spacing w:line="560" w:lineRule="exact"/>
            <w:ind w:left="1131" w:hanging="845"/>
            <w:rPr>
              <w:rFonts w:ascii="Times New Roman" w:hAnsi="Times New Roman"/>
            </w:rPr>
          </w:pPr>
          <w:r>
            <w:fldChar w:fldCharType="begin"/>
          </w:r>
          <w:r>
            <w:instrText xml:space="preserve"> HYPERLINK \l "_Toc20329" </w:instrText>
          </w:r>
          <w:r>
            <w:fldChar w:fldCharType="separate"/>
          </w:r>
          <w:r>
            <w:rPr>
              <w:rFonts w:hint="eastAsia" w:ascii="Times New Roman" w:hAnsi="Times New Roman"/>
            </w:rPr>
            <w:t>（二）优化资源配置，提升环卫质量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_Toc20329 \h </w:instrText>
          </w:r>
          <w:r>
            <w:rPr>
              <w:rFonts w:ascii="Times New Roman" w:hAnsi="Times New Roman"/>
            </w:rPr>
            <w:fldChar w:fldCharType="separate"/>
          </w:r>
          <w:r>
            <w:rPr>
              <w:rFonts w:ascii="Times New Roman" w:hAnsi="Times New Roman"/>
            </w:rPr>
            <w:t>- 22 -</w:t>
          </w:r>
          <w:r>
            <w:rPr>
              <w:rFonts w:ascii="Times New Roman" w:hAnsi="Times New Roman"/>
            </w:rPr>
            <w:fldChar w:fldCharType="end"/>
          </w:r>
          <w:r>
            <w:rPr>
              <w:rFonts w:ascii="Times New Roman" w:hAnsi="Times New Roman"/>
            </w:rPr>
            <w:fldChar w:fldCharType="end"/>
          </w:r>
        </w:p>
        <w:p>
          <w:pPr>
            <w:pStyle w:val="12"/>
            <w:tabs>
              <w:tab w:val="right" w:leader="dot" w:pos="8844"/>
              <w:tab w:val="clear" w:pos="8834"/>
            </w:tabs>
            <w:spacing w:line="560" w:lineRule="exact"/>
            <w:ind w:left="643" w:hanging="643"/>
          </w:pPr>
          <w:r>
            <w:fldChar w:fldCharType="begin"/>
          </w:r>
          <w:r>
            <w:instrText xml:space="preserve"> HYPERLINK \l "_Toc5388" </w:instrText>
          </w:r>
          <w:r>
            <w:fldChar w:fldCharType="separate"/>
          </w:r>
          <w:r>
            <w:rPr>
              <w:rFonts w:hint="eastAsia" w:cs="黑体"/>
            </w:rPr>
            <w:t xml:space="preserve">七、 </w:t>
          </w:r>
          <w:r>
            <w:rPr>
              <w:rFonts w:hint="eastAsia"/>
            </w:rPr>
            <w:t>其他需要说明的问题</w:t>
          </w:r>
          <w:r>
            <w:tab/>
          </w:r>
          <w:r>
            <w:fldChar w:fldCharType="begin"/>
          </w:r>
          <w:r>
            <w:instrText xml:space="preserve"> PAGEREF _Toc5388 \h </w:instrText>
          </w:r>
          <w:r>
            <w:fldChar w:fldCharType="separate"/>
          </w:r>
          <w:r>
            <w:t>- 22 -</w:t>
          </w:r>
          <w:r>
            <w:fldChar w:fldCharType="end"/>
          </w:r>
          <w:r>
            <w:fldChar w:fldCharType="end"/>
          </w:r>
        </w:p>
        <w:p>
          <w:pPr>
            <w:pStyle w:val="12"/>
            <w:tabs>
              <w:tab w:val="right" w:leader="dot" w:pos="8844"/>
              <w:tab w:val="clear" w:pos="8834"/>
            </w:tabs>
            <w:spacing w:line="560" w:lineRule="exact"/>
            <w:ind w:left="643" w:hanging="643"/>
          </w:pPr>
          <w:r>
            <w:fldChar w:fldCharType="begin"/>
          </w:r>
          <w:r>
            <w:instrText xml:space="preserve"> HYPERLINK \l "_Toc14047" </w:instrText>
          </w:r>
          <w:r>
            <w:fldChar w:fldCharType="separate"/>
          </w:r>
          <w:r>
            <w:rPr>
              <w:rFonts w:hint="eastAsia" w:cs="黑体"/>
            </w:rPr>
            <w:t xml:space="preserve">八、 </w:t>
          </w:r>
          <w:r>
            <w:rPr>
              <w:rFonts w:hint="eastAsia"/>
            </w:rPr>
            <w:t>相关附件</w:t>
          </w:r>
          <w:r>
            <w:tab/>
          </w:r>
          <w:r>
            <w:fldChar w:fldCharType="begin"/>
          </w:r>
          <w:r>
            <w:instrText xml:space="preserve"> PAGEREF _Toc14047 \h </w:instrText>
          </w:r>
          <w:r>
            <w:fldChar w:fldCharType="separate"/>
          </w:r>
          <w:r>
            <w:t>- 23 -</w:t>
          </w:r>
          <w:r>
            <w:fldChar w:fldCharType="end"/>
          </w:r>
          <w:r>
            <w:fldChar w:fldCharType="end"/>
          </w:r>
        </w:p>
        <w:p>
          <w:pPr>
            <w:pStyle w:val="47"/>
            <w:spacing w:before="0" w:line="560" w:lineRule="exact"/>
            <w:rPr>
              <w:rFonts w:ascii="Times New Roman" w:hAnsi="Times New Roman"/>
              <w:b/>
              <w:bCs/>
              <w:lang w:val="zh-CN"/>
            </w:rPr>
          </w:pPr>
          <w:r>
            <w:rPr>
              <w:rFonts w:ascii="Times New Roman" w:hAnsi="Times New Roman" w:eastAsia="黑体" w:cs="黑体"/>
              <w:color w:val="auto"/>
            </w:rPr>
            <w:fldChar w:fldCharType="end"/>
          </w:r>
        </w:p>
      </w:sdtContent>
    </w:sdt>
    <w:p>
      <w:pPr>
        <w:ind w:firstLine="0" w:firstLineChars="0"/>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2041" w:right="1531" w:bottom="2041" w:left="1531" w:header="851" w:footer="992" w:gutter="0"/>
          <w:pgNumType w:fmt="numberInDash" w:start="1"/>
          <w:cols w:space="425" w:num="1"/>
          <w:docGrid w:type="lines" w:linePitch="312" w:charSpace="0"/>
        </w:sectPr>
      </w:pPr>
    </w:p>
    <w:p>
      <w:pPr>
        <w:pStyle w:val="33"/>
        <w:spacing w:line="560" w:lineRule="exact"/>
        <w:rPr>
          <w:rFonts w:ascii="方正小标宋简体" w:eastAsia="方正小标宋简体"/>
          <w:sz w:val="44"/>
          <w:szCs w:val="44"/>
        </w:rPr>
      </w:pPr>
      <w:bookmarkStart w:id="0" w:name="_Toc177532315"/>
      <w:bookmarkStart w:id="1" w:name="_Toc173496797"/>
      <w:bookmarkStart w:id="2" w:name="_Toc177541281"/>
      <w:bookmarkStart w:id="3" w:name="_Toc177541312"/>
      <w:bookmarkStart w:id="4" w:name="_Toc177532391"/>
      <w:bookmarkStart w:id="5" w:name="_Toc177529572"/>
      <w:r>
        <w:rPr>
          <w:rFonts w:hint="eastAsia" w:ascii="方正小标宋简体" w:eastAsia="方正小标宋简体"/>
          <w:sz w:val="44"/>
          <w:szCs w:val="44"/>
        </w:rPr>
        <w:t>环卫作业市场化经费项目绩效评价报告</w:t>
      </w:r>
      <w:bookmarkEnd w:id="0"/>
      <w:bookmarkEnd w:id="1"/>
      <w:bookmarkEnd w:id="2"/>
      <w:bookmarkEnd w:id="3"/>
      <w:bookmarkEnd w:id="4"/>
      <w:bookmarkEnd w:id="5"/>
    </w:p>
    <w:p>
      <w:pPr>
        <w:pStyle w:val="26"/>
        <w:spacing w:line="560" w:lineRule="exact"/>
        <w:ind w:firstLine="640"/>
      </w:pPr>
    </w:p>
    <w:p>
      <w:pPr>
        <w:pStyle w:val="26"/>
        <w:spacing w:line="560" w:lineRule="exact"/>
        <w:ind w:firstLine="640"/>
        <w:rPr>
          <w:color w:val="000000" w:themeColor="text1"/>
          <w14:textFill>
            <w14:solidFill>
              <w14:schemeClr w14:val="tx1"/>
            </w14:solidFill>
          </w14:textFill>
        </w:rPr>
      </w:pPr>
      <w:r>
        <w:rPr>
          <w:color w:val="000000" w:themeColor="text1"/>
          <w14:textFill>
            <w14:solidFill>
              <w14:schemeClr w14:val="tx1"/>
            </w14:solidFill>
          </w14:textFill>
        </w:rPr>
        <w:t>为提高财政资金使用效益，合理配置公共财政资源，根据市委、市政府关于全面推进预算绩效管理的实施方案和《天津市市级财政项目支出绩效评价管理办法》（津财绩效〔2020〕12号）等文件要求，天津市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财政局引入第三方专业机构成立了绩效评价组，于2024年7月-9月，对</w:t>
      </w:r>
      <w:r>
        <w:rPr>
          <w:rFonts w:hint="eastAsia"/>
          <w:color w:val="000000" w:themeColor="text1"/>
          <w14:textFill>
            <w14:solidFill>
              <w14:schemeClr w14:val="tx1"/>
            </w14:solidFill>
          </w14:textFill>
        </w:rPr>
        <w:t>天津市和平区城市管理委员会</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环卫作业市场化经费</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开展了绩效评价。该项目评价结果为86.47分，评价等级为“</w:t>
      </w:r>
      <w:r>
        <w:rPr>
          <w:rFonts w:hint="eastAsia"/>
          <w:color w:val="000000" w:themeColor="text1"/>
          <w14:textFill>
            <w14:solidFill>
              <w14:schemeClr w14:val="tx1"/>
            </w14:solidFill>
          </w14:textFill>
        </w:rPr>
        <w:t>良</w:t>
      </w:r>
      <w:r>
        <w:rPr>
          <w:color w:val="000000" w:themeColor="text1"/>
          <w14:textFill>
            <w14:solidFill>
              <w14:schemeClr w14:val="tx1"/>
            </w14:solidFill>
          </w14:textFill>
        </w:rPr>
        <w:t>”，有关情况如下。</w:t>
      </w:r>
    </w:p>
    <w:p>
      <w:pPr>
        <w:pStyle w:val="28"/>
        <w:spacing w:line="560" w:lineRule="exact"/>
      </w:pPr>
      <w:bookmarkStart w:id="6" w:name="_Toc18544"/>
      <w:bookmarkStart w:id="7" w:name="_Hlk91875033"/>
      <w:r>
        <w:rPr>
          <w:rFonts w:hint="eastAsia"/>
        </w:rPr>
        <w:t>一、项目基本情况</w:t>
      </w:r>
      <w:bookmarkEnd w:id="6"/>
    </w:p>
    <w:p>
      <w:pPr>
        <w:pStyle w:val="30"/>
        <w:spacing w:line="560" w:lineRule="exact"/>
        <w:ind w:firstLine="640"/>
        <w:rPr>
          <w:rFonts w:ascii="Times New Roman" w:hAnsi="Times New Roman"/>
        </w:rPr>
      </w:pPr>
      <w:bookmarkStart w:id="8" w:name="_Toc12208"/>
      <w:r>
        <w:rPr>
          <w:rFonts w:hint="eastAsia" w:ascii="Times New Roman" w:hAnsi="Times New Roman"/>
        </w:rPr>
        <w:t>（一）项目概况</w:t>
      </w:r>
      <w:bookmarkEnd w:id="8"/>
    </w:p>
    <w:p>
      <w:pPr>
        <w:pStyle w:val="26"/>
        <w:spacing w:line="560" w:lineRule="exact"/>
        <w:ind w:firstLine="640"/>
      </w:pPr>
      <w:r>
        <w:rPr>
          <w:rFonts w:hint="eastAsia"/>
        </w:rPr>
        <w:t>1.项目背景</w:t>
      </w:r>
    </w:p>
    <w:p>
      <w:pPr>
        <w:pStyle w:val="26"/>
        <w:spacing w:line="560" w:lineRule="exact"/>
        <w:ind w:firstLine="640"/>
      </w:pPr>
      <w:r>
        <w:rPr>
          <w:rFonts w:hint="eastAsia"/>
        </w:rPr>
        <w:t>近年来，随着城市化进程的快速推进，中央和国家高度重视环境卫生工作，营造干净、整洁、有序、健康的城市形象已成为现代城市发展的必然趋势和要求，</w:t>
      </w:r>
      <w:r>
        <w:t>也是政府应当向市民提供的一项不可或缺的</w:t>
      </w:r>
      <w:r>
        <w:rPr>
          <w:rFonts w:hint="eastAsia"/>
        </w:rPr>
        <w:t>公共服务。为进一步推进环境卫生整治，</w:t>
      </w:r>
      <w:r>
        <w:t>改善和平区人居环境，提升</w:t>
      </w:r>
      <w:r>
        <w:rPr>
          <w:rFonts w:hint="eastAsia"/>
        </w:rPr>
        <w:t>环境卫生管理水平，建立完善的环卫作业市场化管理体系，</w:t>
      </w:r>
      <w:r>
        <w:rPr>
          <w:rFonts w:hint="eastAsia"/>
          <w:color w:val="000000" w:themeColor="text1"/>
          <w14:textFill>
            <w14:solidFill>
              <w14:schemeClr w14:val="tx1"/>
            </w14:solidFill>
          </w14:textFill>
        </w:rPr>
        <w:t>天津市和平区城市管理委员会（以下简称“区城市管理委”）</w:t>
      </w:r>
      <w:r>
        <w:rPr>
          <w:rFonts w:hint="eastAsia"/>
        </w:rPr>
        <w:t>将国内先进地区的“环卫作业市场化”改革成功经验与和平区环卫管理及作业现状相结合，将和平区环卫推向市场化。实现环卫工作规范化、专业化及市场化管理，全面提升和平区环境卫生管理水平和服务质量，从而提升改善和平区人居环境。</w:t>
      </w:r>
    </w:p>
    <w:p>
      <w:pPr>
        <w:pStyle w:val="26"/>
        <w:spacing w:line="560" w:lineRule="exact"/>
        <w:ind w:firstLine="640"/>
      </w:pPr>
      <w:r>
        <w:rPr>
          <w:rFonts w:hint="eastAsia"/>
        </w:rPr>
        <w:t>2.主要内容</w:t>
      </w:r>
    </w:p>
    <w:p>
      <w:pPr>
        <w:pStyle w:val="26"/>
        <w:spacing w:line="560" w:lineRule="exact"/>
        <w:ind w:firstLine="640"/>
      </w:pPr>
      <w:r>
        <w:rPr>
          <w:rFonts w:hint="eastAsia"/>
        </w:rPr>
        <w:t>环卫作业市场化经费项目内容主要是：</w:t>
      </w:r>
      <w:r>
        <w:rPr>
          <w:rFonts w:hint="eastAsia"/>
          <w:color w:val="000000" w:themeColor="text1"/>
          <w14:textFill>
            <w14:solidFill>
              <w14:schemeClr w14:val="tx1"/>
            </w14:solidFill>
          </w14:textFill>
        </w:rPr>
        <w:t>区城市管理委</w:t>
      </w:r>
      <w:r>
        <w:rPr>
          <w:rFonts w:hint="eastAsia"/>
          <w:szCs w:val="32"/>
        </w:rPr>
        <w:t>通过政府购买服务的方式，委托第三方服务机构提供</w:t>
      </w:r>
      <w:r>
        <w:rPr>
          <w:rFonts w:hint="eastAsia"/>
        </w:rPr>
        <w:t>扫保服务，对辖区内道路、绿化进行清扫保洁、环卫设施维护保洁，对垃圾容器进行清掏保洁，对城市生活垃圾收集转运处理，冬季开展清融雪作业，保障辖区环境卫生质量。</w:t>
      </w:r>
    </w:p>
    <w:p>
      <w:pPr>
        <w:pStyle w:val="26"/>
        <w:spacing w:line="560" w:lineRule="exact"/>
        <w:ind w:firstLine="640"/>
      </w:pPr>
      <w:r>
        <w:rPr>
          <w:rFonts w:hint="eastAsia"/>
        </w:rPr>
        <w:t>3.项目组织管理</w:t>
      </w:r>
    </w:p>
    <w:p>
      <w:pPr>
        <w:pStyle w:val="26"/>
        <w:spacing w:line="560" w:lineRule="exact"/>
        <w:ind w:firstLine="640"/>
      </w:pPr>
      <w:r>
        <w:rPr>
          <w:rFonts w:hint="eastAsia"/>
        </w:rPr>
        <w:t>环卫作业市场化项目主管单位为</w:t>
      </w:r>
      <w:r>
        <w:rPr>
          <w:rFonts w:hint="eastAsia"/>
          <w:color w:val="000000" w:themeColor="text1"/>
          <w14:textFill>
            <w14:solidFill>
              <w14:schemeClr w14:val="tx1"/>
            </w14:solidFill>
          </w14:textFill>
        </w:rPr>
        <w:t>区城市管理委</w:t>
      </w:r>
      <w:r>
        <w:rPr>
          <w:rFonts w:hint="eastAsia"/>
        </w:rPr>
        <w:t>，负责项目前期需求调研，制定项目实施方案，组织专家论证，组织开展政府采购，与供应商签订服务合同，确定服务范围、服务内容、服务标准，统筹项目整体开展进度与资金支付工作，定期组织评估考核与结果通报。</w:t>
      </w:r>
    </w:p>
    <w:p>
      <w:pPr>
        <w:pStyle w:val="26"/>
        <w:spacing w:line="560" w:lineRule="exact"/>
        <w:ind w:firstLine="640"/>
      </w:pPr>
      <w:r>
        <w:rPr>
          <w:rFonts w:hint="eastAsia"/>
        </w:rPr>
        <w:t>天津丞明咨询有限公司负责项目招标工作，组织评标委员会专家评审，发布招投标及中标公告等。</w:t>
      </w:r>
    </w:p>
    <w:p>
      <w:pPr>
        <w:pStyle w:val="26"/>
        <w:spacing w:line="560" w:lineRule="exact"/>
        <w:ind w:firstLine="640"/>
      </w:pPr>
      <w:r>
        <w:rPr>
          <w:rFonts w:hint="eastAsia"/>
        </w:rPr>
        <w:t>项目具体实施单位为</w:t>
      </w:r>
      <w:r>
        <w:t>深圳市华富环境有限公司</w:t>
      </w:r>
      <w:r>
        <w:rPr>
          <w:rFonts w:hint="eastAsia"/>
        </w:rPr>
        <w:t>和上海博德尔环境科技集团有限公司，分别负责和平北半区和南半区道路清扫保洁、生活垃圾收集转运、冬季清融雪等工作。</w:t>
      </w:r>
    </w:p>
    <w:p>
      <w:pPr>
        <w:pStyle w:val="26"/>
        <w:spacing w:line="560" w:lineRule="exact"/>
        <w:ind w:firstLine="640"/>
      </w:pPr>
      <w:r>
        <w:rPr>
          <w:rFonts w:hint="eastAsia"/>
        </w:rPr>
        <w:t>4.资金投入和使用情况</w:t>
      </w:r>
    </w:p>
    <w:p>
      <w:pPr>
        <w:pStyle w:val="26"/>
        <w:spacing w:line="560" w:lineRule="exact"/>
        <w:ind w:firstLine="640"/>
      </w:pPr>
      <w:r>
        <w:rPr>
          <w:rFonts w:hint="eastAsia"/>
        </w:rPr>
        <w:t>环卫作业市场化经费项目全年预算安排资金</w:t>
      </w:r>
      <w:r>
        <w:t>4046.6</w:t>
      </w:r>
      <w:r>
        <w:rPr>
          <w:rFonts w:hint="eastAsia"/>
        </w:rPr>
        <w:t>万元，全部为区级资金。截至2</w:t>
      </w:r>
      <w:r>
        <w:t>023</w:t>
      </w:r>
      <w:r>
        <w:rPr>
          <w:rFonts w:hint="eastAsia"/>
        </w:rPr>
        <w:t>年1</w:t>
      </w:r>
      <w:r>
        <w:t>2</w:t>
      </w:r>
      <w:r>
        <w:rPr>
          <w:rFonts w:hint="eastAsia"/>
        </w:rPr>
        <w:t>月3</w:t>
      </w:r>
      <w:r>
        <w:t>1</w:t>
      </w:r>
      <w:r>
        <w:rPr>
          <w:rFonts w:hint="eastAsia"/>
        </w:rPr>
        <w:t>日，区级资金已到位</w:t>
      </w:r>
      <w:r>
        <w:t>4046.6</w:t>
      </w:r>
      <w:r>
        <w:rPr>
          <w:rFonts w:hint="eastAsia"/>
        </w:rPr>
        <w:t>万元，资金到位率</w:t>
      </w:r>
      <w:r>
        <w:t>100</w:t>
      </w:r>
      <w:r>
        <w:rPr>
          <w:rFonts w:hint="eastAsia"/>
        </w:rPr>
        <w:t>%。项目执行过程中，实际支出</w:t>
      </w:r>
      <w:r>
        <w:t>4046.6</w:t>
      </w:r>
      <w:r>
        <w:rPr>
          <w:rFonts w:hint="eastAsia"/>
        </w:rPr>
        <w:t>万元，预算执行率1</w:t>
      </w:r>
      <w:r>
        <w:t>00</w:t>
      </w:r>
      <w:r>
        <w:rPr>
          <w:rFonts w:hint="eastAsia"/>
        </w:rPr>
        <w:t>%。资金具体情况见表1。</w:t>
      </w:r>
    </w:p>
    <w:p>
      <w:pPr>
        <w:pStyle w:val="33"/>
        <w:spacing w:line="560" w:lineRule="exact"/>
      </w:pPr>
      <w:r>
        <w:t>表1  资金预算执行率情况表</w:t>
      </w:r>
    </w:p>
    <w:p>
      <w:pPr>
        <w:pStyle w:val="34"/>
        <w:spacing w:line="560" w:lineRule="exact"/>
      </w:pPr>
      <w:r>
        <w:rPr>
          <w:rFonts w:hint="eastAsia"/>
        </w:rPr>
        <w:t>单位：万元</w:t>
      </w:r>
    </w:p>
    <w:tbl>
      <w:tblPr>
        <w:tblStyle w:val="15"/>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10"/>
        <w:gridCol w:w="1511"/>
        <w:gridCol w:w="1510"/>
        <w:gridCol w:w="1510"/>
        <w:gridCol w:w="1510"/>
        <w:gridCol w:w="15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blHeader/>
          <w:jc w:val="center"/>
        </w:trPr>
        <w:tc>
          <w:tcPr>
            <w:tcW w:w="834" w:type="pct"/>
            <w:vAlign w:val="center"/>
          </w:tcPr>
          <w:p>
            <w:pPr>
              <w:pStyle w:val="36"/>
              <w:rPr>
                <w:rFonts w:eastAsia="宋体" w:cs="宋体"/>
              </w:rPr>
            </w:pPr>
            <w:r>
              <w:rPr>
                <w:rFonts w:hint="eastAsia" w:eastAsia="宋体" w:cs="宋体"/>
              </w:rPr>
              <w:t>资金计划</w:t>
            </w:r>
          </w:p>
          <w:p>
            <w:pPr>
              <w:pStyle w:val="36"/>
              <w:rPr>
                <w:rFonts w:eastAsia="宋体" w:cs="宋体"/>
              </w:rPr>
            </w:pPr>
            <w:r>
              <w:rPr>
                <w:rFonts w:hint="eastAsia" w:eastAsia="宋体" w:cs="宋体"/>
              </w:rPr>
              <w:t>下达时间</w:t>
            </w:r>
          </w:p>
        </w:tc>
        <w:tc>
          <w:tcPr>
            <w:tcW w:w="834" w:type="pct"/>
            <w:vAlign w:val="center"/>
          </w:tcPr>
          <w:p>
            <w:pPr>
              <w:pStyle w:val="36"/>
              <w:rPr>
                <w:rFonts w:eastAsia="宋体" w:cs="宋体"/>
              </w:rPr>
            </w:pPr>
            <w:r>
              <w:rPr>
                <w:rFonts w:hint="eastAsia" w:eastAsia="宋体" w:cs="宋体"/>
              </w:rPr>
              <w:t>资金计划</w:t>
            </w:r>
          </w:p>
          <w:p>
            <w:pPr>
              <w:pStyle w:val="36"/>
              <w:rPr>
                <w:rFonts w:eastAsia="宋体" w:cs="宋体"/>
              </w:rPr>
            </w:pPr>
            <w:r>
              <w:rPr>
                <w:rFonts w:hint="eastAsia" w:eastAsia="宋体" w:cs="宋体"/>
              </w:rPr>
              <w:t>下达金额</w:t>
            </w:r>
          </w:p>
        </w:tc>
        <w:tc>
          <w:tcPr>
            <w:tcW w:w="833" w:type="pct"/>
            <w:vAlign w:val="center"/>
          </w:tcPr>
          <w:p>
            <w:pPr>
              <w:pStyle w:val="36"/>
              <w:rPr>
                <w:rFonts w:eastAsia="宋体" w:cs="宋体"/>
              </w:rPr>
            </w:pPr>
            <w:r>
              <w:rPr>
                <w:rFonts w:hint="eastAsia" w:eastAsia="宋体" w:cs="宋体"/>
              </w:rPr>
              <w:t>实际到位资金</w:t>
            </w:r>
          </w:p>
        </w:tc>
        <w:tc>
          <w:tcPr>
            <w:tcW w:w="833" w:type="pct"/>
            <w:vAlign w:val="center"/>
          </w:tcPr>
          <w:p>
            <w:pPr>
              <w:pStyle w:val="36"/>
              <w:rPr>
                <w:rFonts w:eastAsia="宋体" w:cs="宋体"/>
              </w:rPr>
            </w:pPr>
            <w:r>
              <w:rPr>
                <w:rFonts w:hint="eastAsia" w:eastAsia="宋体" w:cs="宋体"/>
              </w:rPr>
              <w:t>资金到位率</w:t>
            </w:r>
          </w:p>
        </w:tc>
        <w:tc>
          <w:tcPr>
            <w:tcW w:w="833" w:type="pct"/>
            <w:vAlign w:val="center"/>
          </w:tcPr>
          <w:p>
            <w:pPr>
              <w:pStyle w:val="36"/>
              <w:rPr>
                <w:rFonts w:eastAsia="宋体" w:cs="宋体"/>
              </w:rPr>
            </w:pPr>
            <w:r>
              <w:rPr>
                <w:rFonts w:hint="eastAsia" w:eastAsia="宋体" w:cs="宋体"/>
              </w:rPr>
              <w:t>实际支付资金</w:t>
            </w:r>
          </w:p>
        </w:tc>
        <w:tc>
          <w:tcPr>
            <w:tcW w:w="833" w:type="pct"/>
            <w:vAlign w:val="center"/>
          </w:tcPr>
          <w:p>
            <w:pPr>
              <w:pStyle w:val="36"/>
              <w:rPr>
                <w:rFonts w:eastAsia="宋体" w:cs="宋体"/>
              </w:rPr>
            </w:pPr>
            <w:r>
              <w:rPr>
                <w:rFonts w:hint="eastAsia" w:eastAsia="宋体" w:cs="宋体"/>
              </w:rPr>
              <w:t>预算执行率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834" w:type="pct"/>
            <w:vAlign w:val="center"/>
          </w:tcPr>
          <w:p>
            <w:pPr>
              <w:pStyle w:val="38"/>
            </w:pPr>
            <w:r>
              <w:rPr>
                <w:rFonts w:hint="eastAsia"/>
              </w:rPr>
              <w:t>2</w:t>
            </w:r>
            <w:r>
              <w:t>023</w:t>
            </w:r>
            <w:r>
              <w:rPr>
                <w:rFonts w:hint="eastAsia"/>
              </w:rPr>
              <w:t>年</w:t>
            </w:r>
          </w:p>
        </w:tc>
        <w:tc>
          <w:tcPr>
            <w:tcW w:w="834" w:type="pct"/>
            <w:vAlign w:val="center"/>
          </w:tcPr>
          <w:p>
            <w:pPr>
              <w:pStyle w:val="38"/>
            </w:pPr>
            <w:r>
              <w:t>4046.6</w:t>
            </w:r>
          </w:p>
        </w:tc>
        <w:tc>
          <w:tcPr>
            <w:tcW w:w="833" w:type="pct"/>
            <w:vAlign w:val="center"/>
          </w:tcPr>
          <w:p>
            <w:pPr>
              <w:pStyle w:val="38"/>
            </w:pPr>
            <w:r>
              <w:t>4046.6</w:t>
            </w:r>
          </w:p>
        </w:tc>
        <w:tc>
          <w:tcPr>
            <w:tcW w:w="833" w:type="pct"/>
            <w:vAlign w:val="center"/>
          </w:tcPr>
          <w:p>
            <w:pPr>
              <w:pStyle w:val="38"/>
            </w:pPr>
            <w:r>
              <w:rPr>
                <w:rFonts w:hint="eastAsia"/>
              </w:rPr>
              <w:t>1</w:t>
            </w:r>
            <w:r>
              <w:t>00%</w:t>
            </w:r>
          </w:p>
        </w:tc>
        <w:tc>
          <w:tcPr>
            <w:tcW w:w="833" w:type="pct"/>
            <w:vAlign w:val="center"/>
          </w:tcPr>
          <w:p>
            <w:pPr>
              <w:pStyle w:val="38"/>
            </w:pPr>
            <w:r>
              <w:t>4046.6</w:t>
            </w:r>
          </w:p>
        </w:tc>
        <w:tc>
          <w:tcPr>
            <w:tcW w:w="833" w:type="pct"/>
            <w:vAlign w:val="center"/>
          </w:tcPr>
          <w:p>
            <w:pPr>
              <w:pStyle w:val="38"/>
            </w:pPr>
            <w:r>
              <w:rPr>
                <w:rFonts w:hint="eastAsia"/>
              </w:rPr>
              <w:t>1</w:t>
            </w:r>
            <w:r>
              <w:t>00%</w:t>
            </w:r>
          </w:p>
        </w:tc>
      </w:tr>
    </w:tbl>
    <w:p>
      <w:pPr>
        <w:pStyle w:val="30"/>
        <w:spacing w:line="560" w:lineRule="exact"/>
        <w:ind w:firstLine="640"/>
        <w:rPr>
          <w:rFonts w:ascii="Times New Roman" w:hAnsi="Times New Roman"/>
        </w:rPr>
      </w:pPr>
      <w:bookmarkStart w:id="9" w:name="_Toc26529"/>
      <w:r>
        <w:rPr>
          <w:rFonts w:hint="eastAsia" w:ascii="Times New Roman" w:hAnsi="Times New Roman"/>
        </w:rPr>
        <w:t>（二）项目绩效目标</w:t>
      </w:r>
      <w:bookmarkEnd w:id="9"/>
    </w:p>
    <w:p>
      <w:pPr>
        <w:pStyle w:val="26"/>
        <w:spacing w:line="560" w:lineRule="exact"/>
        <w:ind w:firstLine="640"/>
      </w:pPr>
      <w:r>
        <w:rPr>
          <w:rFonts w:hint="eastAsia"/>
        </w:rPr>
        <w:t>环卫作业市场化经费项目总体绩效目标为：通过环卫作业市场化服务，实现环卫工作规范化、专业化及市场化管理，提升和平区环境卫生管理水平和服务质量，改善和平区人居环境。预期产出指标为清扫道路数量1</w:t>
      </w:r>
      <w:r>
        <w:t>50</w:t>
      </w:r>
      <w:r>
        <w:rPr>
          <w:rFonts w:hint="eastAsia"/>
        </w:rPr>
        <w:t>条，全年清运生活垃圾量不低于1</w:t>
      </w:r>
      <w:r>
        <w:t>2.5</w:t>
      </w:r>
      <w:r>
        <w:rPr>
          <w:rFonts w:hint="eastAsia"/>
        </w:rPr>
        <w:t>万吨，道路清扫完成率不低于9</w:t>
      </w:r>
      <w:r>
        <w:t>5%</w:t>
      </w:r>
      <w:r>
        <w:rPr>
          <w:rFonts w:hint="eastAsia"/>
        </w:rPr>
        <w:t>，道路环境卫生考核合格率不低于8</w:t>
      </w:r>
      <w:r>
        <w:t>5%</w:t>
      </w:r>
      <w:r>
        <w:rPr>
          <w:rFonts w:hint="eastAsia"/>
        </w:rPr>
        <w:t>，生活垃圾清运考核合格率不低于9</w:t>
      </w:r>
      <w:r>
        <w:t>5%</w:t>
      </w:r>
      <w:r>
        <w:rPr>
          <w:rFonts w:hint="eastAsia"/>
        </w:rPr>
        <w:t>，道路清扫及时率不低于9</w:t>
      </w:r>
      <w:r>
        <w:t>5%</w:t>
      </w:r>
      <w:r>
        <w:rPr>
          <w:rFonts w:hint="eastAsia"/>
        </w:rPr>
        <w:t>，垃圾清运及时率不低于</w:t>
      </w:r>
      <w:r>
        <w:t>95%</w:t>
      </w:r>
      <w:r>
        <w:rPr>
          <w:rFonts w:hint="eastAsia"/>
        </w:rPr>
        <w:t>，项目支出成本不超过4</w:t>
      </w:r>
      <w:r>
        <w:t>046.6</w:t>
      </w:r>
      <w:r>
        <w:rPr>
          <w:rFonts w:hint="eastAsia"/>
        </w:rPr>
        <w:t>万元，项目预期效益为改善人居环境，群众满意度不低于9</w:t>
      </w:r>
      <w:r>
        <w:t>5%</w:t>
      </w:r>
      <w:r>
        <w:rPr>
          <w:rFonts w:hint="eastAsia"/>
        </w:rPr>
        <w:t>。</w:t>
      </w:r>
    </w:p>
    <w:bookmarkEnd w:id="7"/>
    <w:p>
      <w:pPr>
        <w:pStyle w:val="28"/>
        <w:spacing w:line="560" w:lineRule="exact"/>
      </w:pPr>
      <w:bookmarkStart w:id="10" w:name="_Toc22060"/>
      <w:r>
        <w:rPr>
          <w:rFonts w:hint="eastAsia"/>
        </w:rPr>
        <w:t>二、绩效评价工作开展情况</w:t>
      </w:r>
      <w:bookmarkEnd w:id="10"/>
    </w:p>
    <w:p>
      <w:pPr>
        <w:pStyle w:val="30"/>
        <w:spacing w:line="560" w:lineRule="exact"/>
        <w:ind w:firstLine="640"/>
        <w:rPr>
          <w:rFonts w:ascii="Times New Roman" w:hAnsi="Times New Roman"/>
        </w:rPr>
      </w:pPr>
      <w:bookmarkStart w:id="11" w:name="_Toc26918"/>
      <w:r>
        <w:rPr>
          <w:rFonts w:hint="eastAsia" w:ascii="Times New Roman" w:hAnsi="Times New Roman"/>
        </w:rPr>
        <w:t>（一）绩效评价的目的、对象和范围</w:t>
      </w:r>
      <w:bookmarkEnd w:id="11"/>
    </w:p>
    <w:p>
      <w:pPr>
        <w:pStyle w:val="26"/>
        <w:spacing w:line="560" w:lineRule="exact"/>
        <w:ind w:firstLine="640"/>
      </w:pPr>
      <w:r>
        <w:rPr>
          <w:rFonts w:hint="eastAsia"/>
        </w:rPr>
        <w:t>1.绩效评价目的</w:t>
      </w:r>
    </w:p>
    <w:p>
      <w:pPr>
        <w:pStyle w:val="26"/>
        <w:spacing w:line="560" w:lineRule="exact"/>
        <w:ind w:firstLine="640"/>
      </w:pPr>
      <w:r>
        <w:rPr>
          <w:rFonts w:hint="eastAsia"/>
        </w:rPr>
        <w:t>本次评价以《财政部关于印发〈项目支出绩效评价管理办法〉的通知》（</w:t>
      </w:r>
      <w:r>
        <w:rPr>
          <w:rFonts w:hint="eastAsia" w:cs="仿宋_GB2312"/>
        </w:rPr>
        <w:t>财预〔</w:t>
      </w:r>
      <w:r>
        <w:t>2020</w:t>
      </w:r>
      <w:r>
        <w:rPr>
          <w:rFonts w:hint="eastAsia" w:cs="仿宋_GB2312"/>
        </w:rPr>
        <w:t>〕</w:t>
      </w:r>
      <w:r>
        <w:rPr>
          <w:rFonts w:hint="eastAsia"/>
        </w:rPr>
        <w:t>1</w:t>
      </w:r>
      <w:r>
        <w:t>0</w:t>
      </w:r>
      <w:r>
        <w:rPr>
          <w:rFonts w:hint="eastAsia" w:cs="仿宋_GB2312"/>
        </w:rPr>
        <w:t>号</w:t>
      </w:r>
      <w:r>
        <w:rPr>
          <w:rFonts w:hint="eastAsia"/>
        </w:rPr>
        <w:t>）、《中共天津市委天津市人民政府印发关于全面推进预算绩效管理的实施方案》、《天津市人民政府办公厅关于转发市财政局拟定的天津市市级财政专项资金管理暂行办法的通知》（津政办发〔</w:t>
      </w:r>
      <w:r>
        <w:t>2015〕63号）</w:t>
      </w:r>
      <w:r>
        <w:rPr>
          <w:rFonts w:hint="eastAsia"/>
        </w:rPr>
        <w:t>、《天津市市级财政项目支出绩效评价管理办法》（</w:t>
      </w:r>
      <w:r>
        <w:t>津财绩效〔2020〕12号</w:t>
      </w:r>
      <w:r>
        <w:rPr>
          <w:rFonts w:hint="eastAsia"/>
        </w:rPr>
        <w:t>）、《中共天津市和平区委全面深化改革委员会</w:t>
      </w:r>
      <w:r>
        <w:t>2021年工作要点》及《2021年全面深化改革任务台账》（和改办发〔2021〕1号）</w:t>
      </w:r>
      <w:r>
        <w:rPr>
          <w:rFonts w:hint="eastAsia"/>
        </w:rPr>
        <w:t>等文件为依据，对环卫市场化经费项目财政专项资金使用绩效情况进行评价。开展此次评价工作的目的在于：</w:t>
      </w:r>
    </w:p>
    <w:p>
      <w:pPr>
        <w:pStyle w:val="26"/>
        <w:spacing w:line="560" w:lineRule="exact"/>
        <w:ind w:firstLine="640"/>
      </w:pPr>
      <w:r>
        <w:rPr>
          <w:rFonts w:hint="eastAsia"/>
        </w:rPr>
        <w:t>（1）通过对环卫市场化经费项目的实施情况进行核实评价，了解掌握项目的实施情况。</w:t>
      </w:r>
    </w:p>
    <w:p>
      <w:pPr>
        <w:pStyle w:val="26"/>
        <w:spacing w:line="560" w:lineRule="exact"/>
        <w:ind w:firstLine="640"/>
      </w:pPr>
      <w:r>
        <w:rPr>
          <w:rFonts w:hint="eastAsia"/>
        </w:rPr>
        <w:t>（2）根据环卫市场化经费项目实施的具体情况，评价其项目资金安排的科学性、合理性、规范性，完善项目管理办法，提高项目管理水平和资金的使用效率。</w:t>
      </w:r>
    </w:p>
    <w:p>
      <w:pPr>
        <w:spacing w:line="560" w:lineRule="exact"/>
        <w:ind w:firstLine="640"/>
        <w:jc w:val="both"/>
        <w:rPr>
          <w:rFonts w:ascii="Times New Roman" w:hAnsi="Times New Roman" w:eastAsia="仿宋_GB2312"/>
          <w:sz w:val="32"/>
        </w:rPr>
      </w:pPr>
      <w:r>
        <w:rPr>
          <w:rFonts w:hint="eastAsia" w:ascii="Times New Roman" w:hAnsi="Times New Roman" w:eastAsia="仿宋_GB2312"/>
          <w:sz w:val="32"/>
        </w:rPr>
        <w:t>（3）本次从决策、过程、产出、效益四个方面对区城市管理委环卫作业市场化经费项目进行客观、公正的评价；总结项目管理与执行经验，发现项目管理和预算管理中存在的问题，提出改进意见和建议，为相关部门决策、管理提供参考依据，推动建立以绩效评价结果为导向的财政资金分配与管理制度。</w:t>
      </w:r>
    </w:p>
    <w:p>
      <w:pPr>
        <w:pStyle w:val="26"/>
        <w:spacing w:line="560" w:lineRule="exact"/>
        <w:ind w:firstLine="640"/>
      </w:pPr>
      <w:r>
        <w:rPr>
          <w:rFonts w:hint="eastAsia"/>
        </w:rPr>
        <w:t>（4）进一步丰富和完善环卫作业市场化经费项目绩效评价方法体系，推动建立以绩效评价结果为导向的财政资金分配与管理制度，提升财政资金科学化、精细化管理水平，为环卫作业市场化经费项目专项资金的安排提供重要依据。</w:t>
      </w:r>
    </w:p>
    <w:p>
      <w:pPr>
        <w:pStyle w:val="26"/>
        <w:spacing w:line="560" w:lineRule="exact"/>
        <w:ind w:firstLine="640"/>
      </w:pPr>
      <w:r>
        <w:rPr>
          <w:rFonts w:hint="eastAsia"/>
        </w:rPr>
        <w:t>2.绩效评价对象和范围</w:t>
      </w:r>
    </w:p>
    <w:p>
      <w:pPr>
        <w:pStyle w:val="26"/>
        <w:spacing w:line="560" w:lineRule="exact"/>
        <w:ind w:firstLine="640"/>
      </w:pPr>
      <w:r>
        <w:rPr>
          <w:rFonts w:hint="eastAsia"/>
        </w:rPr>
        <w:t>本次绩效评价针对</w:t>
      </w:r>
      <w:r>
        <w:rPr>
          <w:rFonts w:hint="eastAsia"/>
          <w:color w:val="000000" w:themeColor="text1"/>
          <w14:textFill>
            <w14:solidFill>
              <w14:schemeClr w14:val="tx1"/>
            </w14:solidFill>
          </w14:textFill>
        </w:rPr>
        <w:t>区城市管理委</w:t>
      </w:r>
      <w:r>
        <w:rPr>
          <w:rFonts w:hint="eastAsia"/>
        </w:rPr>
        <w:t>环卫作业市场化经费项目展开，主要评价内容及范围如下：</w:t>
      </w:r>
    </w:p>
    <w:p>
      <w:pPr>
        <w:pStyle w:val="26"/>
        <w:spacing w:line="560" w:lineRule="exact"/>
        <w:ind w:firstLine="640"/>
      </w:pPr>
      <w:r>
        <w:rPr>
          <w:rFonts w:hint="eastAsia"/>
        </w:rPr>
        <w:t>（</w:t>
      </w:r>
      <w:r>
        <w:t>1</w:t>
      </w:r>
      <w:r>
        <w:rPr>
          <w:rFonts w:hint="eastAsia"/>
        </w:rPr>
        <w:t>）立项依据和立项程序情况；</w:t>
      </w:r>
    </w:p>
    <w:p>
      <w:pPr>
        <w:pStyle w:val="26"/>
        <w:spacing w:line="560" w:lineRule="exact"/>
        <w:ind w:firstLine="640"/>
      </w:pPr>
      <w:r>
        <w:rPr>
          <w:rFonts w:hint="eastAsia"/>
        </w:rPr>
        <w:t>（</w:t>
      </w:r>
      <w:r>
        <w:t>2</w:t>
      </w:r>
      <w:r>
        <w:rPr>
          <w:rFonts w:hint="eastAsia"/>
        </w:rPr>
        <w:t>）绩效目标和指标设定情况；</w:t>
      </w:r>
    </w:p>
    <w:p>
      <w:pPr>
        <w:pStyle w:val="26"/>
        <w:spacing w:line="560" w:lineRule="exact"/>
        <w:ind w:firstLine="640"/>
      </w:pPr>
      <w:r>
        <w:rPr>
          <w:rFonts w:hint="eastAsia"/>
        </w:rPr>
        <w:t>（</w:t>
      </w:r>
      <w:r>
        <w:t>3</w:t>
      </w:r>
      <w:r>
        <w:rPr>
          <w:rFonts w:hint="eastAsia"/>
        </w:rPr>
        <w:t>）预算编制和资金分配情况；</w:t>
      </w:r>
    </w:p>
    <w:p>
      <w:pPr>
        <w:pStyle w:val="26"/>
        <w:spacing w:line="560" w:lineRule="exact"/>
        <w:ind w:firstLine="640"/>
      </w:pPr>
      <w:r>
        <w:rPr>
          <w:rFonts w:hint="eastAsia"/>
        </w:rPr>
        <w:t>（</w:t>
      </w:r>
      <w:r>
        <w:t>4</w:t>
      </w:r>
      <w:r>
        <w:rPr>
          <w:rFonts w:hint="eastAsia"/>
        </w:rPr>
        <w:t>）资金管理和使用情况；</w:t>
      </w:r>
    </w:p>
    <w:p>
      <w:pPr>
        <w:pStyle w:val="26"/>
        <w:spacing w:line="560" w:lineRule="exact"/>
        <w:ind w:firstLine="640"/>
      </w:pPr>
      <w:r>
        <w:rPr>
          <w:rFonts w:hint="eastAsia"/>
        </w:rPr>
        <w:t>（</w:t>
      </w:r>
      <w:r>
        <w:t>5</w:t>
      </w:r>
      <w:r>
        <w:rPr>
          <w:rFonts w:hint="eastAsia"/>
        </w:rPr>
        <w:t>）相关制度办法的健全性及执行情况；</w:t>
      </w:r>
    </w:p>
    <w:p>
      <w:pPr>
        <w:pStyle w:val="26"/>
        <w:spacing w:line="560" w:lineRule="exact"/>
        <w:ind w:firstLine="640"/>
      </w:pPr>
      <w:r>
        <w:rPr>
          <w:rFonts w:hint="eastAsia"/>
        </w:rPr>
        <w:t>（</w:t>
      </w:r>
      <w:r>
        <w:t>6</w:t>
      </w:r>
      <w:r>
        <w:rPr>
          <w:rFonts w:hint="eastAsia"/>
        </w:rPr>
        <w:t>）实现的产出情况；</w:t>
      </w:r>
    </w:p>
    <w:p>
      <w:pPr>
        <w:pStyle w:val="26"/>
        <w:spacing w:line="560" w:lineRule="exact"/>
        <w:ind w:firstLine="640"/>
      </w:pPr>
      <w:r>
        <w:rPr>
          <w:rFonts w:hint="eastAsia"/>
        </w:rPr>
        <w:t>（</w:t>
      </w:r>
      <w:r>
        <w:t>7</w:t>
      </w:r>
      <w:r>
        <w:rPr>
          <w:rFonts w:hint="eastAsia"/>
        </w:rPr>
        <w:t>）取得的效益情况；</w:t>
      </w:r>
    </w:p>
    <w:p>
      <w:pPr>
        <w:pStyle w:val="26"/>
        <w:spacing w:line="560" w:lineRule="exact"/>
        <w:ind w:firstLine="640"/>
      </w:pPr>
      <w:r>
        <w:rPr>
          <w:rFonts w:hint="eastAsia"/>
        </w:rPr>
        <w:t>（</w:t>
      </w:r>
      <w:r>
        <w:t>8</w:t>
      </w:r>
      <w:r>
        <w:rPr>
          <w:rFonts w:hint="eastAsia"/>
        </w:rPr>
        <w:t>）其他相关内容。</w:t>
      </w:r>
    </w:p>
    <w:p>
      <w:pPr>
        <w:pStyle w:val="30"/>
        <w:spacing w:line="560" w:lineRule="exact"/>
        <w:ind w:firstLine="640"/>
        <w:rPr>
          <w:rFonts w:ascii="Times New Roman" w:hAnsi="Times New Roman"/>
        </w:rPr>
      </w:pPr>
      <w:bookmarkStart w:id="12" w:name="_Toc28505"/>
      <w:r>
        <w:rPr>
          <w:rFonts w:hint="eastAsia" w:ascii="Times New Roman" w:hAnsi="Times New Roman"/>
        </w:rPr>
        <w:t>（二）</w:t>
      </w:r>
      <w:r>
        <w:rPr>
          <w:rFonts w:hint="eastAsia" w:ascii="Times New Roman" w:hAnsi="Times New Roman" w:cs="楷体_GB2312"/>
          <w:bCs w:val="0"/>
        </w:rPr>
        <w:t>绩效评价原则、评价指标体系、评价方法</w:t>
      </w:r>
      <w:bookmarkEnd w:id="12"/>
    </w:p>
    <w:p>
      <w:pPr>
        <w:pStyle w:val="26"/>
        <w:spacing w:line="560" w:lineRule="exact"/>
        <w:ind w:firstLine="640"/>
      </w:pPr>
      <w:r>
        <w:t>1.</w:t>
      </w:r>
      <w:r>
        <w:rPr>
          <w:rFonts w:hint="eastAsia"/>
        </w:rPr>
        <w:t>绩效评价原则</w:t>
      </w:r>
    </w:p>
    <w:p>
      <w:pPr>
        <w:pStyle w:val="26"/>
        <w:spacing w:line="560" w:lineRule="exact"/>
        <w:ind w:firstLine="640"/>
      </w:pPr>
      <w:r>
        <w:rPr>
          <w:rFonts w:hint="eastAsia"/>
        </w:rPr>
        <w:t>（</w:t>
      </w:r>
      <w:r>
        <w:t>1</w:t>
      </w:r>
      <w:r>
        <w:rPr>
          <w:rFonts w:hint="eastAsia"/>
        </w:rPr>
        <w:t>）坚持科学规范的原则。此次绩效评价运用科学合理的评价指标体系和方法，按照规范的程序，对支出绩效进行客观、公正的反映。</w:t>
      </w:r>
    </w:p>
    <w:p>
      <w:pPr>
        <w:pStyle w:val="26"/>
        <w:spacing w:line="560" w:lineRule="exact"/>
        <w:ind w:firstLine="640"/>
      </w:pPr>
      <w:r>
        <w:rPr>
          <w:rFonts w:hint="eastAsia"/>
        </w:rPr>
        <w:t>（</w:t>
      </w:r>
      <w:r>
        <w:t>2</w:t>
      </w:r>
      <w:r>
        <w:rPr>
          <w:rFonts w:hint="eastAsia"/>
        </w:rPr>
        <w:t>）坚持统筹兼顾的原则。此次评价委托第三方机构在单位自评的基础上开展。</w:t>
      </w:r>
    </w:p>
    <w:p>
      <w:pPr>
        <w:pStyle w:val="26"/>
        <w:spacing w:line="560" w:lineRule="exact"/>
        <w:ind w:firstLine="640"/>
      </w:pPr>
      <w:bookmarkStart w:id="13" w:name="_Hlk91689355"/>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pPr>
        <w:pStyle w:val="26"/>
        <w:spacing w:line="560" w:lineRule="exact"/>
        <w:ind w:firstLine="640"/>
      </w:pPr>
      <w:r>
        <w:rPr>
          <w:rFonts w:hint="eastAsia"/>
        </w:rPr>
        <w:t>（</w:t>
      </w:r>
      <w:r>
        <w:t>4</w:t>
      </w:r>
      <w:r>
        <w:rPr>
          <w:rFonts w:hint="eastAsia"/>
        </w:rPr>
        <w:t>）坚持公开透明的原则。承诺绩效评价结果依法依规公开，自觉接受有关机构和社会监督。</w:t>
      </w:r>
    </w:p>
    <w:p>
      <w:pPr>
        <w:pStyle w:val="26"/>
        <w:spacing w:line="560" w:lineRule="exact"/>
        <w:ind w:firstLine="640"/>
      </w:pPr>
      <w:r>
        <w:rPr>
          <w:rFonts w:hint="eastAsia"/>
        </w:rPr>
        <w:t>（</w:t>
      </w:r>
      <w:r>
        <w:t>5</w:t>
      </w:r>
      <w:r>
        <w:rPr>
          <w:rFonts w:hint="eastAsia"/>
        </w:rPr>
        <w:t>）坚持综合绩效评价，定量分析与定性分析相结合的原则。</w:t>
      </w:r>
    </w:p>
    <w:p>
      <w:pPr>
        <w:pStyle w:val="26"/>
        <w:spacing w:line="560" w:lineRule="exact"/>
        <w:ind w:firstLine="640"/>
      </w:pPr>
      <w:r>
        <w:rPr>
          <w:rFonts w:hint="eastAsia"/>
        </w:rPr>
        <w:t>（</w:t>
      </w:r>
      <w:r>
        <w:t>6</w:t>
      </w:r>
      <w:r>
        <w:rPr>
          <w:rFonts w:hint="eastAsia"/>
        </w:rPr>
        <w:t>）坚持绩效相关性原则。此次绩效评价将针对具体支出及其产出绩效进行，评价结果将清晰反映支出和产出绩效之间的紧密对应关系。</w:t>
      </w:r>
      <w:bookmarkEnd w:id="13"/>
    </w:p>
    <w:p>
      <w:pPr>
        <w:pStyle w:val="26"/>
        <w:spacing w:line="560" w:lineRule="exact"/>
        <w:ind w:firstLine="640"/>
      </w:pPr>
      <w:r>
        <w:t>2.</w:t>
      </w:r>
      <w:r>
        <w:rPr>
          <w:rFonts w:hint="eastAsia"/>
        </w:rPr>
        <w:t>评价指标体系</w:t>
      </w:r>
    </w:p>
    <w:p>
      <w:pPr>
        <w:pStyle w:val="26"/>
        <w:spacing w:line="560" w:lineRule="exact"/>
        <w:ind w:firstLine="640"/>
      </w:pPr>
      <w:r>
        <w:rPr>
          <w:rFonts w:hint="eastAsia"/>
        </w:rPr>
        <w:t>针对项目情况，从决策、过程、产出及效益四大方面拟定绩效评价指标，其中：</w:t>
      </w:r>
    </w:p>
    <w:p>
      <w:pPr>
        <w:pStyle w:val="26"/>
        <w:spacing w:line="560" w:lineRule="exact"/>
        <w:ind w:firstLine="640"/>
        <w:rPr>
          <w:rFonts w:cs="仿宋_GB2312"/>
        </w:rPr>
      </w:pPr>
      <w:r>
        <w:rPr>
          <w:rFonts w:hint="eastAsia"/>
        </w:rPr>
        <w:t>（1）</w:t>
      </w:r>
      <w:r>
        <w:rPr>
          <w:rFonts w:hint="eastAsia" w:cs="仿宋_GB2312"/>
        </w:rPr>
        <w:t>项目决策指标</w:t>
      </w:r>
    </w:p>
    <w:p>
      <w:pPr>
        <w:pStyle w:val="26"/>
        <w:spacing w:line="560" w:lineRule="exact"/>
        <w:ind w:firstLine="640"/>
      </w:pPr>
      <w:r>
        <w:rPr>
          <w:rFonts w:hint="eastAsia"/>
        </w:rPr>
        <w:t>①项目立项</w:t>
      </w:r>
    </w:p>
    <w:p>
      <w:pPr>
        <w:pStyle w:val="26"/>
        <w:spacing w:line="560" w:lineRule="exact"/>
        <w:ind w:firstLine="640"/>
      </w:pPr>
      <w:r>
        <w:t>a.</w:t>
      </w:r>
      <w:r>
        <w:rPr>
          <w:rFonts w:hint="eastAsia"/>
        </w:rPr>
        <w:t>立项依据充分性。项目立项是否符合法律法规、相关政策、发展规划以及部门职责，用于反映和考核项目立项依据情况。</w:t>
      </w:r>
    </w:p>
    <w:p>
      <w:pPr>
        <w:pStyle w:val="26"/>
        <w:spacing w:line="560" w:lineRule="exact"/>
        <w:ind w:firstLine="640"/>
      </w:pPr>
      <w:r>
        <w:t>b.</w:t>
      </w:r>
      <w:r>
        <w:rPr>
          <w:rFonts w:hint="eastAsia"/>
        </w:rPr>
        <w:t>立项程序规范性。项目申请、设立过程是否符合相关要求，用以反映和考核项目立项的规范情况。</w:t>
      </w:r>
    </w:p>
    <w:p>
      <w:pPr>
        <w:pStyle w:val="26"/>
        <w:spacing w:line="560" w:lineRule="exact"/>
        <w:ind w:firstLine="640"/>
      </w:pPr>
      <w:r>
        <w:rPr>
          <w:rFonts w:hint="eastAsia"/>
        </w:rPr>
        <w:t>②绩效目标</w:t>
      </w:r>
    </w:p>
    <w:p>
      <w:pPr>
        <w:pStyle w:val="26"/>
        <w:spacing w:line="560" w:lineRule="exact"/>
        <w:ind w:firstLine="640"/>
      </w:pPr>
      <w:r>
        <w:rPr>
          <w:rFonts w:hint="eastAsia"/>
        </w:rPr>
        <w:t>a</w:t>
      </w:r>
      <w:r>
        <w:t>.</w:t>
      </w:r>
      <w:r>
        <w:rPr>
          <w:rFonts w:hint="eastAsia"/>
        </w:rPr>
        <w:t>绩效目标明确性。依据绩效目标设定的绩效指标是否清晰、细化、可衡量等，用以反映和考核项目绩效目标的明细化情况。</w:t>
      </w:r>
    </w:p>
    <w:p>
      <w:pPr>
        <w:pStyle w:val="26"/>
        <w:spacing w:line="560" w:lineRule="exact"/>
        <w:ind w:firstLine="640"/>
      </w:pPr>
      <w:r>
        <w:t>b.</w:t>
      </w:r>
      <w:r>
        <w:rPr>
          <w:rFonts w:hint="eastAsia"/>
        </w:rPr>
        <w:t>绩效目标合理性。项目所设定的绩效目标是否依据充分，是否符合客观实际，用以反映和考核项目绩效目标与项目实施的相符情况。</w:t>
      </w:r>
    </w:p>
    <w:p>
      <w:pPr>
        <w:pStyle w:val="26"/>
        <w:spacing w:line="560" w:lineRule="exact"/>
        <w:ind w:firstLine="640"/>
      </w:pPr>
      <w:r>
        <w:rPr>
          <w:rFonts w:hint="eastAsia"/>
        </w:rPr>
        <w:t>③预算编制</w:t>
      </w:r>
    </w:p>
    <w:p>
      <w:pPr>
        <w:pStyle w:val="26"/>
        <w:spacing w:line="560" w:lineRule="exact"/>
        <w:ind w:firstLine="640"/>
      </w:pPr>
      <w:r>
        <w:rPr>
          <w:rFonts w:hint="eastAsia"/>
        </w:rPr>
        <w:t>a</w:t>
      </w:r>
      <w:r>
        <w:t>.</w:t>
      </w:r>
      <w:r>
        <w:rPr>
          <w:rFonts w:hint="eastAsia"/>
        </w:rPr>
        <w:t>测算内容合规性。项目预算测算内容是否符合相关政策文件规定范围。</w:t>
      </w:r>
    </w:p>
    <w:p>
      <w:pPr>
        <w:pStyle w:val="26"/>
        <w:spacing w:line="560" w:lineRule="exact"/>
        <w:ind w:firstLine="640"/>
      </w:pPr>
      <w:r>
        <w:rPr>
          <w:rFonts w:hint="eastAsia"/>
        </w:rPr>
        <w:t>b</w:t>
      </w:r>
      <w:r>
        <w:t>.</w:t>
      </w:r>
      <w:r>
        <w:rPr>
          <w:rFonts w:hint="eastAsia"/>
        </w:rPr>
        <w:t>测算标准合理性。项目预算测算项目支出标准是否符合相关政策制度或行业、领域规定。</w:t>
      </w:r>
    </w:p>
    <w:p>
      <w:pPr>
        <w:pStyle w:val="26"/>
        <w:spacing w:line="560" w:lineRule="exact"/>
        <w:ind w:firstLine="640"/>
      </w:pPr>
      <w:r>
        <w:rPr>
          <w:rFonts w:hint="eastAsia"/>
        </w:rPr>
        <w:t>c</w:t>
      </w:r>
      <w:r>
        <w:t>.</w:t>
      </w:r>
      <w:r>
        <w:rPr>
          <w:rFonts w:hint="eastAsia"/>
        </w:rPr>
        <w:t>测算数据客观性。项目预算测算数据是否客观、真实、准确。</w:t>
      </w:r>
    </w:p>
    <w:p>
      <w:pPr>
        <w:pStyle w:val="26"/>
        <w:spacing w:line="560" w:lineRule="exact"/>
        <w:ind w:firstLine="640"/>
      </w:pPr>
      <w:r>
        <w:rPr>
          <w:rFonts w:hint="eastAsia"/>
        </w:rPr>
        <w:t>d</w:t>
      </w:r>
      <w:r>
        <w:t>.</w:t>
      </w:r>
      <w:r>
        <w:rPr>
          <w:rFonts w:hint="eastAsia"/>
        </w:rPr>
        <w:t>测算过程细化度。测算过程是否细化清晰。</w:t>
      </w:r>
    </w:p>
    <w:p>
      <w:pPr>
        <w:pStyle w:val="26"/>
        <w:spacing w:line="560" w:lineRule="exact"/>
        <w:ind w:firstLine="640"/>
      </w:pPr>
      <w:r>
        <w:rPr>
          <w:rFonts w:hint="eastAsia"/>
        </w:rPr>
        <w:t>（2）项目过程指标</w:t>
      </w:r>
    </w:p>
    <w:p>
      <w:pPr>
        <w:pStyle w:val="26"/>
        <w:spacing w:line="560" w:lineRule="exact"/>
        <w:ind w:firstLine="640"/>
      </w:pPr>
      <w:r>
        <w:rPr>
          <w:rFonts w:hint="eastAsia"/>
        </w:rPr>
        <w:t>①资金管理</w:t>
      </w:r>
    </w:p>
    <w:p>
      <w:pPr>
        <w:pStyle w:val="26"/>
        <w:spacing w:line="560" w:lineRule="exact"/>
        <w:ind w:firstLine="640"/>
      </w:pPr>
      <w:r>
        <w:rPr>
          <w:rFonts w:hint="eastAsia"/>
        </w:rPr>
        <w:t>a</w:t>
      </w:r>
      <w:r>
        <w:t>.</w:t>
      </w:r>
      <w:r>
        <w:rPr>
          <w:rFonts w:hint="eastAsia"/>
        </w:rPr>
        <w:t>资金到位率。实际到位资金与预算资金的比率，用以反映和考核资金落实情况对项目实施的总体保障程度。</w:t>
      </w:r>
    </w:p>
    <w:p>
      <w:pPr>
        <w:pStyle w:val="26"/>
        <w:spacing w:line="560" w:lineRule="exact"/>
        <w:ind w:firstLine="640"/>
      </w:pPr>
      <w:r>
        <w:rPr>
          <w:rFonts w:hint="eastAsia"/>
        </w:rPr>
        <w:t>b</w:t>
      </w:r>
      <w:r>
        <w:t>.</w:t>
      </w:r>
      <w:r>
        <w:rPr>
          <w:rFonts w:hint="eastAsia"/>
        </w:rPr>
        <w:t>资金到位及时率。及时到位资金与实际到位资金的比率，用以反映和考核项目资金落实的及时性程度。</w:t>
      </w:r>
    </w:p>
    <w:p>
      <w:pPr>
        <w:pStyle w:val="26"/>
        <w:spacing w:line="560" w:lineRule="exact"/>
        <w:ind w:firstLine="640"/>
      </w:pPr>
      <w:r>
        <w:rPr>
          <w:rFonts w:hint="eastAsia"/>
        </w:rPr>
        <w:t>c</w:t>
      </w:r>
      <w:r>
        <w:t>.</w:t>
      </w:r>
      <w:r>
        <w:rPr>
          <w:rFonts w:hint="eastAsia"/>
        </w:rPr>
        <w:t>预算执行率。项目预算资金是否按照计划执行，用以反映或考核项目预算执行情况。</w:t>
      </w:r>
    </w:p>
    <w:p>
      <w:pPr>
        <w:pStyle w:val="26"/>
        <w:spacing w:line="560" w:lineRule="exact"/>
        <w:ind w:firstLine="640"/>
      </w:pPr>
      <w:r>
        <w:rPr>
          <w:rFonts w:hint="eastAsia"/>
        </w:rPr>
        <w:t>d</w:t>
      </w:r>
      <w:r>
        <w:t>.</w:t>
      </w:r>
      <w:r>
        <w:rPr>
          <w:rFonts w:hint="eastAsia"/>
        </w:rPr>
        <w:t>资金使用合规性。项目资金使用是否符合相关的财务管理制度规定，用以反映和考核项目资金的规范运行情况。</w:t>
      </w:r>
    </w:p>
    <w:p>
      <w:pPr>
        <w:pStyle w:val="26"/>
        <w:spacing w:line="560" w:lineRule="exact"/>
        <w:ind w:firstLine="640"/>
      </w:pPr>
      <w:r>
        <w:rPr>
          <w:rFonts w:hint="eastAsia"/>
        </w:rPr>
        <w:t>②组织实施</w:t>
      </w:r>
    </w:p>
    <w:p>
      <w:pPr>
        <w:pStyle w:val="26"/>
        <w:spacing w:line="560" w:lineRule="exact"/>
        <w:ind w:firstLine="640"/>
      </w:pPr>
      <w:r>
        <w:rPr>
          <w:rFonts w:hint="eastAsia"/>
        </w:rPr>
        <w:t>a</w:t>
      </w:r>
      <w:r>
        <w:t>.</w:t>
      </w:r>
      <w:r>
        <w:rPr>
          <w:rFonts w:hint="eastAsia"/>
        </w:rPr>
        <w:t>管理制度健全性。项目实施单位的财务和业务管理制度是否健全，用以反映和考核财务和业务管理制度对项目顺利实施的保障情况。</w:t>
      </w:r>
    </w:p>
    <w:p>
      <w:pPr>
        <w:pStyle w:val="26"/>
        <w:spacing w:line="560" w:lineRule="exact"/>
        <w:ind w:firstLine="640"/>
      </w:pPr>
      <w:r>
        <w:rPr>
          <w:rFonts w:hint="eastAsia"/>
        </w:rPr>
        <w:t>b</w:t>
      </w:r>
      <w:r>
        <w:t>.</w:t>
      </w:r>
      <w:r>
        <w:rPr>
          <w:rFonts w:hint="eastAsia"/>
        </w:rPr>
        <w:t>政府购买服务规范性。项目实施单位的采购需求是否合理，采购程序是否规范，采购是否通过充分遴选等，用以反映和考核项目单位采购实施的规范情况。</w:t>
      </w:r>
    </w:p>
    <w:p>
      <w:pPr>
        <w:pStyle w:val="26"/>
        <w:spacing w:line="560" w:lineRule="exact"/>
        <w:ind w:firstLine="640"/>
      </w:pPr>
      <w:r>
        <w:rPr>
          <w:rFonts w:hint="eastAsia"/>
        </w:rPr>
        <w:t>b</w:t>
      </w:r>
      <w:r>
        <w:t>.</w:t>
      </w:r>
      <w:r>
        <w:rPr>
          <w:rFonts w:hint="eastAsia"/>
        </w:rPr>
        <w:t>制度执行有效性。主要从项目申报、项目实施、项目验收等</w:t>
      </w:r>
      <w:r>
        <w:t>3个环节展开，结合相关管理规定进行评价</w:t>
      </w:r>
      <w:r>
        <w:rPr>
          <w:rFonts w:hint="eastAsia"/>
        </w:rPr>
        <w:t>。</w:t>
      </w:r>
    </w:p>
    <w:p>
      <w:pPr>
        <w:pStyle w:val="26"/>
        <w:spacing w:line="560" w:lineRule="exact"/>
        <w:ind w:firstLine="640"/>
      </w:pPr>
      <w:r>
        <w:rPr>
          <w:rFonts w:hint="eastAsia"/>
        </w:rPr>
        <w:t>（3）项目产出指标</w:t>
      </w:r>
    </w:p>
    <w:p>
      <w:pPr>
        <w:pStyle w:val="26"/>
        <w:spacing w:line="560" w:lineRule="exact"/>
        <w:ind w:firstLine="640"/>
      </w:pPr>
      <w:r>
        <w:rPr>
          <w:rFonts w:hint="eastAsia"/>
        </w:rPr>
        <w:t>①产出数量</w:t>
      </w:r>
    </w:p>
    <w:p>
      <w:pPr>
        <w:pStyle w:val="26"/>
        <w:spacing w:line="560" w:lineRule="exact"/>
        <w:ind w:firstLine="640"/>
      </w:pPr>
      <w:r>
        <w:rPr>
          <w:rFonts w:hint="eastAsia"/>
        </w:rPr>
        <w:t>道路扫保工作完成率。项目实施期间实际扫保的道路数量与合同约定数量的比率，用以反映道路扫保工作的完成情况。</w:t>
      </w:r>
    </w:p>
    <w:p>
      <w:pPr>
        <w:pStyle w:val="26"/>
        <w:spacing w:line="560" w:lineRule="exact"/>
        <w:ind w:firstLine="640"/>
      </w:pPr>
      <w:r>
        <w:rPr>
          <w:rFonts w:hint="eastAsia"/>
        </w:rPr>
        <w:t>②产出质量</w:t>
      </w:r>
    </w:p>
    <w:p>
      <w:pPr>
        <w:pStyle w:val="26"/>
        <w:spacing w:line="560" w:lineRule="exact"/>
        <w:ind w:firstLine="640"/>
      </w:pPr>
      <w:r>
        <w:rPr>
          <w:rFonts w:hint="eastAsia"/>
        </w:rPr>
        <w:t>a</w:t>
      </w:r>
      <w:r>
        <w:t>.</w:t>
      </w:r>
      <w:r>
        <w:rPr>
          <w:rFonts w:hint="eastAsia"/>
        </w:rPr>
        <w:t>“以克论净”检测优秀率。项目实施期间在“以克论净”考核工作中的排名情况，用以反映道路扫保作业的质量情况。</w:t>
      </w:r>
    </w:p>
    <w:p>
      <w:pPr>
        <w:pStyle w:val="26"/>
        <w:spacing w:line="560" w:lineRule="exact"/>
        <w:ind w:firstLine="640"/>
      </w:pPr>
      <w:r>
        <w:rPr>
          <w:rFonts w:hint="eastAsia"/>
        </w:rPr>
        <w:t>b</w:t>
      </w:r>
      <w:r>
        <w:t>.</w:t>
      </w:r>
      <w:r>
        <w:rPr>
          <w:rFonts w:hint="eastAsia"/>
        </w:rPr>
        <w:t>作业验收合格率。项目实施期间在环境卫生专业考评中的得分情况，用以反映项目质量控制情况。</w:t>
      </w:r>
    </w:p>
    <w:p>
      <w:pPr>
        <w:pStyle w:val="26"/>
        <w:spacing w:line="560" w:lineRule="exact"/>
        <w:ind w:firstLine="640"/>
      </w:pPr>
      <w:r>
        <w:rPr>
          <w:rFonts w:hint="eastAsia"/>
        </w:rPr>
        <w:t>③产出时效</w:t>
      </w:r>
    </w:p>
    <w:p>
      <w:pPr>
        <w:pStyle w:val="26"/>
        <w:spacing w:line="560" w:lineRule="exact"/>
        <w:ind w:firstLine="640"/>
      </w:pPr>
      <w:r>
        <w:rPr>
          <w:rFonts w:hint="eastAsia"/>
        </w:rPr>
        <w:t>环卫案件处置及时率。通过全年平均环卫案件处置及时率情况，反映环卫作业开展的及时性情况。</w:t>
      </w:r>
    </w:p>
    <w:p>
      <w:pPr>
        <w:pStyle w:val="26"/>
        <w:spacing w:line="560" w:lineRule="exact"/>
        <w:ind w:firstLine="640"/>
      </w:pPr>
      <w:r>
        <w:rPr>
          <w:rFonts w:hint="eastAsia"/>
        </w:rPr>
        <w:t>④产出成本</w:t>
      </w:r>
    </w:p>
    <w:p>
      <w:pPr>
        <w:pStyle w:val="26"/>
        <w:spacing w:line="560" w:lineRule="exact"/>
        <w:ind w:firstLine="640"/>
      </w:pPr>
      <w:r>
        <w:rPr>
          <w:rFonts w:hint="eastAsia"/>
        </w:rPr>
        <w:t>项目成本节约率。项目实施期间实际支出与计划支出的对比，反映项目支出成本控制情况。</w:t>
      </w:r>
    </w:p>
    <w:p>
      <w:pPr>
        <w:pStyle w:val="26"/>
        <w:spacing w:line="560" w:lineRule="exact"/>
        <w:ind w:firstLine="640"/>
      </w:pPr>
      <w:r>
        <w:rPr>
          <w:rFonts w:hint="eastAsia"/>
        </w:rPr>
        <w:t>（</w:t>
      </w:r>
      <w:r>
        <w:t>4</w:t>
      </w:r>
      <w:r>
        <w:rPr>
          <w:rFonts w:hint="eastAsia"/>
        </w:rPr>
        <w:t>）项目效益指标</w:t>
      </w:r>
    </w:p>
    <w:p>
      <w:pPr>
        <w:pStyle w:val="26"/>
        <w:spacing w:line="560" w:lineRule="exact"/>
        <w:ind w:firstLine="640"/>
      </w:pPr>
      <w:r>
        <w:rPr>
          <w:rFonts w:hint="eastAsia"/>
        </w:rPr>
        <w:t>①社会效益</w:t>
      </w:r>
    </w:p>
    <w:p>
      <w:pPr>
        <w:pStyle w:val="26"/>
        <w:spacing w:line="560" w:lineRule="exact"/>
        <w:ind w:firstLine="640"/>
      </w:pPr>
      <w:r>
        <w:rPr>
          <w:rFonts w:hint="eastAsia"/>
        </w:rPr>
        <w:t>全市综合考核优秀率。评价项目在全市综合环境卫生考核工作中的排名情况，从而反映项目的实施效果。</w:t>
      </w:r>
    </w:p>
    <w:p>
      <w:pPr>
        <w:pStyle w:val="26"/>
        <w:spacing w:line="560" w:lineRule="exact"/>
        <w:ind w:firstLine="640"/>
      </w:pPr>
      <w:r>
        <w:rPr>
          <w:rFonts w:hint="eastAsia"/>
        </w:rPr>
        <w:t>②可持续影响</w:t>
      </w:r>
    </w:p>
    <w:p>
      <w:pPr>
        <w:pStyle w:val="26"/>
        <w:spacing w:line="560" w:lineRule="exact"/>
        <w:ind w:firstLine="640"/>
      </w:pPr>
      <w:r>
        <w:rPr>
          <w:rFonts w:hint="eastAsia"/>
        </w:rPr>
        <w:t>建立健全道路扫保奖惩制度。考评单位在项目实施中是否针对第三方道路扫保服务执行奖惩制度以促进项目实施积极性。</w:t>
      </w:r>
    </w:p>
    <w:p>
      <w:pPr>
        <w:pStyle w:val="26"/>
        <w:spacing w:line="560" w:lineRule="exact"/>
        <w:ind w:firstLine="640"/>
      </w:pPr>
      <w:r>
        <w:rPr>
          <w:rFonts w:hint="eastAsia"/>
        </w:rPr>
        <w:t>③服务对象满意度</w:t>
      </w:r>
    </w:p>
    <w:p>
      <w:pPr>
        <w:pStyle w:val="26"/>
        <w:spacing w:line="560" w:lineRule="exact"/>
        <w:ind w:firstLine="640"/>
      </w:pPr>
      <w:r>
        <w:rPr>
          <w:rFonts w:hint="eastAsia"/>
        </w:rPr>
        <w:t>辖区群众对道路扫保作业满意度。考评项目实施后辖区群众对道路扫保作业的满意度。</w:t>
      </w:r>
    </w:p>
    <w:p>
      <w:pPr>
        <w:pStyle w:val="26"/>
        <w:spacing w:line="560" w:lineRule="exact"/>
        <w:ind w:firstLine="640"/>
      </w:pPr>
      <w:r>
        <w:t>3</w:t>
      </w:r>
      <w:r>
        <w:rPr>
          <w:rFonts w:hint="eastAsia"/>
        </w:rPr>
        <w:t>.绩效评价方法</w:t>
      </w:r>
    </w:p>
    <w:p>
      <w:pPr>
        <w:pStyle w:val="26"/>
        <w:spacing w:line="560" w:lineRule="exact"/>
        <w:ind w:firstLine="640"/>
      </w:pPr>
      <w:bookmarkStart w:id="14" w:name="_Hlk91875362"/>
      <w:r>
        <w:rPr>
          <w:rFonts w:hint="eastAsia"/>
        </w:rPr>
        <w:t>结合项目具体情况，本次绩效评价主要运用指标分析法结合比较法等方法进行评价。坚持定量指标优先、定量指标与定性指标相结合的方式，同时通过文献法进行资料搜索以及多因素分析来支撑评价内容的逻辑紧密性与客观性。从项目决策、项目过程、项目产出以及项目效益四个方面开展评价</w:t>
      </w:r>
      <w:bookmarkEnd w:id="14"/>
      <w:r>
        <w:rPr>
          <w:rFonts w:hint="eastAsia"/>
        </w:rPr>
        <w:t>，并对</w:t>
      </w:r>
      <w:r>
        <w:rPr>
          <w:rFonts w:hint="eastAsia"/>
          <w:color w:val="000000" w:themeColor="text1"/>
          <w14:textFill>
            <w14:solidFill>
              <w14:schemeClr w14:val="tx1"/>
            </w14:solidFill>
          </w14:textFill>
        </w:rPr>
        <w:t>区城市管理委</w:t>
      </w:r>
      <w:r>
        <w:rPr>
          <w:rFonts w:hint="eastAsia"/>
        </w:rPr>
        <w:t>进行了现场评价，绩效评价指标体系详见附件。</w:t>
      </w:r>
    </w:p>
    <w:p>
      <w:pPr>
        <w:pStyle w:val="30"/>
        <w:spacing w:line="560" w:lineRule="exact"/>
        <w:ind w:firstLine="640"/>
        <w:rPr>
          <w:rFonts w:ascii="Times New Roman" w:hAnsi="Times New Roman"/>
        </w:rPr>
      </w:pPr>
      <w:bookmarkStart w:id="15" w:name="_Toc20106"/>
      <w:r>
        <w:rPr>
          <w:rFonts w:hint="eastAsia" w:ascii="Times New Roman" w:hAnsi="Times New Roman"/>
        </w:rPr>
        <w:t>（三）绩效评价工作过程</w:t>
      </w:r>
      <w:bookmarkEnd w:id="15"/>
    </w:p>
    <w:p>
      <w:pPr>
        <w:pStyle w:val="26"/>
        <w:spacing w:line="560" w:lineRule="exact"/>
        <w:ind w:firstLine="640"/>
      </w:pPr>
      <w:bookmarkStart w:id="16" w:name="_Toc57967893"/>
      <w:r>
        <w:t>1.</w:t>
      </w:r>
      <w:r>
        <w:rPr>
          <w:rFonts w:hint="eastAsia"/>
        </w:rPr>
        <w:t>前期准备阶段</w:t>
      </w:r>
      <w:bookmarkEnd w:id="16"/>
    </w:p>
    <w:p>
      <w:pPr>
        <w:pStyle w:val="26"/>
        <w:spacing w:line="560" w:lineRule="exact"/>
        <w:ind w:firstLine="640"/>
      </w:pPr>
      <w:r>
        <w:rPr>
          <w:rFonts w:hint="eastAsia"/>
        </w:rPr>
        <w:t>（</w:t>
      </w:r>
      <w:r>
        <w:t>1</w:t>
      </w:r>
      <w:r>
        <w:rPr>
          <w:rFonts w:hint="eastAsia"/>
        </w:rPr>
        <w:t>）成立绩效评价项目组</w:t>
      </w:r>
    </w:p>
    <w:p>
      <w:pPr>
        <w:pStyle w:val="26"/>
        <w:spacing w:line="560" w:lineRule="exact"/>
        <w:ind w:firstLine="640"/>
      </w:pPr>
      <w:bookmarkStart w:id="17" w:name="_Hlk119264993"/>
      <w:r>
        <w:rPr>
          <w:rFonts w:hint="eastAsia"/>
        </w:rPr>
        <w:t>根据中央和天津市关于全面实施预算绩效管理的部署要求，天津市和平区财政局委托我司（天津安信管理咨询有限公司）</w:t>
      </w:r>
      <w:bookmarkEnd w:id="17"/>
      <w:r>
        <w:rPr>
          <w:rFonts w:hint="eastAsia"/>
        </w:rPr>
        <w:t>对环卫作业市场化经费项目进行绩效评价工作。</w:t>
      </w:r>
    </w:p>
    <w:p>
      <w:pPr>
        <w:pStyle w:val="26"/>
        <w:spacing w:line="560" w:lineRule="exact"/>
        <w:ind w:firstLine="640"/>
      </w:pPr>
      <w:r>
        <w:t>2024</w:t>
      </w:r>
      <w:r>
        <w:rPr>
          <w:rFonts w:hint="eastAsia"/>
        </w:rPr>
        <w:t>年</w:t>
      </w:r>
      <w:r>
        <w:t>8</w:t>
      </w:r>
      <w:r>
        <w:rPr>
          <w:rFonts w:hint="eastAsia"/>
        </w:rPr>
        <w:t>月</w:t>
      </w:r>
      <w:r>
        <w:t>9</w:t>
      </w:r>
      <w:r>
        <w:rPr>
          <w:rFonts w:hint="eastAsia"/>
        </w:rPr>
        <w:t>日，绩效评价项目组（以下简称“评价组”）赴区城市管理委参加了项目见面会，听取了该单位对环卫作业市场化项目的项目背景、申请立项、资金落实、业务管理、财务管理、项目产出、项目效益等方面的情况介绍，并对项目后续评价工作的基本原则及所需的各类资料文件提出了要求。</w:t>
      </w:r>
    </w:p>
    <w:p>
      <w:pPr>
        <w:pStyle w:val="26"/>
        <w:spacing w:line="560" w:lineRule="exact"/>
        <w:ind w:firstLine="640"/>
      </w:pPr>
      <w:r>
        <w:rPr>
          <w:rFonts w:hint="eastAsia"/>
        </w:rPr>
        <w:t>（</w:t>
      </w:r>
      <w:r>
        <w:t>2</w:t>
      </w:r>
      <w:r>
        <w:rPr>
          <w:rFonts w:hint="eastAsia"/>
        </w:rPr>
        <w:t>）制定绩效评价方案</w:t>
      </w:r>
    </w:p>
    <w:p>
      <w:pPr>
        <w:pStyle w:val="26"/>
        <w:spacing w:line="560" w:lineRule="exact"/>
        <w:ind w:firstLine="640"/>
      </w:pPr>
      <w:r>
        <w:rPr>
          <w:rFonts w:hint="eastAsia"/>
        </w:rPr>
        <w:t>根据</w:t>
      </w:r>
      <w:r>
        <w:rPr>
          <w:rFonts w:hint="eastAsia"/>
          <w:color w:val="000000"/>
          <w:szCs w:val="32"/>
        </w:rPr>
        <w:t>《中共天津市委 天津市人民政府印发&lt;关于全面推进预算绩效管理的实施方案&gt;的通知》（津党发</w:t>
      </w:r>
      <w:r>
        <w:rPr>
          <w:rFonts w:cs="Times New Roman"/>
          <w:color w:val="000000"/>
          <w:szCs w:val="32"/>
        </w:rPr>
        <w:t>〔2019〕25号</w:t>
      </w:r>
      <w:r>
        <w:rPr>
          <w:rFonts w:hint="eastAsia"/>
          <w:color w:val="000000"/>
          <w:szCs w:val="32"/>
        </w:rPr>
        <w:t>）</w:t>
      </w:r>
      <w:r>
        <w:rPr>
          <w:rFonts w:hint="eastAsia"/>
        </w:rPr>
        <w:t>要求，评价项目组制定了《天津市和平区城市管理委员会环卫作业市场化经费项目</w:t>
      </w:r>
      <w:r>
        <w:t>绩效评价实施工作方案</w:t>
      </w:r>
      <w:r>
        <w:rPr>
          <w:rFonts w:hint="eastAsia"/>
        </w:rPr>
        <w:t>》，根据评价方案组织开展项目评价工作。</w:t>
      </w:r>
    </w:p>
    <w:p>
      <w:pPr>
        <w:pStyle w:val="26"/>
        <w:spacing w:line="560" w:lineRule="exact"/>
        <w:ind w:firstLine="640"/>
      </w:pPr>
      <w:r>
        <w:rPr>
          <w:rFonts w:hint="eastAsia"/>
        </w:rPr>
        <w:t>（</w:t>
      </w:r>
      <w:r>
        <w:t>3</w:t>
      </w:r>
      <w:r>
        <w:rPr>
          <w:rFonts w:hint="eastAsia"/>
        </w:rPr>
        <w:t>）指标体系设计</w:t>
      </w:r>
    </w:p>
    <w:p>
      <w:pPr>
        <w:pStyle w:val="26"/>
        <w:spacing w:line="560" w:lineRule="exact"/>
        <w:ind w:firstLine="640"/>
      </w:pPr>
      <w:r>
        <w:rPr>
          <w:rFonts w:hint="eastAsia"/>
        </w:rPr>
        <w:t>根据环卫作业市场化经费项目绩效目标及实际工作需要，从决策、过程、产出、效益四个维度出发，设立项目立项、绩效目标、预算编制、资金管理、组织实施、产出数量、产出质量、产出时效、产出成本、社会效益、可持续影响、服务对象满意度</w:t>
      </w:r>
      <w:r>
        <w:t>12</w:t>
      </w:r>
      <w:r>
        <w:rPr>
          <w:rFonts w:hint="eastAsia"/>
        </w:rPr>
        <w:t>项二级指标和</w:t>
      </w:r>
      <w:r>
        <w:t>24</w:t>
      </w:r>
      <w:r>
        <w:rPr>
          <w:rFonts w:hint="eastAsia"/>
        </w:rPr>
        <w:t>项三级指标，采取指标分值百分制，将</w:t>
      </w:r>
      <w:r>
        <w:t>24</w:t>
      </w:r>
      <w:r>
        <w:rPr>
          <w:rFonts w:hint="eastAsia"/>
        </w:rPr>
        <w:t>项指标量化为</w:t>
      </w:r>
      <w:r>
        <w:t>100</w:t>
      </w:r>
      <w:r>
        <w:rPr>
          <w:rFonts w:hint="eastAsia"/>
        </w:rPr>
        <w:t>分，分值权重在征求被评单位意见的基础上确定，详见附件。</w:t>
      </w:r>
    </w:p>
    <w:p>
      <w:pPr>
        <w:pStyle w:val="26"/>
        <w:spacing w:line="560" w:lineRule="exact"/>
        <w:ind w:firstLine="640"/>
      </w:pPr>
      <w:bookmarkStart w:id="18" w:name="_Toc57967894"/>
      <w:r>
        <w:t>2.</w:t>
      </w:r>
      <w:r>
        <w:rPr>
          <w:rFonts w:hint="eastAsia"/>
        </w:rPr>
        <w:t>评价实施阶段</w:t>
      </w:r>
      <w:bookmarkEnd w:id="18"/>
    </w:p>
    <w:p>
      <w:pPr>
        <w:pStyle w:val="26"/>
        <w:spacing w:line="560" w:lineRule="exact"/>
        <w:ind w:firstLine="640"/>
      </w:pPr>
      <w:r>
        <w:rPr>
          <w:rFonts w:hint="eastAsia"/>
        </w:rPr>
        <w:t>（</w:t>
      </w:r>
      <w:r>
        <w:t>1</w:t>
      </w:r>
      <w:r>
        <w:rPr>
          <w:rFonts w:hint="eastAsia"/>
        </w:rPr>
        <w:t>）正式进驻。</w:t>
      </w:r>
    </w:p>
    <w:p>
      <w:pPr>
        <w:pStyle w:val="26"/>
        <w:spacing w:line="560" w:lineRule="exact"/>
        <w:ind w:firstLine="640"/>
      </w:pPr>
      <w:r>
        <w:rPr>
          <w:rFonts w:hint="eastAsia"/>
        </w:rPr>
        <w:t>评价组于</w:t>
      </w:r>
      <w:r>
        <w:t>2024</w:t>
      </w:r>
      <w:r>
        <w:rPr>
          <w:rFonts w:hint="eastAsia"/>
        </w:rPr>
        <w:t>年</w:t>
      </w:r>
      <w:r>
        <w:t>8</w:t>
      </w:r>
      <w:r>
        <w:rPr>
          <w:rFonts w:hint="eastAsia"/>
        </w:rPr>
        <w:t>月</w:t>
      </w:r>
      <w:r>
        <w:t>9</w:t>
      </w:r>
      <w:r>
        <w:rPr>
          <w:rFonts w:hint="eastAsia"/>
        </w:rPr>
        <w:t>日正式进驻区城市管理委实施评价工作。</w:t>
      </w:r>
    </w:p>
    <w:p>
      <w:pPr>
        <w:pStyle w:val="26"/>
        <w:spacing w:line="560" w:lineRule="exact"/>
        <w:ind w:firstLine="640"/>
      </w:pPr>
      <w:r>
        <w:rPr>
          <w:rFonts w:hint="eastAsia"/>
        </w:rPr>
        <w:t>（</w:t>
      </w:r>
      <w:r>
        <w:t>2</w:t>
      </w:r>
      <w:r>
        <w:rPr>
          <w:rFonts w:hint="eastAsia"/>
        </w:rPr>
        <w:t>）全面审查。</w:t>
      </w:r>
    </w:p>
    <w:p>
      <w:pPr>
        <w:pStyle w:val="26"/>
        <w:spacing w:line="560" w:lineRule="exact"/>
        <w:ind w:firstLine="640"/>
      </w:pPr>
      <w:r>
        <w:rPr>
          <w:rFonts w:hint="eastAsia"/>
        </w:rPr>
        <w:t>评价过程中，评价组对环卫作业市场化经费项目的文件依据、预算编制、制度执行、资金拨付、资金使用情况、产生效益等方面进行了全面梳理。评价组根据《</w:t>
      </w:r>
      <w:r>
        <w:rPr>
          <w:rFonts w:hint="eastAsia" w:cs="仿宋_GB2312"/>
          <w:szCs w:val="32"/>
        </w:rPr>
        <w:t>中共天津市和平区委全面深化改革委员会2021年工作要点》</w:t>
      </w:r>
      <w:r>
        <w:rPr>
          <w:rFonts w:hint="eastAsia"/>
        </w:rPr>
        <w:t>等文件，对专项经费的到位情况、预算编制、资金使用、工作开展情况、项目签订合同、项目采购等相关业务文件进行了核查。</w:t>
      </w:r>
    </w:p>
    <w:p>
      <w:pPr>
        <w:pStyle w:val="26"/>
        <w:spacing w:line="560" w:lineRule="exact"/>
        <w:ind w:firstLine="640"/>
      </w:pPr>
      <w:r>
        <w:rPr>
          <w:rFonts w:hint="eastAsia"/>
        </w:rPr>
        <w:t>（</w:t>
      </w:r>
      <w:r>
        <w:t>3</w:t>
      </w:r>
      <w:r>
        <w:rPr>
          <w:rFonts w:hint="eastAsia"/>
        </w:rPr>
        <w:t>）实地核查。</w:t>
      </w:r>
    </w:p>
    <w:p>
      <w:pPr>
        <w:pStyle w:val="26"/>
        <w:spacing w:line="560" w:lineRule="exact"/>
        <w:ind w:firstLine="640"/>
      </w:pPr>
      <w:r>
        <w:rPr>
          <w:rFonts w:hint="eastAsia"/>
        </w:rPr>
        <w:t>对区城市管理委开展现场评价，针对项目完成情况进行一一核查，根据上述核查内容形成评价清单。</w:t>
      </w:r>
    </w:p>
    <w:p>
      <w:pPr>
        <w:pStyle w:val="26"/>
        <w:spacing w:line="560" w:lineRule="exact"/>
        <w:ind w:firstLine="640"/>
      </w:pPr>
      <w:r>
        <w:rPr>
          <w:rFonts w:hint="eastAsia"/>
        </w:rPr>
        <w:t>（</w:t>
      </w:r>
      <w:r>
        <w:t>4</w:t>
      </w:r>
      <w:r>
        <w:rPr>
          <w:rFonts w:hint="eastAsia"/>
        </w:rPr>
        <w:t>）评价打分。</w:t>
      </w:r>
    </w:p>
    <w:p>
      <w:pPr>
        <w:pStyle w:val="26"/>
        <w:spacing w:line="560" w:lineRule="exact"/>
        <w:ind w:firstLine="640"/>
      </w:pPr>
      <w:r>
        <w:rPr>
          <w:rFonts w:hint="eastAsia"/>
        </w:rPr>
        <w:t>按照绩效评价指标体系编制了工作底稿，并对各绩效评价指标进行了评分。</w:t>
      </w:r>
    </w:p>
    <w:p>
      <w:pPr>
        <w:pStyle w:val="26"/>
        <w:spacing w:line="560" w:lineRule="exact"/>
        <w:ind w:firstLine="640"/>
      </w:pPr>
      <w:r>
        <w:rPr>
          <w:rFonts w:hint="eastAsia"/>
        </w:rPr>
        <w:t>（</w:t>
      </w:r>
      <w:r>
        <w:t>5</w:t>
      </w:r>
      <w:r>
        <w:rPr>
          <w:rFonts w:hint="eastAsia"/>
        </w:rPr>
        <w:t>）编制报告。</w:t>
      </w:r>
    </w:p>
    <w:p>
      <w:pPr>
        <w:pStyle w:val="26"/>
        <w:spacing w:line="560" w:lineRule="exact"/>
        <w:ind w:firstLine="640"/>
      </w:pPr>
      <w:r>
        <w:rPr>
          <w:rFonts w:hint="eastAsia"/>
        </w:rPr>
        <w:t>评价组根据现场评价打分，编制绩效评价报告，全面梳理本项目在决策依据、过程管理、产出情况、取得效益等方面存在的问题及工作建议。</w:t>
      </w:r>
    </w:p>
    <w:p>
      <w:pPr>
        <w:pStyle w:val="28"/>
        <w:spacing w:line="560" w:lineRule="exact"/>
      </w:pPr>
      <w:bookmarkStart w:id="19" w:name="_Toc3593"/>
      <w:r>
        <w:rPr>
          <w:rFonts w:hint="eastAsia"/>
        </w:rPr>
        <w:t>三、综合评价情况及评价结论</w:t>
      </w:r>
      <w:bookmarkEnd w:id="19"/>
    </w:p>
    <w:p>
      <w:pPr>
        <w:pStyle w:val="26"/>
        <w:spacing w:line="560" w:lineRule="exact"/>
        <w:ind w:firstLine="640"/>
      </w:pPr>
      <w:bookmarkStart w:id="20" w:name="_Hlk91875381"/>
      <w:r>
        <w:rPr>
          <w:rFonts w:hint="eastAsia"/>
        </w:rPr>
        <w:t>经过综合评价，环卫作业市场化经费项目得分</w:t>
      </w:r>
      <w:r>
        <w:t>86.47</w:t>
      </w:r>
      <w:r>
        <w:rPr>
          <w:rFonts w:hint="eastAsia"/>
        </w:rPr>
        <w:t>分，评价等级为“良”。其中，项目决策</w:t>
      </w:r>
      <w:r>
        <w:t>17</w:t>
      </w:r>
      <w:r>
        <w:rPr>
          <w:rFonts w:hint="eastAsia"/>
        </w:rPr>
        <w:t>分，项目过程</w:t>
      </w:r>
      <w:r>
        <w:t>23</w:t>
      </w:r>
      <w:r>
        <w:rPr>
          <w:rFonts w:hint="eastAsia"/>
        </w:rPr>
        <w:t>分，项目产出</w:t>
      </w:r>
      <w:r>
        <w:t>29.91</w:t>
      </w:r>
      <w:r>
        <w:rPr>
          <w:rFonts w:hint="eastAsia"/>
        </w:rPr>
        <w:t>分，项目效益</w:t>
      </w:r>
      <w:r>
        <w:t>16.56</w:t>
      </w:r>
      <w:r>
        <w:rPr>
          <w:rFonts w:hint="eastAsia"/>
        </w:rPr>
        <w:t>分。</w:t>
      </w:r>
      <w:bookmarkEnd w:id="20"/>
      <w:bookmarkStart w:id="21" w:name="_Hlk91875395"/>
      <w:r>
        <w:rPr>
          <w:rFonts w:hint="eastAsia"/>
        </w:rPr>
        <w:t>具体情况见表2。</w:t>
      </w:r>
    </w:p>
    <w:p>
      <w:pPr>
        <w:pStyle w:val="33"/>
        <w:spacing w:line="560" w:lineRule="exact"/>
      </w:pPr>
      <w:r>
        <w:t xml:space="preserve">表2  </w:t>
      </w:r>
      <w:r>
        <w:rPr>
          <w:rFonts w:hint="eastAsia"/>
        </w:rPr>
        <w:t>环卫作业市场化经费项目绩效得分情况表</w:t>
      </w:r>
    </w:p>
    <w:tbl>
      <w:tblPr>
        <w:tblStyle w:val="15"/>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04"/>
        <w:gridCol w:w="1305"/>
        <w:gridCol w:w="1305"/>
        <w:gridCol w:w="1332"/>
        <w:gridCol w:w="1305"/>
        <w:gridCol w:w="1189"/>
        <w:gridCol w:w="132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0" w:type="pct"/>
            <w:vAlign w:val="center"/>
          </w:tcPr>
          <w:p>
            <w:pPr>
              <w:pStyle w:val="36"/>
              <w:rPr>
                <w:rFonts w:eastAsia="宋体" w:cs="宋体"/>
              </w:rPr>
            </w:pPr>
            <w:r>
              <w:rPr>
                <w:rFonts w:hint="eastAsia" w:eastAsia="宋体" w:cs="宋体"/>
              </w:rPr>
              <w:t>指标</w:t>
            </w:r>
          </w:p>
        </w:tc>
        <w:tc>
          <w:tcPr>
            <w:tcW w:w="720" w:type="pct"/>
            <w:vAlign w:val="center"/>
          </w:tcPr>
          <w:p>
            <w:pPr>
              <w:pStyle w:val="36"/>
              <w:rPr>
                <w:rFonts w:eastAsia="宋体" w:cs="宋体"/>
              </w:rPr>
            </w:pPr>
            <w:r>
              <w:rPr>
                <w:rFonts w:hint="eastAsia" w:eastAsia="宋体" w:cs="宋体"/>
              </w:rPr>
              <w:t>项目决策</w:t>
            </w:r>
          </w:p>
        </w:tc>
        <w:tc>
          <w:tcPr>
            <w:tcW w:w="720" w:type="pct"/>
            <w:vAlign w:val="center"/>
          </w:tcPr>
          <w:p>
            <w:pPr>
              <w:pStyle w:val="36"/>
              <w:rPr>
                <w:rFonts w:eastAsia="宋体" w:cs="宋体"/>
              </w:rPr>
            </w:pPr>
            <w:r>
              <w:rPr>
                <w:rFonts w:hint="eastAsia" w:eastAsia="宋体" w:cs="宋体"/>
              </w:rPr>
              <w:t>项目过程</w:t>
            </w:r>
          </w:p>
        </w:tc>
        <w:tc>
          <w:tcPr>
            <w:tcW w:w="735" w:type="pct"/>
            <w:vAlign w:val="center"/>
          </w:tcPr>
          <w:p>
            <w:pPr>
              <w:pStyle w:val="36"/>
              <w:rPr>
                <w:rFonts w:eastAsia="宋体" w:cs="宋体"/>
              </w:rPr>
            </w:pPr>
            <w:r>
              <w:rPr>
                <w:rFonts w:hint="eastAsia" w:eastAsia="宋体" w:cs="宋体"/>
              </w:rPr>
              <w:t>项目产出</w:t>
            </w:r>
          </w:p>
        </w:tc>
        <w:tc>
          <w:tcPr>
            <w:tcW w:w="720" w:type="pct"/>
            <w:vAlign w:val="center"/>
          </w:tcPr>
          <w:p>
            <w:pPr>
              <w:pStyle w:val="36"/>
              <w:rPr>
                <w:rFonts w:eastAsia="宋体" w:cs="宋体"/>
              </w:rPr>
            </w:pPr>
            <w:r>
              <w:rPr>
                <w:rFonts w:hint="eastAsia" w:eastAsia="宋体" w:cs="宋体"/>
              </w:rPr>
              <w:t>项目效益</w:t>
            </w:r>
          </w:p>
        </w:tc>
        <w:tc>
          <w:tcPr>
            <w:tcW w:w="656" w:type="pct"/>
            <w:vAlign w:val="center"/>
          </w:tcPr>
          <w:p>
            <w:pPr>
              <w:pStyle w:val="36"/>
              <w:rPr>
                <w:rFonts w:eastAsia="宋体" w:cs="宋体"/>
              </w:rPr>
            </w:pPr>
            <w:r>
              <w:rPr>
                <w:rFonts w:hint="eastAsia" w:eastAsia="宋体" w:cs="宋体"/>
              </w:rPr>
              <w:t>减分项</w:t>
            </w:r>
          </w:p>
        </w:tc>
        <w:tc>
          <w:tcPr>
            <w:tcW w:w="729" w:type="pct"/>
            <w:vAlign w:val="center"/>
          </w:tcPr>
          <w:p>
            <w:pPr>
              <w:pStyle w:val="36"/>
              <w:rPr>
                <w:rFonts w:eastAsia="宋体" w:cs="宋体"/>
              </w:rPr>
            </w:pPr>
            <w:r>
              <w:rPr>
                <w:rFonts w:hint="eastAsia" w:eastAsia="宋体" w:cs="宋体"/>
              </w:rPr>
              <w:t>合计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0" w:type="pct"/>
            <w:vAlign w:val="center"/>
          </w:tcPr>
          <w:p>
            <w:pPr>
              <w:pStyle w:val="38"/>
            </w:pPr>
            <w:r>
              <w:rPr>
                <w:rFonts w:hint="eastAsia"/>
              </w:rPr>
              <w:t>分值</w:t>
            </w:r>
          </w:p>
        </w:tc>
        <w:tc>
          <w:tcPr>
            <w:tcW w:w="720" w:type="pct"/>
            <w:vAlign w:val="center"/>
          </w:tcPr>
          <w:p>
            <w:pPr>
              <w:pStyle w:val="38"/>
            </w:pPr>
            <w:r>
              <w:t>17</w:t>
            </w:r>
          </w:p>
        </w:tc>
        <w:tc>
          <w:tcPr>
            <w:tcW w:w="720" w:type="pct"/>
            <w:vAlign w:val="center"/>
          </w:tcPr>
          <w:p>
            <w:pPr>
              <w:pStyle w:val="38"/>
            </w:pPr>
            <w:r>
              <w:t>23</w:t>
            </w:r>
          </w:p>
        </w:tc>
        <w:tc>
          <w:tcPr>
            <w:tcW w:w="735" w:type="pct"/>
            <w:vAlign w:val="center"/>
          </w:tcPr>
          <w:p>
            <w:pPr>
              <w:pStyle w:val="38"/>
            </w:pPr>
            <w:r>
              <w:t>38</w:t>
            </w:r>
          </w:p>
        </w:tc>
        <w:tc>
          <w:tcPr>
            <w:tcW w:w="720" w:type="pct"/>
            <w:vAlign w:val="center"/>
          </w:tcPr>
          <w:p>
            <w:pPr>
              <w:pStyle w:val="38"/>
            </w:pPr>
            <w:r>
              <w:t>22</w:t>
            </w:r>
          </w:p>
        </w:tc>
        <w:tc>
          <w:tcPr>
            <w:tcW w:w="656" w:type="pct"/>
            <w:vAlign w:val="center"/>
          </w:tcPr>
          <w:p>
            <w:pPr>
              <w:pStyle w:val="38"/>
            </w:pPr>
            <w:r>
              <w:rPr>
                <w:rFonts w:hint="eastAsia"/>
              </w:rPr>
              <w:t>-</w:t>
            </w:r>
          </w:p>
        </w:tc>
        <w:tc>
          <w:tcPr>
            <w:tcW w:w="729" w:type="pct"/>
            <w:vAlign w:val="center"/>
          </w:tcPr>
          <w:p>
            <w:pPr>
              <w:pStyle w:val="38"/>
            </w:pPr>
            <w: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0" w:type="pct"/>
            <w:vAlign w:val="center"/>
          </w:tcPr>
          <w:p>
            <w:pPr>
              <w:pStyle w:val="38"/>
            </w:pPr>
            <w:r>
              <w:rPr>
                <w:rFonts w:hint="eastAsia"/>
              </w:rPr>
              <w:t>得分</w:t>
            </w:r>
          </w:p>
        </w:tc>
        <w:tc>
          <w:tcPr>
            <w:tcW w:w="720" w:type="pct"/>
            <w:vAlign w:val="center"/>
          </w:tcPr>
          <w:p>
            <w:pPr>
              <w:pStyle w:val="38"/>
            </w:pPr>
            <w:r>
              <w:rPr>
                <w:rFonts w:hint="eastAsia"/>
              </w:rPr>
              <w:t>1</w:t>
            </w:r>
            <w:r>
              <w:t>7</w:t>
            </w:r>
          </w:p>
        </w:tc>
        <w:tc>
          <w:tcPr>
            <w:tcW w:w="720" w:type="pct"/>
            <w:vAlign w:val="center"/>
          </w:tcPr>
          <w:p>
            <w:pPr>
              <w:pStyle w:val="38"/>
            </w:pPr>
            <w:r>
              <w:rPr>
                <w:rFonts w:hint="eastAsia"/>
              </w:rPr>
              <w:t>2</w:t>
            </w:r>
            <w:r>
              <w:t>3</w:t>
            </w:r>
          </w:p>
        </w:tc>
        <w:tc>
          <w:tcPr>
            <w:tcW w:w="735" w:type="pct"/>
            <w:vAlign w:val="center"/>
          </w:tcPr>
          <w:p>
            <w:pPr>
              <w:pStyle w:val="38"/>
            </w:pPr>
            <w:r>
              <w:rPr>
                <w:rFonts w:hint="eastAsia"/>
              </w:rPr>
              <w:t>2</w:t>
            </w:r>
            <w:r>
              <w:t>9.91</w:t>
            </w:r>
          </w:p>
        </w:tc>
        <w:tc>
          <w:tcPr>
            <w:tcW w:w="720" w:type="pct"/>
            <w:vAlign w:val="center"/>
          </w:tcPr>
          <w:p>
            <w:pPr>
              <w:pStyle w:val="38"/>
            </w:pPr>
            <w:r>
              <w:t>16.56</w:t>
            </w:r>
          </w:p>
        </w:tc>
        <w:tc>
          <w:tcPr>
            <w:tcW w:w="656" w:type="pct"/>
            <w:vAlign w:val="center"/>
          </w:tcPr>
          <w:p>
            <w:pPr>
              <w:pStyle w:val="38"/>
            </w:pPr>
          </w:p>
        </w:tc>
        <w:tc>
          <w:tcPr>
            <w:tcW w:w="729" w:type="pct"/>
            <w:vAlign w:val="center"/>
          </w:tcPr>
          <w:p>
            <w:pPr>
              <w:pStyle w:val="38"/>
            </w:pPr>
            <w:r>
              <w:t>86.47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720" w:type="pct"/>
            <w:vAlign w:val="center"/>
          </w:tcPr>
          <w:p>
            <w:pPr>
              <w:pStyle w:val="38"/>
            </w:pPr>
            <w:r>
              <w:rPr>
                <w:rFonts w:hint="eastAsia"/>
              </w:rPr>
              <w:t>得分率</w:t>
            </w:r>
          </w:p>
        </w:tc>
        <w:tc>
          <w:tcPr>
            <w:tcW w:w="720" w:type="pct"/>
            <w:vAlign w:val="center"/>
          </w:tcPr>
          <w:p>
            <w:pPr>
              <w:pStyle w:val="38"/>
            </w:pPr>
            <w:r>
              <w:rPr>
                <w:rFonts w:hint="eastAsia"/>
              </w:rPr>
              <w:t>1</w:t>
            </w:r>
            <w:r>
              <w:t>00%</w:t>
            </w:r>
          </w:p>
        </w:tc>
        <w:tc>
          <w:tcPr>
            <w:tcW w:w="720" w:type="pct"/>
            <w:vAlign w:val="center"/>
          </w:tcPr>
          <w:p>
            <w:pPr>
              <w:pStyle w:val="38"/>
            </w:pPr>
            <w:r>
              <w:rPr>
                <w:rFonts w:hint="eastAsia"/>
              </w:rPr>
              <w:t>1</w:t>
            </w:r>
            <w:r>
              <w:t>00%</w:t>
            </w:r>
          </w:p>
        </w:tc>
        <w:tc>
          <w:tcPr>
            <w:tcW w:w="735" w:type="pct"/>
            <w:vAlign w:val="center"/>
          </w:tcPr>
          <w:p>
            <w:pPr>
              <w:pStyle w:val="38"/>
            </w:pPr>
            <w:r>
              <w:rPr>
                <w:rFonts w:hint="eastAsia"/>
              </w:rPr>
              <w:t>7</w:t>
            </w:r>
            <w:r>
              <w:t>8.71%</w:t>
            </w:r>
          </w:p>
        </w:tc>
        <w:tc>
          <w:tcPr>
            <w:tcW w:w="720" w:type="pct"/>
            <w:vAlign w:val="center"/>
          </w:tcPr>
          <w:p>
            <w:pPr>
              <w:pStyle w:val="38"/>
            </w:pPr>
            <w:r>
              <w:t>75.27%</w:t>
            </w:r>
          </w:p>
        </w:tc>
        <w:tc>
          <w:tcPr>
            <w:tcW w:w="656" w:type="pct"/>
            <w:vAlign w:val="center"/>
          </w:tcPr>
          <w:p>
            <w:pPr>
              <w:pStyle w:val="38"/>
            </w:pPr>
            <w:r>
              <w:rPr>
                <w:rFonts w:hint="eastAsia"/>
              </w:rPr>
              <w:t>-</w:t>
            </w:r>
          </w:p>
        </w:tc>
        <w:tc>
          <w:tcPr>
            <w:tcW w:w="729" w:type="pct"/>
            <w:vAlign w:val="center"/>
          </w:tcPr>
          <w:p>
            <w:pPr>
              <w:pStyle w:val="38"/>
            </w:pPr>
            <w:r>
              <w:t>86.47%</w:t>
            </w:r>
          </w:p>
        </w:tc>
      </w:tr>
      <w:bookmarkEnd w:id="21"/>
    </w:tbl>
    <w:p>
      <w:pPr>
        <w:pStyle w:val="26"/>
        <w:spacing w:line="560" w:lineRule="exact"/>
        <w:ind w:firstLine="640"/>
        <w:rPr>
          <w:bCs/>
        </w:rPr>
      </w:pPr>
      <w:bookmarkStart w:id="22" w:name="_Hlk91875411"/>
      <w:r>
        <w:rPr>
          <w:rFonts w:hint="eastAsia"/>
        </w:rPr>
        <w:t>评价结论：</w:t>
      </w:r>
      <w:r>
        <w:rPr>
          <w:rFonts w:hint="eastAsia" w:cs="仿宋_GB2312"/>
        </w:rPr>
        <w:t>一是项目决策方面，环卫作业市场化经费项目立项依据充分，立项程序规范性，预算编制测算数据合理合规，符合项目需求，绩效目标设置明确、细化，预算测算数据客观，测算过程细化程度良好；项目采购内容符合政府购买服务指导性目录内容，采购过程严谨，采购执行前调研充分，采购预算需求经过专家评审，采购过程严格执行公开招标程序，符合政府采购制度要求，采购资料归档规范。二是项目过程方面，财政资金到位及时充足，预算资金执行率高、资金使用合规，项目与财务管理制度健全，严格按照管理制度要求落实项目资金支付。三是项目产出方面，产出数量完成情况良好，成本控制到位，但存在环卫作业质量较低，作业开展及时性不足的问题。四是项目效益方面，项目可持续性保障措施健全，建立了第三方认可且明确的奖惩措施，项目实施效果群众满意度较高，但仍有提升空间，主要体现在项目市级考核名次较低，专项考核工作中部分考核要素不达标，同其他行政区对比排名浮动较大且整体水平偏低的问题</w:t>
      </w:r>
      <w:r>
        <w:rPr>
          <w:rFonts w:hint="eastAsia"/>
          <w:bCs/>
        </w:rPr>
        <w:t>。</w:t>
      </w:r>
    </w:p>
    <w:bookmarkEnd w:id="22"/>
    <w:p>
      <w:pPr>
        <w:pStyle w:val="28"/>
        <w:spacing w:line="560" w:lineRule="exact"/>
      </w:pPr>
      <w:bookmarkStart w:id="23" w:name="_Toc24839"/>
      <w:r>
        <w:rPr>
          <w:rFonts w:hint="eastAsia"/>
        </w:rPr>
        <w:t>四、绩效评价指标分析</w:t>
      </w:r>
      <w:bookmarkEnd w:id="23"/>
    </w:p>
    <w:p>
      <w:pPr>
        <w:pStyle w:val="30"/>
        <w:spacing w:line="560" w:lineRule="exact"/>
        <w:ind w:firstLine="640"/>
        <w:rPr>
          <w:rFonts w:ascii="Times New Roman" w:hAnsi="Times New Roman"/>
        </w:rPr>
      </w:pPr>
      <w:bookmarkStart w:id="24" w:name="_Toc31122"/>
      <w:r>
        <w:rPr>
          <w:rFonts w:hint="eastAsia" w:ascii="Times New Roman" w:hAnsi="Times New Roman"/>
        </w:rPr>
        <w:t>（一）项目决策情况</w:t>
      </w:r>
      <w:bookmarkEnd w:id="24"/>
    </w:p>
    <w:p>
      <w:pPr>
        <w:pStyle w:val="26"/>
        <w:spacing w:line="560" w:lineRule="exact"/>
        <w:ind w:firstLine="640"/>
      </w:pPr>
      <w:r>
        <w:rPr>
          <w:rFonts w:hint="eastAsia"/>
        </w:rPr>
        <w:t>决策指标主要包括项目立项、绩效目标、预算编制</w:t>
      </w:r>
      <w:r>
        <w:t>3</w:t>
      </w:r>
      <w:r>
        <w:rPr>
          <w:rFonts w:hint="eastAsia"/>
        </w:rPr>
        <w:t>项二级指标，</w:t>
      </w:r>
      <w:r>
        <w:t>8</w:t>
      </w:r>
      <w:r>
        <w:rPr>
          <w:rFonts w:hint="eastAsia"/>
        </w:rPr>
        <w:t>项三级指标，基础总分</w:t>
      </w:r>
      <w:r>
        <w:t>17</w:t>
      </w:r>
      <w:r>
        <w:rPr>
          <w:rFonts w:hint="eastAsia"/>
        </w:rPr>
        <w:t>分，合计得分</w:t>
      </w:r>
      <w:r>
        <w:t>17</w:t>
      </w:r>
      <w:r>
        <w:rPr>
          <w:rFonts w:hint="eastAsia"/>
        </w:rPr>
        <w:t>分。</w:t>
      </w:r>
    </w:p>
    <w:p>
      <w:pPr>
        <w:pStyle w:val="26"/>
        <w:spacing w:line="560" w:lineRule="exact"/>
        <w:ind w:firstLine="640"/>
      </w:pPr>
      <w:r>
        <w:rPr>
          <w:rFonts w:hint="eastAsia"/>
        </w:rPr>
        <w:t>1.项目立项</w:t>
      </w:r>
    </w:p>
    <w:p>
      <w:pPr>
        <w:pStyle w:val="26"/>
        <w:spacing w:line="560" w:lineRule="exact"/>
        <w:ind w:firstLine="640"/>
      </w:pPr>
      <w:r>
        <w:rPr>
          <w:rFonts w:hint="eastAsia"/>
        </w:rPr>
        <w:t>（1）立项依据充分性（总分2分，得分</w:t>
      </w:r>
      <w:r>
        <w:t>2</w:t>
      </w:r>
      <w:r>
        <w:rPr>
          <w:rFonts w:hint="eastAsia"/>
        </w:rPr>
        <w:t>分）。环卫作业市场化经费项目设立符合</w:t>
      </w:r>
      <w:r>
        <w:rPr>
          <w:rFonts w:hint="eastAsia" w:cs="仿宋_GB2312"/>
          <w:szCs w:val="32"/>
        </w:rPr>
        <w:t>《中共天津市和平区委全面深化改革委员会2021年工作要点》及《2021年全面深化改革任务台账》（和改办发</w:t>
      </w:r>
      <w:r>
        <w:rPr>
          <w:rFonts w:hint="eastAsia" w:eastAsia="微软雅黑" w:cs="微软雅黑"/>
          <w:szCs w:val="32"/>
        </w:rPr>
        <w:t>〔</w:t>
      </w:r>
      <w:r>
        <w:rPr>
          <w:rFonts w:hint="eastAsia" w:cs="仿宋_GB2312"/>
          <w:szCs w:val="32"/>
        </w:rPr>
        <w:t>2021</w:t>
      </w:r>
      <w:r>
        <w:rPr>
          <w:rFonts w:hint="eastAsia" w:eastAsia="微软雅黑" w:cs="微软雅黑"/>
          <w:szCs w:val="32"/>
        </w:rPr>
        <w:t>〕</w:t>
      </w:r>
      <w:r>
        <w:rPr>
          <w:rFonts w:hint="eastAsia" w:cs="仿宋_GB2312"/>
          <w:szCs w:val="32"/>
        </w:rPr>
        <w:t>1号）的任务部署</w:t>
      </w:r>
      <w:r>
        <w:rPr>
          <w:rFonts w:hint="eastAsia"/>
          <w:bCs/>
        </w:rPr>
        <w:t>，项目采购内容为购买环卫作业服务，与2</w:t>
      </w:r>
      <w:r>
        <w:rPr>
          <w:bCs/>
        </w:rPr>
        <w:t>023</w:t>
      </w:r>
      <w:r>
        <w:rPr>
          <w:rFonts w:hint="eastAsia"/>
          <w:bCs/>
        </w:rPr>
        <w:t>年和平区政府购买服务普适性目录中</w:t>
      </w:r>
      <w:r>
        <w:rPr>
          <w:rFonts w:hint="eastAsia"/>
        </w:rPr>
        <w:t>“废弃物处理服务”范围相符，符合政府采购要求，</w:t>
      </w:r>
      <w:r>
        <w:rPr>
          <w:rFonts w:hint="eastAsia"/>
          <w:bCs/>
        </w:rPr>
        <w:t>同时符合区城市管理委工作职责，即“负责全区市容环境卫生作业、城市园林绿化、公厕管理、冬季清融雪、全区生活废弃物收集、运输和处置和生活废弃物减量化、资源化和无害化处理工作等”。环卫作业市场化经费项目先后经过和平区第十八届人民政府第</w:t>
      </w:r>
      <w:r>
        <w:rPr>
          <w:bCs/>
        </w:rPr>
        <w:t>20次常务会议</w:t>
      </w:r>
      <w:r>
        <w:rPr>
          <w:rFonts w:hint="eastAsia"/>
          <w:bCs/>
        </w:rPr>
        <w:t>审议、</w:t>
      </w:r>
      <w:r>
        <w:rPr>
          <w:bCs/>
        </w:rPr>
        <w:t>区委常委会第39次会议</w:t>
      </w:r>
      <w:r>
        <w:rPr>
          <w:rFonts w:hint="eastAsia"/>
          <w:bCs/>
        </w:rPr>
        <w:t>审议，项目立项符合国家法律法规、国民经济发展规划和相关政策，符合行业发展规划和政策要求，与部门职责</w:t>
      </w:r>
      <w:r>
        <w:rPr>
          <w:rFonts w:hint="eastAsia"/>
        </w:rPr>
        <w:t>范围相符，属于部门履职所需，属于公共财政支持范围，未与其他部门同类项目或部门内部相关项目重复，项目立项依据充分。</w:t>
      </w:r>
    </w:p>
    <w:p>
      <w:pPr>
        <w:pStyle w:val="26"/>
        <w:spacing w:line="560" w:lineRule="exact"/>
        <w:ind w:firstLine="640"/>
      </w:pPr>
      <w:r>
        <w:rPr>
          <w:rFonts w:hint="eastAsia"/>
        </w:rPr>
        <w:t>（2）立项程序规范性（总分2分，得分</w:t>
      </w:r>
      <w:r>
        <w:t>2</w:t>
      </w:r>
      <w:r>
        <w:rPr>
          <w:rFonts w:hint="eastAsia"/>
        </w:rPr>
        <w:t>分）。环卫作业市场化经费项目立项及实施经过单位党委集体决策，会议中对项目实施计划、项目管理模式、项目承接单位、项目资金的拨付事项进行审议，项目按照规定程序进行申请设立，预算资金申请等各项审批材料齐全，立项程序规范。</w:t>
      </w:r>
    </w:p>
    <w:p>
      <w:pPr>
        <w:pStyle w:val="26"/>
        <w:spacing w:line="560" w:lineRule="exact"/>
        <w:ind w:firstLine="640"/>
      </w:pPr>
      <w:r>
        <w:rPr>
          <w:rFonts w:hint="eastAsia"/>
        </w:rPr>
        <w:t>2.绩效目标</w:t>
      </w:r>
    </w:p>
    <w:p>
      <w:pPr>
        <w:pStyle w:val="26"/>
        <w:spacing w:line="560" w:lineRule="exact"/>
        <w:ind w:firstLine="640"/>
        <w:rPr>
          <w:bCs/>
        </w:rPr>
      </w:pPr>
      <w:r>
        <w:rPr>
          <w:rFonts w:hint="eastAsia"/>
        </w:rPr>
        <w:t>（1）绩效目标明确性（总分2分，得分</w:t>
      </w:r>
      <w:r>
        <w:t>2</w:t>
      </w:r>
      <w:r>
        <w:rPr>
          <w:rFonts w:hint="eastAsia"/>
        </w:rPr>
        <w:t>分）。</w:t>
      </w:r>
      <w:r>
        <w:rPr>
          <w:rFonts w:hint="eastAsia"/>
          <w:bCs/>
        </w:rPr>
        <w:t>根据</w:t>
      </w:r>
      <w:r>
        <w:rPr>
          <w:rFonts w:hint="eastAsia"/>
        </w:rPr>
        <w:t>《天津市财政局关于印发&lt;天津市市级部门预算绩效目标管理办法&gt;的通知》（津财绩效〔2020〕16号）文件要求</w:t>
      </w:r>
      <w:r>
        <w:rPr>
          <w:rFonts w:hint="eastAsia"/>
          <w:bCs/>
        </w:rPr>
        <w:t>，“绩效指标是绩效目标的细化和量化”，环卫作业市场化经费项目实施年度为2</w:t>
      </w:r>
      <w:r>
        <w:rPr>
          <w:bCs/>
        </w:rPr>
        <w:t>023</w:t>
      </w:r>
      <w:r>
        <w:rPr>
          <w:rFonts w:hint="eastAsia"/>
          <w:bCs/>
        </w:rPr>
        <w:t>年，根据区城市管理委提供的本项目绩效目标申报表，本项目2</w:t>
      </w:r>
      <w:r>
        <w:rPr>
          <w:bCs/>
        </w:rPr>
        <w:t>023</w:t>
      </w:r>
      <w:r>
        <w:rPr>
          <w:rFonts w:hint="eastAsia"/>
          <w:bCs/>
        </w:rPr>
        <w:t>年绩效目标内容明确了项目的主要内容和预期效益；绩效指标设置产出指标、效益指标、满意度指标分别设置了与项目相关的量化指标，且指标值具有可衡量性，绩效目标设置明确。</w:t>
      </w:r>
    </w:p>
    <w:p>
      <w:pPr>
        <w:pStyle w:val="26"/>
        <w:spacing w:line="560" w:lineRule="exact"/>
        <w:ind w:firstLine="640"/>
        <w:rPr>
          <w:bCs/>
        </w:rPr>
      </w:pPr>
      <w:r>
        <w:rPr>
          <w:rFonts w:hint="eastAsia"/>
          <w:bCs/>
        </w:rPr>
        <w:t>（2）绩效目标合理性（总分</w:t>
      </w:r>
      <w:r>
        <w:rPr>
          <w:bCs/>
        </w:rPr>
        <w:t>4</w:t>
      </w:r>
      <w:r>
        <w:rPr>
          <w:rFonts w:hint="eastAsia"/>
          <w:bCs/>
        </w:rPr>
        <w:t>分，得分</w:t>
      </w:r>
      <w:r>
        <w:rPr>
          <w:bCs/>
        </w:rPr>
        <w:t>4</w:t>
      </w:r>
      <w:r>
        <w:rPr>
          <w:rFonts w:hint="eastAsia"/>
          <w:bCs/>
        </w:rPr>
        <w:t>分）。区城市管理委设置的项目</w:t>
      </w:r>
      <w:r>
        <w:rPr>
          <w:rFonts w:hint="eastAsia"/>
        </w:rPr>
        <w:t>绩效目标为“通过环卫作业市场化服务，实现环卫工作规范化、专业化及市场化管理，提升和平区环境卫生管理水平和服务质量，改善和平区人居环境”，</w:t>
      </w:r>
      <w:r>
        <w:rPr>
          <w:rFonts w:hint="eastAsia"/>
          <w:bCs/>
        </w:rPr>
        <w:t>与实际工作内容具有相关性，分别设置对应指标，预期产出效益和效果符合正常的业绩水平，绩效目标与预算确定的资金量相匹配，绩效目标设置合理。</w:t>
      </w:r>
    </w:p>
    <w:p>
      <w:pPr>
        <w:pStyle w:val="26"/>
        <w:spacing w:line="560" w:lineRule="exact"/>
        <w:ind w:firstLine="640"/>
        <w:rPr>
          <w:bCs/>
        </w:rPr>
      </w:pPr>
      <w:r>
        <w:rPr>
          <w:rFonts w:hint="eastAsia"/>
          <w:bCs/>
        </w:rPr>
        <w:t>3.预算编制</w:t>
      </w:r>
    </w:p>
    <w:p>
      <w:pPr>
        <w:pStyle w:val="26"/>
        <w:spacing w:line="560" w:lineRule="exact"/>
        <w:ind w:firstLine="640"/>
        <w:rPr>
          <w:bCs/>
        </w:rPr>
      </w:pPr>
      <w:r>
        <w:rPr>
          <w:rFonts w:hint="eastAsia"/>
          <w:bCs/>
        </w:rPr>
        <w:t>（1）测算内容合规性（总分2分，得分</w:t>
      </w:r>
      <w:r>
        <w:rPr>
          <w:bCs/>
        </w:rPr>
        <w:t>2</w:t>
      </w:r>
      <w:r>
        <w:rPr>
          <w:rFonts w:hint="eastAsia"/>
          <w:bCs/>
        </w:rPr>
        <w:t>分）。环卫作业市场化经费项目预算的测算</w:t>
      </w:r>
      <w:r>
        <w:rPr>
          <w:rFonts w:hint="eastAsia"/>
        </w:rPr>
        <w:t>，由区城市管理委委托第三方公司对辖区内环卫作业面积、设施设备数量、用人作业需求等方面进行测算，结合市场价格，编制项目成本测算书，经专家论证后确认项目预算，测算内容不存在重复测算情况，预算测算内容合规</w:t>
      </w:r>
      <w:r>
        <w:rPr>
          <w:rFonts w:hint="eastAsia"/>
          <w:bCs/>
        </w:rPr>
        <w:t>。</w:t>
      </w:r>
    </w:p>
    <w:p>
      <w:pPr>
        <w:pStyle w:val="26"/>
        <w:spacing w:line="560" w:lineRule="exact"/>
        <w:ind w:firstLine="640"/>
        <w:rPr>
          <w:bCs/>
        </w:rPr>
      </w:pPr>
      <w:r>
        <w:rPr>
          <w:rFonts w:hint="eastAsia"/>
          <w:bCs/>
        </w:rPr>
        <w:t>（2）测算标准合理性（总分1分，得分</w:t>
      </w:r>
      <w:r>
        <w:rPr>
          <w:bCs/>
        </w:rPr>
        <w:t>1</w:t>
      </w:r>
      <w:r>
        <w:rPr>
          <w:rFonts w:hint="eastAsia"/>
          <w:bCs/>
        </w:rPr>
        <w:t>分）。环卫作业市场化经费项目的测算，依据《天津市环卫作业养护预算基价》，结合辖区环卫作业工作量进行测算，测算内容符合行业领域标准，测算标准合理。</w:t>
      </w:r>
    </w:p>
    <w:p>
      <w:pPr>
        <w:pStyle w:val="26"/>
        <w:spacing w:line="560" w:lineRule="exact"/>
        <w:ind w:firstLine="640"/>
        <w:rPr>
          <w:bCs/>
        </w:rPr>
      </w:pPr>
      <w:r>
        <w:rPr>
          <w:rFonts w:hint="eastAsia"/>
          <w:bCs/>
        </w:rPr>
        <w:t>（3）测算数据客观性（总分2分，得分</w:t>
      </w:r>
      <w:r>
        <w:rPr>
          <w:bCs/>
        </w:rPr>
        <w:t>2</w:t>
      </w:r>
      <w:r>
        <w:rPr>
          <w:rFonts w:hint="eastAsia"/>
          <w:bCs/>
        </w:rPr>
        <w:t>分）。本项目作为新增项目，无以往年度历史数据可参考，但项目实施前，区城市管理委相关工作人员对其他开展环卫市场化的行政区开展调研工作，结合和平区实际道路、绿化、环卫设施等实际情况，委托第三方编制项目成本测算书，测算数据客观、真实、准确。</w:t>
      </w:r>
    </w:p>
    <w:p>
      <w:pPr>
        <w:pStyle w:val="26"/>
        <w:spacing w:line="560" w:lineRule="exact"/>
        <w:ind w:firstLine="640"/>
        <w:rPr>
          <w:bCs/>
        </w:rPr>
      </w:pPr>
      <w:r>
        <w:rPr>
          <w:rFonts w:hint="eastAsia"/>
          <w:bCs/>
        </w:rPr>
        <w:t>（4）测算过程细化度（总分2分，得分</w:t>
      </w:r>
      <w:r>
        <w:rPr>
          <w:bCs/>
        </w:rPr>
        <w:t>2</w:t>
      </w:r>
      <w:r>
        <w:rPr>
          <w:rFonts w:hint="eastAsia"/>
          <w:bCs/>
        </w:rPr>
        <w:t>分）。环卫作业市场化经费项目为区级预算资金全额保障项目，按照事权划分全部为区级财政支</w:t>
      </w:r>
      <w:r>
        <w:rPr>
          <w:rFonts w:hint="eastAsia"/>
          <w:bCs/>
          <w:color w:val="auto"/>
        </w:rPr>
        <w:t>出，项目测算过程中明确了服务标准、服务内容、作业量、作业时间等涉及各类支出的明细，项目</w:t>
      </w:r>
      <w:r>
        <w:rPr>
          <w:rFonts w:hint="eastAsia"/>
          <w:bCs/>
        </w:rPr>
        <w:t>测算细化程度清晰</w:t>
      </w:r>
      <w:r>
        <w:rPr>
          <w:rFonts w:hint="eastAsia"/>
        </w:rPr>
        <w:t>。</w:t>
      </w:r>
    </w:p>
    <w:p>
      <w:pPr>
        <w:pStyle w:val="30"/>
        <w:spacing w:line="560" w:lineRule="exact"/>
        <w:ind w:firstLine="640"/>
        <w:rPr>
          <w:rFonts w:ascii="Times New Roman" w:hAnsi="Times New Roman"/>
        </w:rPr>
      </w:pPr>
      <w:bookmarkStart w:id="25" w:name="_Toc27023"/>
      <w:r>
        <w:rPr>
          <w:rFonts w:hint="eastAsia" w:ascii="Times New Roman" w:hAnsi="Times New Roman"/>
        </w:rPr>
        <w:t>（二）项目过程情况</w:t>
      </w:r>
      <w:bookmarkEnd w:id="25"/>
    </w:p>
    <w:p>
      <w:pPr>
        <w:pStyle w:val="26"/>
        <w:spacing w:line="560" w:lineRule="exact"/>
        <w:ind w:firstLine="640"/>
      </w:pPr>
      <w:r>
        <w:rPr>
          <w:rFonts w:hint="eastAsia"/>
        </w:rPr>
        <w:t>过程指标主要包括资金管理、</w:t>
      </w:r>
      <w:r>
        <w:rPr>
          <w:rFonts w:hint="eastAsia"/>
          <w:bCs/>
        </w:rPr>
        <w:t>组织实施2项二级指标，7项三级指标，基础总分2</w:t>
      </w:r>
      <w:r>
        <w:rPr>
          <w:bCs/>
        </w:rPr>
        <w:t>3</w:t>
      </w:r>
      <w:r>
        <w:rPr>
          <w:rFonts w:hint="eastAsia"/>
          <w:bCs/>
        </w:rPr>
        <w:t>分，合计得分</w:t>
      </w:r>
      <w:r>
        <w:rPr>
          <w:bCs/>
        </w:rPr>
        <w:t>23</w:t>
      </w:r>
      <w:r>
        <w:rPr>
          <w:rFonts w:hint="eastAsia"/>
          <w:bCs/>
        </w:rPr>
        <w:t>分。</w:t>
      </w:r>
    </w:p>
    <w:p>
      <w:pPr>
        <w:pStyle w:val="26"/>
        <w:spacing w:line="560" w:lineRule="exact"/>
        <w:ind w:firstLine="640"/>
      </w:pPr>
      <w:r>
        <w:rPr>
          <w:rFonts w:hint="eastAsia"/>
        </w:rPr>
        <w:t>1.资金管理</w:t>
      </w:r>
    </w:p>
    <w:p>
      <w:pPr>
        <w:pStyle w:val="26"/>
        <w:spacing w:line="560" w:lineRule="exact"/>
        <w:ind w:firstLine="640"/>
        <w:rPr>
          <w:bCs/>
        </w:rPr>
      </w:pPr>
      <w:r>
        <w:rPr>
          <w:rFonts w:hint="eastAsia"/>
        </w:rPr>
        <w:t>（1）资金到位率（总分</w:t>
      </w:r>
      <w:r>
        <w:t>1</w:t>
      </w:r>
      <w:r>
        <w:rPr>
          <w:rFonts w:hint="eastAsia"/>
        </w:rPr>
        <w:t>分，得分</w:t>
      </w:r>
      <w:r>
        <w:t>1</w:t>
      </w:r>
      <w:r>
        <w:rPr>
          <w:rFonts w:hint="eastAsia"/>
        </w:rPr>
        <w:t>分）。环卫作业市场化经费</w:t>
      </w:r>
      <w:r>
        <w:rPr>
          <w:rFonts w:hint="eastAsia"/>
          <w:bCs/>
        </w:rPr>
        <w:t>项目共计申请区级预算资金</w:t>
      </w:r>
      <w:r>
        <w:t>4046.</w:t>
      </w:r>
      <w:r>
        <w:rPr>
          <w:rFonts w:hint="eastAsia"/>
        </w:rPr>
        <w:t>6</w:t>
      </w:r>
      <w:r>
        <w:rPr>
          <w:rFonts w:hint="eastAsia"/>
          <w:bCs/>
        </w:rPr>
        <w:t>万元。截至2023年</w:t>
      </w:r>
      <w:r>
        <w:rPr>
          <w:bCs/>
        </w:rPr>
        <w:t>12</w:t>
      </w:r>
      <w:r>
        <w:rPr>
          <w:rFonts w:hint="eastAsia"/>
          <w:bCs/>
        </w:rPr>
        <w:t>月3</w:t>
      </w:r>
      <w:r>
        <w:rPr>
          <w:bCs/>
        </w:rPr>
        <w:t>1</w:t>
      </w:r>
      <w:r>
        <w:rPr>
          <w:rFonts w:hint="eastAsia"/>
          <w:bCs/>
        </w:rPr>
        <w:t>日，</w:t>
      </w:r>
      <w:r>
        <w:rPr>
          <w:rFonts w:hint="eastAsia"/>
        </w:rPr>
        <w:t>区级</w:t>
      </w:r>
      <w:r>
        <w:rPr>
          <w:rFonts w:hint="eastAsia"/>
          <w:bCs/>
        </w:rPr>
        <w:t>资金</w:t>
      </w:r>
      <w:r>
        <w:rPr>
          <w:rFonts w:hint="eastAsia"/>
        </w:rPr>
        <w:t>已到位</w:t>
      </w:r>
      <w:r>
        <w:t>4046.</w:t>
      </w:r>
      <w:r>
        <w:rPr>
          <w:rFonts w:hint="eastAsia"/>
        </w:rPr>
        <w:t>6万元，</w:t>
      </w:r>
      <w:r>
        <w:rPr>
          <w:rFonts w:hint="eastAsia"/>
          <w:bCs/>
        </w:rPr>
        <w:t>资金到位率为</w:t>
      </w:r>
      <w:r>
        <w:rPr>
          <w:bCs/>
        </w:rPr>
        <w:t>100</w:t>
      </w:r>
      <w:r>
        <w:rPr>
          <w:rFonts w:hint="eastAsia"/>
          <w:bCs/>
        </w:rPr>
        <w:t>%。</w:t>
      </w:r>
    </w:p>
    <w:p>
      <w:pPr>
        <w:pStyle w:val="26"/>
        <w:spacing w:line="560" w:lineRule="exact"/>
        <w:ind w:firstLine="640"/>
        <w:rPr>
          <w:bCs/>
        </w:rPr>
      </w:pPr>
      <w:r>
        <w:rPr>
          <w:rFonts w:hint="eastAsia"/>
        </w:rPr>
        <w:t>（2）资金到位及时率（总分1分，得分</w:t>
      </w:r>
      <w:r>
        <w:t>1</w:t>
      </w:r>
      <w:r>
        <w:rPr>
          <w:rFonts w:hint="eastAsia"/>
        </w:rPr>
        <w:t>分）。根据单位财务明细账显示，截至2</w:t>
      </w:r>
      <w:r>
        <w:t>023</w:t>
      </w:r>
      <w:r>
        <w:rPr>
          <w:rFonts w:hint="eastAsia"/>
        </w:rPr>
        <w:t>年1</w:t>
      </w:r>
      <w:r>
        <w:t>2</w:t>
      </w:r>
      <w:r>
        <w:rPr>
          <w:rFonts w:hint="eastAsia"/>
        </w:rPr>
        <w:t>月3</w:t>
      </w:r>
      <w:r>
        <w:t>1</w:t>
      </w:r>
      <w:r>
        <w:rPr>
          <w:rFonts w:hint="eastAsia"/>
        </w:rPr>
        <w:t>日，环卫作业市场化经费</w:t>
      </w:r>
      <w:r>
        <w:rPr>
          <w:rFonts w:hint="eastAsia"/>
          <w:bCs/>
        </w:rPr>
        <w:t>项目</w:t>
      </w:r>
      <w:r>
        <w:rPr>
          <w:rFonts w:hint="eastAsia"/>
        </w:rPr>
        <w:t>实际到位资金</w:t>
      </w:r>
      <w:r>
        <w:t>4046.6</w:t>
      </w:r>
      <w:r>
        <w:rPr>
          <w:rFonts w:hint="eastAsia"/>
        </w:rPr>
        <w:t>万元，资金到位及时</w:t>
      </w:r>
      <w:r>
        <w:rPr>
          <w:rFonts w:hint="eastAsia"/>
          <w:bCs/>
        </w:rPr>
        <w:t>，资金到位及时率为1</w:t>
      </w:r>
      <w:r>
        <w:rPr>
          <w:bCs/>
        </w:rPr>
        <w:t>00</w:t>
      </w:r>
      <w:r>
        <w:rPr>
          <w:rFonts w:hint="eastAsia"/>
          <w:bCs/>
        </w:rPr>
        <w:t>%。</w:t>
      </w:r>
    </w:p>
    <w:p>
      <w:pPr>
        <w:pStyle w:val="26"/>
        <w:spacing w:line="560" w:lineRule="exact"/>
        <w:ind w:firstLine="640"/>
        <w:rPr>
          <w:bCs/>
        </w:rPr>
      </w:pPr>
      <w:r>
        <w:rPr>
          <w:rFonts w:hint="eastAsia"/>
        </w:rPr>
        <w:t>（3）预算执行率（总分2分，得分</w:t>
      </w:r>
      <w:r>
        <w:t>2</w:t>
      </w:r>
      <w:r>
        <w:rPr>
          <w:rFonts w:hint="eastAsia"/>
        </w:rPr>
        <w:t>分）。环卫作业市场化经费项目实际到位区级资金</w:t>
      </w:r>
      <w:r>
        <w:t>4046.6</w:t>
      </w:r>
      <w:r>
        <w:rPr>
          <w:rFonts w:hint="eastAsia"/>
        </w:rPr>
        <w:t>万元。</w:t>
      </w:r>
      <w:r>
        <w:rPr>
          <w:rFonts w:hint="eastAsia"/>
          <w:bCs/>
        </w:rPr>
        <w:t>依据预算一体化</w:t>
      </w:r>
      <w:r>
        <w:rPr>
          <w:bCs/>
        </w:rPr>
        <w:t>资金支付系统</w:t>
      </w:r>
      <w:r>
        <w:rPr>
          <w:rFonts w:hint="eastAsia"/>
          <w:bCs/>
        </w:rPr>
        <w:t>及单位提供的明细账得出，2</w:t>
      </w:r>
      <w:r>
        <w:rPr>
          <w:bCs/>
        </w:rPr>
        <w:t>023</w:t>
      </w:r>
      <w:r>
        <w:rPr>
          <w:rFonts w:hint="eastAsia"/>
          <w:bCs/>
        </w:rPr>
        <w:t>年项目实际支出区级资金</w:t>
      </w:r>
      <w:r>
        <w:rPr>
          <w:bCs/>
        </w:rPr>
        <w:t>4046.6</w:t>
      </w:r>
      <w:r>
        <w:rPr>
          <w:rFonts w:hint="eastAsia"/>
          <w:bCs/>
        </w:rPr>
        <w:t>万元，</w:t>
      </w:r>
      <w:r>
        <w:rPr>
          <w:rFonts w:hint="eastAsia"/>
        </w:rPr>
        <w:t>预算执行率为</w:t>
      </w:r>
      <w:r>
        <w:t>100</w:t>
      </w:r>
      <w:r>
        <w:rPr>
          <w:rFonts w:hint="eastAsia"/>
        </w:rPr>
        <w:t>%。</w:t>
      </w:r>
    </w:p>
    <w:p>
      <w:pPr>
        <w:pStyle w:val="26"/>
        <w:spacing w:line="560" w:lineRule="exact"/>
        <w:ind w:firstLine="640"/>
        <w:rPr>
          <w:bCs/>
        </w:rPr>
      </w:pPr>
      <w:r>
        <w:rPr>
          <w:rFonts w:hint="eastAsia"/>
          <w:bCs/>
        </w:rPr>
        <w:t>（</w:t>
      </w:r>
      <w:r>
        <w:rPr>
          <w:bCs/>
        </w:rPr>
        <w:t>4</w:t>
      </w:r>
      <w:r>
        <w:rPr>
          <w:rFonts w:hint="eastAsia"/>
          <w:bCs/>
        </w:rPr>
        <w:t>）资金使用合规性（总分9分，得分</w:t>
      </w:r>
      <w:r>
        <w:rPr>
          <w:bCs/>
        </w:rPr>
        <w:t>9</w:t>
      </w:r>
      <w:r>
        <w:rPr>
          <w:rFonts w:hint="eastAsia"/>
          <w:bCs/>
        </w:rPr>
        <w:t>分）。区城市管理委提供的凭证及请款单据完整，财务记账符合国家财经法规和财务管理制度规定；项目资金拨付有完整的审批程序和手续，各明细项目支出有完整的请款申请及资金审批单据；支出符合预算批复和合同规定用途；项目资金不存在截留、挤占、挪用、虚列支出等情况。</w:t>
      </w:r>
    </w:p>
    <w:p>
      <w:pPr>
        <w:pStyle w:val="26"/>
        <w:spacing w:line="560" w:lineRule="exact"/>
        <w:ind w:firstLine="640"/>
        <w:rPr>
          <w:bCs/>
        </w:rPr>
      </w:pPr>
      <w:r>
        <w:rPr>
          <w:rFonts w:hint="eastAsia"/>
          <w:bCs/>
        </w:rPr>
        <w:t>2.组织实施</w:t>
      </w:r>
    </w:p>
    <w:p>
      <w:pPr>
        <w:pStyle w:val="26"/>
        <w:spacing w:line="560" w:lineRule="exact"/>
        <w:ind w:firstLine="640"/>
      </w:pPr>
      <w:r>
        <w:rPr>
          <w:rFonts w:hint="eastAsia"/>
          <w:bCs/>
        </w:rPr>
        <w:t>（1）管理制度健全性（总分2分，得分</w:t>
      </w:r>
      <w:r>
        <w:rPr>
          <w:bCs/>
        </w:rPr>
        <w:t>2</w:t>
      </w:r>
      <w:r>
        <w:rPr>
          <w:rFonts w:hint="eastAsia"/>
          <w:bCs/>
        </w:rPr>
        <w:t>分）。区城市管理委作为项目实施单位</w:t>
      </w:r>
      <w:r>
        <w:rPr>
          <w:rFonts w:hint="eastAsia"/>
        </w:rPr>
        <w:t>，具有完善的财务管理制度，主要依据单位财务管理制度和内控制度对项目进行资金管理，财务管理制度合法、合规，项目管理方面主要依据《天津市和平区环卫作业市场化考核管理办法》、</w:t>
      </w:r>
      <w:r>
        <w:rPr>
          <w:rFonts w:hint="eastAsia" w:cs="仿宋_GB2312"/>
          <w:szCs w:val="32"/>
        </w:rPr>
        <w:t>《天津市城市道路清扫保洁质量标准与作业规范》、《和平环卫一体化服务作业质量考核细则》对项目进行管理</w:t>
      </w:r>
      <w:r>
        <w:rPr>
          <w:rFonts w:hint="eastAsia"/>
        </w:rPr>
        <w:t>，明确了项目实施、项目验收等各个环节的项目管理需求，综合分析，管理制度健全。</w:t>
      </w:r>
    </w:p>
    <w:p>
      <w:pPr>
        <w:pStyle w:val="26"/>
        <w:spacing w:line="560" w:lineRule="exact"/>
        <w:ind w:firstLine="640"/>
        <w:rPr>
          <w:bCs/>
        </w:rPr>
      </w:pPr>
      <w:r>
        <w:rPr>
          <w:rFonts w:hint="eastAsia"/>
        </w:rPr>
        <w:t>（2）政府购买服务规范性</w:t>
      </w:r>
      <w:r>
        <w:rPr>
          <w:rFonts w:hint="eastAsia"/>
          <w:bCs/>
        </w:rPr>
        <w:t>（总分</w:t>
      </w:r>
      <w:r>
        <w:rPr>
          <w:bCs/>
        </w:rPr>
        <w:t>3</w:t>
      </w:r>
      <w:r>
        <w:rPr>
          <w:rFonts w:hint="eastAsia"/>
          <w:bCs/>
        </w:rPr>
        <w:t>分，得分</w:t>
      </w:r>
      <w:r>
        <w:rPr>
          <w:bCs/>
        </w:rPr>
        <w:t>3</w:t>
      </w:r>
      <w:r>
        <w:rPr>
          <w:rFonts w:hint="eastAsia"/>
          <w:bCs/>
        </w:rPr>
        <w:t>分）。经核实，本项目内容为区城市管理委通过购买第三方服务的方式，在辖区内开展道路清扫保洁、生活垃圾收集转运、特殊情况下的环卫保障等工作，项目内容与区城市管理委部门职责中的“负责全区市容环境卫生作业、城市园林绿化、公厕管理、冬季清融雪、全区生活废弃物收集、运输和处置和生活废弃物减量化、资源化和无害化处理工作等”部门职责相匹配。项目实施前，区城市管理工作人员对本市其他行政区开展调研活动，了解项目运作模式，确定本区项目需求，委托第三方编制项目实施方案，经过三轮专家评审，确定项目实施方案与采购预算。单位内部集体决策后，确定项目组织实施。</w:t>
      </w:r>
    </w:p>
    <w:p>
      <w:pPr>
        <w:pStyle w:val="26"/>
        <w:spacing w:line="560" w:lineRule="exact"/>
        <w:ind w:firstLine="640"/>
        <w:rPr>
          <w:bCs/>
        </w:rPr>
      </w:pPr>
      <w:r>
        <w:rPr>
          <w:rFonts w:hint="eastAsia"/>
          <w:bCs/>
        </w:rPr>
        <w:t>区城市管理委通过委托天津丞明咨询有限公司组织项目公开招标工作，</w:t>
      </w:r>
      <w:r>
        <w:rPr>
          <w:rFonts w:hint="eastAsia"/>
        </w:rPr>
        <w:t>并于</w:t>
      </w:r>
      <w:r>
        <w:rPr>
          <w:rFonts w:hint="eastAsia"/>
          <w:bCs/>
        </w:rPr>
        <w:t>2</w:t>
      </w:r>
      <w:r>
        <w:rPr>
          <w:bCs/>
        </w:rPr>
        <w:t>022</w:t>
      </w:r>
      <w:r>
        <w:rPr>
          <w:rFonts w:hint="eastAsia"/>
          <w:bCs/>
        </w:rPr>
        <w:t>年9月2</w:t>
      </w:r>
      <w:r>
        <w:rPr>
          <w:bCs/>
        </w:rPr>
        <w:t>3</w:t>
      </w:r>
      <w:r>
        <w:rPr>
          <w:rFonts w:hint="eastAsia"/>
          <w:bCs/>
        </w:rPr>
        <w:t>日</w:t>
      </w:r>
      <w:r>
        <w:rPr>
          <w:rFonts w:hint="eastAsia"/>
        </w:rPr>
        <w:t>在天津市政府采购网发布招标公告，经过招标委员会专家评审，确定</w:t>
      </w:r>
      <w:r>
        <w:t>深圳市华富环境有限公司</w:t>
      </w:r>
      <w:r>
        <w:rPr>
          <w:rFonts w:hint="eastAsia"/>
        </w:rPr>
        <w:t>和上海博德尔环境科技集团有限公司为成交服务方，分别负责和平北半区和南半区道路清扫保洁、生活垃圾收集转运、冬季清融雪等工作</w:t>
      </w:r>
      <w:r>
        <w:rPr>
          <w:rFonts w:hint="eastAsia"/>
          <w:bCs/>
        </w:rPr>
        <w:t>，</w:t>
      </w:r>
      <w:r>
        <w:rPr>
          <w:rFonts w:hint="eastAsia"/>
        </w:rPr>
        <w:t>项目最终成交金额为</w:t>
      </w:r>
      <w:r>
        <w:t>16908.95</w:t>
      </w:r>
      <w:r>
        <w:rPr>
          <w:rFonts w:hint="eastAsia"/>
        </w:rPr>
        <w:t>万元，分别为</w:t>
      </w:r>
      <w:r>
        <w:t>深圳市华富环境有限公司</w:t>
      </w:r>
      <w:r>
        <w:rPr>
          <w:rFonts w:hint="eastAsia"/>
        </w:rPr>
        <w:t>9</w:t>
      </w:r>
      <w:r>
        <w:t>094.03</w:t>
      </w:r>
      <w:r>
        <w:rPr>
          <w:rFonts w:hint="eastAsia"/>
        </w:rPr>
        <w:t>万元，负责北区区域环卫作业，</w:t>
      </w:r>
      <w:r>
        <w:t>上海博德尔环境科技集团有限公司</w:t>
      </w:r>
      <w:r>
        <w:rPr>
          <w:rFonts w:hint="eastAsia"/>
        </w:rPr>
        <w:t>7</w:t>
      </w:r>
      <w:r>
        <w:t>814.92</w:t>
      </w:r>
      <w:r>
        <w:rPr>
          <w:rFonts w:hint="eastAsia"/>
        </w:rPr>
        <w:t>万元，负责南区区域环卫作业，项目总金额未超过专家评审预算金额，项目采购程序符合政府采购法律法规，经专家评审，项目不存在重复采购或过量采购等浪费情形</w:t>
      </w:r>
      <w:r>
        <w:rPr>
          <w:rFonts w:hint="eastAsia"/>
          <w:bCs/>
        </w:rPr>
        <w:t>。区城市管理委虽首次开展环卫作业市场化项目，项目预算无历史数据可参考，但经过前期调研和专家评审，项目实际采购价格与社会市场价格相符，</w:t>
      </w:r>
      <w:r>
        <w:rPr>
          <w:rFonts w:hint="eastAsia"/>
        </w:rPr>
        <w:t>处于合理较低水平。</w:t>
      </w:r>
    </w:p>
    <w:p>
      <w:pPr>
        <w:pStyle w:val="26"/>
        <w:spacing w:line="560" w:lineRule="exact"/>
        <w:ind w:firstLine="640"/>
        <w:rPr>
          <w:bCs/>
        </w:rPr>
      </w:pPr>
      <w:r>
        <w:rPr>
          <w:rFonts w:hint="eastAsia"/>
          <w:bCs/>
        </w:rPr>
        <w:t>（</w:t>
      </w:r>
      <w:r>
        <w:rPr>
          <w:bCs/>
        </w:rPr>
        <w:t>3</w:t>
      </w:r>
      <w:r>
        <w:rPr>
          <w:rFonts w:hint="eastAsia"/>
          <w:bCs/>
        </w:rPr>
        <w:t>）制度执行有效性（总分5分，得分</w:t>
      </w:r>
      <w:r>
        <w:rPr>
          <w:bCs/>
        </w:rPr>
        <w:t>5</w:t>
      </w:r>
      <w:r>
        <w:rPr>
          <w:rFonts w:hint="eastAsia"/>
          <w:bCs/>
        </w:rPr>
        <w:t>分）。根据区城市管理委提供项目预算申请、资金使用申请、支付凭证等文件，项目资金支付符合会计法及单位财务管理制度，会计档案资料归档齐全，项目执行过程中不存在项目支出预算调整；采购方面，单位项目需求书、项目招标公告、中标结果确认书、中标通知书及服务合同、三重一大集体决策等采购资料齐全，采购执行过程不存在违规违纪行为，符合政府购买服务相关政策规定；项目执行过程中，环卫作业人员和车辆等设施设备落实到位，区城市管理委严格按照合同约定对服务质量定期开展考核工作，并根据考核结果实施奖惩措施并进行考核通报，对两家第三方服务情况开展阶段性验收工作，考核过程、通报结果等资料归档完整。</w:t>
      </w:r>
    </w:p>
    <w:p>
      <w:pPr>
        <w:pStyle w:val="30"/>
        <w:spacing w:line="560" w:lineRule="exact"/>
        <w:ind w:firstLine="640"/>
        <w:rPr>
          <w:rFonts w:ascii="Times New Roman" w:hAnsi="Times New Roman"/>
        </w:rPr>
      </w:pPr>
      <w:bookmarkStart w:id="26" w:name="_Toc25132"/>
      <w:r>
        <w:rPr>
          <w:rFonts w:hint="eastAsia" w:ascii="Times New Roman" w:hAnsi="Times New Roman"/>
        </w:rPr>
        <w:t>（三）项目产出情况</w:t>
      </w:r>
      <w:bookmarkEnd w:id="26"/>
    </w:p>
    <w:p>
      <w:pPr>
        <w:pStyle w:val="26"/>
        <w:spacing w:line="560" w:lineRule="exact"/>
        <w:ind w:firstLine="640"/>
      </w:pPr>
      <w:r>
        <w:rPr>
          <w:rFonts w:hint="eastAsia"/>
        </w:rPr>
        <w:t>产出指标主要包括产出数量、产出质量、产出时效和产出成本</w:t>
      </w:r>
      <w:r>
        <w:t>4</w:t>
      </w:r>
      <w:r>
        <w:rPr>
          <w:rFonts w:hint="eastAsia"/>
        </w:rPr>
        <w:t>项二级指标，</w:t>
      </w:r>
      <w:r>
        <w:t>5</w:t>
      </w:r>
      <w:r>
        <w:rPr>
          <w:rFonts w:hint="eastAsia"/>
        </w:rPr>
        <w:t>项三级指标，基础总分</w:t>
      </w:r>
      <w:r>
        <w:t>38</w:t>
      </w:r>
      <w:r>
        <w:rPr>
          <w:rFonts w:hint="eastAsia"/>
        </w:rPr>
        <w:t>分，合计得分</w:t>
      </w:r>
      <w:r>
        <w:t>29.91</w:t>
      </w:r>
      <w:r>
        <w:rPr>
          <w:rFonts w:hint="eastAsia"/>
        </w:rPr>
        <w:t>分。</w:t>
      </w:r>
    </w:p>
    <w:p>
      <w:pPr>
        <w:pStyle w:val="26"/>
        <w:spacing w:line="560" w:lineRule="exact"/>
        <w:ind w:firstLine="640"/>
      </w:pPr>
      <w:r>
        <w:t>1</w:t>
      </w:r>
      <w:r>
        <w:rPr>
          <w:rFonts w:hint="eastAsia"/>
        </w:rPr>
        <w:t>.产出数量</w:t>
      </w:r>
    </w:p>
    <w:p>
      <w:pPr>
        <w:pStyle w:val="26"/>
        <w:spacing w:line="560" w:lineRule="exact"/>
        <w:ind w:firstLine="640"/>
      </w:pPr>
      <w:r>
        <w:rPr>
          <w:rFonts w:hint="eastAsia"/>
        </w:rPr>
        <w:t>道路扫保工作完成率（总分</w:t>
      </w:r>
      <w:r>
        <w:t>8</w:t>
      </w:r>
      <w:r>
        <w:rPr>
          <w:rFonts w:hint="eastAsia"/>
        </w:rPr>
        <w:t>分，得分</w:t>
      </w:r>
      <w:r>
        <w:t>8</w:t>
      </w:r>
      <w:r>
        <w:rPr>
          <w:rFonts w:hint="eastAsia"/>
        </w:rPr>
        <w:t>分）。根据单位统计辖区道路数量与预算测算道路数量，2</w:t>
      </w:r>
      <w:r>
        <w:t>023</w:t>
      </w:r>
      <w:r>
        <w:rPr>
          <w:rFonts w:hint="eastAsia"/>
        </w:rPr>
        <w:t>年，区城市管理委应开展</w:t>
      </w:r>
      <w:r>
        <w:t>150</w:t>
      </w:r>
      <w:r>
        <w:rPr>
          <w:rFonts w:hint="eastAsia"/>
        </w:rPr>
        <w:t>条马路及相关辅路、绿地等路面扫保服务，截至2</w:t>
      </w:r>
      <w:r>
        <w:t>023</w:t>
      </w:r>
      <w:r>
        <w:rPr>
          <w:rFonts w:hint="eastAsia"/>
        </w:rPr>
        <w:t>年底，两家服务机构按照片区负责扫保服务，实际开展道路扫保服务条数为</w:t>
      </w:r>
      <w:r>
        <w:t>150</w:t>
      </w:r>
      <w:r>
        <w:rPr>
          <w:rFonts w:hint="eastAsia"/>
        </w:rPr>
        <w:t>条，扫保工作完成率为1</w:t>
      </w:r>
      <w:r>
        <w:t>00%</w:t>
      </w:r>
      <w:r>
        <w:rPr>
          <w:rFonts w:hint="eastAsia"/>
        </w:rPr>
        <w:t>。</w:t>
      </w:r>
    </w:p>
    <w:p>
      <w:pPr>
        <w:pStyle w:val="26"/>
        <w:spacing w:line="560" w:lineRule="exact"/>
        <w:ind w:firstLine="640"/>
      </w:pPr>
      <w:r>
        <w:rPr>
          <w:rFonts w:hint="eastAsia"/>
        </w:rPr>
        <w:t>2.产出质量</w:t>
      </w:r>
    </w:p>
    <w:p>
      <w:pPr>
        <w:pStyle w:val="26"/>
        <w:spacing w:line="560" w:lineRule="exact"/>
        <w:ind w:firstLine="640"/>
      </w:pPr>
      <w:r>
        <w:rPr>
          <w:rFonts w:hint="eastAsia"/>
        </w:rPr>
        <w:t>（1）“以克论净”检测优秀率（总分</w:t>
      </w:r>
      <w:r>
        <w:t>8</w:t>
      </w:r>
      <w:r>
        <w:rPr>
          <w:rFonts w:hint="eastAsia"/>
        </w:rPr>
        <w:t>分，得分</w:t>
      </w:r>
      <w:r>
        <w:t>1.33</w:t>
      </w:r>
      <w:r>
        <w:rPr>
          <w:rFonts w:hint="eastAsia"/>
        </w:rPr>
        <w:t>分）。依据本市全年“以克论净”专项考核情况，在市内六区及环城四区十个行政区的1</w:t>
      </w:r>
      <w:r>
        <w:t>2</w:t>
      </w:r>
      <w:r>
        <w:rPr>
          <w:rFonts w:hint="eastAsia"/>
        </w:rPr>
        <w:t>次考核工作中，和平区排名前三次数为2次，整体监测优秀合格率为1</w:t>
      </w:r>
      <w:r>
        <w:t>6.67%</w:t>
      </w:r>
      <w:r>
        <w:rPr>
          <w:rFonts w:hint="eastAsia"/>
        </w:rPr>
        <w:t>。依据评分标准，本条指标得1</w:t>
      </w:r>
      <w:r>
        <w:t>.33</w:t>
      </w:r>
      <w:r>
        <w:rPr>
          <w:rFonts w:hint="eastAsia"/>
        </w:rPr>
        <w:t>分。</w:t>
      </w:r>
    </w:p>
    <w:p>
      <w:pPr>
        <w:pStyle w:val="26"/>
        <w:spacing w:line="560" w:lineRule="exact"/>
        <w:ind w:firstLine="640"/>
      </w:pPr>
      <w:r>
        <w:rPr>
          <w:rFonts w:hint="eastAsia"/>
        </w:rPr>
        <w:t>（2）作业验收合格率（总分</w:t>
      </w:r>
      <w:r>
        <w:t>8</w:t>
      </w:r>
      <w:r>
        <w:rPr>
          <w:rFonts w:hint="eastAsia"/>
        </w:rPr>
        <w:t>分，得分</w:t>
      </w:r>
      <w:r>
        <w:t>7.33</w:t>
      </w:r>
      <w:r>
        <w:rPr>
          <w:rFonts w:hint="eastAsia"/>
        </w:rPr>
        <w:t>分）。依据本市全年环境卫生考评得分情况，和平区在全市1</w:t>
      </w:r>
      <w:r>
        <w:t>2</w:t>
      </w:r>
      <w:r>
        <w:rPr>
          <w:rFonts w:hint="eastAsia"/>
        </w:rPr>
        <w:t>次考核中，平均得分为9</w:t>
      </w:r>
      <w:r>
        <w:t>1.57</w:t>
      </w:r>
      <w:r>
        <w:rPr>
          <w:rFonts w:hint="eastAsia"/>
        </w:rPr>
        <w:t>。依据评分标准，本条指标得分7</w:t>
      </w:r>
      <w:r>
        <w:t>.33</w:t>
      </w:r>
      <w:r>
        <w:rPr>
          <w:rFonts w:hint="eastAsia"/>
        </w:rPr>
        <w:t>分。</w:t>
      </w:r>
    </w:p>
    <w:p>
      <w:pPr>
        <w:pStyle w:val="26"/>
        <w:spacing w:line="560" w:lineRule="exact"/>
        <w:ind w:firstLine="640"/>
      </w:pPr>
      <w:r>
        <w:rPr>
          <w:rFonts w:hint="eastAsia"/>
        </w:rPr>
        <w:t>3.产出时效</w:t>
      </w:r>
    </w:p>
    <w:p>
      <w:pPr>
        <w:pStyle w:val="26"/>
        <w:spacing w:line="560" w:lineRule="exact"/>
        <w:ind w:firstLine="640"/>
      </w:pPr>
      <w:r>
        <w:rPr>
          <w:rFonts w:hint="eastAsia"/>
        </w:rPr>
        <w:t>环卫案件处置及时率（总分</w:t>
      </w:r>
      <w:r>
        <w:t>8</w:t>
      </w:r>
      <w:r>
        <w:rPr>
          <w:rFonts w:hint="eastAsia"/>
        </w:rPr>
        <w:t>分，得分</w:t>
      </w:r>
      <w:r>
        <w:t>7.25</w:t>
      </w:r>
      <w:r>
        <w:rPr>
          <w:rFonts w:hint="eastAsia"/>
        </w:rPr>
        <w:t>分）。依据本市全年环卫案件处置通报情况，和平区在全年环卫案件处置工作中，平均超期处置环卫案件率为9</w:t>
      </w:r>
      <w:r>
        <w:t>.34%</w:t>
      </w:r>
      <w:r>
        <w:rPr>
          <w:rFonts w:hint="eastAsia"/>
        </w:rPr>
        <w:t>，依据评分标准，本条指标得分7</w:t>
      </w:r>
      <w:r>
        <w:t>.25</w:t>
      </w:r>
      <w:r>
        <w:rPr>
          <w:rFonts w:hint="eastAsia"/>
        </w:rPr>
        <w:t>分。</w:t>
      </w:r>
    </w:p>
    <w:p>
      <w:pPr>
        <w:pStyle w:val="26"/>
        <w:spacing w:line="560" w:lineRule="exact"/>
        <w:ind w:firstLine="640"/>
      </w:pPr>
      <w:r>
        <w:rPr>
          <w:rFonts w:hint="eastAsia"/>
        </w:rPr>
        <w:t>4.产出成本</w:t>
      </w:r>
    </w:p>
    <w:p>
      <w:pPr>
        <w:pStyle w:val="26"/>
        <w:spacing w:line="560" w:lineRule="exact"/>
        <w:ind w:firstLine="640"/>
      </w:pPr>
      <w:r>
        <w:rPr>
          <w:rFonts w:hint="eastAsia"/>
        </w:rPr>
        <w:t>项目成本节约率（总分</w:t>
      </w:r>
      <w:r>
        <w:t>2分，得分2分）。根据项目明细账显示，</w:t>
      </w:r>
      <w:r>
        <w:rPr>
          <w:rFonts w:hint="eastAsia"/>
          <w:bCs/>
        </w:rPr>
        <w:t>区城市管理委</w:t>
      </w:r>
      <w:r>
        <w:rPr>
          <w:bCs/>
        </w:rPr>
        <w:t>2023</w:t>
      </w:r>
      <w:r>
        <w:t>年</w:t>
      </w:r>
      <w:r>
        <w:rPr>
          <w:rFonts w:hint="eastAsia"/>
          <w:bCs/>
        </w:rPr>
        <w:t>环卫作业市场化经费</w:t>
      </w:r>
      <w:r>
        <w:t>计划投入金额为</w:t>
      </w:r>
      <w:r>
        <w:rPr>
          <w:bCs/>
        </w:rPr>
        <w:t>4046.6</w:t>
      </w:r>
      <w:r>
        <w:t>万元，实际支出金额为</w:t>
      </w:r>
      <w:r>
        <w:rPr>
          <w:bCs/>
        </w:rPr>
        <w:t>4046.6</w:t>
      </w:r>
      <w:r>
        <w:t>万元。</w:t>
      </w:r>
      <w:r>
        <w:rPr>
          <w:rFonts w:hint="eastAsia"/>
        </w:rPr>
        <w:t>项目</w:t>
      </w:r>
      <w:r>
        <w:t>成本节约率为</w:t>
      </w:r>
      <w:r>
        <w:rPr>
          <w:bCs/>
        </w:rPr>
        <w:t>0</w:t>
      </w:r>
      <w:r>
        <w:t>%。</w:t>
      </w:r>
    </w:p>
    <w:p>
      <w:pPr>
        <w:pStyle w:val="30"/>
        <w:spacing w:line="560" w:lineRule="exact"/>
        <w:ind w:firstLine="640"/>
        <w:rPr>
          <w:rFonts w:ascii="Times New Roman" w:hAnsi="Times New Roman"/>
        </w:rPr>
      </w:pPr>
      <w:bookmarkStart w:id="27" w:name="_Toc32327"/>
      <w:r>
        <w:rPr>
          <w:rFonts w:hint="eastAsia" w:ascii="Times New Roman" w:hAnsi="Times New Roman"/>
        </w:rPr>
        <w:t>（四）项目效益情况</w:t>
      </w:r>
      <w:bookmarkEnd w:id="27"/>
    </w:p>
    <w:p>
      <w:pPr>
        <w:pStyle w:val="26"/>
        <w:spacing w:line="560" w:lineRule="exact"/>
        <w:ind w:firstLine="640"/>
      </w:pPr>
      <w:r>
        <w:rPr>
          <w:rFonts w:hint="eastAsia"/>
        </w:rPr>
        <w:t>效益指标主要包括社会效益、可持续影响、服务对象满意度</w:t>
      </w:r>
      <w:r>
        <w:t>3</w:t>
      </w:r>
      <w:r>
        <w:rPr>
          <w:rFonts w:hint="eastAsia"/>
        </w:rPr>
        <w:t>项二级指标，</w:t>
      </w:r>
      <w:r>
        <w:t>3</w:t>
      </w:r>
      <w:r>
        <w:rPr>
          <w:rFonts w:hint="eastAsia"/>
        </w:rPr>
        <w:t>项三级指标，基础总分</w:t>
      </w:r>
      <w:r>
        <w:t>22</w:t>
      </w:r>
      <w:r>
        <w:rPr>
          <w:rFonts w:hint="eastAsia"/>
        </w:rPr>
        <w:t>分，合计得分</w:t>
      </w:r>
      <w:r>
        <w:t>16.56</w:t>
      </w:r>
      <w:r>
        <w:rPr>
          <w:rFonts w:hint="eastAsia"/>
        </w:rPr>
        <w:t>分。</w:t>
      </w:r>
    </w:p>
    <w:p>
      <w:pPr>
        <w:pStyle w:val="26"/>
        <w:spacing w:line="560" w:lineRule="exact"/>
        <w:ind w:firstLine="640"/>
      </w:pPr>
      <w:r>
        <w:rPr>
          <w:rFonts w:hint="eastAsia"/>
        </w:rPr>
        <w:t>1.社会效益</w:t>
      </w:r>
    </w:p>
    <w:p>
      <w:pPr>
        <w:pStyle w:val="26"/>
        <w:spacing w:line="560" w:lineRule="exact"/>
        <w:ind w:firstLine="640"/>
      </w:pPr>
      <w:r>
        <w:rPr>
          <w:rFonts w:hint="eastAsia"/>
        </w:rPr>
        <w:t>全市综合考核优秀率（总分</w:t>
      </w:r>
      <w:r>
        <w:t>6</w:t>
      </w:r>
      <w:r>
        <w:rPr>
          <w:rFonts w:hint="eastAsia"/>
        </w:rPr>
        <w:t>分，得分</w:t>
      </w:r>
      <w:r>
        <w:t>2</w:t>
      </w:r>
      <w:r>
        <w:rPr>
          <w:rFonts w:hint="eastAsia"/>
        </w:rPr>
        <w:t>分）。依据全市综合考核通报的1</w:t>
      </w:r>
      <w:r>
        <w:t>2</w:t>
      </w:r>
      <w:r>
        <w:rPr>
          <w:rFonts w:hint="eastAsia"/>
        </w:rPr>
        <w:t>次结果，和平区在市内六区排名中，排名为前两名的次数为4次，整体考核优秀率为3</w:t>
      </w:r>
      <w:r>
        <w:t>3.33%</w:t>
      </w:r>
      <w:r>
        <w:rPr>
          <w:rFonts w:hint="eastAsia"/>
        </w:rPr>
        <w:t>，成绩相对较低，依据评分标准，本条指标得分2分。</w:t>
      </w:r>
    </w:p>
    <w:p>
      <w:pPr>
        <w:pStyle w:val="26"/>
        <w:spacing w:line="560" w:lineRule="exact"/>
        <w:ind w:firstLine="640"/>
      </w:pPr>
      <w:r>
        <w:t>2</w:t>
      </w:r>
      <w:r>
        <w:rPr>
          <w:rFonts w:hint="eastAsia"/>
        </w:rPr>
        <w:t>.可持续影响</w:t>
      </w:r>
    </w:p>
    <w:p>
      <w:pPr>
        <w:pStyle w:val="26"/>
        <w:spacing w:line="560" w:lineRule="exact"/>
        <w:ind w:firstLine="640"/>
      </w:pPr>
      <w:r>
        <w:rPr>
          <w:rFonts w:hint="eastAsia"/>
        </w:rPr>
        <w:t>建立健全道路扫保奖惩制度（总分</w:t>
      </w:r>
      <w:r>
        <w:t>6</w:t>
      </w:r>
      <w:r>
        <w:rPr>
          <w:rFonts w:hint="eastAsia"/>
        </w:rPr>
        <w:t>分，得分</w:t>
      </w:r>
      <w:r>
        <w:t>6</w:t>
      </w:r>
      <w:r>
        <w:rPr>
          <w:rFonts w:hint="eastAsia"/>
        </w:rPr>
        <w:t>分）。针对道路扫保服务项目，区城市管理委提出了奖惩措施并写明在合同条款内，措施有明确的奖惩内容：“按月检查考核结果计算服务费”，需单位按照此措施执行。实际工作中，区城市管理委严格按照本措施落实资金结算，用以刺激第三方服务的良性竞争，提升服务质量，保障项目高质量开展的持续性。</w:t>
      </w:r>
    </w:p>
    <w:p>
      <w:pPr>
        <w:pStyle w:val="26"/>
        <w:spacing w:line="560" w:lineRule="exact"/>
        <w:ind w:firstLine="640"/>
      </w:pPr>
      <w:r>
        <w:t>3</w:t>
      </w:r>
      <w:r>
        <w:rPr>
          <w:rFonts w:hint="eastAsia"/>
        </w:rPr>
        <w:t>.服务对象满意度</w:t>
      </w:r>
    </w:p>
    <w:p>
      <w:pPr>
        <w:pStyle w:val="26"/>
        <w:spacing w:line="560" w:lineRule="exact"/>
        <w:ind w:firstLine="640"/>
      </w:pPr>
      <w:r>
        <w:rPr>
          <w:rFonts w:hint="eastAsia"/>
        </w:rPr>
        <w:t>辖区群众对道路扫保作业满意度（总分</w:t>
      </w:r>
      <w:r>
        <w:t>10分，得分8.56分）。</w:t>
      </w:r>
      <w:r>
        <w:rPr>
          <w:rFonts w:hint="eastAsia"/>
        </w:rPr>
        <w:t>辖区群众对道路扫保作业满意度问卷共发放问卷</w:t>
      </w:r>
      <w:r>
        <w:t>100份，涉及满意度问题5项，分别为：路面垃圾残留清理满意度、卫生死角垃圾清理满意度、路面尘土残留满意度、冬季路面清融雪满意度、路面洒水作业满意度。针对路面垃圾残留清理满意度调查，满意人数为89人，针对卫生死角垃圾清理满意度调查，满意人数为81人，针对路面尘土残留满意度调查，满意人数为85人，针对冬季路面清融雪满意度调查，满意人数为83人，针对路面洒水作业满意度调查，满意人数为90人，辖区群众对道路扫保作业满意度为85.6%。</w:t>
      </w:r>
    </w:p>
    <w:p>
      <w:pPr>
        <w:pStyle w:val="28"/>
        <w:spacing w:line="560" w:lineRule="exact"/>
      </w:pPr>
      <w:bookmarkStart w:id="28" w:name="_Toc14604"/>
      <w:r>
        <w:rPr>
          <w:rFonts w:hint="eastAsia"/>
        </w:rPr>
        <w:t>五、存在的主要问题</w:t>
      </w:r>
      <w:bookmarkEnd w:id="28"/>
    </w:p>
    <w:p>
      <w:pPr>
        <w:pStyle w:val="30"/>
        <w:spacing w:line="560" w:lineRule="exact"/>
        <w:ind w:firstLine="640"/>
        <w:rPr>
          <w:rFonts w:ascii="Times New Roman" w:hAnsi="Times New Roman"/>
        </w:rPr>
      </w:pPr>
      <w:bookmarkStart w:id="29" w:name="_Toc14508"/>
      <w:bookmarkStart w:id="30" w:name="_Hlk91875531"/>
      <w:r>
        <w:rPr>
          <w:rFonts w:hint="eastAsia" w:ascii="Times New Roman" w:hAnsi="Times New Roman"/>
        </w:rPr>
        <w:t>（一）环卫作业质量有待提升</w:t>
      </w:r>
      <w:bookmarkEnd w:id="29"/>
    </w:p>
    <w:p>
      <w:pPr>
        <w:pStyle w:val="26"/>
        <w:spacing w:line="560" w:lineRule="exact"/>
        <w:ind w:firstLine="640"/>
      </w:pPr>
      <w:r>
        <w:rPr>
          <w:rFonts w:hint="eastAsia"/>
        </w:rPr>
        <w:t>根据在全市“以克论净”综合监测情况，在市内六区及环城四区十个区的排名中，和平区排名前三的成绩仅2次，后三名成绩中和平区出现了8次，侧面说明了和平区环卫作业市场化工作的道路扫保工作质量较低。根据全市综合考核情况，在市内六区排名中，和平区获得前两名的次数仅4次，后两名成绩中和平区出现了6次，整体排名靠后，说明了和平区整体环卫作业质量有待提升。</w:t>
      </w:r>
    </w:p>
    <w:p>
      <w:pPr>
        <w:pStyle w:val="30"/>
        <w:spacing w:line="560" w:lineRule="exact"/>
        <w:ind w:firstLine="640"/>
        <w:rPr>
          <w:rFonts w:ascii="Times New Roman" w:hAnsi="Times New Roman"/>
        </w:rPr>
      </w:pPr>
      <w:bookmarkStart w:id="31" w:name="_Toc21102"/>
      <w:r>
        <w:rPr>
          <w:rFonts w:hint="eastAsia" w:ascii="Times New Roman" w:hAnsi="Times New Roman"/>
        </w:rPr>
        <w:t>（二）环卫作业开展及时性有待加强</w:t>
      </w:r>
      <w:bookmarkEnd w:id="31"/>
    </w:p>
    <w:p>
      <w:pPr>
        <w:pStyle w:val="26"/>
        <w:spacing w:line="560" w:lineRule="exact"/>
        <w:ind w:firstLine="640"/>
        <w:rPr>
          <w:bCs/>
        </w:rPr>
      </w:pPr>
      <w:r>
        <w:rPr>
          <w:rFonts w:hint="eastAsia"/>
          <w:bCs/>
        </w:rPr>
        <w:t>一是在全市通报的考核工作中，和平区在全年环卫案件处置工作中，平均超期处置环卫案件率为</w:t>
      </w:r>
      <w:r>
        <w:rPr>
          <w:bCs/>
        </w:rPr>
        <w:t>9.34%</w:t>
      </w:r>
      <w:r>
        <w:rPr>
          <w:rFonts w:hint="eastAsia"/>
          <w:bCs/>
        </w:rPr>
        <w:t>，侧面说明了一些群众反映的环卫问题得不到及时处置，降低了市民生活幸福感。二是从本单位对第三方服务公司的考核通报中，发现部分整改问题存在超时或整改不到位的情况，虽然单位有相应的奖惩措施，但环卫质量问题得不到根本性解决。</w:t>
      </w:r>
    </w:p>
    <w:bookmarkEnd w:id="30"/>
    <w:p>
      <w:pPr>
        <w:pStyle w:val="28"/>
        <w:spacing w:line="560" w:lineRule="exact"/>
      </w:pPr>
      <w:bookmarkStart w:id="32" w:name="_Toc499"/>
      <w:r>
        <w:rPr>
          <w:rFonts w:hint="eastAsia"/>
        </w:rPr>
        <w:t>六、相关建议</w:t>
      </w:r>
      <w:bookmarkEnd w:id="32"/>
    </w:p>
    <w:p>
      <w:pPr>
        <w:pStyle w:val="30"/>
        <w:spacing w:line="560" w:lineRule="exact"/>
        <w:ind w:firstLine="640"/>
        <w:rPr>
          <w:rFonts w:ascii="Times New Roman" w:hAnsi="Times New Roman"/>
        </w:rPr>
      </w:pPr>
      <w:bookmarkStart w:id="33" w:name="_Toc26870"/>
      <w:r>
        <w:rPr>
          <w:rFonts w:hint="eastAsia" w:ascii="Times New Roman" w:hAnsi="Times New Roman"/>
        </w:rPr>
        <w:t>（一）加大监督考核力度，严格执行检查考核制度</w:t>
      </w:r>
      <w:bookmarkEnd w:id="33"/>
    </w:p>
    <w:p>
      <w:pPr>
        <w:pStyle w:val="26"/>
        <w:spacing w:line="560" w:lineRule="exact"/>
        <w:ind w:firstLine="640"/>
      </w:pPr>
      <w:r>
        <w:rPr>
          <w:rFonts w:hint="eastAsia"/>
        </w:rPr>
        <w:t>一是建议区城市管理委丰富和完善宣传活动，通过新闻媒体、网络、宣传标语、宣传单和宣传车等形式不断加大环卫一体化工作的宣传力度，做到家喻户晓、人人皆知，引导广大群众增强生态意识、卫生意识。</w:t>
      </w:r>
    </w:p>
    <w:p>
      <w:pPr>
        <w:pStyle w:val="26"/>
        <w:spacing w:line="560" w:lineRule="exact"/>
        <w:ind w:firstLine="640"/>
      </w:pPr>
      <w:r>
        <w:rPr>
          <w:rFonts w:hint="eastAsia"/>
        </w:rPr>
        <w:t>二是建议区城市管理委完善检查督导机制，创新检查督导方式，继续做好日抽查、月度检查、季度考核、年度综合考核制度，督促环卫服务公司加强环境管理，做好职责内的卫生保洁工作。同时加大明查暗访力度，针对卫生检查过程中存在的突出问题提高重视，分析问题产生的原因并及时提出整改措施，按要求在社区显要位置设置环卫保洁监督栏，公示相关负责人和保洁员电话，对以上人员进行监督考核，并加强各相关部门的协调配合。</w:t>
      </w:r>
    </w:p>
    <w:p>
      <w:pPr>
        <w:pStyle w:val="26"/>
        <w:spacing w:line="560" w:lineRule="exact"/>
        <w:ind w:firstLine="640"/>
      </w:pPr>
      <w:r>
        <w:rPr>
          <w:rFonts w:hint="eastAsia"/>
        </w:rPr>
        <w:t>三是建议区城市管理委通过和其他区县同部门单位开展工作交流会，互相探讨环卫工作开展情况，发现问题及不足，互通有无，吸收先进经验及做法，弥补现行机制。</w:t>
      </w:r>
    </w:p>
    <w:p>
      <w:pPr>
        <w:pStyle w:val="30"/>
        <w:spacing w:line="560" w:lineRule="exact"/>
        <w:ind w:firstLine="640"/>
        <w:rPr>
          <w:rFonts w:ascii="Times New Roman" w:hAnsi="Times New Roman"/>
        </w:rPr>
      </w:pPr>
      <w:bookmarkStart w:id="34" w:name="_Toc20329"/>
      <w:r>
        <w:rPr>
          <w:rFonts w:hint="eastAsia" w:ascii="Times New Roman" w:hAnsi="Times New Roman"/>
        </w:rPr>
        <w:t>（二）优化资源配置，提升环卫质量</w:t>
      </w:r>
      <w:bookmarkEnd w:id="34"/>
    </w:p>
    <w:p>
      <w:pPr>
        <w:pStyle w:val="26"/>
        <w:spacing w:line="560" w:lineRule="exact"/>
        <w:ind w:firstLine="640"/>
      </w:pPr>
      <w:r>
        <w:rPr>
          <w:rFonts w:hint="eastAsia"/>
        </w:rPr>
        <w:t>一是建议区城市管理委健全与第三方服务公司协调机制，动态调整人员与设备，根据环卫案件的分布情况和紧急程度，动态调整环卫工人和设备的配置，确保高效应对各类问题。二是建议区城市管理委严格第三方服务公司管理，细化合同条款，在合同中明确服务标准、整改时限、奖惩机制等条款，确保第三方公司有清晰的责任和约束。三是建议区城市管理委完善市民参与与反馈机制，建立多渠道反馈平台，通过微信公众号、热线电话、APP等多种渠道，方便市民随时报告环卫问题，提高问题发现效率。四是建议区城市管理委持续改进与培训，定期培训环卫工人，提高环卫工人的业务水平和应急处理能力，确保他们能够有效应对各类环卫问题。持续优化工作流程，根据实际操作中的问题和反馈，不断优化环卫工作流程，减少不必要的环节，提高工作效率。</w:t>
      </w:r>
      <w:bookmarkStart w:id="43" w:name="_GoBack"/>
      <w:bookmarkEnd w:id="43"/>
    </w:p>
    <w:p>
      <w:pPr>
        <w:pStyle w:val="28"/>
        <w:numPr>
          <w:ilvl w:val="0"/>
          <w:numId w:val="1"/>
        </w:numPr>
        <w:spacing w:line="560" w:lineRule="exact"/>
        <w:rPr>
          <w:rFonts w:eastAsia="仿宋_GB2312" w:cstheme="minorBidi"/>
          <w:szCs w:val="21"/>
        </w:rPr>
      </w:pPr>
      <w:bookmarkStart w:id="35" w:name="_Toc20252"/>
      <w:bookmarkStart w:id="36" w:name="_Toc29032"/>
      <w:bookmarkStart w:id="37" w:name="_Toc32216"/>
      <w:bookmarkStart w:id="38" w:name="_Toc5388"/>
      <w:r>
        <w:rPr>
          <w:rFonts w:hint="eastAsia"/>
        </w:rPr>
        <w:t>其他需要说明的问题</w:t>
      </w:r>
      <w:bookmarkEnd w:id="35"/>
      <w:bookmarkEnd w:id="36"/>
      <w:bookmarkEnd w:id="37"/>
      <w:bookmarkEnd w:id="38"/>
    </w:p>
    <w:p>
      <w:pPr>
        <w:pStyle w:val="26"/>
        <w:spacing w:line="560" w:lineRule="exact"/>
        <w:ind w:firstLine="640"/>
      </w:pPr>
      <w:r>
        <w:rPr>
          <w:rFonts w:hint="eastAsia"/>
        </w:rPr>
        <w:t>无</w:t>
      </w:r>
    </w:p>
    <w:p>
      <w:pPr>
        <w:pStyle w:val="28"/>
        <w:numPr>
          <w:ilvl w:val="0"/>
          <w:numId w:val="1"/>
        </w:numPr>
        <w:spacing w:line="560" w:lineRule="exact"/>
      </w:pPr>
      <w:bookmarkStart w:id="39" w:name="_Toc22245"/>
      <w:bookmarkStart w:id="40" w:name="_Toc14047"/>
      <w:bookmarkStart w:id="41" w:name="_Toc31979"/>
      <w:bookmarkStart w:id="42" w:name="_Toc1672"/>
      <w:r>
        <w:rPr>
          <w:rFonts w:hint="eastAsia"/>
        </w:rPr>
        <w:t>相关附件</w:t>
      </w:r>
      <w:bookmarkEnd w:id="39"/>
      <w:bookmarkEnd w:id="40"/>
      <w:bookmarkEnd w:id="41"/>
      <w:bookmarkEnd w:id="42"/>
    </w:p>
    <w:p>
      <w:pPr>
        <w:pStyle w:val="26"/>
        <w:spacing w:line="560" w:lineRule="exact"/>
        <w:ind w:firstLine="640"/>
      </w:pPr>
      <w:r>
        <w:rPr>
          <w:rFonts w:hint="eastAsia"/>
          <w:color w:val="000000" w:themeColor="text1"/>
          <w14:textFill>
            <w14:solidFill>
              <w14:schemeClr w14:val="tx1"/>
            </w14:solidFill>
          </w14:textFill>
        </w:rPr>
        <w:t>环卫作业市场化经费</w:t>
      </w:r>
      <w:r>
        <w:rPr>
          <w:color w:val="000000" w:themeColor="text1"/>
          <w14:textFill>
            <w14:solidFill>
              <w14:schemeClr w14:val="tx1"/>
            </w14:solidFill>
          </w14:textFill>
        </w:rPr>
        <w:t>项目绩效评价指标体系及评分表</w:t>
      </w:r>
    </w:p>
    <w:sectPr>
      <w:footerReference r:id="rId11"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宋体" w:hAnsi="宋体" w:eastAsia="宋体" w:cs="宋体"/>
        <w:sz w:val="28"/>
        <w:szCs w:val="28"/>
      </w:rPr>
      <w:id w:val="-1087775189"/>
    </w:sdtPr>
    <w:sdtEndPr>
      <w:rPr>
        <w:rFonts w:hint="eastAsia" w:ascii="宋体" w:hAnsi="宋体" w:eastAsia="宋体" w:cs="宋体"/>
        <w:sz w:val="28"/>
        <w:szCs w:val="28"/>
      </w:rPr>
    </w:sdtEndPr>
    <w:sdtContent>
      <w:p>
        <w:pPr>
          <w:pStyle w:val="10"/>
          <w:ind w:firstLine="5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22 -</w:t>
        </w:r>
        <w:r>
          <w:rPr>
            <w:rFonts w:hint="eastAsia" w:ascii="宋体" w:hAnsi="宋体" w:eastAsia="宋体" w:cs="宋体"/>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5182C"/>
    <w:multiLevelType w:val="singleLevel"/>
    <w:tmpl w:val="25F5182C"/>
    <w:lvl w:ilvl="0" w:tentative="0">
      <w:start w:val="7"/>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NTBkODQwYjc1MGI1Yjk3OTliNDI3M2M3MGYyOTUifQ=="/>
  </w:docVars>
  <w:rsids>
    <w:rsidRoot w:val="00661057"/>
    <w:rsid w:val="00010865"/>
    <w:rsid w:val="00015C05"/>
    <w:rsid w:val="00017921"/>
    <w:rsid w:val="00021949"/>
    <w:rsid w:val="000241EF"/>
    <w:rsid w:val="00024AFD"/>
    <w:rsid w:val="000315D7"/>
    <w:rsid w:val="000320CF"/>
    <w:rsid w:val="0003426D"/>
    <w:rsid w:val="00041A50"/>
    <w:rsid w:val="00043420"/>
    <w:rsid w:val="00047CFC"/>
    <w:rsid w:val="00053EC5"/>
    <w:rsid w:val="0006636E"/>
    <w:rsid w:val="0007429F"/>
    <w:rsid w:val="000746D9"/>
    <w:rsid w:val="000751CF"/>
    <w:rsid w:val="00080A6A"/>
    <w:rsid w:val="00090811"/>
    <w:rsid w:val="00090B22"/>
    <w:rsid w:val="000966C1"/>
    <w:rsid w:val="000A2B0C"/>
    <w:rsid w:val="000A6BAE"/>
    <w:rsid w:val="000B12D4"/>
    <w:rsid w:val="000B57FD"/>
    <w:rsid w:val="000B765C"/>
    <w:rsid w:val="000C161F"/>
    <w:rsid w:val="000C677C"/>
    <w:rsid w:val="000D0CBC"/>
    <w:rsid w:val="000D1B8A"/>
    <w:rsid w:val="000D2CD3"/>
    <w:rsid w:val="000D4798"/>
    <w:rsid w:val="000D59C4"/>
    <w:rsid w:val="000E09D3"/>
    <w:rsid w:val="000E13F6"/>
    <w:rsid w:val="000E1645"/>
    <w:rsid w:val="000E60B5"/>
    <w:rsid w:val="000E6B99"/>
    <w:rsid w:val="000F3C76"/>
    <w:rsid w:val="000F5749"/>
    <w:rsid w:val="000F57C3"/>
    <w:rsid w:val="00100141"/>
    <w:rsid w:val="00101518"/>
    <w:rsid w:val="0010563C"/>
    <w:rsid w:val="00110959"/>
    <w:rsid w:val="001144A3"/>
    <w:rsid w:val="001162A8"/>
    <w:rsid w:val="0013122E"/>
    <w:rsid w:val="00133A6C"/>
    <w:rsid w:val="0014166D"/>
    <w:rsid w:val="0014294F"/>
    <w:rsid w:val="00142FBC"/>
    <w:rsid w:val="00144967"/>
    <w:rsid w:val="00150419"/>
    <w:rsid w:val="00156000"/>
    <w:rsid w:val="00162746"/>
    <w:rsid w:val="001704F7"/>
    <w:rsid w:val="0017117B"/>
    <w:rsid w:val="001716C9"/>
    <w:rsid w:val="00171F7D"/>
    <w:rsid w:val="0017581B"/>
    <w:rsid w:val="0017673E"/>
    <w:rsid w:val="001770C4"/>
    <w:rsid w:val="00177178"/>
    <w:rsid w:val="00185478"/>
    <w:rsid w:val="001871E9"/>
    <w:rsid w:val="0019129E"/>
    <w:rsid w:val="00191749"/>
    <w:rsid w:val="00195E1D"/>
    <w:rsid w:val="001A2DD7"/>
    <w:rsid w:val="001A5D0F"/>
    <w:rsid w:val="001B0A4D"/>
    <w:rsid w:val="001C165C"/>
    <w:rsid w:val="001C32CE"/>
    <w:rsid w:val="001C455A"/>
    <w:rsid w:val="001C68F0"/>
    <w:rsid w:val="001C7210"/>
    <w:rsid w:val="001D0C4F"/>
    <w:rsid w:val="001D4D25"/>
    <w:rsid w:val="001D598D"/>
    <w:rsid w:val="001D7E40"/>
    <w:rsid w:val="001E5FBD"/>
    <w:rsid w:val="001F62FA"/>
    <w:rsid w:val="001F671F"/>
    <w:rsid w:val="00201EAB"/>
    <w:rsid w:val="00202699"/>
    <w:rsid w:val="00202824"/>
    <w:rsid w:val="00206ED6"/>
    <w:rsid w:val="00210763"/>
    <w:rsid w:val="00213586"/>
    <w:rsid w:val="00223431"/>
    <w:rsid w:val="00231B10"/>
    <w:rsid w:val="002362E6"/>
    <w:rsid w:val="0023745C"/>
    <w:rsid w:val="0025214F"/>
    <w:rsid w:val="00252F45"/>
    <w:rsid w:val="0025375A"/>
    <w:rsid w:val="00254126"/>
    <w:rsid w:val="00255788"/>
    <w:rsid w:val="00256F67"/>
    <w:rsid w:val="002606BD"/>
    <w:rsid w:val="00262B91"/>
    <w:rsid w:val="00264F7B"/>
    <w:rsid w:val="00265D4E"/>
    <w:rsid w:val="002678A4"/>
    <w:rsid w:val="0027222E"/>
    <w:rsid w:val="002753AA"/>
    <w:rsid w:val="0028151F"/>
    <w:rsid w:val="002815AF"/>
    <w:rsid w:val="00282482"/>
    <w:rsid w:val="00285E85"/>
    <w:rsid w:val="00292F02"/>
    <w:rsid w:val="00297E04"/>
    <w:rsid w:val="002A34BC"/>
    <w:rsid w:val="002A3D27"/>
    <w:rsid w:val="002A425C"/>
    <w:rsid w:val="002B6E5F"/>
    <w:rsid w:val="002C23B2"/>
    <w:rsid w:val="002C2ECC"/>
    <w:rsid w:val="002D052F"/>
    <w:rsid w:val="002D09B9"/>
    <w:rsid w:val="002D741B"/>
    <w:rsid w:val="002E0D16"/>
    <w:rsid w:val="002E3C4E"/>
    <w:rsid w:val="002E7346"/>
    <w:rsid w:val="002F077A"/>
    <w:rsid w:val="002F2542"/>
    <w:rsid w:val="002F31E3"/>
    <w:rsid w:val="002F7F21"/>
    <w:rsid w:val="003029A1"/>
    <w:rsid w:val="003032A9"/>
    <w:rsid w:val="00303D5F"/>
    <w:rsid w:val="00304E75"/>
    <w:rsid w:val="00307E6B"/>
    <w:rsid w:val="00310651"/>
    <w:rsid w:val="0031228A"/>
    <w:rsid w:val="00315F9A"/>
    <w:rsid w:val="00325B50"/>
    <w:rsid w:val="00334079"/>
    <w:rsid w:val="00335C30"/>
    <w:rsid w:val="0033624F"/>
    <w:rsid w:val="00343EF2"/>
    <w:rsid w:val="003454D0"/>
    <w:rsid w:val="003502BF"/>
    <w:rsid w:val="00357156"/>
    <w:rsid w:val="003606F4"/>
    <w:rsid w:val="003652D2"/>
    <w:rsid w:val="00371F7D"/>
    <w:rsid w:val="0037372D"/>
    <w:rsid w:val="0038049A"/>
    <w:rsid w:val="0038053D"/>
    <w:rsid w:val="00380E46"/>
    <w:rsid w:val="00381F5C"/>
    <w:rsid w:val="003851BE"/>
    <w:rsid w:val="003854CE"/>
    <w:rsid w:val="00386038"/>
    <w:rsid w:val="00386369"/>
    <w:rsid w:val="003920E7"/>
    <w:rsid w:val="00395D8F"/>
    <w:rsid w:val="00396581"/>
    <w:rsid w:val="0039718C"/>
    <w:rsid w:val="003A0BBE"/>
    <w:rsid w:val="003A2940"/>
    <w:rsid w:val="003A2F91"/>
    <w:rsid w:val="003A30C9"/>
    <w:rsid w:val="003B4F6C"/>
    <w:rsid w:val="003B7F44"/>
    <w:rsid w:val="003C3423"/>
    <w:rsid w:val="003D42E6"/>
    <w:rsid w:val="003D5E93"/>
    <w:rsid w:val="003E2EAF"/>
    <w:rsid w:val="003E4EC5"/>
    <w:rsid w:val="003E5D8A"/>
    <w:rsid w:val="003E69B4"/>
    <w:rsid w:val="003E7C97"/>
    <w:rsid w:val="003F12E1"/>
    <w:rsid w:val="003F4C3B"/>
    <w:rsid w:val="003F61ED"/>
    <w:rsid w:val="00403181"/>
    <w:rsid w:val="004074F3"/>
    <w:rsid w:val="00407F2A"/>
    <w:rsid w:val="004132DE"/>
    <w:rsid w:val="004174C2"/>
    <w:rsid w:val="004201E7"/>
    <w:rsid w:val="00424634"/>
    <w:rsid w:val="0043312F"/>
    <w:rsid w:val="0043477D"/>
    <w:rsid w:val="004355FC"/>
    <w:rsid w:val="00437C7D"/>
    <w:rsid w:val="00440EAF"/>
    <w:rsid w:val="00441ACB"/>
    <w:rsid w:val="004429F6"/>
    <w:rsid w:val="00442C96"/>
    <w:rsid w:val="0044422D"/>
    <w:rsid w:val="00451F77"/>
    <w:rsid w:val="00455F34"/>
    <w:rsid w:val="00463868"/>
    <w:rsid w:val="00466E42"/>
    <w:rsid w:val="0046745A"/>
    <w:rsid w:val="004746B7"/>
    <w:rsid w:val="00481085"/>
    <w:rsid w:val="00485A4C"/>
    <w:rsid w:val="0048792B"/>
    <w:rsid w:val="00490E6C"/>
    <w:rsid w:val="00496C46"/>
    <w:rsid w:val="004A5987"/>
    <w:rsid w:val="004A64EB"/>
    <w:rsid w:val="004A6BE4"/>
    <w:rsid w:val="004B4A83"/>
    <w:rsid w:val="004B62CD"/>
    <w:rsid w:val="004C0450"/>
    <w:rsid w:val="004C1741"/>
    <w:rsid w:val="004C2BA4"/>
    <w:rsid w:val="004C3057"/>
    <w:rsid w:val="004C37DD"/>
    <w:rsid w:val="004C4A72"/>
    <w:rsid w:val="004C5E4A"/>
    <w:rsid w:val="004D10A8"/>
    <w:rsid w:val="004D3BC4"/>
    <w:rsid w:val="004D68B9"/>
    <w:rsid w:val="004E093D"/>
    <w:rsid w:val="004E0D4E"/>
    <w:rsid w:val="004E51AA"/>
    <w:rsid w:val="004F3219"/>
    <w:rsid w:val="004F7B1D"/>
    <w:rsid w:val="00500272"/>
    <w:rsid w:val="0050309A"/>
    <w:rsid w:val="00506277"/>
    <w:rsid w:val="00507119"/>
    <w:rsid w:val="00513E56"/>
    <w:rsid w:val="00515CF2"/>
    <w:rsid w:val="00517695"/>
    <w:rsid w:val="005216BE"/>
    <w:rsid w:val="005227CB"/>
    <w:rsid w:val="0052280F"/>
    <w:rsid w:val="005301DF"/>
    <w:rsid w:val="0053130C"/>
    <w:rsid w:val="00532532"/>
    <w:rsid w:val="005375FD"/>
    <w:rsid w:val="00541337"/>
    <w:rsid w:val="005578B4"/>
    <w:rsid w:val="00563B61"/>
    <w:rsid w:val="00573B4A"/>
    <w:rsid w:val="00575954"/>
    <w:rsid w:val="00577671"/>
    <w:rsid w:val="00581DB4"/>
    <w:rsid w:val="00590B7F"/>
    <w:rsid w:val="005978EB"/>
    <w:rsid w:val="005A02D6"/>
    <w:rsid w:val="005A2974"/>
    <w:rsid w:val="005A7556"/>
    <w:rsid w:val="005B0940"/>
    <w:rsid w:val="005B3B33"/>
    <w:rsid w:val="005C4163"/>
    <w:rsid w:val="005C4F23"/>
    <w:rsid w:val="005C5F21"/>
    <w:rsid w:val="005C66DA"/>
    <w:rsid w:val="005D2B39"/>
    <w:rsid w:val="005E0A86"/>
    <w:rsid w:val="005E3B63"/>
    <w:rsid w:val="005E7C9F"/>
    <w:rsid w:val="005F72E1"/>
    <w:rsid w:val="00601702"/>
    <w:rsid w:val="0060374B"/>
    <w:rsid w:val="00605271"/>
    <w:rsid w:val="006207A7"/>
    <w:rsid w:val="006220DF"/>
    <w:rsid w:val="0062656C"/>
    <w:rsid w:val="00635391"/>
    <w:rsid w:val="00642B6B"/>
    <w:rsid w:val="006509C0"/>
    <w:rsid w:val="006555B4"/>
    <w:rsid w:val="00661057"/>
    <w:rsid w:val="0066490F"/>
    <w:rsid w:val="0066557D"/>
    <w:rsid w:val="00665A76"/>
    <w:rsid w:val="006708D2"/>
    <w:rsid w:val="00671CBA"/>
    <w:rsid w:val="00677282"/>
    <w:rsid w:val="0068007F"/>
    <w:rsid w:val="00680FC8"/>
    <w:rsid w:val="00681B2A"/>
    <w:rsid w:val="00687990"/>
    <w:rsid w:val="00696BC1"/>
    <w:rsid w:val="006A1A15"/>
    <w:rsid w:val="006A2799"/>
    <w:rsid w:val="006A442A"/>
    <w:rsid w:val="006B33B3"/>
    <w:rsid w:val="006B5734"/>
    <w:rsid w:val="006B6D9D"/>
    <w:rsid w:val="006B6F79"/>
    <w:rsid w:val="006C3511"/>
    <w:rsid w:val="006C4911"/>
    <w:rsid w:val="006C6AC1"/>
    <w:rsid w:val="006D0238"/>
    <w:rsid w:val="006D642B"/>
    <w:rsid w:val="006E1949"/>
    <w:rsid w:val="006F71A1"/>
    <w:rsid w:val="00701B31"/>
    <w:rsid w:val="0070765A"/>
    <w:rsid w:val="0071296D"/>
    <w:rsid w:val="00712F83"/>
    <w:rsid w:val="00713AFA"/>
    <w:rsid w:val="0071470E"/>
    <w:rsid w:val="00716ABF"/>
    <w:rsid w:val="0072230F"/>
    <w:rsid w:val="0072315E"/>
    <w:rsid w:val="00726B01"/>
    <w:rsid w:val="0074024E"/>
    <w:rsid w:val="00743FB6"/>
    <w:rsid w:val="00747CF7"/>
    <w:rsid w:val="00756910"/>
    <w:rsid w:val="0077340B"/>
    <w:rsid w:val="00774788"/>
    <w:rsid w:val="00776D70"/>
    <w:rsid w:val="00781ADF"/>
    <w:rsid w:val="007823FB"/>
    <w:rsid w:val="00783F5D"/>
    <w:rsid w:val="007903CE"/>
    <w:rsid w:val="00793670"/>
    <w:rsid w:val="007A0119"/>
    <w:rsid w:val="007A7BE7"/>
    <w:rsid w:val="007B1E39"/>
    <w:rsid w:val="007C23A7"/>
    <w:rsid w:val="007D20B5"/>
    <w:rsid w:val="007D330F"/>
    <w:rsid w:val="007E1792"/>
    <w:rsid w:val="007F3218"/>
    <w:rsid w:val="007F5AC1"/>
    <w:rsid w:val="007F68E4"/>
    <w:rsid w:val="007F7F99"/>
    <w:rsid w:val="008059C4"/>
    <w:rsid w:val="00810059"/>
    <w:rsid w:val="008104FF"/>
    <w:rsid w:val="00811D5D"/>
    <w:rsid w:val="008144EE"/>
    <w:rsid w:val="00814D5C"/>
    <w:rsid w:val="0081535C"/>
    <w:rsid w:val="008202A4"/>
    <w:rsid w:val="00821BE6"/>
    <w:rsid w:val="008238B3"/>
    <w:rsid w:val="0082624D"/>
    <w:rsid w:val="00831798"/>
    <w:rsid w:val="008329B3"/>
    <w:rsid w:val="008370AA"/>
    <w:rsid w:val="00840466"/>
    <w:rsid w:val="008456DB"/>
    <w:rsid w:val="008509FA"/>
    <w:rsid w:val="00851066"/>
    <w:rsid w:val="00851391"/>
    <w:rsid w:val="00855D04"/>
    <w:rsid w:val="00860004"/>
    <w:rsid w:val="00860CD8"/>
    <w:rsid w:val="00862FEA"/>
    <w:rsid w:val="008712EC"/>
    <w:rsid w:val="00871A31"/>
    <w:rsid w:val="008734E5"/>
    <w:rsid w:val="0087558E"/>
    <w:rsid w:val="00890929"/>
    <w:rsid w:val="008924A7"/>
    <w:rsid w:val="0089399E"/>
    <w:rsid w:val="00894511"/>
    <w:rsid w:val="00895AEA"/>
    <w:rsid w:val="008A61AD"/>
    <w:rsid w:val="008A759E"/>
    <w:rsid w:val="008B0066"/>
    <w:rsid w:val="008B2CE8"/>
    <w:rsid w:val="008B59A6"/>
    <w:rsid w:val="008C2CD4"/>
    <w:rsid w:val="008C6008"/>
    <w:rsid w:val="008D2D00"/>
    <w:rsid w:val="008D7880"/>
    <w:rsid w:val="008E2D42"/>
    <w:rsid w:val="008E5E84"/>
    <w:rsid w:val="008F0212"/>
    <w:rsid w:val="008F062C"/>
    <w:rsid w:val="008F417A"/>
    <w:rsid w:val="008F5986"/>
    <w:rsid w:val="008F7880"/>
    <w:rsid w:val="009017AF"/>
    <w:rsid w:val="009040D7"/>
    <w:rsid w:val="009061EE"/>
    <w:rsid w:val="009103B4"/>
    <w:rsid w:val="00910630"/>
    <w:rsid w:val="00912ED4"/>
    <w:rsid w:val="00913830"/>
    <w:rsid w:val="00913E98"/>
    <w:rsid w:val="00934AD2"/>
    <w:rsid w:val="00935816"/>
    <w:rsid w:val="009363BB"/>
    <w:rsid w:val="00941CE3"/>
    <w:rsid w:val="00953475"/>
    <w:rsid w:val="0095347B"/>
    <w:rsid w:val="00953F95"/>
    <w:rsid w:val="00955B84"/>
    <w:rsid w:val="00976240"/>
    <w:rsid w:val="00977C36"/>
    <w:rsid w:val="009808B6"/>
    <w:rsid w:val="00985716"/>
    <w:rsid w:val="009866A6"/>
    <w:rsid w:val="009909C8"/>
    <w:rsid w:val="00990F30"/>
    <w:rsid w:val="00992019"/>
    <w:rsid w:val="009A0D48"/>
    <w:rsid w:val="009B0770"/>
    <w:rsid w:val="009C0C63"/>
    <w:rsid w:val="009C1629"/>
    <w:rsid w:val="009C2C2E"/>
    <w:rsid w:val="009C4DCE"/>
    <w:rsid w:val="009C5A56"/>
    <w:rsid w:val="009D402B"/>
    <w:rsid w:val="009E09A8"/>
    <w:rsid w:val="009E109E"/>
    <w:rsid w:val="009E204A"/>
    <w:rsid w:val="009E4267"/>
    <w:rsid w:val="009E72ED"/>
    <w:rsid w:val="009E768A"/>
    <w:rsid w:val="009E79DC"/>
    <w:rsid w:val="009F002B"/>
    <w:rsid w:val="009F4E24"/>
    <w:rsid w:val="009F6318"/>
    <w:rsid w:val="00A061D0"/>
    <w:rsid w:val="00A06C54"/>
    <w:rsid w:val="00A103A0"/>
    <w:rsid w:val="00A11EE8"/>
    <w:rsid w:val="00A12482"/>
    <w:rsid w:val="00A207D3"/>
    <w:rsid w:val="00A25B3A"/>
    <w:rsid w:val="00A25CC2"/>
    <w:rsid w:val="00A260F9"/>
    <w:rsid w:val="00A308A4"/>
    <w:rsid w:val="00A31C1E"/>
    <w:rsid w:val="00A414FB"/>
    <w:rsid w:val="00A46147"/>
    <w:rsid w:val="00A4688B"/>
    <w:rsid w:val="00A6224E"/>
    <w:rsid w:val="00A63EDB"/>
    <w:rsid w:val="00A6705F"/>
    <w:rsid w:val="00A709F4"/>
    <w:rsid w:val="00A74304"/>
    <w:rsid w:val="00A8117E"/>
    <w:rsid w:val="00A86391"/>
    <w:rsid w:val="00A90D9B"/>
    <w:rsid w:val="00A91945"/>
    <w:rsid w:val="00A96557"/>
    <w:rsid w:val="00A96AAB"/>
    <w:rsid w:val="00AA06C5"/>
    <w:rsid w:val="00AB2391"/>
    <w:rsid w:val="00AB65E0"/>
    <w:rsid w:val="00AC02F2"/>
    <w:rsid w:val="00AC0D57"/>
    <w:rsid w:val="00AC0D86"/>
    <w:rsid w:val="00AC2289"/>
    <w:rsid w:val="00AC3016"/>
    <w:rsid w:val="00AC41C7"/>
    <w:rsid w:val="00AC650F"/>
    <w:rsid w:val="00AE03EE"/>
    <w:rsid w:val="00AE0785"/>
    <w:rsid w:val="00AE14C4"/>
    <w:rsid w:val="00AE44A0"/>
    <w:rsid w:val="00AE4B56"/>
    <w:rsid w:val="00AF00D2"/>
    <w:rsid w:val="00AF55D3"/>
    <w:rsid w:val="00AF57C9"/>
    <w:rsid w:val="00B002BF"/>
    <w:rsid w:val="00B03444"/>
    <w:rsid w:val="00B06054"/>
    <w:rsid w:val="00B1013E"/>
    <w:rsid w:val="00B12297"/>
    <w:rsid w:val="00B15D0A"/>
    <w:rsid w:val="00B22276"/>
    <w:rsid w:val="00B238F1"/>
    <w:rsid w:val="00B23EF4"/>
    <w:rsid w:val="00B23F0C"/>
    <w:rsid w:val="00B26714"/>
    <w:rsid w:val="00B35E24"/>
    <w:rsid w:val="00B43992"/>
    <w:rsid w:val="00B4638E"/>
    <w:rsid w:val="00B5638F"/>
    <w:rsid w:val="00B6027A"/>
    <w:rsid w:val="00B60A6B"/>
    <w:rsid w:val="00B62C18"/>
    <w:rsid w:val="00B66CC2"/>
    <w:rsid w:val="00B73353"/>
    <w:rsid w:val="00B75E07"/>
    <w:rsid w:val="00B841DD"/>
    <w:rsid w:val="00B84B1B"/>
    <w:rsid w:val="00B8712D"/>
    <w:rsid w:val="00B906BE"/>
    <w:rsid w:val="00B91744"/>
    <w:rsid w:val="00B976F1"/>
    <w:rsid w:val="00BA3E3D"/>
    <w:rsid w:val="00BA4E76"/>
    <w:rsid w:val="00BB25CA"/>
    <w:rsid w:val="00BB59FC"/>
    <w:rsid w:val="00BC1826"/>
    <w:rsid w:val="00BD2825"/>
    <w:rsid w:val="00BD5559"/>
    <w:rsid w:val="00BE05CF"/>
    <w:rsid w:val="00BE0603"/>
    <w:rsid w:val="00BE208E"/>
    <w:rsid w:val="00BE5B7E"/>
    <w:rsid w:val="00BE5C78"/>
    <w:rsid w:val="00BE65F5"/>
    <w:rsid w:val="00BF08E7"/>
    <w:rsid w:val="00BF42E6"/>
    <w:rsid w:val="00BF552C"/>
    <w:rsid w:val="00BF6478"/>
    <w:rsid w:val="00C04CAE"/>
    <w:rsid w:val="00C061DB"/>
    <w:rsid w:val="00C06924"/>
    <w:rsid w:val="00C07B2B"/>
    <w:rsid w:val="00C1073E"/>
    <w:rsid w:val="00C10AC5"/>
    <w:rsid w:val="00C116C8"/>
    <w:rsid w:val="00C2225A"/>
    <w:rsid w:val="00C36200"/>
    <w:rsid w:val="00C362F8"/>
    <w:rsid w:val="00C43FA6"/>
    <w:rsid w:val="00C460CD"/>
    <w:rsid w:val="00C5133E"/>
    <w:rsid w:val="00C51B32"/>
    <w:rsid w:val="00C53E45"/>
    <w:rsid w:val="00C54DC3"/>
    <w:rsid w:val="00C649E4"/>
    <w:rsid w:val="00C65AB2"/>
    <w:rsid w:val="00C66FD3"/>
    <w:rsid w:val="00C77361"/>
    <w:rsid w:val="00C77EB8"/>
    <w:rsid w:val="00C84297"/>
    <w:rsid w:val="00C85726"/>
    <w:rsid w:val="00C86CC8"/>
    <w:rsid w:val="00C87832"/>
    <w:rsid w:val="00C91F96"/>
    <w:rsid w:val="00C96A15"/>
    <w:rsid w:val="00C96AC7"/>
    <w:rsid w:val="00CA012D"/>
    <w:rsid w:val="00CA439E"/>
    <w:rsid w:val="00CA7FB6"/>
    <w:rsid w:val="00CB137E"/>
    <w:rsid w:val="00CB1773"/>
    <w:rsid w:val="00CC12EF"/>
    <w:rsid w:val="00CC5CAC"/>
    <w:rsid w:val="00CC704D"/>
    <w:rsid w:val="00CD188A"/>
    <w:rsid w:val="00CD268F"/>
    <w:rsid w:val="00CD2BE9"/>
    <w:rsid w:val="00CD4757"/>
    <w:rsid w:val="00CD6F4C"/>
    <w:rsid w:val="00CD7DB7"/>
    <w:rsid w:val="00CE1B8A"/>
    <w:rsid w:val="00CE3AF2"/>
    <w:rsid w:val="00CE4B36"/>
    <w:rsid w:val="00CE6F29"/>
    <w:rsid w:val="00CE77D0"/>
    <w:rsid w:val="00CF22DB"/>
    <w:rsid w:val="00D029D9"/>
    <w:rsid w:val="00D02A23"/>
    <w:rsid w:val="00D054B1"/>
    <w:rsid w:val="00D07A9E"/>
    <w:rsid w:val="00D10167"/>
    <w:rsid w:val="00D1019C"/>
    <w:rsid w:val="00D12E9B"/>
    <w:rsid w:val="00D13CE2"/>
    <w:rsid w:val="00D16DA1"/>
    <w:rsid w:val="00D217CE"/>
    <w:rsid w:val="00D21DCB"/>
    <w:rsid w:val="00D23322"/>
    <w:rsid w:val="00D32327"/>
    <w:rsid w:val="00D351A7"/>
    <w:rsid w:val="00D37C12"/>
    <w:rsid w:val="00D4010E"/>
    <w:rsid w:val="00D42233"/>
    <w:rsid w:val="00D42400"/>
    <w:rsid w:val="00D43049"/>
    <w:rsid w:val="00D47E28"/>
    <w:rsid w:val="00D56DD6"/>
    <w:rsid w:val="00D57A11"/>
    <w:rsid w:val="00D61993"/>
    <w:rsid w:val="00D7101A"/>
    <w:rsid w:val="00D730F8"/>
    <w:rsid w:val="00D7729E"/>
    <w:rsid w:val="00D77B0C"/>
    <w:rsid w:val="00D84F79"/>
    <w:rsid w:val="00D8540E"/>
    <w:rsid w:val="00D85EDA"/>
    <w:rsid w:val="00D96687"/>
    <w:rsid w:val="00DA0BF0"/>
    <w:rsid w:val="00DB0A45"/>
    <w:rsid w:val="00DC0184"/>
    <w:rsid w:val="00DC2003"/>
    <w:rsid w:val="00DC48BE"/>
    <w:rsid w:val="00DD15F6"/>
    <w:rsid w:val="00DD27E1"/>
    <w:rsid w:val="00DF2687"/>
    <w:rsid w:val="00DF6D0A"/>
    <w:rsid w:val="00DF6E43"/>
    <w:rsid w:val="00E05FE5"/>
    <w:rsid w:val="00E06041"/>
    <w:rsid w:val="00E11346"/>
    <w:rsid w:val="00E178BD"/>
    <w:rsid w:val="00E246D7"/>
    <w:rsid w:val="00E269B8"/>
    <w:rsid w:val="00E33B46"/>
    <w:rsid w:val="00E53731"/>
    <w:rsid w:val="00E56741"/>
    <w:rsid w:val="00E719AC"/>
    <w:rsid w:val="00E744B0"/>
    <w:rsid w:val="00E752B7"/>
    <w:rsid w:val="00E76319"/>
    <w:rsid w:val="00E87E19"/>
    <w:rsid w:val="00E903E9"/>
    <w:rsid w:val="00EA32EF"/>
    <w:rsid w:val="00EA365B"/>
    <w:rsid w:val="00EA636B"/>
    <w:rsid w:val="00EB012E"/>
    <w:rsid w:val="00EB35C3"/>
    <w:rsid w:val="00EC2367"/>
    <w:rsid w:val="00EC73A6"/>
    <w:rsid w:val="00ED153D"/>
    <w:rsid w:val="00ED6EF6"/>
    <w:rsid w:val="00ED7AA6"/>
    <w:rsid w:val="00EE1B4C"/>
    <w:rsid w:val="00EE5FF0"/>
    <w:rsid w:val="00EF447D"/>
    <w:rsid w:val="00EF5DA5"/>
    <w:rsid w:val="00EF72FF"/>
    <w:rsid w:val="00EF7F6B"/>
    <w:rsid w:val="00F00CA5"/>
    <w:rsid w:val="00F01F08"/>
    <w:rsid w:val="00F04803"/>
    <w:rsid w:val="00F064CE"/>
    <w:rsid w:val="00F07D83"/>
    <w:rsid w:val="00F101A9"/>
    <w:rsid w:val="00F13EFD"/>
    <w:rsid w:val="00F2077D"/>
    <w:rsid w:val="00F22538"/>
    <w:rsid w:val="00F24D75"/>
    <w:rsid w:val="00F25493"/>
    <w:rsid w:val="00F2621D"/>
    <w:rsid w:val="00F37B5E"/>
    <w:rsid w:val="00F40247"/>
    <w:rsid w:val="00F424B5"/>
    <w:rsid w:val="00F5341C"/>
    <w:rsid w:val="00F54EC4"/>
    <w:rsid w:val="00F55003"/>
    <w:rsid w:val="00F624C0"/>
    <w:rsid w:val="00F631E3"/>
    <w:rsid w:val="00F73404"/>
    <w:rsid w:val="00F73AC3"/>
    <w:rsid w:val="00F73C16"/>
    <w:rsid w:val="00F73FEC"/>
    <w:rsid w:val="00F75B3D"/>
    <w:rsid w:val="00F8291C"/>
    <w:rsid w:val="00F82FB7"/>
    <w:rsid w:val="00F840B1"/>
    <w:rsid w:val="00F91F9A"/>
    <w:rsid w:val="00F93BBD"/>
    <w:rsid w:val="00F93E86"/>
    <w:rsid w:val="00F96BF1"/>
    <w:rsid w:val="00F973E5"/>
    <w:rsid w:val="00FA3A53"/>
    <w:rsid w:val="00FA5929"/>
    <w:rsid w:val="00FA6BC4"/>
    <w:rsid w:val="00FA75C1"/>
    <w:rsid w:val="00FB096E"/>
    <w:rsid w:val="00FB1CAC"/>
    <w:rsid w:val="00FB2C9E"/>
    <w:rsid w:val="00FB4F9D"/>
    <w:rsid w:val="00FB66CB"/>
    <w:rsid w:val="00FC1759"/>
    <w:rsid w:val="00FC3A6B"/>
    <w:rsid w:val="00FC4C0F"/>
    <w:rsid w:val="00FC6A86"/>
    <w:rsid w:val="00FC77B3"/>
    <w:rsid w:val="00FD3B3A"/>
    <w:rsid w:val="00FD4D14"/>
    <w:rsid w:val="00FE057A"/>
    <w:rsid w:val="00FE27D0"/>
    <w:rsid w:val="00FF3A04"/>
    <w:rsid w:val="00FF5079"/>
    <w:rsid w:val="021A7BDD"/>
    <w:rsid w:val="09045296"/>
    <w:rsid w:val="0AE26120"/>
    <w:rsid w:val="0E617F96"/>
    <w:rsid w:val="1507570D"/>
    <w:rsid w:val="16CD1DFF"/>
    <w:rsid w:val="1E48304D"/>
    <w:rsid w:val="1F5C044F"/>
    <w:rsid w:val="271155BD"/>
    <w:rsid w:val="2AC12AC1"/>
    <w:rsid w:val="31611CE4"/>
    <w:rsid w:val="38B73E97"/>
    <w:rsid w:val="393264E3"/>
    <w:rsid w:val="3D2722EC"/>
    <w:rsid w:val="3DB01F3A"/>
    <w:rsid w:val="3E2D1787"/>
    <w:rsid w:val="47787440"/>
    <w:rsid w:val="4D733713"/>
    <w:rsid w:val="4EC62BD5"/>
    <w:rsid w:val="4ED46C80"/>
    <w:rsid w:val="55B22CCA"/>
    <w:rsid w:val="59F859B5"/>
    <w:rsid w:val="5B3903A3"/>
    <w:rsid w:val="5DFE07AC"/>
    <w:rsid w:val="5E306EFB"/>
    <w:rsid w:val="62246307"/>
    <w:rsid w:val="661D3228"/>
    <w:rsid w:val="69212035"/>
    <w:rsid w:val="7BB6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nhideWhenUsed="0" w:uiPriority="9" w:name="heading 3"/>
    <w:lsdException w:qFormat="1" w:unhideWhenUsed="0" w:uiPriority="9"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qFormat="1" w:unhideWhenUsed="0" w:uiPriority="99" w:name="annotation text"/>
    <w:lsdException w:unhideWhenUsed="0" w:uiPriority="99" w:name="header"/>
    <w:lsdException w:qFormat="1" w:unhideWhenUsed="0" w:uiPriority="99" w:semiHidden="0" w:name="footer"/>
    <w:lsdException w:unhideWhenUsed="0" w:uiPriority="99" w:name="index heading"/>
    <w:lsdException w:qFormat="1" w:unhideWhenUsed="0" w:uiPriority="35"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unhideWhenUsed="0" w:uiPriority="99"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qFormat="1" w:unhideWhenUsed="0" w:uiPriority="10" w:semiHidden="0" w:name="Title"/>
    <w:lsdException w:unhideWhenUsed="0" w:uiPriority="99" w:name="Closing"/>
    <w:lsdException w:unhideWhenUsed="0" w:uiPriority="99" w:name="Signature"/>
    <w:lsdException w:qFormat="1" w:uiPriority="1" w:name="Default Paragraph Font"/>
    <w:lsdException w:unhideWhenUsed="0" w:uiPriority="99"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11" w:semiHidden="0" w:name="Subtitle"/>
    <w:lsdException w:unhideWhenUsed="0" w:uiPriority="99" w:name="Salutation"/>
    <w:lsdException w:unhideWhenUsed="0" w:uiPriority="99" w:name="Date"/>
    <w:lsdException w:unhideWhenUsed="0" w:uiPriority="99"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iPriority="99" w:semiHidden="0" w:name="Hyperlink"/>
    <w:lsdException w:unhideWhenUsed="0" w:uiPriority="99" w:name="FollowedHyperlink"/>
    <w:lsdException w:qFormat="1" w:unhideWhenUsed="0" w:uiPriority="22" w:semiHidden="0" w:name="Strong"/>
    <w:lsdException w:qFormat="1" w:unhideWhenUsed="0" w:uiPriority="20" w:semiHidden="0" w:name="Emphasis"/>
    <w:lsdException w:unhideWhenUsed="0" w:uiPriority="99" w:name="Document Map"/>
    <w:lsdException w:unhideWhenUsed="0" w:uiPriority="99" w:name="Plain Text"/>
    <w:lsdException w:unhideWhenUsed="0" w:uiPriority="99" w:name="E-mail Signature"/>
    <w:lsdException w:unhideWhenUsed="0" w:uiPriority="99"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0"/>
    <w:semiHidden/>
    <w:qFormat/>
    <w:uiPriority w:val="9"/>
    <w:pPr>
      <w:keepNext/>
      <w:keepLines/>
      <w:spacing w:before="340" w:after="330" w:line="578" w:lineRule="auto"/>
      <w:ind w:firstLine="0" w:firstLineChars="0"/>
      <w:jc w:val="center"/>
      <w:outlineLvl w:val="0"/>
    </w:pPr>
    <w:rPr>
      <w:b/>
      <w:bCs/>
      <w:kern w:val="44"/>
      <w:sz w:val="44"/>
      <w:szCs w:val="44"/>
    </w:rPr>
  </w:style>
  <w:style w:type="paragraph" w:styleId="3">
    <w:name w:val="heading 2"/>
    <w:basedOn w:val="1"/>
    <w:next w:val="1"/>
    <w:link w:val="21"/>
    <w:semiHidden/>
    <w:qFormat/>
    <w:uiPriority w:val="9"/>
    <w:pPr>
      <w:keepNext/>
      <w:keepLines/>
      <w:spacing w:before="260" w:after="260"/>
      <w:ind w:firstLine="0" w:firstLineChars="0"/>
      <w:outlineLvl w:val="1"/>
    </w:pPr>
    <w:rPr>
      <w:rFonts w:asciiTheme="majorHAnsi" w:hAnsiTheme="majorHAnsi" w:cstheme="majorBidi"/>
      <w:b/>
      <w:bCs/>
      <w:sz w:val="32"/>
      <w:szCs w:val="32"/>
    </w:rPr>
  </w:style>
  <w:style w:type="paragraph" w:styleId="4">
    <w:name w:val="heading 3"/>
    <w:basedOn w:val="1"/>
    <w:next w:val="1"/>
    <w:link w:val="22"/>
    <w:semiHidden/>
    <w:qFormat/>
    <w:uiPriority w:val="9"/>
    <w:pPr>
      <w:keepNext/>
      <w:keepLines/>
      <w:spacing w:before="260" w:after="260"/>
      <w:ind w:firstLine="0" w:firstLineChars="0"/>
      <w:outlineLvl w:val="2"/>
    </w:pPr>
    <w:rPr>
      <w:b/>
      <w:bCs/>
      <w:sz w:val="30"/>
      <w:szCs w:val="32"/>
    </w:rPr>
  </w:style>
  <w:style w:type="paragraph" w:styleId="5">
    <w:name w:val="heading 4"/>
    <w:basedOn w:val="1"/>
    <w:next w:val="1"/>
    <w:link w:val="24"/>
    <w:semiHidden/>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qFormat/>
    <w:uiPriority w:val="9"/>
    <w:pPr>
      <w:keepNext/>
      <w:keepLines/>
      <w:spacing w:before="280" w:after="290" w:line="480" w:lineRule="auto"/>
      <w:ind w:firstLine="0" w:firstLineChars="0"/>
      <w:outlineLvl w:val="4"/>
    </w:pPr>
    <w:rPr>
      <w:b/>
      <w:bCs/>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5"/>
    <w:semiHidden/>
    <w:qFormat/>
    <w:uiPriority w:val="99"/>
  </w:style>
  <w:style w:type="paragraph" w:styleId="8">
    <w:name w:val="toc 3"/>
    <w:basedOn w:val="1"/>
    <w:next w:val="1"/>
    <w:qFormat/>
    <w:uiPriority w:val="39"/>
    <w:pPr>
      <w:tabs>
        <w:tab w:val="right" w:leader="dot" w:pos="8834"/>
      </w:tabs>
      <w:spacing w:line="600" w:lineRule="exact"/>
      <w:ind w:left="400" w:leftChars="136" w:hanging="264" w:hangingChars="264"/>
    </w:pPr>
    <w:rPr>
      <w:rFonts w:eastAsia="仿宋_GB2312"/>
      <w:sz w:val="32"/>
    </w:rPr>
  </w:style>
  <w:style w:type="paragraph" w:styleId="9">
    <w:name w:val="Balloon Text"/>
    <w:basedOn w:val="1"/>
    <w:link w:val="42"/>
    <w:semiHidden/>
    <w:qFormat/>
    <w:uiPriority w:val="99"/>
    <w:pPr>
      <w:spacing w:line="240" w:lineRule="auto"/>
    </w:pPr>
    <w:rPr>
      <w:sz w:val="18"/>
      <w:szCs w:val="18"/>
    </w:rPr>
  </w:style>
  <w:style w:type="paragraph" w:styleId="10">
    <w:name w:val="footer"/>
    <w:basedOn w:val="1"/>
    <w:link w:val="41"/>
    <w:qFormat/>
    <w:uiPriority w:val="99"/>
    <w:pPr>
      <w:tabs>
        <w:tab w:val="center" w:pos="4153"/>
        <w:tab w:val="right" w:pos="8306"/>
      </w:tabs>
      <w:snapToGrid w:val="0"/>
      <w:spacing w:line="240" w:lineRule="auto"/>
    </w:pPr>
    <w:rPr>
      <w:sz w:val="18"/>
      <w:szCs w:val="18"/>
    </w:rPr>
  </w:style>
  <w:style w:type="paragraph" w:styleId="11">
    <w:name w:val="toc 1"/>
    <w:basedOn w:val="1"/>
    <w:next w:val="1"/>
    <w:qFormat/>
    <w:uiPriority w:val="39"/>
  </w:style>
  <w:style w:type="paragraph" w:styleId="12">
    <w:name w:val="toc 2"/>
    <w:basedOn w:val="1"/>
    <w:next w:val="1"/>
    <w:qFormat/>
    <w:uiPriority w:val="39"/>
    <w:pPr>
      <w:tabs>
        <w:tab w:val="right" w:leader="dot" w:pos="8834"/>
      </w:tabs>
      <w:spacing w:line="600" w:lineRule="exact"/>
      <w:ind w:left="640" w:hanging="640" w:hangingChars="200"/>
    </w:pPr>
    <w:rPr>
      <w:rFonts w:ascii="Times New Roman" w:hAnsi="Times New Roman" w:eastAsia="仿宋_GB2312"/>
      <w:b/>
      <w:sz w:val="32"/>
    </w:rPr>
  </w:style>
  <w:style w:type="paragraph" w:styleId="13">
    <w:name w:val="annotation subject"/>
    <w:basedOn w:val="7"/>
    <w:next w:val="7"/>
    <w:link w:val="46"/>
    <w:semiHidden/>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qFormat/>
    <w:uiPriority w:val="99"/>
    <w:rPr>
      <w:sz w:val="21"/>
      <w:szCs w:val="21"/>
    </w:rPr>
  </w:style>
  <w:style w:type="character" w:customStyle="1" w:styleId="20">
    <w:name w:val="标题 1 字符"/>
    <w:basedOn w:val="16"/>
    <w:link w:val="2"/>
    <w:semiHidden/>
    <w:qFormat/>
    <w:uiPriority w:val="9"/>
    <w:rPr>
      <w:b/>
      <w:bCs/>
      <w:kern w:val="44"/>
      <w:sz w:val="44"/>
      <w:szCs w:val="44"/>
    </w:rPr>
  </w:style>
  <w:style w:type="character" w:customStyle="1" w:styleId="21">
    <w:name w:val="标题 2 字符"/>
    <w:basedOn w:val="16"/>
    <w:link w:val="3"/>
    <w:semiHidden/>
    <w:qFormat/>
    <w:uiPriority w:val="9"/>
    <w:rPr>
      <w:rFonts w:asciiTheme="majorHAnsi" w:hAnsiTheme="majorHAnsi" w:cstheme="majorBidi"/>
      <w:b/>
      <w:bCs/>
      <w:sz w:val="32"/>
      <w:szCs w:val="32"/>
    </w:rPr>
  </w:style>
  <w:style w:type="character" w:customStyle="1" w:styleId="22">
    <w:name w:val="标题 3 字符"/>
    <w:basedOn w:val="16"/>
    <w:link w:val="4"/>
    <w:semiHidden/>
    <w:qFormat/>
    <w:uiPriority w:val="9"/>
    <w:rPr>
      <w:b/>
      <w:bCs/>
      <w:sz w:val="30"/>
      <w:szCs w:val="32"/>
    </w:rPr>
  </w:style>
  <w:style w:type="character" w:customStyle="1" w:styleId="23">
    <w:name w:val="标题 5 字符"/>
    <w:basedOn w:val="16"/>
    <w:link w:val="6"/>
    <w:semiHidden/>
    <w:qFormat/>
    <w:uiPriority w:val="9"/>
    <w:rPr>
      <w:b/>
      <w:bCs/>
      <w:szCs w:val="28"/>
    </w:rPr>
  </w:style>
  <w:style w:type="character" w:customStyle="1" w:styleId="24">
    <w:name w:val="标题 4 字符"/>
    <w:basedOn w:val="16"/>
    <w:link w:val="5"/>
    <w:semiHidden/>
    <w:qFormat/>
    <w:uiPriority w:val="9"/>
    <w:rPr>
      <w:rFonts w:asciiTheme="majorHAnsi" w:hAnsiTheme="majorHAnsi" w:eastAsiaTheme="majorEastAsia" w:cstheme="majorBidi"/>
      <w:b/>
      <w:bCs/>
      <w:sz w:val="28"/>
      <w:szCs w:val="28"/>
    </w:rPr>
  </w:style>
  <w:style w:type="paragraph" w:customStyle="1" w:styleId="25">
    <w:name w:val="市局绩效-标题"/>
    <w:basedOn w:val="2"/>
    <w:link w:val="27"/>
    <w:qFormat/>
    <w:uiPriority w:val="0"/>
    <w:pPr>
      <w:spacing w:line="600" w:lineRule="exact"/>
    </w:pPr>
    <w:rPr>
      <w:rFonts w:ascii="方正小标宋简体" w:hAnsi="方正小标宋简体" w:eastAsia="方正小标宋简体"/>
      <w:b w:val="0"/>
    </w:rPr>
  </w:style>
  <w:style w:type="paragraph" w:customStyle="1" w:styleId="26">
    <w:name w:val="市局绩效-正文"/>
    <w:basedOn w:val="1"/>
    <w:link w:val="29"/>
    <w:qFormat/>
    <w:uiPriority w:val="0"/>
    <w:pPr>
      <w:spacing w:line="600" w:lineRule="exact"/>
      <w:jc w:val="both"/>
    </w:pPr>
    <w:rPr>
      <w:rFonts w:ascii="Times New Roman" w:hAnsi="Times New Roman" w:eastAsia="仿宋_GB2312"/>
      <w:sz w:val="32"/>
    </w:rPr>
  </w:style>
  <w:style w:type="character" w:customStyle="1" w:styleId="27">
    <w:name w:val="市局绩效-标题 字符"/>
    <w:basedOn w:val="20"/>
    <w:link w:val="25"/>
    <w:qFormat/>
    <w:uiPriority w:val="0"/>
    <w:rPr>
      <w:rFonts w:ascii="方正小标宋简体" w:hAnsi="方正小标宋简体" w:eastAsia="方正小标宋简体"/>
      <w:b w:val="0"/>
      <w:kern w:val="44"/>
      <w:sz w:val="44"/>
      <w:szCs w:val="44"/>
    </w:rPr>
  </w:style>
  <w:style w:type="paragraph" w:customStyle="1" w:styleId="28">
    <w:name w:val="市局绩效-一级标题"/>
    <w:basedOn w:val="3"/>
    <w:link w:val="31"/>
    <w:qFormat/>
    <w:uiPriority w:val="0"/>
    <w:pPr>
      <w:spacing w:before="0" w:after="0" w:line="600" w:lineRule="exact"/>
      <w:ind w:firstLine="641"/>
      <w:jc w:val="both"/>
    </w:pPr>
    <w:rPr>
      <w:rFonts w:ascii="Times New Roman" w:hAnsi="Times New Roman" w:eastAsia="黑体"/>
      <w:b w:val="0"/>
    </w:rPr>
  </w:style>
  <w:style w:type="character" w:customStyle="1" w:styleId="29">
    <w:name w:val="市局绩效-正文 字符"/>
    <w:basedOn w:val="16"/>
    <w:link w:val="26"/>
    <w:qFormat/>
    <w:uiPriority w:val="0"/>
    <w:rPr>
      <w:rFonts w:ascii="Times New Roman" w:hAnsi="Times New Roman" w:eastAsia="仿宋_GB2312"/>
      <w:sz w:val="32"/>
    </w:rPr>
  </w:style>
  <w:style w:type="paragraph" w:customStyle="1" w:styleId="30">
    <w:name w:val="市局绩效-二级标题"/>
    <w:basedOn w:val="4"/>
    <w:link w:val="32"/>
    <w:qFormat/>
    <w:uiPriority w:val="0"/>
    <w:pPr>
      <w:spacing w:before="0" w:after="0" w:line="600" w:lineRule="exact"/>
      <w:ind w:firstLine="200" w:firstLineChars="200"/>
      <w:jc w:val="both"/>
    </w:pPr>
    <w:rPr>
      <w:rFonts w:eastAsia="楷体_GB2312"/>
      <w:b w:val="0"/>
      <w:sz w:val="32"/>
    </w:rPr>
  </w:style>
  <w:style w:type="character" w:customStyle="1" w:styleId="31">
    <w:name w:val="市局绩效-一级标题 字符"/>
    <w:basedOn w:val="21"/>
    <w:link w:val="28"/>
    <w:qFormat/>
    <w:uiPriority w:val="0"/>
    <w:rPr>
      <w:rFonts w:ascii="Times New Roman" w:hAnsi="Times New Roman" w:eastAsia="黑体" w:cstheme="majorBidi"/>
      <w:b w:val="0"/>
      <w:sz w:val="32"/>
      <w:szCs w:val="32"/>
    </w:rPr>
  </w:style>
  <w:style w:type="character" w:customStyle="1" w:styleId="32">
    <w:name w:val="市局绩效-二级标题 字符"/>
    <w:basedOn w:val="22"/>
    <w:link w:val="30"/>
    <w:qFormat/>
    <w:uiPriority w:val="0"/>
    <w:rPr>
      <w:rFonts w:eastAsia="楷体_GB2312"/>
      <w:b w:val="0"/>
      <w:sz w:val="32"/>
      <w:szCs w:val="32"/>
    </w:rPr>
  </w:style>
  <w:style w:type="paragraph" w:customStyle="1" w:styleId="33">
    <w:name w:val="市局绩效-表格标题"/>
    <w:basedOn w:val="1"/>
    <w:link w:val="35"/>
    <w:qFormat/>
    <w:uiPriority w:val="0"/>
    <w:pPr>
      <w:widowControl/>
      <w:spacing w:line="600" w:lineRule="exact"/>
      <w:ind w:firstLine="0" w:firstLineChars="0"/>
      <w:jc w:val="center"/>
    </w:pPr>
    <w:rPr>
      <w:rFonts w:ascii="Times New Roman" w:hAnsi="Times New Roman" w:eastAsia="黑体" w:cs="Times New Roman"/>
      <w:bCs/>
      <w:sz w:val="28"/>
      <w:szCs w:val="24"/>
    </w:rPr>
  </w:style>
  <w:style w:type="paragraph" w:customStyle="1" w:styleId="34">
    <w:name w:val="市局绩效-表格单位"/>
    <w:basedOn w:val="1"/>
    <w:link w:val="37"/>
    <w:qFormat/>
    <w:uiPriority w:val="0"/>
    <w:pPr>
      <w:widowControl/>
      <w:spacing w:line="240" w:lineRule="auto"/>
      <w:ind w:firstLine="0" w:firstLineChars="0"/>
      <w:jc w:val="right"/>
    </w:pPr>
    <w:rPr>
      <w:rFonts w:ascii="Times New Roman" w:hAnsi="Times New Roman" w:eastAsia="宋体"/>
      <w:bCs/>
      <w:szCs w:val="18"/>
    </w:rPr>
  </w:style>
  <w:style w:type="character" w:customStyle="1" w:styleId="35">
    <w:name w:val="市局绩效-表格标题 字符"/>
    <w:basedOn w:val="16"/>
    <w:link w:val="33"/>
    <w:qFormat/>
    <w:uiPriority w:val="0"/>
    <w:rPr>
      <w:rFonts w:ascii="Times New Roman" w:hAnsi="Times New Roman" w:eastAsia="黑体" w:cs="Times New Roman"/>
      <w:bCs/>
      <w:sz w:val="28"/>
      <w:szCs w:val="24"/>
    </w:rPr>
  </w:style>
  <w:style w:type="paragraph" w:customStyle="1" w:styleId="36">
    <w:name w:val="市局绩效-表格表头"/>
    <w:basedOn w:val="26"/>
    <w:link w:val="39"/>
    <w:qFormat/>
    <w:uiPriority w:val="0"/>
    <w:pPr>
      <w:spacing w:line="240" w:lineRule="auto"/>
      <w:ind w:firstLine="0" w:firstLineChars="0"/>
      <w:jc w:val="center"/>
    </w:pPr>
    <w:rPr>
      <w:rFonts w:eastAsia="黑体"/>
      <w:b/>
      <w:sz w:val="21"/>
    </w:rPr>
  </w:style>
  <w:style w:type="character" w:customStyle="1" w:styleId="37">
    <w:name w:val="市局绩效-表格单位 字符"/>
    <w:basedOn w:val="16"/>
    <w:link w:val="34"/>
    <w:qFormat/>
    <w:uiPriority w:val="0"/>
    <w:rPr>
      <w:rFonts w:ascii="Times New Roman" w:hAnsi="Times New Roman" w:eastAsia="宋体"/>
      <w:bCs/>
      <w:szCs w:val="18"/>
    </w:rPr>
  </w:style>
  <w:style w:type="paragraph" w:customStyle="1" w:styleId="38">
    <w:name w:val="市局绩效-表格内容"/>
    <w:basedOn w:val="26"/>
    <w:link w:val="40"/>
    <w:qFormat/>
    <w:uiPriority w:val="0"/>
    <w:pPr>
      <w:spacing w:line="360" w:lineRule="auto"/>
      <w:ind w:firstLine="0" w:firstLineChars="0"/>
      <w:jc w:val="center"/>
    </w:pPr>
    <w:rPr>
      <w:rFonts w:eastAsia="宋体"/>
      <w:sz w:val="21"/>
    </w:rPr>
  </w:style>
  <w:style w:type="character" w:customStyle="1" w:styleId="39">
    <w:name w:val="市局绩效-表格表头 字符"/>
    <w:basedOn w:val="29"/>
    <w:link w:val="36"/>
    <w:qFormat/>
    <w:uiPriority w:val="0"/>
    <w:rPr>
      <w:rFonts w:ascii="Times New Roman" w:hAnsi="Times New Roman" w:eastAsia="黑体"/>
      <w:b/>
      <w:sz w:val="32"/>
    </w:rPr>
  </w:style>
  <w:style w:type="character" w:customStyle="1" w:styleId="40">
    <w:name w:val="市局绩效-表格内容 字符"/>
    <w:basedOn w:val="29"/>
    <w:link w:val="38"/>
    <w:qFormat/>
    <w:uiPriority w:val="0"/>
    <w:rPr>
      <w:rFonts w:ascii="Times New Roman" w:hAnsi="Times New Roman" w:eastAsia="宋体"/>
      <w:sz w:val="32"/>
    </w:rPr>
  </w:style>
  <w:style w:type="character" w:customStyle="1" w:styleId="41">
    <w:name w:val="页脚 字符"/>
    <w:basedOn w:val="16"/>
    <w:link w:val="10"/>
    <w:qFormat/>
    <w:uiPriority w:val="99"/>
    <w:rPr>
      <w:sz w:val="18"/>
      <w:szCs w:val="18"/>
    </w:rPr>
  </w:style>
  <w:style w:type="character" w:customStyle="1" w:styleId="42">
    <w:name w:val="批注框文本 字符"/>
    <w:basedOn w:val="16"/>
    <w:link w:val="9"/>
    <w:semiHidden/>
    <w:qFormat/>
    <w:uiPriority w:val="99"/>
    <w:rPr>
      <w:sz w:val="18"/>
      <w:szCs w:val="18"/>
    </w:rPr>
  </w:style>
  <w:style w:type="paragraph" w:customStyle="1" w:styleId="43">
    <w:name w:val="市局绩效-注"/>
    <w:basedOn w:val="26"/>
    <w:link w:val="44"/>
    <w:qFormat/>
    <w:uiPriority w:val="0"/>
    <w:pPr>
      <w:ind w:firstLine="0" w:firstLineChars="0"/>
    </w:pPr>
    <w:rPr>
      <w:rFonts w:eastAsia="宋体"/>
      <w:bCs/>
      <w:sz w:val="21"/>
    </w:rPr>
  </w:style>
  <w:style w:type="character" w:customStyle="1" w:styleId="44">
    <w:name w:val="市局绩效-注 字符"/>
    <w:basedOn w:val="29"/>
    <w:link w:val="43"/>
    <w:qFormat/>
    <w:uiPriority w:val="0"/>
    <w:rPr>
      <w:rFonts w:ascii="Times New Roman" w:hAnsi="Times New Roman" w:eastAsia="宋体"/>
      <w:bCs/>
      <w:sz w:val="32"/>
    </w:rPr>
  </w:style>
  <w:style w:type="character" w:customStyle="1" w:styleId="45">
    <w:name w:val="批注文字 字符"/>
    <w:basedOn w:val="16"/>
    <w:link w:val="7"/>
    <w:semiHidden/>
    <w:qFormat/>
    <w:uiPriority w:val="99"/>
  </w:style>
  <w:style w:type="character" w:customStyle="1" w:styleId="46">
    <w:name w:val="批注主题 字符"/>
    <w:basedOn w:val="45"/>
    <w:link w:val="13"/>
    <w:semiHidden/>
    <w:qFormat/>
    <w:uiPriority w:val="99"/>
    <w:rPr>
      <w:b/>
      <w:bCs/>
    </w:rPr>
  </w:style>
  <w:style w:type="paragraph" w:customStyle="1" w:styleId="4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D6F38-6781-488A-90DB-821BC906416E}">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26</Pages>
  <Words>1941</Words>
  <Characters>11070</Characters>
  <Lines>92</Lines>
  <Paragraphs>25</Paragraphs>
  <TotalTime>16</TotalTime>
  <ScaleCrop>false</ScaleCrop>
  <LinksUpToDate>false</LinksUpToDate>
  <CharactersWithSpaces>12986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2021-10-05T04:17:00Z</dcterms:created>
  <dc:creator>忠晔 张</dc:creator>
  <cp:lastModifiedBy>Admin</cp:lastModifiedBy>
  <cp:lastPrinted>2024-09-18T01:54:00Z</cp:lastPrinted>
  <dcterms:modified xsi:type="dcterms:W3CDTF">2024-11-06T06:50:20Z</dcterms:modified>
  <cp:revision>409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51F5509F2C354C7C8150B70EF48506BF_12</vt:lpwstr>
  </property>
</Properties>
</file>