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hint="eastAsia" w:ascii="Times New Roman" w:hAnsi="Times New Roman" w:eastAsia="方正小标宋简体"/>
          <w:sz w:val="52"/>
          <w:szCs w:val="52"/>
          <w:lang w:eastAsia="zh-Hans"/>
        </w:rPr>
        <w:t>项目</w:t>
      </w:r>
      <w:r>
        <w:rPr>
          <w:rFonts w:ascii="Times New Roman" w:hAnsi="Times New Roman" w:eastAsia="方正小标宋简体"/>
          <w:sz w:val="52"/>
          <w:szCs w:val="52"/>
        </w:rPr>
        <w:t>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hint="eastAsia" w:ascii="Times New Roman" w:hAnsi="Times New Roman" w:eastAsia="黑体"/>
          <w:sz w:val="32"/>
          <w:szCs w:val="32"/>
        </w:rPr>
      </w:pPr>
    </w:p>
    <w:p>
      <w:pPr>
        <w:spacing w:line="900" w:lineRule="exact"/>
        <w:ind w:firstLine="0" w:firstLineChars="0"/>
        <w:rPr>
          <w:rFonts w:ascii="Times New Roman" w:hAnsi="Times New Roman" w:eastAsia="仿宋_GB2312"/>
          <w:sz w:val="32"/>
          <w:szCs w:val="32"/>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居家和社区养老服务改革试点补助经费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天津市和平区民政局                            </w:t>
      </w:r>
      <w:r>
        <w:rPr>
          <w:rFonts w:ascii="Times New Roman" w:hAnsi="Times New Roman" w:eastAsia="仿宋_GB2312" w:cs="Times New Roman"/>
          <w:spacing w:val="-20"/>
          <w:sz w:val="32"/>
          <w:szCs w:val="32"/>
          <w:u w:val="single"/>
        </w:rPr>
        <w:t xml:space="preserve">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w:t>
      </w:r>
      <w:r>
        <w:rPr>
          <w:rFonts w:hint="eastAsia" w:ascii="Times New Roman" w:hAnsi="Times New Roman" w:eastAsia="仿宋_GB2312" w:cs="Times New Roman"/>
          <w:spacing w:val="-20"/>
          <w:sz w:val="32"/>
          <w:szCs w:val="32"/>
          <w:u w:val="single"/>
        </w:rPr>
        <w:t>天津市和平区民政局</w:t>
      </w:r>
      <w:r>
        <w:rPr>
          <w:rFonts w:hint="eastAsia"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widowControl/>
        <w:spacing w:line="240" w:lineRule="auto"/>
        <w:ind w:firstLine="0" w:firstLineChars="0"/>
        <w:rPr>
          <w:rFonts w:ascii="Times New Roman" w:hAnsi="Times New Roman" w:eastAsia="方正小标宋简体"/>
          <w:bCs/>
          <w:color w:val="000000" w:themeColor="text1"/>
          <w:kern w:val="44"/>
          <w:sz w:val="44"/>
          <w:szCs w:val="44"/>
          <w14:textFill>
            <w14:solidFill>
              <w14:schemeClr w14:val="tx1"/>
            </w14:solidFill>
          </w14:textFill>
        </w:rPr>
      </w:pPr>
      <w:r>
        <w:rPr>
          <w:rFonts w:ascii="Times New Roman" w:hAnsi="Times New Roman" w:eastAsia="方正小标宋简体"/>
          <w:bCs/>
          <w:color w:val="000000" w:themeColor="text1"/>
          <w:kern w:val="44"/>
          <w:sz w:val="44"/>
          <w:szCs w:val="44"/>
          <w14:textFill>
            <w14:solidFill>
              <w14:schemeClr w14:val="tx1"/>
            </w14:solidFill>
          </w14:textFill>
        </w:rPr>
        <w:br w:type="page"/>
      </w:r>
    </w:p>
    <w:sdt>
      <w:sdtPr>
        <w:rPr>
          <w:rFonts w:ascii="Times New Roman" w:hAnsi="Times New Roman" w:eastAsia="仿宋_GB2312" w:cstheme="minorBidi"/>
          <w:color w:val="auto"/>
          <w:kern w:val="2"/>
          <w:sz w:val="21"/>
          <w:szCs w:val="21"/>
          <w:lang w:val="zh-CN"/>
        </w:rPr>
        <w:id w:val="-505280812"/>
        <w:docPartObj>
          <w:docPartGallery w:val="Table of Contents"/>
          <w:docPartUnique/>
        </w:docPartObj>
      </w:sdtPr>
      <w:sdtEndPr>
        <w:rPr>
          <w:rFonts w:ascii="Times New Roman" w:hAnsi="Times New Roman" w:eastAsia="仿宋_GB2312" w:cstheme="majorBidi"/>
          <w:b/>
          <w:bCs/>
          <w:color w:val="2F5597" w:themeColor="accent1" w:themeShade="BF"/>
          <w:kern w:val="0"/>
          <w:sz w:val="32"/>
          <w:szCs w:val="32"/>
          <w:lang w:val="zh-CN"/>
        </w:rPr>
      </w:sdtEndPr>
      <w:sdtContent>
        <w:p>
          <w:pPr>
            <w:pStyle w:val="46"/>
            <w:spacing w:line="560" w:lineRule="exact"/>
            <w:ind w:firstLine="420"/>
            <w:jc w:val="center"/>
          </w:pPr>
          <w:r>
            <w:rPr>
              <w:rFonts w:hint="eastAsia" w:ascii="黑体" w:hAnsi="黑体" w:eastAsia="黑体" w:cs="黑体"/>
              <w:color w:val="auto"/>
              <w:sz w:val="36"/>
              <w:szCs w:val="36"/>
            </w:rPr>
            <w:t>目  录</w:t>
          </w:r>
          <w:r>
            <w:rPr>
              <w:rFonts w:ascii="Times New Roman" w:hAnsi="Times New Roman" w:eastAsia="仿宋_GB2312" w:cs="黑体"/>
              <w:color w:val="auto"/>
              <w:sz w:val="36"/>
              <w:szCs w:val="36"/>
            </w:rPr>
            <w:fldChar w:fldCharType="begin"/>
          </w:r>
          <w:r>
            <w:rPr>
              <w:rFonts w:ascii="Times New Roman" w:hAnsi="Times New Roman" w:eastAsia="仿宋_GB2312" w:cs="黑体"/>
              <w:color w:val="auto"/>
              <w:sz w:val="36"/>
              <w:szCs w:val="36"/>
            </w:rPr>
            <w:instrText xml:space="preserve"> </w:instrText>
          </w:r>
          <w:r>
            <w:rPr>
              <w:rFonts w:hint="eastAsia" w:ascii="Times New Roman" w:hAnsi="Times New Roman" w:eastAsia="仿宋_GB2312" w:cs="黑体"/>
              <w:color w:val="auto"/>
              <w:sz w:val="36"/>
              <w:szCs w:val="36"/>
            </w:rPr>
            <w:instrText xml:space="preserve">TOC \o "1-3" \u</w:instrText>
          </w:r>
          <w:r>
            <w:rPr>
              <w:rFonts w:ascii="Times New Roman" w:hAnsi="Times New Roman" w:eastAsia="仿宋_GB2312" w:cs="黑体"/>
              <w:color w:val="auto"/>
              <w:sz w:val="36"/>
              <w:szCs w:val="36"/>
            </w:rPr>
            <w:instrText xml:space="preserve"> </w:instrText>
          </w:r>
          <w:r>
            <w:rPr>
              <w:rFonts w:ascii="Times New Roman" w:hAnsi="Times New Roman" w:eastAsia="仿宋_GB2312" w:cs="黑体"/>
              <w:color w:val="auto"/>
              <w:sz w:val="36"/>
              <w:szCs w:val="36"/>
            </w:rPr>
            <w:fldChar w:fldCharType="separate"/>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一、项目基本情况</w:t>
          </w:r>
          <w:r>
            <w:rPr>
              <w:rFonts w:eastAsia="仿宋_GB2312"/>
            </w:rPr>
            <w:tab/>
          </w:r>
          <w:r>
            <w:rPr>
              <w:rFonts w:eastAsia="仿宋_GB2312"/>
            </w:rPr>
            <w:fldChar w:fldCharType="begin"/>
          </w:r>
          <w:r>
            <w:rPr>
              <w:rFonts w:eastAsia="仿宋_GB2312"/>
            </w:rPr>
            <w:instrText xml:space="preserve"> PAGEREF _Toc179622646 \h </w:instrText>
          </w:r>
          <w:r>
            <w:rPr>
              <w:rFonts w:eastAsia="仿宋_GB2312"/>
            </w:rPr>
            <w:fldChar w:fldCharType="separate"/>
          </w:r>
          <w:r>
            <w:rPr>
              <w:rFonts w:eastAsia="仿宋_GB2312"/>
            </w:rPr>
            <w:t>- 1 -</w:t>
          </w:r>
          <w:r>
            <w:rPr>
              <w:rFonts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（一）项目概况</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_Toc179622647 \h </w:instrText>
          </w:r>
          <w:r>
            <w:rPr>
              <w:rFonts w:ascii="Times New Roman" w:hAnsi="Times New Roman" w:eastAsia="仿宋_GB2312"/>
            </w:rPr>
            <w:fldChar w:fldCharType="separate"/>
          </w:r>
          <w:r>
            <w:rPr>
              <w:rFonts w:ascii="Times New Roman" w:hAnsi="Times New Roman" w:eastAsia="仿宋_GB2312"/>
            </w:rPr>
            <w:t>- 1 -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（二）项目绩效目标</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_Toc179622648 \h </w:instrText>
          </w:r>
          <w:r>
            <w:rPr>
              <w:rFonts w:ascii="Times New Roman" w:hAnsi="Times New Roman" w:eastAsia="仿宋_GB2312"/>
            </w:rPr>
            <w:fldChar w:fldCharType="separate"/>
          </w:r>
          <w:r>
            <w:rPr>
              <w:rFonts w:ascii="Times New Roman" w:hAnsi="Times New Roman" w:eastAsia="仿宋_GB2312"/>
            </w:rPr>
            <w:t>- 3 -</w:t>
          </w:r>
          <w:r>
            <w:rPr>
              <w:rFonts w:ascii="Times New Roman" w:hAnsi="Times New Roman"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二、绩效评价工作开展情况</w:t>
          </w:r>
          <w:r>
            <w:rPr>
              <w:rFonts w:eastAsia="仿宋_GB2312"/>
            </w:rPr>
            <w:tab/>
          </w:r>
          <w:r>
            <w:rPr>
              <w:rFonts w:eastAsia="仿宋_GB2312"/>
            </w:rPr>
            <w:fldChar w:fldCharType="begin"/>
          </w:r>
          <w:r>
            <w:rPr>
              <w:rFonts w:eastAsia="仿宋_GB2312"/>
            </w:rPr>
            <w:instrText xml:space="preserve"> PAGEREF _Toc179622649 \h </w:instrText>
          </w:r>
          <w:r>
            <w:rPr>
              <w:rFonts w:eastAsia="仿宋_GB2312"/>
            </w:rPr>
            <w:fldChar w:fldCharType="separate"/>
          </w:r>
          <w:r>
            <w:rPr>
              <w:rFonts w:eastAsia="仿宋_GB2312"/>
            </w:rPr>
            <w:t>- 3 -</w:t>
          </w:r>
          <w:r>
            <w:rPr>
              <w:rFonts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（一）绩效评价的目的、对象和范围</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_Toc179622650 \h </w:instrText>
          </w:r>
          <w:r>
            <w:rPr>
              <w:rFonts w:ascii="Times New Roman" w:hAnsi="Times New Roman" w:eastAsia="仿宋_GB2312"/>
            </w:rPr>
            <w:fldChar w:fldCharType="separate"/>
          </w:r>
          <w:r>
            <w:rPr>
              <w:rFonts w:ascii="Times New Roman" w:hAnsi="Times New Roman" w:eastAsia="仿宋_GB2312"/>
            </w:rPr>
            <w:t>- 3 -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（二）</w:t>
          </w:r>
          <w:r>
            <w:rPr>
              <w:rFonts w:ascii="Times New Roman" w:hAnsi="Times New Roman" w:eastAsia="仿宋_GB2312" w:cs="楷体_GB2312"/>
            </w:rPr>
            <w:t>绩效评价原则、评价指标体系、评价方法</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_Toc179622651 \h </w:instrText>
          </w:r>
          <w:r>
            <w:rPr>
              <w:rFonts w:ascii="Times New Roman" w:hAnsi="Times New Roman" w:eastAsia="仿宋_GB2312"/>
            </w:rPr>
            <w:fldChar w:fldCharType="separate"/>
          </w:r>
          <w:r>
            <w:rPr>
              <w:rFonts w:ascii="Times New Roman" w:hAnsi="Times New Roman" w:eastAsia="仿宋_GB2312"/>
            </w:rPr>
            <w:t>- 5 -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（三）绩效评价工作过程</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_Toc179622652 \h </w:instrText>
          </w:r>
          <w:r>
            <w:rPr>
              <w:rFonts w:ascii="Times New Roman" w:hAnsi="Times New Roman" w:eastAsia="仿宋_GB2312"/>
            </w:rPr>
            <w:fldChar w:fldCharType="separate"/>
          </w:r>
          <w:r>
            <w:rPr>
              <w:rFonts w:ascii="Times New Roman" w:hAnsi="Times New Roman" w:eastAsia="仿宋_GB2312"/>
            </w:rPr>
            <w:t>- 11 -</w:t>
          </w:r>
          <w:r>
            <w:rPr>
              <w:rFonts w:ascii="Times New Roman" w:hAnsi="Times New Roman"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三、综合评价情况及评价结论</w:t>
          </w:r>
          <w:r>
            <w:rPr>
              <w:rFonts w:eastAsia="仿宋_GB2312"/>
            </w:rPr>
            <w:tab/>
          </w:r>
          <w:r>
            <w:rPr>
              <w:rFonts w:eastAsia="仿宋_GB2312"/>
            </w:rPr>
            <w:fldChar w:fldCharType="begin"/>
          </w:r>
          <w:r>
            <w:rPr>
              <w:rFonts w:eastAsia="仿宋_GB2312"/>
            </w:rPr>
            <w:instrText xml:space="preserve"> PAGEREF _Toc179622653 \h </w:instrText>
          </w:r>
          <w:r>
            <w:rPr>
              <w:rFonts w:eastAsia="仿宋_GB2312"/>
            </w:rPr>
            <w:fldChar w:fldCharType="separate"/>
          </w:r>
          <w:r>
            <w:rPr>
              <w:rFonts w:eastAsia="仿宋_GB2312"/>
            </w:rPr>
            <w:t>- 13 -</w:t>
          </w:r>
          <w:r>
            <w:rPr>
              <w:rFonts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四、绩效评价指标分析</w:t>
          </w:r>
          <w:r>
            <w:rPr>
              <w:rFonts w:eastAsia="仿宋_GB2312"/>
            </w:rPr>
            <w:tab/>
          </w:r>
          <w:r>
            <w:rPr>
              <w:rFonts w:eastAsia="仿宋_GB2312"/>
            </w:rPr>
            <w:fldChar w:fldCharType="begin"/>
          </w:r>
          <w:r>
            <w:rPr>
              <w:rFonts w:eastAsia="仿宋_GB2312"/>
            </w:rPr>
            <w:instrText xml:space="preserve"> PAGEREF _Toc179622654 \h </w:instrText>
          </w:r>
          <w:r>
            <w:rPr>
              <w:rFonts w:eastAsia="仿宋_GB2312"/>
            </w:rPr>
            <w:fldChar w:fldCharType="separate"/>
          </w:r>
          <w:r>
            <w:rPr>
              <w:rFonts w:eastAsia="仿宋_GB2312"/>
            </w:rPr>
            <w:t>- 14 -</w:t>
          </w:r>
          <w:r>
            <w:rPr>
              <w:rFonts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（一）项目决策情况</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_Toc179622655 \h </w:instrText>
          </w:r>
          <w:r>
            <w:rPr>
              <w:rFonts w:ascii="Times New Roman" w:hAnsi="Times New Roman" w:eastAsia="仿宋_GB2312"/>
            </w:rPr>
            <w:fldChar w:fldCharType="separate"/>
          </w:r>
          <w:r>
            <w:rPr>
              <w:rFonts w:ascii="Times New Roman" w:hAnsi="Times New Roman" w:eastAsia="仿宋_GB2312"/>
            </w:rPr>
            <w:t>- 14 -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（二）项目过程情况</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_Toc179622656 \h </w:instrText>
          </w:r>
          <w:r>
            <w:rPr>
              <w:rFonts w:ascii="Times New Roman" w:hAnsi="Times New Roman" w:eastAsia="仿宋_GB2312"/>
            </w:rPr>
            <w:fldChar w:fldCharType="separate"/>
          </w:r>
          <w:r>
            <w:rPr>
              <w:rFonts w:ascii="Times New Roman" w:hAnsi="Times New Roman" w:eastAsia="仿宋_GB2312"/>
            </w:rPr>
            <w:t>- 17 -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（三）项目产出情况</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_Toc179622657 \h </w:instrText>
          </w:r>
          <w:r>
            <w:rPr>
              <w:rFonts w:ascii="Times New Roman" w:hAnsi="Times New Roman" w:eastAsia="仿宋_GB2312"/>
            </w:rPr>
            <w:fldChar w:fldCharType="separate"/>
          </w:r>
          <w:r>
            <w:rPr>
              <w:rFonts w:ascii="Times New Roman" w:hAnsi="Times New Roman" w:eastAsia="仿宋_GB2312"/>
            </w:rPr>
            <w:t>- 19 -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（四）项目效益情况</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_Toc179622658 \h </w:instrText>
          </w:r>
          <w:r>
            <w:rPr>
              <w:rFonts w:ascii="Times New Roman" w:hAnsi="Times New Roman" w:eastAsia="仿宋_GB2312"/>
            </w:rPr>
            <w:fldChar w:fldCharType="separate"/>
          </w:r>
          <w:r>
            <w:rPr>
              <w:rFonts w:ascii="Times New Roman" w:hAnsi="Times New Roman" w:eastAsia="仿宋_GB2312"/>
            </w:rPr>
            <w:t>- 26 -</w:t>
          </w:r>
          <w:r>
            <w:rPr>
              <w:rFonts w:ascii="Times New Roman" w:hAnsi="Times New Roman"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五、存在的主要问题</w:t>
          </w:r>
          <w:r>
            <w:rPr>
              <w:rFonts w:eastAsia="仿宋_GB2312"/>
            </w:rPr>
            <w:tab/>
          </w:r>
          <w:r>
            <w:rPr>
              <w:rFonts w:eastAsia="仿宋_GB2312"/>
            </w:rPr>
            <w:fldChar w:fldCharType="begin"/>
          </w:r>
          <w:r>
            <w:rPr>
              <w:rFonts w:eastAsia="仿宋_GB2312"/>
            </w:rPr>
            <w:instrText xml:space="preserve"> PAGEREF _Toc179622659 \h </w:instrText>
          </w:r>
          <w:r>
            <w:rPr>
              <w:rFonts w:eastAsia="仿宋_GB2312"/>
            </w:rPr>
            <w:fldChar w:fldCharType="separate"/>
          </w:r>
          <w:r>
            <w:rPr>
              <w:rFonts w:eastAsia="仿宋_GB2312"/>
            </w:rPr>
            <w:t>- 28 -</w:t>
          </w:r>
          <w:r>
            <w:rPr>
              <w:rFonts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（一）项目设立程序不规范</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_Toc179622660 \h </w:instrText>
          </w:r>
          <w:r>
            <w:rPr>
              <w:rFonts w:ascii="Times New Roman" w:hAnsi="Times New Roman" w:eastAsia="仿宋_GB2312"/>
            </w:rPr>
            <w:fldChar w:fldCharType="separate"/>
          </w:r>
          <w:r>
            <w:rPr>
              <w:rFonts w:ascii="Times New Roman" w:hAnsi="Times New Roman" w:eastAsia="仿宋_GB2312"/>
            </w:rPr>
            <w:t>- 28 -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（二）绩效管理意识不强，绩效目标质量不高</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_Toc179622661 \h </w:instrText>
          </w:r>
          <w:r>
            <w:rPr>
              <w:rFonts w:ascii="Times New Roman" w:hAnsi="Times New Roman" w:eastAsia="仿宋_GB2312"/>
            </w:rPr>
            <w:fldChar w:fldCharType="separate"/>
          </w:r>
          <w:r>
            <w:rPr>
              <w:rFonts w:ascii="Times New Roman" w:hAnsi="Times New Roman" w:eastAsia="仿宋_GB2312"/>
            </w:rPr>
            <w:t>- 28 -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（三）预算测算细化程度不够</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_Toc179622662 \h </w:instrText>
          </w:r>
          <w:r>
            <w:rPr>
              <w:rFonts w:ascii="Times New Roman" w:hAnsi="Times New Roman" w:eastAsia="仿宋_GB2312"/>
            </w:rPr>
            <w:fldChar w:fldCharType="separate"/>
          </w:r>
          <w:r>
            <w:rPr>
              <w:rFonts w:ascii="Times New Roman" w:hAnsi="Times New Roman" w:eastAsia="仿宋_GB2312"/>
            </w:rPr>
            <w:t>- 28 -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（四）预算执行不到位</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_Toc179622663 \h </w:instrText>
          </w:r>
          <w:r>
            <w:rPr>
              <w:rFonts w:ascii="Times New Roman" w:hAnsi="Times New Roman" w:eastAsia="仿宋_GB2312"/>
            </w:rPr>
            <w:fldChar w:fldCharType="separate"/>
          </w:r>
          <w:r>
            <w:rPr>
              <w:rFonts w:ascii="Times New Roman" w:hAnsi="Times New Roman" w:eastAsia="仿宋_GB2312"/>
            </w:rPr>
            <w:t>- 29 -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（五）验收程序执行不严格</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_Toc179622664 \h </w:instrText>
          </w:r>
          <w:r>
            <w:rPr>
              <w:rFonts w:ascii="Times New Roman" w:hAnsi="Times New Roman" w:eastAsia="仿宋_GB2312"/>
            </w:rPr>
            <w:fldChar w:fldCharType="separate"/>
          </w:r>
          <w:r>
            <w:rPr>
              <w:rFonts w:ascii="Times New Roman" w:hAnsi="Times New Roman" w:eastAsia="仿宋_GB2312"/>
            </w:rPr>
            <w:t>- 29 -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（六）公益知识科普人员数量不达标</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_Toc179622665 \h </w:instrText>
          </w:r>
          <w:r>
            <w:rPr>
              <w:rFonts w:ascii="Times New Roman" w:hAnsi="Times New Roman" w:eastAsia="仿宋_GB2312"/>
            </w:rPr>
            <w:fldChar w:fldCharType="separate"/>
          </w:r>
          <w:r>
            <w:rPr>
              <w:rFonts w:ascii="Times New Roman" w:hAnsi="Times New Roman" w:eastAsia="仿宋_GB2312"/>
            </w:rPr>
            <w:t>- 29 -</w:t>
          </w:r>
          <w:r>
            <w:rPr>
              <w:rFonts w:ascii="Times New Roman" w:hAnsi="Times New Roman"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rPr>
            <w:t>六、相关建议</w:t>
          </w:r>
          <w:r>
            <w:rPr>
              <w:rFonts w:eastAsia="仿宋_GB2312"/>
            </w:rPr>
            <w:tab/>
          </w:r>
          <w:r>
            <w:rPr>
              <w:rFonts w:eastAsia="仿宋_GB2312"/>
            </w:rPr>
            <w:fldChar w:fldCharType="begin"/>
          </w:r>
          <w:r>
            <w:rPr>
              <w:rFonts w:eastAsia="仿宋_GB2312"/>
            </w:rPr>
            <w:instrText xml:space="preserve"> PAGEREF _Toc179622666 \h </w:instrText>
          </w:r>
          <w:r>
            <w:rPr>
              <w:rFonts w:eastAsia="仿宋_GB2312"/>
            </w:rPr>
            <w:fldChar w:fldCharType="separate"/>
          </w:r>
          <w:r>
            <w:rPr>
              <w:rFonts w:eastAsia="仿宋_GB2312"/>
            </w:rPr>
            <w:t>- 30 -</w:t>
          </w:r>
          <w:r>
            <w:rPr>
              <w:rFonts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（一）加强项目设立管理，严格执行资金管理制度</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_Toc179622667 \h </w:instrText>
          </w:r>
          <w:r>
            <w:rPr>
              <w:rFonts w:ascii="Times New Roman" w:hAnsi="Times New Roman" w:eastAsia="仿宋_GB2312"/>
            </w:rPr>
            <w:fldChar w:fldCharType="separate"/>
          </w:r>
          <w:r>
            <w:rPr>
              <w:rFonts w:ascii="Times New Roman" w:hAnsi="Times New Roman" w:eastAsia="仿宋_GB2312"/>
            </w:rPr>
            <w:t>- 30 -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（二）完善绩效目标设置，提升绩效管理水平</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_Toc179622668 \h </w:instrText>
          </w:r>
          <w:r>
            <w:rPr>
              <w:rFonts w:ascii="Times New Roman" w:hAnsi="Times New Roman" w:eastAsia="仿宋_GB2312"/>
            </w:rPr>
            <w:fldChar w:fldCharType="separate"/>
          </w:r>
          <w:r>
            <w:rPr>
              <w:rFonts w:ascii="Times New Roman" w:hAnsi="Times New Roman" w:eastAsia="仿宋_GB2312"/>
            </w:rPr>
            <w:t>- 30 -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（三）提高预算测算精准度，保障测算细化程度</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_Toc179622669 \h </w:instrText>
          </w:r>
          <w:r>
            <w:rPr>
              <w:rFonts w:ascii="Times New Roman" w:hAnsi="Times New Roman" w:eastAsia="仿宋_GB2312"/>
            </w:rPr>
            <w:fldChar w:fldCharType="separate"/>
          </w:r>
          <w:r>
            <w:rPr>
              <w:rFonts w:ascii="Times New Roman" w:hAnsi="Times New Roman" w:eastAsia="仿宋_GB2312"/>
            </w:rPr>
            <w:t>- 30 -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（四）强化预算执行动态监督，提高预算执行力</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_Toc179622670 \h </w:instrText>
          </w:r>
          <w:r>
            <w:rPr>
              <w:rFonts w:ascii="Times New Roman" w:hAnsi="Times New Roman" w:eastAsia="仿宋_GB2312"/>
            </w:rPr>
            <w:fldChar w:fldCharType="separate"/>
          </w:r>
          <w:r>
            <w:rPr>
              <w:rFonts w:ascii="Times New Roman" w:hAnsi="Times New Roman" w:eastAsia="仿宋_GB2312"/>
            </w:rPr>
            <w:t>- 31 -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（五）开展采购验收培训，规范采购验收流程</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_Toc179622671 \h </w:instrText>
          </w:r>
          <w:r>
            <w:rPr>
              <w:rFonts w:ascii="Times New Roman" w:hAnsi="Times New Roman" w:eastAsia="仿宋_GB2312"/>
            </w:rPr>
            <w:fldChar w:fldCharType="separate"/>
          </w:r>
          <w:r>
            <w:rPr>
              <w:rFonts w:ascii="Times New Roman" w:hAnsi="Times New Roman" w:eastAsia="仿宋_GB2312"/>
            </w:rPr>
            <w:t>- 31 -</w:t>
          </w:r>
          <w:r>
            <w:rPr>
              <w:rFonts w:ascii="Times New Roman" w:hAnsi="Times New Roman" w:eastAsia="仿宋_GB2312"/>
            </w:rPr>
            <w:fldChar w:fldCharType="end"/>
          </w:r>
        </w:p>
        <w:p>
          <w:pPr>
            <w:pStyle w:val="8"/>
            <w:keepNext w:val="0"/>
            <w:keepLines w:val="0"/>
            <w:pageBreakBefore w:val="0"/>
            <w:widowControl w:val="0"/>
            <w:kinsoku/>
            <w:wordWrap/>
            <w:overflowPunct/>
            <w:topLinePunct w:val="0"/>
            <w:autoSpaceDE/>
            <w:autoSpaceDN/>
            <w:bidi w:val="0"/>
            <w:adjustRightInd/>
            <w:snapToGrid/>
            <w:spacing w:line="560" w:lineRule="exact"/>
            <w:ind w:left="1131" w:hanging="845"/>
            <w:textAlignment w:val="auto"/>
            <w:rPr>
              <w:rFonts w:ascii="Times New Roman" w:hAnsi="Times New Roman" w:eastAsia="仿宋_GB2312"/>
              <w:sz w:val="21"/>
              <w:szCs w:val="22"/>
            </w:rPr>
          </w:pPr>
          <w:r>
            <w:rPr>
              <w:rFonts w:ascii="Times New Roman" w:hAnsi="Times New Roman" w:eastAsia="仿宋_GB2312"/>
            </w:rPr>
            <w:t>（六）</w:t>
          </w:r>
          <w:r>
            <w:rPr>
              <w:rFonts w:ascii="Times New Roman" w:hAnsi="Times New Roman" w:eastAsia="仿宋_GB2312" w:cs="Segoe UI"/>
              <w:shd w:val="clear" w:color="auto" w:fill="FFFFFF"/>
            </w:rPr>
            <w:t>拓宽宣传渠道及覆盖面，</w:t>
          </w:r>
          <w:r>
            <w:rPr>
              <w:rFonts w:ascii="Times New Roman" w:hAnsi="Times New Roman" w:eastAsia="仿宋_GB2312"/>
            </w:rPr>
            <w:t>提升公益知识科普水平</w:t>
          </w:r>
          <w:r>
            <w:rPr>
              <w:rFonts w:ascii="Times New Roman" w:hAnsi="Times New Roman" w:eastAsia="仿宋_GB2312"/>
            </w:rPr>
            <w:tab/>
          </w:r>
          <w:r>
            <w:rPr>
              <w:rFonts w:ascii="Times New Roman" w:hAnsi="Times New Roman" w:eastAsia="仿宋_GB2312"/>
            </w:rPr>
            <w:fldChar w:fldCharType="begin"/>
          </w:r>
          <w:r>
            <w:rPr>
              <w:rFonts w:ascii="Times New Roman" w:hAnsi="Times New Roman" w:eastAsia="仿宋_GB2312"/>
            </w:rPr>
            <w:instrText xml:space="preserve"> PAGEREF _Toc179622672 \h </w:instrText>
          </w:r>
          <w:r>
            <w:rPr>
              <w:rFonts w:ascii="Times New Roman" w:hAnsi="Times New Roman" w:eastAsia="仿宋_GB2312"/>
            </w:rPr>
            <w:fldChar w:fldCharType="separate"/>
          </w:r>
          <w:r>
            <w:rPr>
              <w:rFonts w:ascii="Times New Roman" w:hAnsi="Times New Roman" w:eastAsia="仿宋_GB2312"/>
            </w:rPr>
            <w:t>- 32 -</w:t>
          </w:r>
          <w:r>
            <w:rPr>
              <w:rFonts w:ascii="Times New Roman" w:hAnsi="Times New Roman"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eastAsia="仿宋_GB2312"/>
              <w:b w:val="0"/>
              <w:sz w:val="21"/>
              <w:szCs w:val="22"/>
            </w:rPr>
          </w:pPr>
          <w:r>
            <w:rPr>
              <w:rFonts w:eastAsia="仿宋_GB2312" w:cs="黑体"/>
            </w:rPr>
            <w:t>七、</w:t>
          </w:r>
          <w:r>
            <w:rPr>
              <w:rFonts w:eastAsia="仿宋_GB2312"/>
            </w:rPr>
            <w:t>其他需要说明的问题</w:t>
          </w:r>
          <w:r>
            <w:rPr>
              <w:rFonts w:eastAsia="仿宋_GB2312"/>
            </w:rPr>
            <w:tab/>
          </w:r>
          <w:r>
            <w:rPr>
              <w:rFonts w:eastAsia="仿宋_GB2312"/>
            </w:rPr>
            <w:fldChar w:fldCharType="begin"/>
          </w:r>
          <w:r>
            <w:rPr>
              <w:rFonts w:eastAsia="仿宋_GB2312"/>
            </w:rPr>
            <w:instrText xml:space="preserve"> PAGEREF _Toc179622673 \h </w:instrText>
          </w:r>
          <w:r>
            <w:rPr>
              <w:rFonts w:eastAsia="仿宋_GB2312"/>
            </w:rPr>
            <w:fldChar w:fldCharType="separate"/>
          </w:r>
          <w:r>
            <w:rPr>
              <w:rFonts w:eastAsia="仿宋_GB2312"/>
            </w:rPr>
            <w:t>- 32 -</w:t>
          </w:r>
          <w:r>
            <w:rPr>
              <w:rFonts w:eastAsia="仿宋_GB2312"/>
            </w:rPr>
            <w:fldChar w:fldCharType="end"/>
          </w:r>
        </w:p>
        <w:p>
          <w:pPr>
            <w:pStyle w:val="12"/>
            <w:keepNext w:val="0"/>
            <w:keepLines w:val="0"/>
            <w:pageBreakBefore w:val="0"/>
            <w:widowControl w:val="0"/>
            <w:kinsoku/>
            <w:wordWrap/>
            <w:overflowPunct/>
            <w:topLinePunct w:val="0"/>
            <w:autoSpaceDE/>
            <w:autoSpaceDN/>
            <w:bidi w:val="0"/>
            <w:adjustRightInd/>
            <w:snapToGrid/>
            <w:spacing w:line="560" w:lineRule="exact"/>
            <w:ind w:left="643" w:hanging="643"/>
            <w:textAlignment w:val="auto"/>
            <w:rPr>
              <w:rFonts w:ascii="Times New Roman" w:hAnsi="Times New Roman"/>
              <w:b/>
              <w:bCs/>
              <w:lang w:val="zh-CN"/>
            </w:rPr>
          </w:pPr>
          <w:r>
            <w:rPr>
              <w:rFonts w:eastAsia="仿宋_GB2312" w:cs="黑体"/>
              <w:color w:val="000000" w:themeColor="text1"/>
              <w14:textFill>
                <w14:solidFill>
                  <w14:schemeClr w14:val="tx1"/>
                </w14:solidFill>
              </w14:textFill>
            </w:rPr>
            <w:t>八、</w:t>
          </w:r>
          <w:r>
            <w:rPr>
              <w:rFonts w:eastAsia="仿宋_GB2312"/>
            </w:rPr>
            <w:t>相关附件</w:t>
          </w:r>
          <w:r>
            <w:rPr>
              <w:rFonts w:eastAsia="仿宋_GB2312"/>
            </w:rPr>
            <w:tab/>
          </w:r>
          <w:r>
            <w:rPr>
              <w:rFonts w:eastAsia="仿宋_GB2312"/>
            </w:rPr>
            <w:fldChar w:fldCharType="begin"/>
          </w:r>
          <w:r>
            <w:rPr>
              <w:rFonts w:eastAsia="仿宋_GB2312"/>
            </w:rPr>
            <w:instrText xml:space="preserve"> PAGEREF _Toc179622674 \h </w:instrText>
          </w:r>
          <w:r>
            <w:rPr>
              <w:rFonts w:eastAsia="仿宋_GB2312"/>
            </w:rPr>
            <w:fldChar w:fldCharType="separate"/>
          </w:r>
          <w:r>
            <w:rPr>
              <w:rFonts w:eastAsia="仿宋_GB2312"/>
            </w:rPr>
            <w:t>- 32 -</w:t>
          </w:r>
          <w:r>
            <w:rPr>
              <w:rFonts w:eastAsia="仿宋_GB2312"/>
            </w:rPr>
            <w:fldChar w:fldCharType="end"/>
          </w:r>
          <w:r>
            <w:rPr>
              <w:rFonts w:ascii="Times New Roman" w:hAnsi="Times New Roman" w:eastAsia="仿宋_GB2312" w:cs="黑体"/>
              <w:color w:val="auto"/>
              <w:sz w:val="36"/>
              <w:szCs w:val="36"/>
            </w:rPr>
            <w:fldChar w:fldCharType="end"/>
          </w:r>
          <w:bookmarkStart w:id="49" w:name="_GoBack"/>
          <w:bookmarkEnd w:id="49"/>
        </w:p>
      </w:sdtContent>
    </w:sdt>
    <w:p>
      <w:pPr>
        <w:ind w:firstLine="0" w:firstLineChars="0"/>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start="1"/>
          <w:cols w:space="425" w:num="1"/>
          <w:docGrid w:type="lines" w:linePitch="312" w:charSpace="0"/>
        </w:sectPr>
      </w:pPr>
    </w:p>
    <w:p>
      <w:pPr>
        <w:pStyle w:val="24"/>
      </w:pPr>
      <w:bookmarkStart w:id="0" w:name="_Toc176098884"/>
      <w:bookmarkStart w:id="1" w:name="_Toc173496797"/>
      <w:r>
        <w:rPr>
          <w:rFonts w:hint="eastAsia"/>
        </w:rPr>
        <w:t>居家和社区养老服务改革试点补助经费</w:t>
      </w:r>
    </w:p>
    <w:p>
      <w:pPr>
        <w:pStyle w:val="24"/>
      </w:pPr>
      <w:r>
        <w:rPr>
          <w:rFonts w:hint="eastAsia"/>
        </w:rPr>
        <w:t>项目绩效评价报告</w:t>
      </w:r>
      <w:bookmarkEnd w:id="0"/>
      <w:bookmarkEnd w:id="1"/>
    </w:p>
    <w:p>
      <w:pPr>
        <w:pStyle w:val="25"/>
        <w:ind w:firstLine="640"/>
      </w:pPr>
    </w:p>
    <w:p>
      <w:pPr>
        <w:pStyle w:val="25"/>
        <w:spacing w:line="56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为提高财政资金使用效益，合理配置公共财政资源，根据市委、市政府关于全面推进预算绩效管理的实施方案和《天津市市级财政项目支出绩效评价管理办法》（津财绩效〔2020〕12号）等文件要求，天津市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财政局引入第三方专业机构成立了绩效评价组，于2024年7月-8月，对</w:t>
      </w:r>
      <w:r>
        <w:rPr>
          <w:rFonts w:hint="eastAsia"/>
          <w:color w:val="000000" w:themeColor="text1"/>
          <w14:textFill>
            <w14:solidFill>
              <w14:schemeClr w14:val="tx1"/>
            </w14:solidFill>
          </w14:textFill>
        </w:rPr>
        <w:t>天津市和平区民政局</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“居家和社区养老服务改革试点补助经费”项目</w:t>
      </w:r>
      <w:r>
        <w:rPr>
          <w:color w:val="000000" w:themeColor="text1"/>
          <w14:textFill>
            <w14:solidFill>
              <w14:schemeClr w14:val="tx1"/>
            </w14:solidFill>
          </w14:textFill>
        </w:rPr>
        <w:t>开展了绩效评价。该项目评价结果为84.66分，评价等级为“</w:t>
      </w:r>
      <w:r>
        <w:rPr>
          <w:rFonts w:hint="eastAsia"/>
          <w:color w:val="000000" w:themeColor="text1"/>
          <w14:textFill>
            <w14:solidFill>
              <w14:schemeClr w14:val="tx1"/>
            </w14:solidFill>
          </w14:textFill>
        </w:rPr>
        <w:t>良</w:t>
      </w:r>
      <w:r>
        <w:rPr>
          <w:color w:val="000000" w:themeColor="text1"/>
          <w14:textFill>
            <w14:solidFill>
              <w14:schemeClr w14:val="tx1"/>
            </w14:solidFill>
          </w14:textFill>
        </w:rPr>
        <w:t>”，有关情况如下。</w:t>
      </w:r>
    </w:p>
    <w:p>
      <w:pPr>
        <w:pStyle w:val="27"/>
        <w:spacing w:line="560" w:lineRule="exact"/>
      </w:pPr>
      <w:bookmarkStart w:id="2" w:name="_Toc179622646"/>
      <w:bookmarkStart w:id="3" w:name="_Hlk91875033"/>
      <w:r>
        <w:rPr>
          <w:rFonts w:hint="eastAsia"/>
        </w:rPr>
        <w:t>一、项目基本情况</w:t>
      </w:r>
      <w:bookmarkEnd w:id="2"/>
    </w:p>
    <w:p>
      <w:pPr>
        <w:pStyle w:val="29"/>
        <w:spacing w:line="560" w:lineRule="exact"/>
        <w:ind w:firstLine="640"/>
      </w:pPr>
      <w:bookmarkStart w:id="4" w:name="_Toc179622647"/>
      <w:r>
        <w:rPr>
          <w:rFonts w:hint="eastAsia"/>
        </w:rPr>
        <w:t>（一）项目概况</w:t>
      </w:r>
      <w:bookmarkEnd w:id="4"/>
    </w:p>
    <w:p>
      <w:pPr>
        <w:pStyle w:val="25"/>
        <w:spacing w:line="560" w:lineRule="exact"/>
        <w:ind w:firstLine="640"/>
      </w:pPr>
      <w:r>
        <w:rPr>
          <w:rFonts w:hint="eastAsia"/>
        </w:rPr>
        <w:t>1.项目背景</w:t>
      </w:r>
    </w:p>
    <w:p>
      <w:pPr>
        <w:autoSpaceDE w:val="0"/>
        <w:autoSpaceDN w:val="0"/>
        <w:adjustRightInd w:val="0"/>
        <w:spacing w:line="560" w:lineRule="exact"/>
        <w:ind w:firstLine="640"/>
        <w:rPr>
          <w:rFonts w:ascii="Times New Roman" w:hAnsi="Times New Roman" w:eastAsia="仿宋_GB2312"/>
          <w:sz w:val="32"/>
        </w:rPr>
      </w:pPr>
      <w:r>
        <w:rPr>
          <w:rFonts w:hint="eastAsia" w:ascii="Times New Roman" w:hAnsi="Times New Roman" w:eastAsia="仿宋_GB2312"/>
          <w:sz w:val="32"/>
        </w:rPr>
        <w:t>为积极应对人口老龄化这一国家战略，推动老龄事业和产业协同发展，构建和完善兜底性、普惠型、多样化的养老服务体系，不断满足老年人日益增长的多层次、高品质健康养老需求，</w:t>
      </w:r>
      <w:r>
        <w:rPr>
          <w:rFonts w:ascii="Times New Roman" w:hAnsi="Times New Roman" w:eastAsia="仿宋_GB2312"/>
          <w:sz w:val="32"/>
        </w:rPr>
        <w:t>进一步推动居家和社区养老服务的发展</w:t>
      </w:r>
      <w:r>
        <w:rPr>
          <w:rFonts w:hint="eastAsia" w:ascii="Times New Roman" w:hAnsi="Times New Roman" w:eastAsia="仿宋_GB2312"/>
          <w:sz w:val="32"/>
        </w:rPr>
        <w:t>，天津市和平区被财政部确定为第五批居家和社区基本养老服务提升行动项目地区。</w:t>
      </w:r>
      <w:r>
        <w:rPr>
          <w:rFonts w:ascii="Times New Roman" w:hAnsi="Times New Roman" w:eastAsia="仿宋_GB2312"/>
          <w:sz w:val="32"/>
        </w:rPr>
        <w:t>根据</w:t>
      </w:r>
      <w:r>
        <w:rPr>
          <w:rFonts w:hint="eastAsia" w:ascii="Times New Roman" w:hAnsi="Times New Roman" w:eastAsia="仿宋_GB2312"/>
          <w:sz w:val="32"/>
        </w:rPr>
        <w:t>《国务院关于印发“十四五”国家老龄事业发展和养老服务体系规划的通知》</w:t>
      </w:r>
      <w:r>
        <w:rPr>
          <w:rFonts w:ascii="Times New Roman" w:hAnsi="Times New Roman" w:eastAsia="仿宋_GB2312"/>
          <w:sz w:val="32"/>
        </w:rPr>
        <w:t>（国发〔2021〕35号）</w:t>
      </w:r>
      <w:r>
        <w:rPr>
          <w:rFonts w:hint="eastAsia" w:ascii="Times New Roman" w:hAnsi="Times New Roman" w:eastAsia="仿宋_GB2312"/>
          <w:sz w:val="32"/>
        </w:rPr>
        <w:t>、</w:t>
      </w:r>
      <w:r>
        <w:rPr>
          <w:rFonts w:ascii="Times New Roman" w:hAnsi="Times New Roman" w:eastAsia="仿宋_GB2312"/>
          <w:sz w:val="32"/>
        </w:rPr>
        <w:t>《</w:t>
      </w:r>
      <w:r>
        <w:rPr>
          <w:rFonts w:hint="eastAsia" w:ascii="Times New Roman" w:hAnsi="Times New Roman" w:eastAsia="仿宋_GB2312"/>
          <w:sz w:val="32"/>
        </w:rPr>
        <w:t>关于开展第五批居家和社区养老服务改革试点成果验收的通知</w:t>
      </w:r>
      <w:r>
        <w:rPr>
          <w:rFonts w:ascii="Times New Roman" w:hAnsi="Times New Roman" w:eastAsia="仿宋_GB2312"/>
          <w:sz w:val="32"/>
        </w:rPr>
        <w:t>》</w:t>
      </w:r>
      <w:r>
        <w:rPr>
          <w:rFonts w:hint="eastAsia" w:ascii="Times New Roman" w:hAnsi="Times New Roman" w:eastAsia="仿宋_GB2312"/>
          <w:sz w:val="32"/>
        </w:rPr>
        <w:t>、《和平区居家和社区养老服务改革试点工作实施方案》（和平政办函〔2020〕5号）</w:t>
      </w:r>
      <w:r>
        <w:rPr>
          <w:rFonts w:ascii="Times New Roman" w:hAnsi="Times New Roman" w:eastAsia="仿宋_GB2312"/>
          <w:sz w:val="32"/>
        </w:rPr>
        <w:t>等文件，</w:t>
      </w:r>
      <w:r>
        <w:rPr>
          <w:rFonts w:hint="eastAsia" w:ascii="Times New Roman" w:hAnsi="Times New Roman" w:eastAsia="仿宋_GB2312"/>
          <w:sz w:val="32"/>
        </w:rPr>
        <w:t>天津市和平区民政局（以下简称“区民政局”）</w:t>
      </w:r>
      <w:r>
        <w:rPr>
          <w:rFonts w:ascii="Times New Roman" w:hAnsi="Times New Roman" w:eastAsia="仿宋_GB2312"/>
          <w:sz w:val="32"/>
        </w:rPr>
        <w:t>组织实施了</w:t>
      </w:r>
      <w:r>
        <w:rPr>
          <w:rFonts w:hint="eastAsia" w:ascii="Times New Roman" w:hAnsi="Times New Roman" w:eastAsia="仿宋_GB2312"/>
          <w:sz w:val="32"/>
        </w:rPr>
        <w:t>居家和社区养老服务改革试点补助</w:t>
      </w:r>
      <w:r>
        <w:rPr>
          <w:rFonts w:ascii="Times New Roman" w:hAnsi="Times New Roman" w:eastAsia="仿宋_GB2312"/>
          <w:sz w:val="32"/>
        </w:rPr>
        <w:t>项目。</w:t>
      </w:r>
    </w:p>
    <w:p>
      <w:pPr>
        <w:pStyle w:val="25"/>
        <w:spacing w:line="560" w:lineRule="exact"/>
        <w:ind w:firstLine="640"/>
      </w:pPr>
      <w:r>
        <w:rPr>
          <w:rFonts w:hint="eastAsia"/>
        </w:rPr>
        <w:t>2.主要内容</w:t>
      </w:r>
    </w:p>
    <w:p>
      <w:pPr>
        <w:pStyle w:val="25"/>
        <w:spacing w:line="560" w:lineRule="exact"/>
        <w:ind w:firstLine="640"/>
      </w:pPr>
      <w:r>
        <w:rPr>
          <w:rFonts w:hint="eastAsia"/>
        </w:rPr>
        <w:t>居家和社区养老服务改革试点补助</w:t>
      </w:r>
      <w:r>
        <w:t>项目主要内容为：</w:t>
      </w:r>
      <w:r>
        <w:rPr>
          <w:rFonts w:hint="eastAsia"/>
        </w:rPr>
        <w:t>开展认知障碍干预中心运营，包括为认知功能障碍人群提供社区宣传教育、认知障碍评估筛查、认知障碍早期干预、家庭支持、社区团队培育等；为适老宜居社区改造项目提供结算审核；为老旧小区安装楼梯扶手；支付2</w:t>
      </w:r>
      <w:r>
        <w:t>022</w:t>
      </w:r>
      <w:r>
        <w:rPr>
          <w:rFonts w:hint="eastAsia"/>
        </w:rPr>
        <w:t>年居家和社区养老服务改革服务尾款等工作</w:t>
      </w:r>
      <w:r>
        <w:t>。推动</w:t>
      </w:r>
      <w:r>
        <w:rPr>
          <w:rFonts w:hint="eastAsia"/>
        </w:rPr>
        <w:t>了</w:t>
      </w:r>
      <w:r>
        <w:t>居家和社区养老服务的创新性、示范性发展</w:t>
      </w:r>
      <w:r>
        <w:rPr>
          <w:rFonts w:hint="eastAsia"/>
        </w:rPr>
        <w:t>，</w:t>
      </w:r>
      <w:r>
        <w:t>提升</w:t>
      </w:r>
      <w:r>
        <w:rPr>
          <w:rFonts w:hint="eastAsia"/>
        </w:rPr>
        <w:t>了</w:t>
      </w:r>
      <w:r>
        <w:t>养老服务质量，满足</w:t>
      </w:r>
      <w:r>
        <w:rPr>
          <w:rFonts w:hint="eastAsia"/>
        </w:rPr>
        <w:t>了</w:t>
      </w:r>
      <w:r>
        <w:t>老年人的</w:t>
      </w:r>
      <w:r>
        <w:rPr>
          <w:rFonts w:hint="eastAsia"/>
        </w:rPr>
        <w:t>基本</w:t>
      </w:r>
      <w:r>
        <w:t>养老需求</w:t>
      </w:r>
      <w:r>
        <w:rPr>
          <w:rFonts w:hint="eastAsia"/>
        </w:rPr>
        <w:t>。</w:t>
      </w:r>
    </w:p>
    <w:p>
      <w:pPr>
        <w:pStyle w:val="25"/>
        <w:spacing w:line="560" w:lineRule="exact"/>
        <w:ind w:firstLine="640"/>
      </w:pPr>
      <w:r>
        <w:rPr>
          <w:rFonts w:hint="eastAsia"/>
        </w:rPr>
        <w:t>3.项目组织管理</w:t>
      </w:r>
    </w:p>
    <w:p>
      <w:pPr>
        <w:spacing w:line="560" w:lineRule="exact"/>
        <w:ind w:firstLine="640"/>
        <w:rPr>
          <w:rFonts w:ascii="Times New Roman" w:hAnsi="Times New Roman" w:eastAsia="仿宋_GB2312"/>
          <w:sz w:val="32"/>
        </w:rPr>
      </w:pPr>
      <w:r>
        <w:rPr>
          <w:rFonts w:hint="eastAsia" w:ascii="Times New Roman" w:hAnsi="Times New Roman" w:eastAsia="仿宋_GB2312"/>
          <w:sz w:val="32"/>
        </w:rPr>
        <w:t>项目主管单位和实施单位为区民政局，负责统筹监督管理居家和社区养老服务改革试点补助项目的具体开展、政采招标、签订合同、组织验收等工作，制定项目业务制度，完成并审核项目资金的使用，保障项目顺利实施。</w:t>
      </w:r>
    </w:p>
    <w:p>
      <w:pPr>
        <w:pStyle w:val="25"/>
        <w:spacing w:line="560" w:lineRule="exact"/>
        <w:ind w:firstLine="640"/>
      </w:pPr>
      <w:r>
        <w:rPr>
          <w:rFonts w:hint="eastAsia"/>
        </w:rPr>
        <w:t>4.资金投入和使用情况</w:t>
      </w:r>
    </w:p>
    <w:p>
      <w:pPr>
        <w:pStyle w:val="25"/>
        <w:spacing w:line="560" w:lineRule="exact"/>
        <w:ind w:firstLine="640"/>
      </w:pPr>
      <w:r>
        <w:rPr>
          <w:rFonts w:hint="eastAsia"/>
        </w:rPr>
        <w:t>居家和社区养老服务改革试点补助</w:t>
      </w:r>
      <w:r>
        <w:t>项目</w:t>
      </w:r>
      <w:r>
        <w:rPr>
          <w:rFonts w:hint="eastAsia"/>
        </w:rPr>
        <w:t>预算安排预算资金</w:t>
      </w:r>
      <w:r>
        <w:t>866.82</w:t>
      </w:r>
      <w:r>
        <w:rPr>
          <w:rFonts w:hint="eastAsia"/>
        </w:rPr>
        <w:t>万元，包括市级转移支付资金5</w:t>
      </w:r>
      <w:r>
        <w:t>77.6</w:t>
      </w:r>
      <w:r>
        <w:rPr>
          <w:rFonts w:hint="eastAsia"/>
        </w:rPr>
        <w:t>万元，上年结转资金</w:t>
      </w:r>
      <w:r>
        <w:t>289.22</w:t>
      </w:r>
      <w:r>
        <w:rPr>
          <w:rFonts w:hint="eastAsia"/>
        </w:rPr>
        <w:t>万元。截至2</w:t>
      </w:r>
      <w:r>
        <w:t>023</w:t>
      </w:r>
      <w:r>
        <w:rPr>
          <w:rFonts w:hint="eastAsia"/>
        </w:rPr>
        <w:t>年1</w:t>
      </w:r>
      <w:r>
        <w:t>2</w:t>
      </w:r>
      <w:r>
        <w:rPr>
          <w:rFonts w:hint="eastAsia"/>
        </w:rPr>
        <w:t>月3</w:t>
      </w:r>
      <w:r>
        <w:t>1</w:t>
      </w:r>
      <w:r>
        <w:rPr>
          <w:rFonts w:hint="eastAsia"/>
        </w:rPr>
        <w:t>日，资金已到位</w:t>
      </w:r>
      <w:r>
        <w:t>866.82</w:t>
      </w:r>
      <w:r>
        <w:rPr>
          <w:rFonts w:hint="eastAsia"/>
        </w:rPr>
        <w:t>万元，资金到位率为1</w:t>
      </w:r>
      <w:r>
        <w:t>00</w:t>
      </w:r>
      <w:r>
        <w:rPr>
          <w:rFonts w:hint="eastAsia"/>
        </w:rPr>
        <w:t>%。</w:t>
      </w:r>
    </w:p>
    <w:p>
      <w:pPr>
        <w:pStyle w:val="25"/>
        <w:spacing w:line="560" w:lineRule="exact"/>
        <w:ind w:firstLine="640"/>
      </w:pPr>
      <w:r>
        <w:rPr>
          <w:rFonts w:hint="eastAsia"/>
        </w:rPr>
        <w:t>项目执行过程中，按照合同支付金额，实际支出</w:t>
      </w:r>
      <w:r>
        <w:t>264.1</w:t>
      </w:r>
      <w:r>
        <w:rPr>
          <w:rFonts w:hint="eastAsia"/>
        </w:rPr>
        <w:t>万元，分别为：认知障碍干预中心运营服务费</w:t>
      </w:r>
      <w:r>
        <w:t>13.86</w:t>
      </w:r>
      <w:r>
        <w:rPr>
          <w:rFonts w:hint="eastAsia"/>
        </w:rPr>
        <w:t>万元、适老宜居社区改造服务项目审核费1</w:t>
      </w:r>
      <w:r>
        <w:t>.5</w:t>
      </w:r>
      <w:r>
        <w:rPr>
          <w:rFonts w:hint="eastAsia"/>
        </w:rPr>
        <w:t>万元、2</w:t>
      </w:r>
      <w:r>
        <w:t>023</w:t>
      </w:r>
      <w:r>
        <w:rPr>
          <w:rFonts w:hint="eastAsia"/>
        </w:rPr>
        <w:t>年老旧小区扶手安装服务费</w:t>
      </w:r>
      <w:r>
        <w:t>2.86</w:t>
      </w:r>
      <w:r>
        <w:rPr>
          <w:rFonts w:hint="eastAsia"/>
        </w:rPr>
        <w:t>万元及结算2</w:t>
      </w:r>
      <w:r>
        <w:t>022</w:t>
      </w:r>
      <w:r>
        <w:rPr>
          <w:rFonts w:hint="eastAsia"/>
        </w:rPr>
        <w:t>年</w:t>
      </w:r>
      <w:r>
        <w:t>9</w:t>
      </w:r>
      <w:r>
        <w:rPr>
          <w:rFonts w:hint="eastAsia"/>
        </w:rPr>
        <w:t>项居家和社区养老服务改革项目尾款</w:t>
      </w:r>
      <w:r>
        <w:t>245.88</w:t>
      </w:r>
      <w:r>
        <w:rPr>
          <w:rFonts w:hint="eastAsia"/>
        </w:rPr>
        <w:t>万元，预算执行率为</w:t>
      </w:r>
      <w:r>
        <w:t>30.47</w:t>
      </w:r>
      <w:r>
        <w:rPr>
          <w:rFonts w:hint="eastAsia"/>
        </w:rPr>
        <w:t>%。资金具体情况见表1。</w:t>
      </w:r>
    </w:p>
    <w:p>
      <w:pPr>
        <w:pStyle w:val="32"/>
        <w:spacing w:line="560" w:lineRule="exact"/>
      </w:pPr>
      <w:r>
        <w:t>表1  资金预算执行率情况表</w:t>
      </w:r>
    </w:p>
    <w:p>
      <w:pPr>
        <w:pStyle w:val="33"/>
        <w:spacing w:line="560" w:lineRule="exact"/>
      </w:pPr>
      <w:r>
        <w:rPr>
          <w:rFonts w:hint="eastAsia"/>
        </w:rPr>
        <w:t>单位：万元</w:t>
      </w:r>
    </w:p>
    <w:tbl>
      <w:tblPr>
        <w:tblStyle w:val="15"/>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512"/>
        <w:gridCol w:w="1508"/>
        <w:gridCol w:w="1422"/>
        <w:gridCol w:w="1490"/>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46" w:type="pct"/>
            <w:vAlign w:val="center"/>
          </w:tcPr>
          <w:p>
            <w:pPr>
              <w:pStyle w:val="35"/>
              <w:rPr>
                <w:rFonts w:ascii="宋体" w:hAnsi="宋体" w:eastAsia="宋体" w:cs="宋体"/>
              </w:rPr>
            </w:pPr>
            <w:r>
              <w:rPr>
                <w:rFonts w:hint="eastAsia" w:ascii="宋体" w:hAnsi="宋体" w:eastAsia="宋体" w:cs="宋体"/>
              </w:rPr>
              <w:t>资金计划</w:t>
            </w:r>
          </w:p>
          <w:p>
            <w:pPr>
              <w:pStyle w:val="35"/>
              <w:rPr>
                <w:rFonts w:ascii="宋体" w:hAnsi="宋体" w:eastAsia="宋体" w:cs="宋体"/>
              </w:rPr>
            </w:pPr>
            <w:r>
              <w:rPr>
                <w:rFonts w:hint="eastAsia" w:ascii="宋体" w:hAnsi="宋体" w:eastAsia="宋体" w:cs="宋体"/>
              </w:rPr>
              <w:t>下达时间</w:t>
            </w:r>
          </w:p>
        </w:tc>
        <w:tc>
          <w:tcPr>
            <w:tcW w:w="846" w:type="pct"/>
            <w:vAlign w:val="center"/>
          </w:tcPr>
          <w:p>
            <w:pPr>
              <w:pStyle w:val="35"/>
              <w:rPr>
                <w:rFonts w:ascii="宋体" w:hAnsi="宋体" w:eastAsia="宋体" w:cs="宋体"/>
              </w:rPr>
            </w:pPr>
            <w:r>
              <w:rPr>
                <w:rFonts w:hint="eastAsia" w:ascii="宋体" w:hAnsi="宋体" w:eastAsia="宋体" w:cs="宋体"/>
              </w:rPr>
              <w:t>资金计划</w:t>
            </w:r>
          </w:p>
          <w:p>
            <w:pPr>
              <w:pStyle w:val="35"/>
              <w:rPr>
                <w:rFonts w:ascii="宋体" w:hAnsi="宋体" w:eastAsia="宋体" w:cs="宋体"/>
              </w:rPr>
            </w:pPr>
            <w:r>
              <w:rPr>
                <w:rFonts w:hint="eastAsia" w:ascii="宋体" w:hAnsi="宋体" w:eastAsia="宋体" w:cs="宋体"/>
              </w:rPr>
              <w:t>下达金额</w:t>
            </w:r>
          </w:p>
        </w:tc>
        <w:tc>
          <w:tcPr>
            <w:tcW w:w="844" w:type="pct"/>
            <w:vAlign w:val="center"/>
          </w:tcPr>
          <w:p>
            <w:pPr>
              <w:pStyle w:val="35"/>
              <w:rPr>
                <w:rFonts w:ascii="宋体" w:hAnsi="宋体" w:eastAsia="宋体" w:cs="宋体"/>
              </w:rPr>
            </w:pPr>
            <w:r>
              <w:rPr>
                <w:rFonts w:hint="eastAsia" w:ascii="宋体" w:hAnsi="宋体" w:eastAsia="宋体" w:cs="宋体"/>
              </w:rPr>
              <w:t>实际到位资金</w:t>
            </w:r>
          </w:p>
        </w:tc>
        <w:tc>
          <w:tcPr>
            <w:tcW w:w="796" w:type="pct"/>
            <w:vAlign w:val="center"/>
          </w:tcPr>
          <w:p>
            <w:pPr>
              <w:pStyle w:val="35"/>
              <w:rPr>
                <w:rFonts w:ascii="宋体" w:hAnsi="宋体" w:eastAsia="宋体" w:cs="宋体"/>
              </w:rPr>
            </w:pPr>
            <w:r>
              <w:rPr>
                <w:rFonts w:hint="eastAsia" w:ascii="宋体" w:hAnsi="宋体" w:eastAsia="宋体" w:cs="宋体"/>
              </w:rPr>
              <w:t>资金到位率</w:t>
            </w:r>
          </w:p>
        </w:tc>
        <w:tc>
          <w:tcPr>
            <w:tcW w:w="834" w:type="pct"/>
            <w:vAlign w:val="center"/>
          </w:tcPr>
          <w:p>
            <w:pPr>
              <w:pStyle w:val="35"/>
              <w:rPr>
                <w:rFonts w:ascii="宋体" w:hAnsi="宋体" w:eastAsia="宋体" w:cs="宋体"/>
              </w:rPr>
            </w:pPr>
            <w:r>
              <w:rPr>
                <w:rFonts w:hint="eastAsia" w:ascii="宋体" w:hAnsi="宋体" w:eastAsia="宋体" w:cs="宋体"/>
              </w:rPr>
              <w:t>实际支付资金</w:t>
            </w:r>
          </w:p>
        </w:tc>
        <w:tc>
          <w:tcPr>
            <w:tcW w:w="831" w:type="pct"/>
            <w:vAlign w:val="center"/>
          </w:tcPr>
          <w:p>
            <w:pPr>
              <w:pStyle w:val="35"/>
              <w:rPr>
                <w:rFonts w:ascii="宋体" w:hAnsi="宋体" w:eastAsia="宋体" w:cs="宋体"/>
              </w:rPr>
            </w:pPr>
            <w:r>
              <w:rPr>
                <w:rFonts w:hint="eastAsia" w:ascii="宋体" w:hAnsi="宋体" w:eastAsia="宋体" w:cs="宋体"/>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6" w:type="pct"/>
            <w:vAlign w:val="center"/>
          </w:tcPr>
          <w:p>
            <w:pPr>
              <w:pStyle w:val="37"/>
            </w:pPr>
            <w:r>
              <w:rPr>
                <w:rFonts w:hint="eastAsia"/>
              </w:rPr>
              <w:t>2</w:t>
            </w:r>
            <w:r>
              <w:t>023</w:t>
            </w:r>
            <w:r>
              <w:rPr>
                <w:rFonts w:hint="eastAsia"/>
              </w:rPr>
              <w:t>年</w:t>
            </w:r>
          </w:p>
        </w:tc>
        <w:tc>
          <w:tcPr>
            <w:tcW w:w="846" w:type="pct"/>
            <w:vAlign w:val="center"/>
          </w:tcPr>
          <w:p>
            <w:pPr>
              <w:pStyle w:val="37"/>
            </w:pPr>
            <w:r>
              <w:t>866.82</w:t>
            </w:r>
          </w:p>
        </w:tc>
        <w:tc>
          <w:tcPr>
            <w:tcW w:w="844" w:type="pct"/>
            <w:vAlign w:val="center"/>
          </w:tcPr>
          <w:p>
            <w:pPr>
              <w:pStyle w:val="37"/>
            </w:pPr>
            <w:r>
              <w:t>866.82</w:t>
            </w:r>
          </w:p>
        </w:tc>
        <w:tc>
          <w:tcPr>
            <w:tcW w:w="796" w:type="pct"/>
            <w:vAlign w:val="center"/>
          </w:tcPr>
          <w:p>
            <w:pPr>
              <w:pStyle w:val="37"/>
            </w:pPr>
            <w:r>
              <w:rPr>
                <w:rFonts w:hint="eastAsia"/>
              </w:rPr>
              <w:t>1</w:t>
            </w:r>
            <w:r>
              <w:t>00%</w:t>
            </w:r>
          </w:p>
        </w:tc>
        <w:tc>
          <w:tcPr>
            <w:tcW w:w="834" w:type="pct"/>
            <w:vAlign w:val="center"/>
          </w:tcPr>
          <w:p>
            <w:pPr>
              <w:pStyle w:val="37"/>
            </w:pPr>
            <w:r>
              <w:t>264.1</w:t>
            </w:r>
          </w:p>
        </w:tc>
        <w:tc>
          <w:tcPr>
            <w:tcW w:w="831" w:type="pct"/>
            <w:vAlign w:val="center"/>
          </w:tcPr>
          <w:p>
            <w:pPr>
              <w:pStyle w:val="37"/>
            </w:pPr>
            <w:r>
              <w:t>30.47%</w:t>
            </w:r>
          </w:p>
        </w:tc>
      </w:tr>
    </w:tbl>
    <w:p>
      <w:pPr>
        <w:pStyle w:val="29"/>
        <w:spacing w:line="560" w:lineRule="exact"/>
        <w:ind w:firstLine="640"/>
      </w:pPr>
      <w:bookmarkStart w:id="5" w:name="_Toc179622648"/>
      <w:r>
        <w:rPr>
          <w:rFonts w:hint="eastAsia"/>
        </w:rPr>
        <w:t>（二）项目绩效目标</w:t>
      </w:r>
      <w:bookmarkEnd w:id="5"/>
    </w:p>
    <w:p>
      <w:pPr>
        <w:pStyle w:val="25"/>
        <w:spacing w:line="560" w:lineRule="exact"/>
        <w:ind w:firstLine="640"/>
      </w:pPr>
      <w:r>
        <w:rPr>
          <w:rFonts w:hint="eastAsia"/>
        </w:rPr>
        <w:t>居家和社区养老服务改革试点补助项目总体绩效目标为“通过居家适老化改造补助经费保障，完成居家和社区养老服务改革试点重点项目，提升老年人幸福感”。绩效指标中产出指标从“养老服务改革试点服务个数大于等于</w:t>
      </w:r>
      <w:r>
        <w:t>64</w:t>
      </w:r>
      <w:r>
        <w:rPr>
          <w:rFonts w:hint="eastAsia"/>
        </w:rPr>
        <w:t>个”“老服务改革试点项目合格率不低于9</w:t>
      </w:r>
      <w:r>
        <w:t>5%</w:t>
      </w:r>
      <w:r>
        <w:rPr>
          <w:rFonts w:hint="eastAsia"/>
        </w:rPr>
        <w:t>”“老服务改革试点项目保障及时率不低于9</w:t>
      </w:r>
      <w:r>
        <w:t>5%</w:t>
      </w:r>
      <w:r>
        <w:rPr>
          <w:rFonts w:hint="eastAsia"/>
        </w:rPr>
        <w:t>”“家和社区试点补助资金不高于</w:t>
      </w:r>
      <w:r>
        <w:t>866.82</w:t>
      </w:r>
      <w:r>
        <w:rPr>
          <w:rFonts w:hint="eastAsia"/>
        </w:rPr>
        <w:t>万元”四个方面设置；效益指标从“提升为老服务质量”方面设置。</w:t>
      </w:r>
    </w:p>
    <w:bookmarkEnd w:id="3"/>
    <w:p>
      <w:pPr>
        <w:pStyle w:val="27"/>
        <w:spacing w:line="560" w:lineRule="exact"/>
      </w:pPr>
      <w:bookmarkStart w:id="6" w:name="_Toc179622649"/>
      <w:r>
        <w:rPr>
          <w:rFonts w:hint="eastAsia"/>
        </w:rPr>
        <w:t>二、绩效评价工作开展情况</w:t>
      </w:r>
      <w:bookmarkEnd w:id="6"/>
    </w:p>
    <w:p>
      <w:pPr>
        <w:pStyle w:val="29"/>
        <w:spacing w:line="560" w:lineRule="exact"/>
        <w:ind w:firstLine="640"/>
      </w:pPr>
      <w:bookmarkStart w:id="7" w:name="_Toc179622650"/>
      <w:r>
        <w:rPr>
          <w:rFonts w:hint="eastAsia"/>
        </w:rPr>
        <w:t>（一）绩效评价的目的、对象和范围</w:t>
      </w:r>
      <w:bookmarkEnd w:id="7"/>
    </w:p>
    <w:p>
      <w:pPr>
        <w:pStyle w:val="25"/>
        <w:spacing w:line="560" w:lineRule="exact"/>
        <w:ind w:firstLine="640"/>
      </w:pPr>
      <w:r>
        <w:rPr>
          <w:rFonts w:hint="eastAsia"/>
        </w:rPr>
        <w:t>1.绩效评价目的</w:t>
      </w:r>
    </w:p>
    <w:p>
      <w:pPr>
        <w:pStyle w:val="25"/>
        <w:spacing w:line="560" w:lineRule="exact"/>
        <w:ind w:firstLine="640"/>
      </w:pPr>
      <w:r>
        <w:rPr>
          <w:rFonts w:hint="eastAsia"/>
        </w:rPr>
        <w:t>本次评价以《国务院关于印发“十四五”国家老龄事业发展和养老服务体系规划的通知》</w:t>
      </w:r>
      <w:r>
        <w:t>（国发〔2021〕35号）</w:t>
      </w:r>
      <w:r>
        <w:rPr>
          <w:rFonts w:hint="eastAsia"/>
        </w:rPr>
        <w:t>、</w:t>
      </w:r>
      <w:r>
        <w:t>《</w:t>
      </w:r>
      <w:r>
        <w:rPr>
          <w:rFonts w:hint="eastAsia"/>
        </w:rPr>
        <w:t>关于开展第五批居家和社区养老服务改革试点成果验收的通知</w:t>
      </w:r>
      <w:r>
        <w:t>》</w:t>
      </w:r>
      <w:r>
        <w:rPr>
          <w:rFonts w:hint="eastAsia"/>
        </w:rPr>
        <w:t>、</w:t>
      </w:r>
      <w:r>
        <w:t>《财政部关于印发〈项目支出绩效评价管理办法〉的通知》（财预〔2020〕10号）、</w:t>
      </w:r>
      <w:r>
        <w:rPr>
          <w:rFonts w:hint="eastAsia"/>
        </w:rPr>
        <w:t>《</w:t>
      </w:r>
      <w:r>
        <w:t>天津市委市政府关于全面推进预算绩效管理的实施方案</w:t>
      </w:r>
      <w:r>
        <w:rPr>
          <w:rFonts w:hint="eastAsia"/>
        </w:rPr>
        <w:t>》</w:t>
      </w:r>
      <w:r>
        <w:t>、《天津市市级财政项目支出绩效评价管理办法》（津财绩效〔2020〕12号）、《和平区财政局关于印发&lt;和平区预算绩效管理办法&gt;的通知》（津和财〔2020〕62号）</w:t>
      </w:r>
      <w:r>
        <w:rPr>
          <w:rFonts w:hint="eastAsia"/>
        </w:rPr>
        <w:t>、《和平区居家和社区养老服务改革试点工作实施方案》（和平政办函〔2020〕5号）</w:t>
      </w:r>
      <w:r>
        <w:t>等文件为依据，对</w:t>
      </w:r>
      <w:r>
        <w:rPr>
          <w:rFonts w:hint="eastAsia"/>
        </w:rPr>
        <w:t>居家和社区养老服务改革试点补助项目</w:t>
      </w:r>
      <w:r>
        <w:t>专项资金使用绩效情况进行评价。开展此次评价工作的目的在于：</w:t>
      </w:r>
    </w:p>
    <w:p>
      <w:pPr>
        <w:pStyle w:val="25"/>
        <w:spacing w:line="560" w:lineRule="exact"/>
        <w:ind w:firstLine="640"/>
      </w:pPr>
      <w:r>
        <w:rPr>
          <w:rFonts w:hint="eastAsia"/>
        </w:rPr>
        <w:t>（</w:t>
      </w:r>
      <w:r>
        <w:t>1）通过本项目的实施情况进行核实评价，了解掌握项目的实施情况。</w:t>
      </w:r>
    </w:p>
    <w:p>
      <w:pPr>
        <w:pStyle w:val="25"/>
        <w:spacing w:line="560" w:lineRule="exact"/>
        <w:ind w:firstLine="640"/>
      </w:pPr>
      <w:r>
        <w:rPr>
          <w:rFonts w:hint="eastAsia"/>
        </w:rPr>
        <w:t>（</w:t>
      </w:r>
      <w:r>
        <w:t>2）根据项目实施的具体情况，评价其项目资金安排的科学性、合理性、规范性，完善项目管理办法，提高项目管理水平和资金的使用效率。</w:t>
      </w:r>
    </w:p>
    <w:p>
      <w:pPr>
        <w:pStyle w:val="25"/>
        <w:spacing w:line="560" w:lineRule="exact"/>
        <w:ind w:firstLine="640"/>
      </w:pPr>
      <w:r>
        <w:rPr>
          <w:rFonts w:hint="eastAsia"/>
        </w:rPr>
        <w:t>（</w:t>
      </w:r>
      <w:r>
        <w:t>3）按照天津市和平区财政局《和平区预算绩效管理办法》及绩效评价指标体系的要求，从决策、过程、产出、效益四个方面对本项目进行客观、公正的评价；总结项目管理与执行经验，发现项目管理和预算管理中存在的问题，提出改进意见和建议，为相关部门决策、管理提供参考依据。</w:t>
      </w:r>
    </w:p>
    <w:p>
      <w:pPr>
        <w:pStyle w:val="25"/>
        <w:spacing w:line="560" w:lineRule="exact"/>
        <w:ind w:firstLine="640"/>
      </w:pPr>
      <w:r>
        <w:rPr>
          <w:rFonts w:hint="eastAsia"/>
        </w:rPr>
        <w:t>（</w:t>
      </w:r>
      <w:r>
        <w:t>4）进一步丰富和完善本项目绩效评价方法体系，推动建立以绩效评价结果为导向的财政资金分配与管理制度，提升财政资金科学化、精细化管理水平，为</w:t>
      </w:r>
      <w:r>
        <w:rPr>
          <w:rFonts w:hint="eastAsia"/>
        </w:rPr>
        <w:t>居家和社区养老服务改革试点补助项目</w:t>
      </w:r>
      <w:r>
        <w:t>专项资金的安排提供重要依据。</w:t>
      </w:r>
    </w:p>
    <w:p>
      <w:pPr>
        <w:pStyle w:val="25"/>
        <w:spacing w:line="560" w:lineRule="exact"/>
        <w:ind w:firstLine="640"/>
      </w:pPr>
      <w:r>
        <w:rPr>
          <w:rFonts w:hint="eastAsia"/>
        </w:rPr>
        <w:t>2.绩效评价对象和范围</w:t>
      </w:r>
    </w:p>
    <w:p>
      <w:pPr>
        <w:pStyle w:val="25"/>
        <w:spacing w:line="560" w:lineRule="exact"/>
        <w:ind w:firstLine="640"/>
      </w:pPr>
      <w:r>
        <w:rPr>
          <w:rFonts w:hint="eastAsia"/>
        </w:rPr>
        <w:t>本次绩效评价针对居家和社区养老服务改革试点补助项目展开，评价对象为区民政局。绩效评价范围如下：</w:t>
      </w:r>
    </w:p>
    <w:p>
      <w:pPr>
        <w:pStyle w:val="25"/>
        <w:spacing w:line="560" w:lineRule="exact"/>
        <w:ind w:firstLine="640"/>
      </w:pPr>
      <w:r>
        <w:rPr>
          <w:rFonts w:hint="eastAsia"/>
        </w:rPr>
        <w:t>（</w:t>
      </w:r>
      <w:r>
        <w:t>1）立项依据和立项程序情况；</w:t>
      </w:r>
    </w:p>
    <w:p>
      <w:pPr>
        <w:pStyle w:val="25"/>
        <w:spacing w:line="560" w:lineRule="exact"/>
        <w:ind w:firstLine="640"/>
      </w:pPr>
      <w:r>
        <w:rPr>
          <w:rFonts w:hint="eastAsia"/>
        </w:rPr>
        <w:t>（</w:t>
      </w:r>
      <w:r>
        <w:t>2）绩效目标和指标设定情况；</w:t>
      </w:r>
    </w:p>
    <w:p>
      <w:pPr>
        <w:pStyle w:val="25"/>
        <w:spacing w:line="560" w:lineRule="exact"/>
        <w:ind w:firstLine="640"/>
      </w:pPr>
      <w:r>
        <w:rPr>
          <w:rFonts w:hint="eastAsia"/>
        </w:rPr>
        <w:t>（</w:t>
      </w:r>
      <w:r>
        <w:t>3）预算编制和资金分配情况；</w:t>
      </w:r>
    </w:p>
    <w:p>
      <w:pPr>
        <w:pStyle w:val="25"/>
        <w:spacing w:line="560" w:lineRule="exact"/>
        <w:ind w:firstLine="640"/>
      </w:pPr>
      <w:r>
        <w:rPr>
          <w:rFonts w:hint="eastAsia"/>
        </w:rPr>
        <w:t>（</w:t>
      </w:r>
      <w:r>
        <w:t>4）资金管理和使用情况；</w:t>
      </w:r>
    </w:p>
    <w:p>
      <w:pPr>
        <w:pStyle w:val="25"/>
        <w:spacing w:line="560" w:lineRule="exact"/>
        <w:ind w:firstLine="640"/>
      </w:pPr>
      <w:r>
        <w:rPr>
          <w:rFonts w:hint="eastAsia"/>
        </w:rPr>
        <w:t>（</w:t>
      </w:r>
      <w:r>
        <w:t>5）相关制度办法的健全性及执行情况；</w:t>
      </w:r>
    </w:p>
    <w:p>
      <w:pPr>
        <w:pStyle w:val="25"/>
        <w:spacing w:line="560" w:lineRule="exact"/>
        <w:ind w:firstLine="640"/>
      </w:pPr>
      <w:r>
        <w:rPr>
          <w:rFonts w:hint="eastAsia"/>
        </w:rPr>
        <w:t>（</w:t>
      </w:r>
      <w:r>
        <w:t>6）实现的产出情况；</w:t>
      </w:r>
    </w:p>
    <w:p>
      <w:pPr>
        <w:pStyle w:val="25"/>
        <w:spacing w:line="560" w:lineRule="exact"/>
        <w:ind w:firstLine="640"/>
      </w:pPr>
      <w:r>
        <w:rPr>
          <w:rFonts w:hint="eastAsia"/>
        </w:rPr>
        <w:t>（</w:t>
      </w:r>
      <w:r>
        <w:t>7）取得的效益情况；</w:t>
      </w:r>
    </w:p>
    <w:p>
      <w:pPr>
        <w:pStyle w:val="25"/>
        <w:spacing w:line="560" w:lineRule="exact"/>
        <w:ind w:firstLine="640"/>
      </w:pPr>
      <w:r>
        <w:rPr>
          <w:rFonts w:hint="eastAsia"/>
        </w:rPr>
        <w:t>（</w:t>
      </w:r>
      <w:r>
        <w:t>8）其他相关内容。</w:t>
      </w:r>
    </w:p>
    <w:p>
      <w:pPr>
        <w:pStyle w:val="29"/>
        <w:spacing w:line="560" w:lineRule="exact"/>
        <w:ind w:firstLine="640"/>
      </w:pPr>
      <w:bookmarkStart w:id="8" w:name="_Toc179622651"/>
      <w:r>
        <w:rPr>
          <w:rFonts w:hint="eastAsia"/>
        </w:rPr>
        <w:t>（二）</w:t>
      </w:r>
      <w:r>
        <w:rPr>
          <w:rFonts w:hint="eastAsia" w:ascii="楷体_GB2312" w:hAnsi="Times New Roman" w:cs="楷体_GB2312"/>
          <w:bCs w:val="0"/>
        </w:rPr>
        <w:t>绩效评价原则、评价指标体系、评价方法</w:t>
      </w:r>
      <w:bookmarkEnd w:id="8"/>
    </w:p>
    <w:p>
      <w:pPr>
        <w:pStyle w:val="25"/>
        <w:spacing w:line="560" w:lineRule="exact"/>
        <w:ind w:firstLine="640"/>
      </w:pPr>
      <w:r>
        <w:t>1.</w:t>
      </w:r>
      <w:r>
        <w:rPr>
          <w:rFonts w:hint="eastAsia"/>
        </w:rPr>
        <w:t>绩效评价原则</w:t>
      </w:r>
    </w:p>
    <w:p>
      <w:pPr>
        <w:pStyle w:val="25"/>
        <w:spacing w:line="560" w:lineRule="exact"/>
        <w:ind w:firstLine="640"/>
      </w:pPr>
      <w:r>
        <w:rPr>
          <w:rFonts w:hint="eastAsia"/>
        </w:rPr>
        <w:t>（</w:t>
      </w:r>
      <w:r>
        <w:t>1</w:t>
      </w:r>
      <w:r>
        <w:rPr>
          <w:rFonts w:hint="eastAsia"/>
        </w:rPr>
        <w:t>）坚持科学规范的原则。此次绩效评价运用科学合理的评价指标体系和方法，按照规范的程序，对支出绩效进行客观、公正的反映。</w:t>
      </w:r>
    </w:p>
    <w:p>
      <w:pPr>
        <w:pStyle w:val="25"/>
        <w:spacing w:line="560" w:lineRule="exact"/>
        <w:ind w:firstLine="640"/>
      </w:pPr>
      <w:r>
        <w:rPr>
          <w:rFonts w:hint="eastAsia"/>
        </w:rPr>
        <w:t>（</w:t>
      </w:r>
      <w:r>
        <w:t>2</w:t>
      </w:r>
      <w:r>
        <w:rPr>
          <w:rFonts w:hint="eastAsia"/>
        </w:rPr>
        <w:t>）坚持统筹兼顾的原则。此次评价委托第三方机构在单位自评的基础上开展。</w:t>
      </w:r>
    </w:p>
    <w:p>
      <w:pPr>
        <w:pStyle w:val="25"/>
        <w:spacing w:line="560" w:lineRule="exact"/>
        <w:ind w:firstLine="640"/>
      </w:pPr>
      <w:bookmarkStart w:id="9"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5"/>
        <w:spacing w:line="560" w:lineRule="exact"/>
        <w:ind w:firstLine="640"/>
      </w:pPr>
      <w:r>
        <w:rPr>
          <w:rFonts w:hint="eastAsia"/>
        </w:rPr>
        <w:t>（</w:t>
      </w:r>
      <w:r>
        <w:t>4</w:t>
      </w:r>
      <w:r>
        <w:rPr>
          <w:rFonts w:hint="eastAsia"/>
        </w:rPr>
        <w:t>）坚持公开透明的原则。承诺绩效评价结果依法依规公开，自觉接受有关机构和社会监督。</w:t>
      </w:r>
    </w:p>
    <w:p>
      <w:pPr>
        <w:pStyle w:val="25"/>
        <w:spacing w:line="560" w:lineRule="exact"/>
        <w:ind w:firstLine="640"/>
      </w:pPr>
      <w:r>
        <w:rPr>
          <w:rFonts w:hint="eastAsia"/>
        </w:rPr>
        <w:t>（</w:t>
      </w:r>
      <w:r>
        <w:t>5</w:t>
      </w:r>
      <w:r>
        <w:rPr>
          <w:rFonts w:hint="eastAsia"/>
        </w:rPr>
        <w:t>）坚持综合绩效评价，定量分析与定性分析相结合的原则。</w:t>
      </w:r>
    </w:p>
    <w:p>
      <w:pPr>
        <w:pStyle w:val="25"/>
        <w:spacing w:line="560" w:lineRule="exact"/>
        <w:ind w:firstLine="640"/>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9"/>
    </w:p>
    <w:p>
      <w:pPr>
        <w:pStyle w:val="25"/>
        <w:spacing w:line="560" w:lineRule="exact"/>
        <w:ind w:firstLine="640"/>
      </w:pPr>
      <w:r>
        <w:t>2.</w:t>
      </w:r>
      <w:r>
        <w:rPr>
          <w:rFonts w:hint="eastAsia"/>
        </w:rPr>
        <w:t>评价指标体系</w:t>
      </w:r>
    </w:p>
    <w:p>
      <w:pPr>
        <w:pStyle w:val="25"/>
        <w:spacing w:line="560" w:lineRule="exact"/>
        <w:ind w:firstLine="640"/>
      </w:pPr>
      <w:r>
        <w:rPr>
          <w:rFonts w:hint="eastAsia"/>
        </w:rPr>
        <w:t>针对项目情况，从决策、过程、产出及效益四大方面拟定绩效评价指标，其中：</w:t>
      </w:r>
    </w:p>
    <w:p>
      <w:pPr>
        <w:pStyle w:val="25"/>
        <w:spacing w:line="560" w:lineRule="exact"/>
        <w:ind w:firstLine="640"/>
        <w:rPr>
          <w:rFonts w:cs="仿宋_GB2312"/>
        </w:rPr>
      </w:pPr>
      <w:r>
        <w:rPr>
          <w:rFonts w:hint="eastAsia"/>
        </w:rPr>
        <w:t>（1）</w:t>
      </w:r>
      <w:r>
        <w:rPr>
          <w:rFonts w:hint="eastAsia" w:cs="仿宋_GB2312"/>
        </w:rPr>
        <w:t>项目决策指标</w:t>
      </w:r>
    </w:p>
    <w:p>
      <w:pPr>
        <w:pStyle w:val="25"/>
        <w:spacing w:line="560" w:lineRule="exact"/>
        <w:ind w:firstLine="640"/>
      </w:pPr>
      <w:r>
        <w:rPr>
          <w:rFonts w:hint="eastAsia"/>
        </w:rPr>
        <w:t>①项目立项</w:t>
      </w:r>
    </w:p>
    <w:p>
      <w:pPr>
        <w:pStyle w:val="25"/>
        <w:spacing w:line="560" w:lineRule="exact"/>
        <w:ind w:firstLine="640"/>
      </w:pPr>
      <w:r>
        <w:t>a.</w:t>
      </w:r>
      <w:r>
        <w:rPr>
          <w:rFonts w:hint="eastAsia"/>
        </w:rPr>
        <w:t>立项依据充分性。项目立项是否符合法律法规、相关政策、发展规划以及部门职责，用于反映和考核项目立项依据情况。</w:t>
      </w:r>
    </w:p>
    <w:p>
      <w:pPr>
        <w:pStyle w:val="25"/>
        <w:spacing w:line="560" w:lineRule="exact"/>
        <w:ind w:firstLine="640"/>
      </w:pPr>
      <w:r>
        <w:t>b.</w:t>
      </w:r>
      <w:r>
        <w:rPr>
          <w:rFonts w:hint="eastAsia"/>
        </w:rPr>
        <w:t>立项程序规范性。项目申请、设立过程是否符合相关要求，用以反映和考核项目立项的规范情况。</w:t>
      </w:r>
    </w:p>
    <w:p>
      <w:pPr>
        <w:pStyle w:val="25"/>
        <w:spacing w:line="560" w:lineRule="exact"/>
        <w:ind w:firstLine="640"/>
      </w:pPr>
      <w:r>
        <w:rPr>
          <w:rFonts w:hint="eastAsia"/>
        </w:rPr>
        <w:t>②绩效目标</w:t>
      </w:r>
    </w:p>
    <w:p>
      <w:pPr>
        <w:pStyle w:val="25"/>
        <w:spacing w:line="560" w:lineRule="exact"/>
        <w:ind w:firstLine="640"/>
      </w:pPr>
      <w:r>
        <w:rPr>
          <w:rFonts w:hint="eastAsia"/>
        </w:rPr>
        <w:t>a</w:t>
      </w:r>
      <w:r>
        <w:t>.</w:t>
      </w:r>
      <w:r>
        <w:rPr>
          <w:rFonts w:hint="eastAsia"/>
        </w:rPr>
        <w:t>绩效目标明确性。依据绩效目标设定的绩效指标是否清晰、细化、可衡量等，用以反映和考核项目绩效目标的明细化情况。</w:t>
      </w:r>
    </w:p>
    <w:p>
      <w:pPr>
        <w:pStyle w:val="25"/>
        <w:spacing w:line="560" w:lineRule="exact"/>
        <w:ind w:firstLine="640"/>
      </w:pPr>
      <w:r>
        <w:t>b.</w:t>
      </w:r>
      <w:r>
        <w:rPr>
          <w:rFonts w:hint="eastAsia"/>
        </w:rPr>
        <w:t>绩效目标合理性。项目所设定的绩效目标是否依据充分，是否符合客观实际，用以反映和考核项目绩效目标与项目实施的相符情况。</w:t>
      </w:r>
    </w:p>
    <w:p>
      <w:pPr>
        <w:pStyle w:val="25"/>
        <w:spacing w:line="560" w:lineRule="exact"/>
        <w:ind w:firstLine="640"/>
      </w:pPr>
      <w:r>
        <w:rPr>
          <w:rFonts w:hint="eastAsia"/>
        </w:rPr>
        <w:t>③预算编制</w:t>
      </w:r>
    </w:p>
    <w:p>
      <w:pPr>
        <w:pStyle w:val="25"/>
        <w:spacing w:line="560" w:lineRule="exact"/>
        <w:ind w:firstLine="640"/>
      </w:pPr>
      <w:r>
        <w:rPr>
          <w:rFonts w:hint="eastAsia"/>
        </w:rPr>
        <w:t>a</w:t>
      </w:r>
      <w:r>
        <w:t>.</w:t>
      </w:r>
      <w:r>
        <w:rPr>
          <w:rFonts w:hint="eastAsia"/>
        </w:rPr>
        <w:t>测算内容合规性。项目预算测算内容是否符合相关政策文件规定范围。</w:t>
      </w:r>
    </w:p>
    <w:p>
      <w:pPr>
        <w:pStyle w:val="25"/>
        <w:spacing w:line="560" w:lineRule="exact"/>
        <w:ind w:firstLine="640"/>
      </w:pPr>
      <w:r>
        <w:rPr>
          <w:rFonts w:hint="eastAsia"/>
        </w:rPr>
        <w:t>b</w:t>
      </w:r>
      <w:r>
        <w:t>.</w:t>
      </w:r>
      <w:r>
        <w:rPr>
          <w:rFonts w:hint="eastAsia"/>
        </w:rPr>
        <w:t>测算标准合理性。项目预算测算项目支出标准是否符合相关政策制度或行业、领域规定。</w:t>
      </w:r>
    </w:p>
    <w:p>
      <w:pPr>
        <w:pStyle w:val="25"/>
        <w:spacing w:line="560" w:lineRule="exact"/>
        <w:ind w:firstLine="640"/>
      </w:pPr>
      <w:r>
        <w:rPr>
          <w:rFonts w:hint="eastAsia"/>
        </w:rPr>
        <w:t>c</w:t>
      </w:r>
      <w:r>
        <w:t>.</w:t>
      </w:r>
      <w:r>
        <w:rPr>
          <w:rFonts w:hint="eastAsia"/>
        </w:rPr>
        <w:t>测算数据客观性。项目预算测算数据是否客观、真实、准确。</w:t>
      </w:r>
    </w:p>
    <w:p>
      <w:pPr>
        <w:pStyle w:val="25"/>
        <w:spacing w:line="560" w:lineRule="exact"/>
        <w:ind w:firstLine="640"/>
      </w:pPr>
      <w:r>
        <w:rPr>
          <w:rFonts w:hint="eastAsia"/>
        </w:rPr>
        <w:t>d</w:t>
      </w:r>
      <w:r>
        <w:t>.</w:t>
      </w:r>
      <w:r>
        <w:rPr>
          <w:rFonts w:hint="eastAsia"/>
        </w:rPr>
        <w:t>测算过程细化度。测算过程是否细化清晰。</w:t>
      </w:r>
    </w:p>
    <w:p>
      <w:pPr>
        <w:pStyle w:val="25"/>
        <w:spacing w:line="560" w:lineRule="exact"/>
        <w:ind w:firstLine="640"/>
      </w:pPr>
      <w:r>
        <w:rPr>
          <w:rFonts w:hint="eastAsia"/>
        </w:rPr>
        <w:t>（2）项目过程指标</w:t>
      </w:r>
    </w:p>
    <w:p>
      <w:pPr>
        <w:pStyle w:val="25"/>
        <w:spacing w:line="560" w:lineRule="exact"/>
        <w:ind w:firstLine="640"/>
      </w:pPr>
      <w:r>
        <w:rPr>
          <w:rFonts w:hint="eastAsia"/>
        </w:rPr>
        <w:t>①资金管理</w:t>
      </w:r>
    </w:p>
    <w:p>
      <w:pPr>
        <w:pStyle w:val="25"/>
        <w:spacing w:line="560" w:lineRule="exact"/>
        <w:ind w:firstLine="640"/>
      </w:pPr>
      <w:r>
        <w:rPr>
          <w:rFonts w:hint="eastAsia"/>
        </w:rPr>
        <w:t>a</w:t>
      </w:r>
      <w:r>
        <w:t>.</w:t>
      </w:r>
      <w:r>
        <w:rPr>
          <w:rFonts w:hint="eastAsia"/>
        </w:rPr>
        <w:t>资金到位率。实际到位资金与预算资金的比率，用以反映和考核资金落实情况对项目实施的总体保障程度。</w:t>
      </w:r>
    </w:p>
    <w:p>
      <w:pPr>
        <w:pStyle w:val="25"/>
        <w:spacing w:line="560" w:lineRule="exact"/>
        <w:ind w:firstLine="640"/>
      </w:pPr>
      <w:r>
        <w:rPr>
          <w:rFonts w:hint="eastAsia"/>
        </w:rPr>
        <w:t>b</w:t>
      </w:r>
      <w:r>
        <w:t>.</w:t>
      </w:r>
      <w:r>
        <w:rPr>
          <w:rFonts w:hint="eastAsia"/>
        </w:rPr>
        <w:t>资金到位及时率。及时到位资金与实际到位资金的比率，用以反映和考核项目资金落实的及时性程度。</w:t>
      </w:r>
    </w:p>
    <w:p>
      <w:pPr>
        <w:pStyle w:val="25"/>
        <w:spacing w:line="560" w:lineRule="exact"/>
        <w:ind w:firstLine="640"/>
      </w:pPr>
      <w:r>
        <w:rPr>
          <w:rFonts w:hint="eastAsia"/>
        </w:rPr>
        <w:t>c</w:t>
      </w:r>
      <w:r>
        <w:t>.</w:t>
      </w:r>
      <w:r>
        <w:rPr>
          <w:rFonts w:hint="eastAsia"/>
        </w:rPr>
        <w:t>预算执行率。项目预算资金是否按照计划执行，用以反映或考核项目预算执行情况。</w:t>
      </w:r>
    </w:p>
    <w:p>
      <w:pPr>
        <w:pStyle w:val="25"/>
        <w:spacing w:line="560" w:lineRule="exact"/>
        <w:ind w:firstLine="640"/>
      </w:pPr>
      <w:r>
        <w:rPr>
          <w:rFonts w:hint="eastAsia"/>
        </w:rPr>
        <w:t>d</w:t>
      </w:r>
      <w:r>
        <w:t>.</w:t>
      </w:r>
      <w:r>
        <w:rPr>
          <w:rFonts w:hint="eastAsia"/>
        </w:rPr>
        <w:t>资金使用合规性。项目资金使用是否符合相关的财务管理制度规定，用以反映和考核项目资金的规范运行情况。</w:t>
      </w:r>
    </w:p>
    <w:p>
      <w:pPr>
        <w:pStyle w:val="25"/>
        <w:spacing w:line="560" w:lineRule="exact"/>
        <w:ind w:firstLine="640"/>
      </w:pPr>
      <w:r>
        <w:rPr>
          <w:rFonts w:hint="eastAsia"/>
        </w:rPr>
        <w:t>②组织实施</w:t>
      </w:r>
    </w:p>
    <w:p>
      <w:pPr>
        <w:pStyle w:val="25"/>
        <w:spacing w:line="560" w:lineRule="exact"/>
        <w:ind w:firstLine="640"/>
      </w:pPr>
      <w:r>
        <w:rPr>
          <w:rFonts w:hint="eastAsia"/>
        </w:rPr>
        <w:t>a</w:t>
      </w:r>
      <w:r>
        <w:t>.</w:t>
      </w:r>
      <w:r>
        <w:rPr>
          <w:rFonts w:hint="eastAsia"/>
        </w:rPr>
        <w:t>管理制度健全性。项目实施单位的财务和业务管理制度是否健全，用以反映和考核财务和业务管理制度对项目顺利实施的保障情况。</w:t>
      </w:r>
    </w:p>
    <w:p>
      <w:pPr>
        <w:pStyle w:val="25"/>
        <w:spacing w:line="560" w:lineRule="exact"/>
        <w:ind w:firstLine="640"/>
      </w:pPr>
      <w:r>
        <w:rPr>
          <w:rFonts w:hint="eastAsia"/>
        </w:rPr>
        <w:t>b</w:t>
      </w:r>
      <w:r>
        <w:t>.</w:t>
      </w:r>
      <w:r>
        <w:rPr>
          <w:rFonts w:hint="eastAsia"/>
        </w:rPr>
        <w:t>制度执行有效性。主要从项目申报、项目实施、项目验收等</w:t>
      </w:r>
      <w:r>
        <w:t>3个环节展开，结合相关管理规定进行评价</w:t>
      </w:r>
      <w:r>
        <w:rPr>
          <w:rFonts w:hint="eastAsia"/>
        </w:rPr>
        <w:t>。</w:t>
      </w:r>
    </w:p>
    <w:p>
      <w:pPr>
        <w:pStyle w:val="25"/>
        <w:spacing w:line="560" w:lineRule="exact"/>
        <w:ind w:firstLine="640"/>
      </w:pPr>
      <w:r>
        <w:rPr>
          <w:rFonts w:hint="eastAsia"/>
        </w:rPr>
        <w:t>（3）项目产出指标</w:t>
      </w:r>
    </w:p>
    <w:p>
      <w:pPr>
        <w:pStyle w:val="25"/>
        <w:spacing w:line="560" w:lineRule="exact"/>
        <w:ind w:firstLine="640"/>
      </w:pPr>
      <w:r>
        <w:rPr>
          <w:rFonts w:hint="eastAsia"/>
        </w:rPr>
        <w:t>①产出数量</w:t>
      </w:r>
    </w:p>
    <w:p>
      <w:pPr>
        <w:pStyle w:val="25"/>
        <w:spacing w:line="560" w:lineRule="exact"/>
        <w:ind w:firstLine="640"/>
      </w:pPr>
      <w:r>
        <w:rPr>
          <w:rFonts w:hint="eastAsia"/>
        </w:rPr>
        <w:t>a</w:t>
      </w:r>
      <w:r>
        <w:t>.</w:t>
      </w:r>
      <w:r>
        <w:rPr>
          <w:rFonts w:hint="eastAsia"/>
        </w:rPr>
        <w:t>公益知识宣讲完成率。项目实施期间实际开展公益知识宣讲次数与计划开展宣讲次数的对比，用以反映公益知识宣讲工作的完成情况。</w:t>
      </w:r>
    </w:p>
    <w:p>
      <w:pPr>
        <w:pStyle w:val="25"/>
        <w:spacing w:line="560" w:lineRule="exact"/>
        <w:ind w:firstLine="640"/>
      </w:pPr>
      <w:r>
        <w:rPr>
          <w:rFonts w:hint="eastAsia"/>
        </w:rPr>
        <w:t>b</w:t>
      </w:r>
      <w:r>
        <w:t>.</w:t>
      </w:r>
      <w:r>
        <w:rPr>
          <w:rFonts w:hint="eastAsia"/>
        </w:rPr>
        <w:t>结算审核报告完成率。项目实施期间实际出具的结算审核报告数量与计划出具的结算审核报告数量的对比，用以反映结算审核报告工作的完成情况。</w:t>
      </w:r>
    </w:p>
    <w:p>
      <w:pPr>
        <w:pStyle w:val="25"/>
        <w:spacing w:line="560" w:lineRule="exact"/>
        <w:ind w:firstLine="640"/>
      </w:pPr>
      <w:r>
        <w:rPr>
          <w:rFonts w:hint="eastAsia"/>
        </w:rPr>
        <w:t>c</w:t>
      </w:r>
      <w:r>
        <w:t>.</w:t>
      </w:r>
      <w:r>
        <w:rPr>
          <w:rFonts w:hint="eastAsia"/>
        </w:rPr>
        <w:t>扶手安装完成率。项目实施期间实际扶手安装的长度与计划安装扶手长度的对比，用以反映扶手安装工作的完成情况。</w:t>
      </w:r>
    </w:p>
    <w:p>
      <w:pPr>
        <w:pStyle w:val="25"/>
        <w:spacing w:line="560" w:lineRule="exact"/>
        <w:ind w:firstLine="640"/>
      </w:pPr>
      <w:r>
        <w:rPr>
          <w:rFonts w:hint="eastAsia"/>
        </w:rPr>
        <w:t>d</w:t>
      </w:r>
      <w:r>
        <w:t>.</w:t>
      </w:r>
      <w:r>
        <w:rPr>
          <w:rFonts w:hint="eastAsia"/>
        </w:rPr>
        <w:t>合同尾款结算完成率。项目实施期间实际结算合同尾款的项目数量与计划结算尾款的项目数量的对比，用以反映合同尾款结算工作的完成情况。</w:t>
      </w:r>
    </w:p>
    <w:p>
      <w:pPr>
        <w:pStyle w:val="25"/>
        <w:spacing w:line="560" w:lineRule="exact"/>
        <w:ind w:firstLine="640"/>
      </w:pPr>
      <w:r>
        <w:rPr>
          <w:rFonts w:hint="eastAsia"/>
        </w:rPr>
        <w:t>②产出质量</w:t>
      </w:r>
    </w:p>
    <w:p>
      <w:pPr>
        <w:pStyle w:val="25"/>
        <w:spacing w:line="560" w:lineRule="exact"/>
        <w:ind w:firstLine="640"/>
      </w:pPr>
      <w:r>
        <w:rPr>
          <w:rFonts w:hint="eastAsia"/>
        </w:rPr>
        <w:t>a</w:t>
      </w:r>
      <w:r>
        <w:t>.</w:t>
      </w:r>
      <w:r>
        <w:rPr>
          <w:rFonts w:hint="eastAsia"/>
        </w:rPr>
        <w:t>公益知识科普人员达标率。项目实施期间参与公益知识科普人数与计划科普公益知识人数的对比，用以反映公益知识科普人员的达标情况。</w:t>
      </w:r>
    </w:p>
    <w:p>
      <w:pPr>
        <w:pStyle w:val="25"/>
        <w:spacing w:line="560" w:lineRule="exact"/>
        <w:ind w:firstLine="640"/>
      </w:pPr>
      <w:r>
        <w:rPr>
          <w:rFonts w:hint="eastAsia"/>
        </w:rPr>
        <w:t>b</w:t>
      </w:r>
      <w:r>
        <w:t>.</w:t>
      </w:r>
      <w:r>
        <w:rPr>
          <w:rFonts w:hint="eastAsia"/>
        </w:rPr>
        <w:t>结算审核报告验收合格率。项目实施期间实际验收完成的结算审核报告数量与出具的验收报告总数的对比，用以反映结算审核报告内容的验收情况。</w:t>
      </w:r>
    </w:p>
    <w:p>
      <w:pPr>
        <w:pStyle w:val="25"/>
        <w:spacing w:line="560" w:lineRule="exact"/>
        <w:ind w:firstLine="640"/>
      </w:pPr>
      <w:r>
        <w:rPr>
          <w:rFonts w:hint="eastAsia"/>
        </w:rPr>
        <w:t>c</w:t>
      </w:r>
      <w:r>
        <w:t>.</w:t>
      </w:r>
      <w:r>
        <w:rPr>
          <w:rFonts w:hint="eastAsia"/>
        </w:rPr>
        <w:t>扶手质量达标率。项目实施期间扶手质量达标的长度与安装扶手长度的对比，用以反映扶手质量的达标情况。</w:t>
      </w:r>
    </w:p>
    <w:p>
      <w:pPr>
        <w:pStyle w:val="25"/>
        <w:spacing w:line="560" w:lineRule="exact"/>
        <w:ind w:firstLine="640"/>
      </w:pPr>
      <w:r>
        <w:rPr>
          <w:rFonts w:hint="eastAsia"/>
        </w:rPr>
        <w:t>d</w:t>
      </w:r>
      <w:r>
        <w:t>.</w:t>
      </w:r>
      <w:r>
        <w:rPr>
          <w:rFonts w:hint="eastAsia"/>
        </w:rPr>
        <w:t>合同尾款结算准确率。项目实施期间准确结算尾款的项目数量与实际结算合同尾款的项目数量的对比，用以反映扶手质量的达标情况。</w:t>
      </w:r>
    </w:p>
    <w:p>
      <w:pPr>
        <w:pStyle w:val="25"/>
        <w:spacing w:line="560" w:lineRule="exact"/>
        <w:ind w:firstLine="640"/>
      </w:pPr>
      <w:r>
        <w:rPr>
          <w:rFonts w:hint="eastAsia"/>
        </w:rPr>
        <w:t>③产出时效</w:t>
      </w:r>
    </w:p>
    <w:p>
      <w:pPr>
        <w:pStyle w:val="25"/>
        <w:spacing w:line="560" w:lineRule="exact"/>
        <w:ind w:firstLine="640"/>
      </w:pPr>
      <w:r>
        <w:rPr>
          <w:rFonts w:hint="eastAsia"/>
        </w:rPr>
        <w:t>a</w:t>
      </w:r>
      <w:r>
        <w:t>.</w:t>
      </w:r>
      <w:r>
        <w:rPr>
          <w:rFonts w:hint="eastAsia"/>
        </w:rPr>
        <w:t>公益知识宣讲开展及时率。项目实施期间及时开展公益知识宣讲次数与开展公益知识宣讲总数的对比，用以反映公益知识宣讲开展的及时情况。</w:t>
      </w:r>
    </w:p>
    <w:p>
      <w:pPr>
        <w:pStyle w:val="25"/>
        <w:spacing w:line="560" w:lineRule="exact"/>
        <w:ind w:firstLine="640"/>
      </w:pPr>
      <w:r>
        <w:rPr>
          <w:rFonts w:hint="eastAsia"/>
        </w:rPr>
        <w:t>b</w:t>
      </w:r>
      <w:r>
        <w:t>.</w:t>
      </w:r>
      <w:r>
        <w:rPr>
          <w:rFonts w:hint="eastAsia"/>
        </w:rPr>
        <w:t>结算审核报告完成及时率。项目实施期间及时出具的结算审核报告数量与出具结算审核报告总数的对比，用以反映结算审核报告的完成情况。</w:t>
      </w:r>
    </w:p>
    <w:p>
      <w:pPr>
        <w:pStyle w:val="25"/>
        <w:spacing w:line="560" w:lineRule="exact"/>
        <w:ind w:firstLine="640"/>
      </w:pPr>
      <w:r>
        <w:rPr>
          <w:rFonts w:hint="eastAsia"/>
        </w:rPr>
        <w:t>c</w:t>
      </w:r>
      <w:r>
        <w:t>.</w:t>
      </w:r>
      <w:r>
        <w:rPr>
          <w:rFonts w:hint="eastAsia"/>
        </w:rPr>
        <w:t>扶手安装完成及时率。项目实施期间及时完成安装的扶手长度与实际扶手安装长度的对比，用以反映扶手安装的及时情况。</w:t>
      </w:r>
    </w:p>
    <w:p>
      <w:pPr>
        <w:pStyle w:val="25"/>
        <w:spacing w:line="560" w:lineRule="exact"/>
        <w:ind w:firstLine="640"/>
      </w:pPr>
      <w:r>
        <w:rPr>
          <w:rFonts w:hint="eastAsia"/>
        </w:rPr>
        <w:t>d</w:t>
      </w:r>
      <w:r>
        <w:t>.</w:t>
      </w:r>
      <w:r>
        <w:rPr>
          <w:rFonts w:hint="eastAsia"/>
        </w:rPr>
        <w:t>合同尾款结算及时率。项目实施期间及时结算尾款的项目数量与实际结算合同尾款的项目数量的对比，用以反映合同尾款结算的及时情况。</w:t>
      </w:r>
    </w:p>
    <w:p>
      <w:pPr>
        <w:pStyle w:val="25"/>
        <w:spacing w:line="560" w:lineRule="exact"/>
        <w:ind w:firstLine="640"/>
      </w:pPr>
      <w:r>
        <w:rPr>
          <w:rFonts w:hint="eastAsia"/>
        </w:rPr>
        <w:t>④产出成本</w:t>
      </w:r>
    </w:p>
    <w:p>
      <w:pPr>
        <w:pStyle w:val="25"/>
        <w:spacing w:line="560" w:lineRule="exact"/>
        <w:ind w:firstLine="640"/>
      </w:pPr>
      <w:r>
        <w:rPr>
          <w:rFonts w:hint="eastAsia"/>
        </w:rPr>
        <w:t>a</w:t>
      </w:r>
      <w:r>
        <w:t>.</w:t>
      </w:r>
      <w:r>
        <w:rPr>
          <w:rFonts w:hint="eastAsia"/>
        </w:rPr>
        <w:t>认知障碍干预中心运营服务成本节约率。项目实施期间实际支出认知障碍干预中心运营服务费用与计划支出认知障碍干预中心运营服务费用的对比，反映认知障碍干预中心运营服务成本控制情况。</w:t>
      </w:r>
    </w:p>
    <w:p>
      <w:pPr>
        <w:pStyle w:val="25"/>
        <w:spacing w:line="560" w:lineRule="exact"/>
        <w:ind w:firstLine="640"/>
      </w:pPr>
      <w:r>
        <w:rPr>
          <w:rFonts w:hint="eastAsia"/>
        </w:rPr>
        <w:t>b</w:t>
      </w:r>
      <w:r>
        <w:t>.</w:t>
      </w:r>
      <w:r>
        <w:rPr>
          <w:rFonts w:hint="eastAsia"/>
        </w:rPr>
        <w:t>适老宜居社区改造服务项目审核成本节约率。项目实施期间实际支出适老宜居社区改造服务项目审核费用与计划支出适老宜居社区改造服务项目审核费用的对比，反映适老宜居社区改造服务项目审核成本控制情况。</w:t>
      </w:r>
    </w:p>
    <w:p>
      <w:pPr>
        <w:pStyle w:val="25"/>
        <w:spacing w:line="560" w:lineRule="exact"/>
        <w:ind w:firstLine="640"/>
      </w:pPr>
      <w:r>
        <w:rPr>
          <w:rFonts w:hint="eastAsia"/>
        </w:rPr>
        <w:t>c</w:t>
      </w:r>
      <w:r>
        <w:t>.</w:t>
      </w:r>
      <w:r>
        <w:rPr>
          <w:rFonts w:hint="eastAsia"/>
        </w:rPr>
        <w:t>扶手安装费用成本节约率。项目实施期间实际支出扶手安装费用与计划支出扶手安装费用的对比，反映扶手安装成本控制情况。</w:t>
      </w:r>
    </w:p>
    <w:p>
      <w:pPr>
        <w:pStyle w:val="25"/>
        <w:spacing w:line="560" w:lineRule="exact"/>
        <w:ind w:firstLine="640"/>
      </w:pPr>
      <w:r>
        <w:rPr>
          <w:rFonts w:hint="eastAsia"/>
        </w:rPr>
        <w:t>d</w:t>
      </w:r>
      <w:r>
        <w:t>.</w:t>
      </w:r>
      <w:r>
        <w:rPr>
          <w:rFonts w:hint="eastAsia"/>
        </w:rPr>
        <w:t>合同尾款结算费用成本节约率。项目实施期间实际结算合同尾款费用与计划结算合同尾款费用的对比，反映合同尾款结算费用成本控制情况。</w:t>
      </w:r>
    </w:p>
    <w:p>
      <w:pPr>
        <w:pStyle w:val="25"/>
        <w:spacing w:line="560" w:lineRule="exact"/>
        <w:ind w:firstLine="640"/>
      </w:pPr>
      <w:r>
        <w:rPr>
          <w:rFonts w:hint="eastAsia"/>
        </w:rPr>
        <w:t>（</w:t>
      </w:r>
      <w:r>
        <w:t>4</w:t>
      </w:r>
      <w:r>
        <w:rPr>
          <w:rFonts w:hint="eastAsia"/>
        </w:rPr>
        <w:t>）项目效益指标</w:t>
      </w:r>
    </w:p>
    <w:p>
      <w:pPr>
        <w:pStyle w:val="25"/>
        <w:spacing w:line="560" w:lineRule="exact"/>
        <w:ind w:firstLine="640"/>
      </w:pPr>
      <w:r>
        <w:rPr>
          <w:rFonts w:hint="eastAsia"/>
        </w:rPr>
        <w:t>①社会效益</w:t>
      </w:r>
    </w:p>
    <w:p>
      <w:pPr>
        <w:pStyle w:val="25"/>
        <w:spacing w:line="560" w:lineRule="exact"/>
        <w:ind w:firstLine="640"/>
      </w:pPr>
      <w:r>
        <w:rPr>
          <w:rFonts w:hint="eastAsia"/>
        </w:rPr>
        <w:t>a</w:t>
      </w:r>
      <w:r>
        <w:t>.</w:t>
      </w:r>
      <w:r>
        <w:rPr>
          <w:rFonts w:hint="eastAsia"/>
        </w:rPr>
        <w:t>养老服务改革试点覆盖率。通过项目实施期间开展养老服务改革的社区数量与和平区社区总数的对比，反映养老服务改革试点的覆盖率情况。</w:t>
      </w:r>
    </w:p>
    <w:p>
      <w:pPr>
        <w:pStyle w:val="25"/>
        <w:spacing w:line="560" w:lineRule="exact"/>
        <w:ind w:firstLine="640"/>
      </w:pPr>
      <w:r>
        <w:rPr>
          <w:rFonts w:hint="eastAsia"/>
        </w:rPr>
        <w:t>b</w:t>
      </w:r>
      <w:r>
        <w:t>.</w:t>
      </w:r>
      <w:r>
        <w:rPr>
          <w:rFonts w:ascii="Segoe UI" w:hAnsi="Segoe UI" w:cs="Segoe UI"/>
          <w:shd w:val="clear" w:color="auto" w:fill="FFFFFF"/>
        </w:rPr>
        <w:t>改善认知症发病保障状况</w:t>
      </w:r>
      <w:r>
        <w:rPr>
          <w:rFonts w:hint="eastAsia"/>
        </w:rPr>
        <w:t>。项目实施期间通过认知障碍评估筛查与认知障碍知识科普工作，反映相关工作对降低认知症发病保障的改善情况。</w:t>
      </w:r>
    </w:p>
    <w:p>
      <w:pPr>
        <w:pStyle w:val="25"/>
        <w:spacing w:line="560" w:lineRule="exact"/>
        <w:ind w:firstLine="640"/>
      </w:pPr>
      <w:r>
        <w:t>②</w:t>
      </w:r>
      <w:r>
        <w:rPr>
          <w:rFonts w:hint="eastAsia"/>
        </w:rPr>
        <w:t>服务对象满意度</w:t>
      </w:r>
    </w:p>
    <w:p>
      <w:pPr>
        <w:pStyle w:val="25"/>
        <w:spacing w:line="560" w:lineRule="exact"/>
        <w:ind w:firstLine="640"/>
      </w:pPr>
      <w:r>
        <w:rPr>
          <w:rFonts w:hint="eastAsia"/>
        </w:rPr>
        <w:t>辖区老人满意度。通过调查问卷中辖区老人满意人数与调查辖区老人总人数的比率，反映被调查辖区老人对本项目的满意程度。</w:t>
      </w:r>
    </w:p>
    <w:p>
      <w:pPr>
        <w:pStyle w:val="25"/>
        <w:spacing w:line="560" w:lineRule="exact"/>
        <w:ind w:firstLine="640"/>
      </w:pPr>
      <w:r>
        <w:t>3</w:t>
      </w:r>
      <w:r>
        <w:rPr>
          <w:rFonts w:hint="eastAsia"/>
        </w:rPr>
        <w:t>.绩效评价方法</w:t>
      </w:r>
    </w:p>
    <w:p>
      <w:pPr>
        <w:pStyle w:val="25"/>
        <w:spacing w:line="560" w:lineRule="exact"/>
        <w:ind w:firstLine="640"/>
      </w:pPr>
      <w:r>
        <w:rPr>
          <w:rFonts w:hint="eastAsia"/>
        </w:rPr>
        <w:t>结合项目具体情况，本次绩效评价主要运用指标分析法结合比较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并对项目资金使用情况</w:t>
      </w:r>
      <w:r>
        <w:t>进行了现场评价</w:t>
      </w:r>
      <w:r>
        <w:rPr>
          <w:rFonts w:hint="eastAsia"/>
        </w:rPr>
        <w:t>，</w:t>
      </w:r>
      <w:r>
        <w:t>绩效评价指标体系详见附件。</w:t>
      </w:r>
    </w:p>
    <w:p>
      <w:pPr>
        <w:pStyle w:val="29"/>
        <w:spacing w:line="560" w:lineRule="exact"/>
        <w:ind w:firstLine="640"/>
      </w:pPr>
      <w:bookmarkStart w:id="10" w:name="_Toc179622652"/>
      <w:r>
        <w:rPr>
          <w:rFonts w:hint="eastAsia"/>
        </w:rPr>
        <w:t>（三）绩效评价工作过程</w:t>
      </w:r>
      <w:bookmarkEnd w:id="10"/>
    </w:p>
    <w:p>
      <w:pPr>
        <w:pStyle w:val="25"/>
        <w:spacing w:line="560" w:lineRule="exact"/>
        <w:ind w:firstLine="640"/>
      </w:pPr>
      <w:bookmarkStart w:id="11" w:name="_Toc57967893"/>
      <w:r>
        <w:t>1.</w:t>
      </w:r>
      <w:r>
        <w:rPr>
          <w:rFonts w:hint="eastAsia"/>
        </w:rPr>
        <w:t>前期准备阶段</w:t>
      </w:r>
      <w:bookmarkEnd w:id="11"/>
    </w:p>
    <w:p>
      <w:pPr>
        <w:pStyle w:val="25"/>
        <w:spacing w:line="560" w:lineRule="exact"/>
        <w:ind w:firstLine="640"/>
      </w:pPr>
      <w:r>
        <w:rPr>
          <w:rFonts w:hint="eastAsia"/>
        </w:rPr>
        <w:t>（</w:t>
      </w:r>
      <w:r>
        <w:t>1</w:t>
      </w:r>
      <w:r>
        <w:rPr>
          <w:rFonts w:hint="eastAsia"/>
        </w:rPr>
        <w:t>）成立绩效评价项目组</w:t>
      </w:r>
    </w:p>
    <w:p>
      <w:pPr>
        <w:pStyle w:val="25"/>
        <w:spacing w:line="560" w:lineRule="exact"/>
        <w:ind w:firstLine="640"/>
      </w:pPr>
      <w:r>
        <w:rPr>
          <w:rFonts w:hint="eastAsia"/>
        </w:rPr>
        <w:t>天津市和平区财政局委托我司（天津安信管理咨询有限公司）对居家和社区养老服务改革试点补助项目进行绩效评价工作。</w:t>
      </w:r>
    </w:p>
    <w:p>
      <w:pPr>
        <w:pStyle w:val="25"/>
        <w:spacing w:line="560" w:lineRule="exact"/>
        <w:ind w:firstLine="640"/>
      </w:pPr>
      <w:r>
        <w:t>2024</w:t>
      </w:r>
      <w:r>
        <w:rPr>
          <w:rFonts w:hint="eastAsia"/>
        </w:rPr>
        <w:t>年7月</w:t>
      </w:r>
      <w:r>
        <w:t>29</w:t>
      </w:r>
      <w:r>
        <w:rPr>
          <w:rFonts w:hint="eastAsia"/>
        </w:rPr>
        <w:t>日，绩效评价项目组（以下简称“评价组”）赴区民政局参加了项目见面会，听取了该单位对居家和社区养老服务改革试点补助项目的项目背景、申请立项、资金落实、业务管理、财务管理、项目产出、项目效益等方面的情况介绍，并对项目后续评价工作的基本原则及所需的各类资料文件提出了要求。</w:t>
      </w:r>
    </w:p>
    <w:p>
      <w:pPr>
        <w:pStyle w:val="25"/>
        <w:spacing w:line="560" w:lineRule="exact"/>
        <w:ind w:firstLine="640"/>
      </w:pPr>
      <w:r>
        <w:rPr>
          <w:rFonts w:hint="eastAsia"/>
        </w:rPr>
        <w:t>（</w:t>
      </w:r>
      <w:r>
        <w:t>2</w:t>
      </w:r>
      <w:r>
        <w:rPr>
          <w:rFonts w:hint="eastAsia"/>
        </w:rPr>
        <w:t>）制定绩效评价方案</w:t>
      </w:r>
    </w:p>
    <w:p>
      <w:pPr>
        <w:pStyle w:val="25"/>
        <w:spacing w:line="560" w:lineRule="exact"/>
        <w:ind w:firstLine="640"/>
      </w:pPr>
      <w:r>
        <w:rPr>
          <w:rFonts w:hint="eastAsia"/>
        </w:rPr>
        <w:t>根据</w:t>
      </w:r>
      <w:r>
        <w:rPr>
          <w:rFonts w:hint="eastAsia"/>
          <w:szCs w:val="32"/>
        </w:rPr>
        <w:t>《中共天津市委 天津市人民政府印发&lt;关于全面推进预算绩效管理的实施方案&gt;的通知》（津党发〔2019〕25号）</w:t>
      </w:r>
      <w:r>
        <w:rPr>
          <w:rFonts w:hint="eastAsia"/>
        </w:rPr>
        <w:t>要求，评价项目组制定了《居家和社区养老服务改革试点补助项目</w:t>
      </w:r>
      <w:r>
        <w:t>绩效评价工作实施方案</w:t>
      </w:r>
      <w:r>
        <w:rPr>
          <w:rFonts w:hint="eastAsia"/>
        </w:rPr>
        <w:t>》，并根据评价方案组织开展项目评价工作。</w:t>
      </w:r>
    </w:p>
    <w:p>
      <w:pPr>
        <w:pStyle w:val="25"/>
        <w:spacing w:line="560" w:lineRule="exact"/>
        <w:ind w:firstLine="640"/>
      </w:pPr>
      <w:r>
        <w:rPr>
          <w:rFonts w:hint="eastAsia"/>
        </w:rPr>
        <w:t>（</w:t>
      </w:r>
      <w:r>
        <w:t>3</w:t>
      </w:r>
      <w:r>
        <w:rPr>
          <w:rFonts w:hint="eastAsia"/>
        </w:rPr>
        <w:t>）指标体系设计</w:t>
      </w:r>
    </w:p>
    <w:p>
      <w:pPr>
        <w:pStyle w:val="25"/>
        <w:spacing w:line="560" w:lineRule="exact"/>
        <w:ind w:firstLine="640"/>
      </w:pPr>
      <w:r>
        <w:rPr>
          <w:rFonts w:hint="eastAsia"/>
        </w:rPr>
        <w:t>根据居家和社区养老服务改革试点补助项目绩效目标及实际工作需要，从决策、过程、产出、效益四个维度出发，设立项目立项、绩效目标、资金管理、组织实施、产出数量、产出质量、产出时效、产出成本、社会效益、服务对象满意度</w:t>
      </w:r>
      <w:r>
        <w:t>10</w:t>
      </w:r>
      <w:r>
        <w:rPr>
          <w:rFonts w:hint="eastAsia"/>
        </w:rPr>
        <w:t>项二级指标和</w:t>
      </w:r>
      <w:r>
        <w:t>33</w:t>
      </w:r>
      <w:r>
        <w:rPr>
          <w:rFonts w:hint="eastAsia"/>
        </w:rPr>
        <w:t>项三级指标，采取指标分值百分制，将</w:t>
      </w:r>
      <w:r>
        <w:t>33</w:t>
      </w:r>
      <w:r>
        <w:rPr>
          <w:rFonts w:hint="eastAsia"/>
        </w:rPr>
        <w:t>项指标量化为</w:t>
      </w:r>
      <w:r>
        <w:t>100</w:t>
      </w:r>
      <w:r>
        <w:rPr>
          <w:rFonts w:hint="eastAsia"/>
        </w:rPr>
        <w:t>分，分值权重在征求被评单位意见的基础上确定，详见附件。</w:t>
      </w:r>
    </w:p>
    <w:p>
      <w:pPr>
        <w:pStyle w:val="25"/>
        <w:spacing w:line="560" w:lineRule="exact"/>
        <w:ind w:firstLine="640"/>
      </w:pPr>
      <w:bookmarkStart w:id="12" w:name="_Toc57967894"/>
      <w:r>
        <w:t>2.</w:t>
      </w:r>
      <w:r>
        <w:rPr>
          <w:rFonts w:hint="eastAsia"/>
        </w:rPr>
        <w:t>评价实施阶段</w:t>
      </w:r>
      <w:bookmarkEnd w:id="12"/>
    </w:p>
    <w:p>
      <w:pPr>
        <w:pStyle w:val="25"/>
        <w:spacing w:line="560" w:lineRule="exact"/>
        <w:ind w:firstLine="640"/>
      </w:pPr>
      <w:r>
        <w:rPr>
          <w:rFonts w:hint="eastAsia"/>
        </w:rPr>
        <w:t>（</w:t>
      </w:r>
      <w:r>
        <w:t>1</w:t>
      </w:r>
      <w:r>
        <w:rPr>
          <w:rFonts w:hint="eastAsia"/>
        </w:rPr>
        <w:t>）正式进驻。评价组</w:t>
      </w:r>
      <w:r>
        <w:t>2024</w:t>
      </w:r>
      <w:r>
        <w:rPr>
          <w:rFonts w:hint="eastAsia"/>
        </w:rPr>
        <w:t>年7月</w:t>
      </w:r>
      <w:r>
        <w:t>29</w:t>
      </w:r>
      <w:r>
        <w:rPr>
          <w:rFonts w:hint="eastAsia"/>
        </w:rPr>
        <w:t>日正式进驻区民政局实施评价工作。</w:t>
      </w:r>
    </w:p>
    <w:p>
      <w:pPr>
        <w:pStyle w:val="25"/>
        <w:spacing w:line="560" w:lineRule="exact"/>
        <w:ind w:firstLine="640"/>
      </w:pPr>
      <w:r>
        <w:rPr>
          <w:rFonts w:hint="eastAsia"/>
        </w:rPr>
        <w:t>（</w:t>
      </w:r>
      <w:r>
        <w:t>2</w:t>
      </w:r>
      <w:r>
        <w:rPr>
          <w:rFonts w:hint="eastAsia"/>
        </w:rPr>
        <w:t>）全面审查。评价过程中，评价组对居家和社区养老服务改革试点补助项目的文件依据、预算编制、制度执行、资金拨付、资金使用情况、产生效益等方面进行了全面梳理。评价组根据《国务院关于印发“十四五”国家老龄事业发展和养老服务体系规划的通知》</w:t>
      </w:r>
      <w:r>
        <w:t>（国发〔2021〕35号）</w:t>
      </w:r>
      <w:r>
        <w:rPr>
          <w:rFonts w:hint="eastAsia"/>
        </w:rPr>
        <w:t>、</w:t>
      </w:r>
      <w:r>
        <w:t>《</w:t>
      </w:r>
      <w:r>
        <w:rPr>
          <w:rFonts w:hint="eastAsia"/>
        </w:rPr>
        <w:t>关于开展第五批居家和社区养老服务改革试点成果验收的通知</w:t>
      </w:r>
      <w:r>
        <w:t>》</w:t>
      </w:r>
      <w:r>
        <w:rPr>
          <w:rFonts w:hint="eastAsia"/>
        </w:rPr>
        <w:t>《和平区居家和社区养老服务改革试点工作实施方案》（和平政办函〔2020〕5号）等文件，对专项经费的到位情况、预算编制、资金拨付、资金使用等相关业务文件进行了核查。</w:t>
      </w:r>
    </w:p>
    <w:p>
      <w:pPr>
        <w:pStyle w:val="25"/>
        <w:spacing w:line="560" w:lineRule="exact"/>
        <w:ind w:firstLine="640"/>
      </w:pPr>
      <w:r>
        <w:rPr>
          <w:rFonts w:hint="eastAsia"/>
        </w:rPr>
        <w:t>（</w:t>
      </w:r>
      <w:r>
        <w:t>3</w:t>
      </w:r>
      <w:r>
        <w:rPr>
          <w:rFonts w:hint="eastAsia"/>
        </w:rPr>
        <w:t>）实地核查。对区民政局开展现场评价，针对和平区居家和社区养老服务改革完成情况进行一一核查，根据上述核查内容形成评价清单。</w:t>
      </w:r>
    </w:p>
    <w:p>
      <w:pPr>
        <w:pStyle w:val="25"/>
        <w:spacing w:line="560" w:lineRule="exact"/>
        <w:ind w:firstLine="640"/>
      </w:pPr>
      <w:r>
        <w:rPr>
          <w:rFonts w:hint="eastAsia"/>
        </w:rPr>
        <w:t>（</w:t>
      </w:r>
      <w:r>
        <w:t>4</w:t>
      </w:r>
      <w:r>
        <w:rPr>
          <w:rFonts w:hint="eastAsia"/>
        </w:rPr>
        <w:t>）评价打分。按照绩效评价指标体系编制了工作底稿，并对各绩效评价指标进行了评分。</w:t>
      </w:r>
    </w:p>
    <w:p>
      <w:pPr>
        <w:pStyle w:val="25"/>
        <w:spacing w:line="560" w:lineRule="exact"/>
        <w:ind w:firstLine="640"/>
      </w:pPr>
      <w:r>
        <w:rPr>
          <w:rFonts w:hint="eastAsia"/>
        </w:rPr>
        <w:t>（</w:t>
      </w:r>
      <w:r>
        <w:t>5</w:t>
      </w:r>
      <w:r>
        <w:rPr>
          <w:rFonts w:hint="eastAsia"/>
        </w:rPr>
        <w:t>）编制报告。评价组根据现场评价打分，编制绩效评价报告，全面梳理本项目在决策依据、过程管理、产出情况、取得效益等方面存在的问题及工作建议。</w:t>
      </w:r>
    </w:p>
    <w:p>
      <w:pPr>
        <w:pStyle w:val="27"/>
        <w:spacing w:line="560" w:lineRule="exact"/>
      </w:pPr>
      <w:bookmarkStart w:id="13" w:name="_Toc179622653"/>
      <w:r>
        <w:rPr>
          <w:rFonts w:hint="eastAsia"/>
        </w:rPr>
        <w:t>三、综合评价情况及评价结论</w:t>
      </w:r>
      <w:bookmarkEnd w:id="13"/>
    </w:p>
    <w:p>
      <w:pPr>
        <w:pStyle w:val="25"/>
        <w:spacing w:line="560" w:lineRule="exact"/>
        <w:ind w:firstLine="640"/>
      </w:pPr>
      <w:bookmarkStart w:id="14" w:name="_Hlk91875381"/>
      <w:r>
        <w:rPr>
          <w:rFonts w:hint="eastAsia"/>
        </w:rPr>
        <w:t>经过综合评价，居家和社区养老服务改革试点补助项目得分</w:t>
      </w:r>
      <w:r>
        <w:t>84.66</w:t>
      </w:r>
      <w:r>
        <w:rPr>
          <w:rFonts w:hint="eastAsia"/>
        </w:rPr>
        <w:t>分，评价等级为“良”。其中，项目决策</w:t>
      </w:r>
      <w:r>
        <w:t>12</w:t>
      </w:r>
      <w:r>
        <w:rPr>
          <w:rFonts w:hint="eastAsia"/>
        </w:rPr>
        <w:t>分，项目过程</w:t>
      </w:r>
      <w:r>
        <w:t>20</w:t>
      </w:r>
      <w:r>
        <w:rPr>
          <w:rFonts w:hint="eastAsia"/>
        </w:rPr>
        <w:t>分，项目产出</w:t>
      </w:r>
      <w:r>
        <w:t>35</w:t>
      </w:r>
      <w:r>
        <w:rPr>
          <w:rFonts w:hint="eastAsia"/>
        </w:rPr>
        <w:t>分，项目效益</w:t>
      </w:r>
      <w:r>
        <w:t>17.66</w:t>
      </w:r>
      <w:r>
        <w:rPr>
          <w:rFonts w:hint="eastAsia"/>
        </w:rPr>
        <w:t>分。</w:t>
      </w:r>
      <w:bookmarkEnd w:id="14"/>
      <w:bookmarkStart w:id="15" w:name="_Hlk91875395"/>
      <w:r>
        <w:rPr>
          <w:rFonts w:hint="eastAsia"/>
        </w:rPr>
        <w:t>具体情况见表2。</w:t>
      </w:r>
    </w:p>
    <w:p>
      <w:pPr>
        <w:pStyle w:val="32"/>
        <w:spacing w:line="560" w:lineRule="exact"/>
      </w:pPr>
      <w:r>
        <w:t xml:space="preserve">表2 </w:t>
      </w:r>
      <w:r>
        <w:rPr>
          <w:rFonts w:hint="eastAsia"/>
        </w:rPr>
        <w:t xml:space="preserve"> 居家和社区养老服务改革试点补助项目绩效得分情况表</w:t>
      </w:r>
    </w:p>
    <w:tbl>
      <w:tblPr>
        <w:tblStyle w:val="15"/>
        <w:tblW w:w="43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305"/>
        <w:gridCol w:w="1305"/>
        <w:gridCol w:w="1332"/>
        <w:gridCol w:w="1305"/>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9" w:type="pct"/>
            <w:vAlign w:val="center"/>
          </w:tcPr>
          <w:p>
            <w:pPr>
              <w:pStyle w:val="35"/>
              <w:rPr>
                <w:rFonts w:ascii="宋体" w:hAnsi="宋体" w:eastAsia="宋体" w:cs="宋体"/>
              </w:rPr>
            </w:pPr>
            <w:r>
              <w:rPr>
                <w:rFonts w:hint="eastAsia" w:ascii="宋体" w:hAnsi="宋体" w:eastAsia="宋体" w:cs="宋体"/>
              </w:rPr>
              <w:t>指标</w:t>
            </w:r>
          </w:p>
        </w:tc>
        <w:tc>
          <w:tcPr>
            <w:tcW w:w="829" w:type="pct"/>
            <w:vAlign w:val="center"/>
          </w:tcPr>
          <w:p>
            <w:pPr>
              <w:pStyle w:val="35"/>
              <w:rPr>
                <w:rFonts w:ascii="宋体" w:hAnsi="宋体" w:eastAsia="宋体" w:cs="宋体"/>
              </w:rPr>
            </w:pPr>
            <w:r>
              <w:rPr>
                <w:rFonts w:hint="eastAsia" w:ascii="宋体" w:hAnsi="宋体" w:eastAsia="宋体" w:cs="宋体"/>
              </w:rPr>
              <w:t>项目决策</w:t>
            </w:r>
          </w:p>
        </w:tc>
        <w:tc>
          <w:tcPr>
            <w:tcW w:w="829" w:type="pct"/>
            <w:vAlign w:val="center"/>
          </w:tcPr>
          <w:p>
            <w:pPr>
              <w:pStyle w:val="35"/>
              <w:rPr>
                <w:rFonts w:ascii="宋体" w:hAnsi="宋体" w:eastAsia="宋体" w:cs="宋体"/>
              </w:rPr>
            </w:pPr>
            <w:r>
              <w:rPr>
                <w:rFonts w:hint="eastAsia" w:ascii="宋体" w:hAnsi="宋体" w:eastAsia="宋体" w:cs="宋体"/>
              </w:rPr>
              <w:t>项目过程</w:t>
            </w:r>
          </w:p>
        </w:tc>
        <w:tc>
          <w:tcPr>
            <w:tcW w:w="846" w:type="pct"/>
            <w:vAlign w:val="center"/>
          </w:tcPr>
          <w:p>
            <w:pPr>
              <w:pStyle w:val="35"/>
              <w:rPr>
                <w:rFonts w:ascii="宋体" w:hAnsi="宋体" w:eastAsia="宋体" w:cs="宋体"/>
              </w:rPr>
            </w:pPr>
            <w:r>
              <w:rPr>
                <w:rFonts w:hint="eastAsia" w:ascii="宋体" w:hAnsi="宋体" w:eastAsia="宋体" w:cs="宋体"/>
              </w:rPr>
              <w:t>项目产出</w:t>
            </w:r>
          </w:p>
        </w:tc>
        <w:tc>
          <w:tcPr>
            <w:tcW w:w="829" w:type="pct"/>
            <w:vAlign w:val="center"/>
          </w:tcPr>
          <w:p>
            <w:pPr>
              <w:pStyle w:val="35"/>
              <w:rPr>
                <w:rFonts w:ascii="宋体" w:hAnsi="宋体" w:eastAsia="宋体" w:cs="宋体"/>
              </w:rPr>
            </w:pPr>
            <w:r>
              <w:rPr>
                <w:rFonts w:hint="eastAsia" w:ascii="宋体" w:hAnsi="宋体" w:eastAsia="宋体" w:cs="宋体"/>
              </w:rPr>
              <w:t>项目效益</w:t>
            </w:r>
          </w:p>
        </w:tc>
        <w:tc>
          <w:tcPr>
            <w:tcW w:w="839" w:type="pct"/>
            <w:vAlign w:val="center"/>
          </w:tcPr>
          <w:p>
            <w:pPr>
              <w:pStyle w:val="35"/>
              <w:rPr>
                <w:rFonts w:ascii="宋体" w:hAnsi="宋体" w:eastAsia="宋体" w:cs="宋体"/>
              </w:rPr>
            </w:pPr>
            <w:r>
              <w:rPr>
                <w:rFonts w:hint="eastAsia" w:ascii="宋体" w:hAnsi="宋体" w:eastAsia="宋体" w:cs="宋体"/>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37"/>
            </w:pPr>
            <w:r>
              <w:rPr>
                <w:rFonts w:hint="eastAsia"/>
              </w:rPr>
              <w:t>分值</w:t>
            </w:r>
          </w:p>
        </w:tc>
        <w:tc>
          <w:tcPr>
            <w:tcW w:w="829" w:type="pct"/>
            <w:vAlign w:val="center"/>
          </w:tcPr>
          <w:p>
            <w:pPr>
              <w:pStyle w:val="37"/>
            </w:pPr>
            <w:r>
              <w:t>17</w:t>
            </w:r>
          </w:p>
        </w:tc>
        <w:tc>
          <w:tcPr>
            <w:tcW w:w="829" w:type="pct"/>
            <w:vAlign w:val="center"/>
          </w:tcPr>
          <w:p>
            <w:pPr>
              <w:pStyle w:val="37"/>
            </w:pPr>
            <w:r>
              <w:t>23</w:t>
            </w:r>
          </w:p>
        </w:tc>
        <w:tc>
          <w:tcPr>
            <w:tcW w:w="846" w:type="pct"/>
            <w:vAlign w:val="center"/>
          </w:tcPr>
          <w:p>
            <w:pPr>
              <w:pStyle w:val="37"/>
            </w:pPr>
            <w:r>
              <w:t>38</w:t>
            </w:r>
          </w:p>
        </w:tc>
        <w:tc>
          <w:tcPr>
            <w:tcW w:w="829" w:type="pct"/>
            <w:vAlign w:val="center"/>
          </w:tcPr>
          <w:p>
            <w:pPr>
              <w:pStyle w:val="37"/>
            </w:pPr>
            <w:r>
              <w:t>22</w:t>
            </w:r>
          </w:p>
        </w:tc>
        <w:tc>
          <w:tcPr>
            <w:tcW w:w="839" w:type="pct"/>
            <w:vAlign w:val="center"/>
          </w:tcPr>
          <w:p>
            <w:pPr>
              <w:pStyle w:val="37"/>
              <w:rPr>
                <w:b/>
              </w:rPr>
            </w:pPr>
            <w:r>
              <w:rPr>
                <w: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37"/>
            </w:pPr>
            <w:r>
              <w:rPr>
                <w:rFonts w:hint="eastAsia"/>
              </w:rPr>
              <w:t>得分</w:t>
            </w:r>
          </w:p>
        </w:tc>
        <w:tc>
          <w:tcPr>
            <w:tcW w:w="829" w:type="pct"/>
            <w:vAlign w:val="center"/>
          </w:tcPr>
          <w:p>
            <w:pPr>
              <w:pStyle w:val="37"/>
            </w:pPr>
            <w:r>
              <w:t>12</w:t>
            </w:r>
          </w:p>
        </w:tc>
        <w:tc>
          <w:tcPr>
            <w:tcW w:w="829" w:type="pct"/>
            <w:vAlign w:val="center"/>
          </w:tcPr>
          <w:p>
            <w:pPr>
              <w:pStyle w:val="37"/>
            </w:pPr>
            <w:r>
              <w:rPr>
                <w:rFonts w:hint="eastAsia"/>
              </w:rPr>
              <w:t>2</w:t>
            </w:r>
            <w:r>
              <w:t>0</w:t>
            </w:r>
          </w:p>
        </w:tc>
        <w:tc>
          <w:tcPr>
            <w:tcW w:w="846" w:type="pct"/>
            <w:vAlign w:val="center"/>
          </w:tcPr>
          <w:p>
            <w:pPr>
              <w:pStyle w:val="37"/>
            </w:pPr>
            <w:r>
              <w:t>35</w:t>
            </w:r>
          </w:p>
        </w:tc>
        <w:tc>
          <w:tcPr>
            <w:tcW w:w="829" w:type="pct"/>
            <w:vAlign w:val="center"/>
          </w:tcPr>
          <w:p>
            <w:pPr>
              <w:pStyle w:val="37"/>
            </w:pPr>
            <w:r>
              <w:t>17.66</w:t>
            </w:r>
          </w:p>
        </w:tc>
        <w:tc>
          <w:tcPr>
            <w:tcW w:w="839" w:type="pct"/>
            <w:vAlign w:val="center"/>
          </w:tcPr>
          <w:p>
            <w:pPr>
              <w:pStyle w:val="37"/>
              <w:rPr>
                <w:b/>
              </w:rPr>
            </w:pPr>
            <w:r>
              <w:rPr>
                <w:b/>
              </w:rPr>
              <w:t>84.66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37"/>
            </w:pPr>
            <w:r>
              <w:rPr>
                <w:rFonts w:hint="eastAsia"/>
              </w:rPr>
              <w:t>得分率</w:t>
            </w:r>
          </w:p>
        </w:tc>
        <w:tc>
          <w:tcPr>
            <w:tcW w:w="829" w:type="pct"/>
            <w:vAlign w:val="center"/>
          </w:tcPr>
          <w:p>
            <w:pPr>
              <w:pStyle w:val="37"/>
            </w:pPr>
            <w:r>
              <w:t>70.59%</w:t>
            </w:r>
          </w:p>
        </w:tc>
        <w:tc>
          <w:tcPr>
            <w:tcW w:w="829" w:type="pct"/>
            <w:vAlign w:val="center"/>
          </w:tcPr>
          <w:p>
            <w:pPr>
              <w:pStyle w:val="37"/>
            </w:pPr>
            <w:r>
              <w:t>86.96%</w:t>
            </w:r>
          </w:p>
        </w:tc>
        <w:tc>
          <w:tcPr>
            <w:tcW w:w="846" w:type="pct"/>
            <w:vAlign w:val="center"/>
          </w:tcPr>
          <w:p>
            <w:pPr>
              <w:pStyle w:val="37"/>
            </w:pPr>
            <w:r>
              <w:t>92.11%</w:t>
            </w:r>
          </w:p>
        </w:tc>
        <w:tc>
          <w:tcPr>
            <w:tcW w:w="829" w:type="pct"/>
            <w:vAlign w:val="center"/>
          </w:tcPr>
          <w:p>
            <w:pPr>
              <w:pStyle w:val="37"/>
            </w:pPr>
            <w:r>
              <w:t>80.27%</w:t>
            </w:r>
          </w:p>
        </w:tc>
        <w:tc>
          <w:tcPr>
            <w:tcW w:w="839" w:type="pct"/>
            <w:vAlign w:val="center"/>
          </w:tcPr>
          <w:p>
            <w:pPr>
              <w:pStyle w:val="37"/>
              <w:rPr>
                <w:b/>
              </w:rPr>
            </w:pPr>
            <w:r>
              <w:rPr>
                <w:b/>
              </w:rPr>
              <w:t>84.66%</w:t>
            </w:r>
          </w:p>
        </w:tc>
      </w:tr>
      <w:bookmarkEnd w:id="15"/>
    </w:tbl>
    <w:p>
      <w:pPr>
        <w:pStyle w:val="25"/>
        <w:spacing w:line="560" w:lineRule="exact"/>
        <w:ind w:firstLine="640"/>
        <w:rPr>
          <w:rFonts w:cs="仿宋_GB2312"/>
        </w:rPr>
      </w:pPr>
      <w:r>
        <w:rPr>
          <w:rFonts w:hint="eastAsia" w:cs="仿宋_GB2312"/>
        </w:rPr>
        <w:t>评价结论：一是项目决策方面，居家和社区养老服务改革试点补助经费项目立项依据充分，绩效目标明确，测算内容合规、测算标准合理。二是项目过程方面，财政资金到位及时，资金使用符合规定，管理制度健全。三是项目产出方面，产出数量、产出质量、产出时效和产出成本部分达到预期目标。四是项目效益方面，养老服务改革试点覆盖情况良好、认知障碍评估筛查达到了预期效果。但存在项目设立程序不规范、绩效目标与实际工作内容相关性不足、预算测算准确度欠佳，项目预算执行不到位、验收程序执行不严格、公益知识科普人员数量不达标、辖区老人满意度不足的情况。</w:t>
      </w:r>
    </w:p>
    <w:p>
      <w:pPr>
        <w:pStyle w:val="27"/>
        <w:spacing w:line="560" w:lineRule="exact"/>
      </w:pPr>
      <w:bookmarkStart w:id="16" w:name="_Toc179622654"/>
      <w:r>
        <w:rPr>
          <w:rFonts w:hint="eastAsia"/>
        </w:rPr>
        <w:t>四、绩效评价指标分析</w:t>
      </w:r>
      <w:bookmarkEnd w:id="16"/>
    </w:p>
    <w:p>
      <w:pPr>
        <w:pStyle w:val="29"/>
        <w:spacing w:line="560" w:lineRule="exact"/>
        <w:ind w:firstLine="640"/>
      </w:pPr>
      <w:bookmarkStart w:id="17" w:name="_Toc179622655"/>
      <w:r>
        <w:rPr>
          <w:rFonts w:hint="eastAsia"/>
        </w:rPr>
        <w:t>（一）项目决策情况</w:t>
      </w:r>
      <w:bookmarkEnd w:id="17"/>
    </w:p>
    <w:p>
      <w:pPr>
        <w:pStyle w:val="25"/>
        <w:spacing w:line="560" w:lineRule="exact"/>
        <w:ind w:firstLine="640"/>
      </w:pPr>
      <w:r>
        <w:rPr>
          <w:rFonts w:hint="eastAsia"/>
        </w:rPr>
        <w:t>决策指标主要包括项目立项、绩效目标、预算编制</w:t>
      </w:r>
      <w:r>
        <w:t>3</w:t>
      </w:r>
      <w:r>
        <w:rPr>
          <w:rFonts w:hint="eastAsia"/>
        </w:rPr>
        <w:t>项二级指标，</w:t>
      </w:r>
      <w:r>
        <w:t>8</w:t>
      </w:r>
      <w:r>
        <w:rPr>
          <w:rFonts w:hint="eastAsia"/>
        </w:rPr>
        <w:t>项三级指标，基础总分</w:t>
      </w:r>
      <w:r>
        <w:t>17</w:t>
      </w:r>
      <w:r>
        <w:rPr>
          <w:rFonts w:hint="eastAsia"/>
        </w:rPr>
        <w:t>分，合计得分</w:t>
      </w:r>
      <w:r>
        <w:t>12</w:t>
      </w:r>
      <w:r>
        <w:rPr>
          <w:rFonts w:hint="eastAsia"/>
        </w:rPr>
        <w:t>分。</w:t>
      </w:r>
    </w:p>
    <w:p>
      <w:pPr>
        <w:pStyle w:val="25"/>
        <w:spacing w:line="560" w:lineRule="exact"/>
        <w:ind w:firstLine="640"/>
      </w:pPr>
      <w:r>
        <w:rPr>
          <w:rFonts w:hint="eastAsia"/>
        </w:rPr>
        <w:t>1.项目立项</w:t>
      </w:r>
    </w:p>
    <w:p>
      <w:pPr>
        <w:pStyle w:val="25"/>
        <w:spacing w:line="560" w:lineRule="exact"/>
        <w:ind w:firstLine="640"/>
        <w:contextualSpacing/>
      </w:pPr>
      <w:r>
        <w:rPr>
          <w:rFonts w:hint="eastAsia"/>
        </w:rPr>
        <w:t>（1）立项依据充分性（总分2分，得分</w:t>
      </w:r>
      <w:r>
        <w:t>2</w:t>
      </w:r>
      <w:r>
        <w:rPr>
          <w:rFonts w:hint="eastAsia"/>
        </w:rPr>
        <w:t>分）。本项目设立符合国家法律法规和政策要求，符合《和平区居家和社区养老服务改革试点工作实施方案》（和平政办函〔</w:t>
      </w:r>
      <w:r>
        <w:t>2020〕5号）中“推进和平区居家和社区养老服务改革试点建设工作，提升</w:t>
      </w:r>
      <w:r>
        <w:rPr>
          <w:rFonts w:hint="eastAsia"/>
        </w:rPr>
        <w:t>居家和社区养老服务供给能力和服务水平”的行业发展规划要求，符合区民政局“拟订社会福利事业发展规划，社会福利企业认定初审上报。组织实施慈善事业的促进计划，组织、指导社会捐助工作。指导老年人、孤儿和残疾人等特殊群体权益保障工作”的职责，属于部门履职所需，属于公共财政支持范围，与相关部门同类项目或部门内部相关项目不存在政策交叉重复，立项依据充分。</w:t>
      </w:r>
    </w:p>
    <w:p>
      <w:pPr>
        <w:pStyle w:val="25"/>
        <w:spacing w:line="560" w:lineRule="exact"/>
        <w:ind w:firstLine="640"/>
      </w:pPr>
      <w:r>
        <w:rPr>
          <w:rFonts w:hint="eastAsia"/>
        </w:rPr>
        <w:t>（2）立项程序规范性（总分2分，得分</w:t>
      </w:r>
      <w:r>
        <w:t>0</w:t>
      </w:r>
      <w:r>
        <w:rPr>
          <w:rFonts w:hint="eastAsia"/>
        </w:rPr>
        <w:t>分）。居家和社区养老服务改革试点补助经费项目制定了资金使用方案和资金申请请示，但项目申请设立前未经过单位集体决策程序，缺少集体决策会议纪要，项目设立审批文件、材料不全，立项程序不规范。</w:t>
      </w:r>
    </w:p>
    <w:p>
      <w:pPr>
        <w:pStyle w:val="25"/>
        <w:spacing w:line="560" w:lineRule="exact"/>
        <w:ind w:firstLine="640"/>
      </w:pPr>
      <w:r>
        <w:rPr>
          <w:rFonts w:hint="eastAsia"/>
        </w:rPr>
        <w:t>2.绩效目标</w:t>
      </w:r>
    </w:p>
    <w:p>
      <w:pPr>
        <w:pStyle w:val="25"/>
        <w:spacing w:line="560" w:lineRule="exact"/>
        <w:ind w:firstLine="640"/>
      </w:pPr>
      <w:r>
        <w:rPr>
          <w:rFonts w:hint="eastAsia"/>
        </w:rPr>
        <w:t>（1）绩效目标明确性（总分2分，得分</w:t>
      </w:r>
      <w:r>
        <w:t>2</w:t>
      </w:r>
      <w:r>
        <w:rPr>
          <w:rFonts w:hint="eastAsia"/>
        </w:rPr>
        <w:t>分）。根据《天津市财政局关于印发&lt;天津市市级部门预算绩效目标管理办法&gt;的通知》（津财绩效〔</w:t>
      </w:r>
      <w:r>
        <w:t>2020〕16号）文件要求</w:t>
      </w:r>
      <w:r>
        <w:rPr>
          <w:rFonts w:hint="eastAsia"/>
        </w:rPr>
        <w:t>，绩效目标要指向明确、细化量化、合理可行、相应匹配。依据区民政局提供的项目支出绩效目标表，绩效指标与项目目标任务数或计划数相对应，各指标制定清晰、指标内容可衡量的情况，</w:t>
      </w:r>
      <w:r>
        <w:rPr>
          <w:rFonts w:hint="eastAsia"/>
          <w:bCs/>
        </w:rPr>
        <w:t>项目绩效目标设置明确。</w:t>
      </w:r>
    </w:p>
    <w:p>
      <w:pPr>
        <w:pStyle w:val="25"/>
        <w:spacing w:line="560" w:lineRule="exact"/>
        <w:ind w:firstLine="640"/>
        <w:rPr>
          <w:bCs/>
        </w:rPr>
      </w:pPr>
      <w:r>
        <w:rPr>
          <w:rFonts w:hint="eastAsia"/>
          <w:bCs/>
        </w:rPr>
        <w:t>（2）绩效目标合理性（总分</w:t>
      </w:r>
      <w:r>
        <w:rPr>
          <w:bCs/>
        </w:rPr>
        <w:t>4</w:t>
      </w:r>
      <w:r>
        <w:rPr>
          <w:rFonts w:hint="eastAsia"/>
          <w:bCs/>
        </w:rPr>
        <w:t>分，得分</w:t>
      </w:r>
      <w:r>
        <w:rPr>
          <w:bCs/>
        </w:rPr>
        <w:t>3</w:t>
      </w:r>
      <w:r>
        <w:rPr>
          <w:rFonts w:hint="eastAsia"/>
          <w:bCs/>
        </w:rPr>
        <w:t>分）。</w:t>
      </w:r>
      <w:r>
        <w:rPr>
          <w:rFonts w:hint="eastAsia"/>
        </w:rPr>
        <w:t>居家和社区养老服务改革试点补助经费</w:t>
      </w:r>
      <w:r>
        <w:rPr>
          <w:rFonts w:hint="eastAsia"/>
          <w:bCs/>
        </w:rPr>
        <w:t>项目绩效目标细化分解为了具体的绩效指标，预期产出效益和效果符合正常的业绩水平，绩效目标与预算确定的资金量相匹配，但</w:t>
      </w:r>
      <w:r>
        <w:rPr>
          <w:rFonts w:hint="eastAsia"/>
        </w:rPr>
        <w:t>绩效目标设置为“通过居家适老化改造补助经费保障，完成居家和社区养老服务改革试点重点项目，提升老年人幸福感”，未能体现认知障碍干预中心运营、适老宜居社区改造服务项目审核、老旧小区扶手安装及结算2</w:t>
      </w:r>
      <w:r>
        <w:t>022</w:t>
      </w:r>
      <w:r>
        <w:rPr>
          <w:rFonts w:hint="eastAsia"/>
        </w:rPr>
        <w:t>年</w:t>
      </w:r>
      <w:r>
        <w:t>9</w:t>
      </w:r>
      <w:r>
        <w:rPr>
          <w:rFonts w:hint="eastAsia"/>
        </w:rPr>
        <w:t>项居家和社区养老服务改革项目尾款</w:t>
      </w:r>
      <w:r>
        <w:rPr>
          <w:rFonts w:hint="eastAsia"/>
          <w:bCs/>
        </w:rPr>
        <w:t>目等实际工作内容，绩效目标与实际工作内容相关性不足，</w:t>
      </w:r>
      <w:r>
        <w:rPr>
          <w:rFonts w:hint="eastAsia" w:ascii="仿宋_GB2312"/>
        </w:rPr>
        <w:t>不符合《天津市财政局关于印发&lt;天津市市级部门预算绩效目标管理办法&gt;的通知》（津财绩效〔</w:t>
      </w:r>
      <w:r>
        <w:t>2020〕16号）文件</w:t>
      </w:r>
      <w:r>
        <w:rPr>
          <w:rFonts w:hint="eastAsia"/>
        </w:rPr>
        <w:t>中规定</w:t>
      </w:r>
      <w:r>
        <w:t>绩效目标的设定需严格遵循指向明确、细化量化、合理可行、与项目内容相应匹配的原则</w:t>
      </w:r>
      <w:r>
        <w:rPr>
          <w:rFonts w:hint="eastAsia"/>
        </w:rPr>
        <w:t>，</w:t>
      </w:r>
      <w:r>
        <w:rPr>
          <w:rFonts w:hint="eastAsia"/>
          <w:bCs/>
        </w:rPr>
        <w:t>绩效目标合理性不足。</w:t>
      </w:r>
    </w:p>
    <w:p>
      <w:pPr>
        <w:pStyle w:val="25"/>
        <w:spacing w:line="560" w:lineRule="exact"/>
        <w:ind w:firstLine="640"/>
        <w:rPr>
          <w:bCs/>
        </w:rPr>
      </w:pPr>
      <w:r>
        <w:rPr>
          <w:rFonts w:hint="eastAsia"/>
          <w:bCs/>
        </w:rPr>
        <w:t>3.预算编制</w:t>
      </w:r>
    </w:p>
    <w:p>
      <w:pPr>
        <w:pStyle w:val="25"/>
        <w:spacing w:line="560" w:lineRule="exact"/>
        <w:ind w:firstLine="640"/>
      </w:pPr>
      <w:r>
        <w:rPr>
          <w:rFonts w:hint="eastAsia"/>
          <w:bCs/>
        </w:rPr>
        <w:t>（1）测算内容合规性（总分2分，得分</w:t>
      </w:r>
      <w:r>
        <w:rPr>
          <w:bCs/>
        </w:rPr>
        <w:t>2</w:t>
      </w:r>
      <w:r>
        <w:rPr>
          <w:rFonts w:hint="eastAsia"/>
          <w:bCs/>
        </w:rPr>
        <w:t>分）。</w:t>
      </w:r>
      <w:r>
        <w:rPr>
          <w:rFonts w:hint="eastAsia"/>
        </w:rPr>
        <w:t>居家和社区养老服务改革试点补助经费项目测算内容为“弥新”认知障碍干预中心运营、适老宜居改造服务结算审核、</w:t>
      </w:r>
      <w:r>
        <w:t>2023年天津市和平区老旧小区扶手安装</w:t>
      </w:r>
      <w:r>
        <w:rPr>
          <w:rFonts w:hint="eastAsia"/>
        </w:rPr>
        <w:t>及2</w:t>
      </w:r>
      <w:r>
        <w:t>022</w:t>
      </w:r>
      <w:r>
        <w:rPr>
          <w:rFonts w:hint="eastAsia"/>
        </w:rPr>
        <w:t>年</w:t>
      </w:r>
      <w:r>
        <w:t>9</w:t>
      </w:r>
      <w:r>
        <w:rPr>
          <w:rFonts w:hint="eastAsia"/>
        </w:rPr>
        <w:t>项居家和社区养老服务改革项目尾款。其中2</w:t>
      </w:r>
      <w:r>
        <w:t>022</w:t>
      </w:r>
      <w:r>
        <w:rPr>
          <w:rFonts w:hint="eastAsia"/>
        </w:rPr>
        <w:t>年项目尾款包括：居家和社区养老服务中心建设项目监理服务进度款及尾款、适老宜居社区改造服务进度款及尾款、“七彩映像社”短视频助老服务平台进度款及尾款、智慧养老监管系统建设服务费进度款及尾款、居家养老智能化改造进度款及尾款、适老宜居改造服务增项审核尾款、</w:t>
      </w:r>
      <w:r>
        <w:t>养老资源手册制作</w:t>
      </w:r>
      <w:r>
        <w:rPr>
          <w:rFonts w:hint="eastAsia"/>
        </w:rPr>
        <w:t>进度款及尾款、家庭养老床位设备购置及平台开发项目进度款及尾款、</w:t>
      </w:r>
      <w:r>
        <w:t>2022年老旧小区扶手安装进度款及尾款</w:t>
      </w:r>
      <w:r>
        <w:rPr>
          <w:rFonts w:hint="eastAsia"/>
        </w:rPr>
        <w:t>和“开封道”“三盛里”等社区适老化改造服务项目资金评审经费。测算内容符合</w:t>
      </w:r>
      <w:r>
        <w:rPr>
          <w:rFonts w:hint="eastAsia" w:ascii="仿宋_GB2312" w:hAnsi="仿宋_GB2312" w:cs="仿宋_GB2312"/>
          <w:szCs w:val="32"/>
        </w:rPr>
        <w:t>《</w:t>
      </w:r>
      <w:r>
        <w:rPr>
          <w:rFonts w:hint="eastAsia"/>
        </w:rPr>
        <w:t>和平区居家和社区养老服务改革试点工作实施方案》（和平政办函〔2020〕5号）规定的范围</w:t>
      </w:r>
      <w:r>
        <w:rPr>
          <w:rFonts w:hint="eastAsia"/>
          <w:bCs/>
        </w:rPr>
        <w:t>，不存在重复测算政策规定内的相同内容</w:t>
      </w:r>
      <w:r>
        <w:rPr>
          <w:bCs/>
        </w:rPr>
        <w:t>。</w:t>
      </w:r>
    </w:p>
    <w:p>
      <w:pPr>
        <w:pStyle w:val="25"/>
        <w:spacing w:line="560" w:lineRule="exact"/>
        <w:ind w:firstLine="640"/>
        <w:rPr>
          <w:bCs/>
        </w:rPr>
      </w:pPr>
      <w:r>
        <w:rPr>
          <w:rFonts w:hint="eastAsia"/>
          <w:bCs/>
        </w:rPr>
        <w:t>（2）测算标准合理性（总分1分，得分</w:t>
      </w:r>
      <w:r>
        <w:rPr>
          <w:bCs/>
        </w:rPr>
        <w:t>1</w:t>
      </w:r>
      <w:r>
        <w:rPr>
          <w:rFonts w:hint="eastAsia"/>
          <w:bCs/>
        </w:rPr>
        <w:t>分）。</w:t>
      </w:r>
      <w:r>
        <w:rPr>
          <w:rFonts w:hint="eastAsia"/>
        </w:rPr>
        <w:t>居家和社区养老服务改革试点补助经费项目</w:t>
      </w:r>
      <w:r>
        <w:rPr>
          <w:rFonts w:hint="eastAsia"/>
          <w:bCs/>
        </w:rPr>
        <w:t>支出多为采购商品或服务，预算测算标准主要以行业市场价格为参考，测算标准与行业、领域管理标准相符。</w:t>
      </w:r>
    </w:p>
    <w:p>
      <w:pPr>
        <w:pStyle w:val="25"/>
        <w:spacing w:line="560" w:lineRule="exact"/>
        <w:ind w:firstLine="640"/>
        <w:rPr>
          <w:bCs/>
        </w:rPr>
      </w:pPr>
      <w:r>
        <w:rPr>
          <w:rFonts w:hint="eastAsia"/>
          <w:bCs/>
        </w:rPr>
        <w:t>（3）测算数据客观性（总分2分，得分</w:t>
      </w:r>
      <w:r>
        <w:rPr>
          <w:bCs/>
        </w:rPr>
        <w:t>1</w:t>
      </w:r>
      <w:r>
        <w:rPr>
          <w:rFonts w:hint="eastAsia"/>
          <w:bCs/>
        </w:rPr>
        <w:t>分）。</w:t>
      </w:r>
      <w:r>
        <w:rPr>
          <w:rFonts w:hint="eastAsia"/>
        </w:rPr>
        <w:t>居家和社区</w:t>
      </w:r>
      <w:r>
        <w:rPr>
          <w:rFonts w:hint="eastAsia"/>
          <w:bCs/>
        </w:rPr>
        <w:t>养老服务改革试点补助经费项目测算数据主要参考以前年度预算申请数据。但</w:t>
      </w:r>
      <w:r>
        <w:rPr>
          <w:bCs/>
        </w:rPr>
        <w:t>预算测算期间，未按照2023年度需支出的事项进行测算，例如认知障碍干预中心运营服务、适老宜居社区改造服务项目审核服务、2023年老旧小区扶手安装服务以及支付2022年9项居家和社区养老服务改革项目尾款等相关事项。</w:t>
      </w:r>
      <w:r>
        <w:rPr>
          <w:rFonts w:hint="eastAsia"/>
          <w:bCs/>
        </w:rPr>
        <w:t>测算数据与客观需求不符，测算数据客观性不足。</w:t>
      </w:r>
    </w:p>
    <w:p>
      <w:pPr>
        <w:pStyle w:val="25"/>
        <w:spacing w:line="560" w:lineRule="exact"/>
        <w:ind w:firstLine="640"/>
      </w:pPr>
      <w:r>
        <w:rPr>
          <w:rFonts w:hint="eastAsia"/>
          <w:bCs/>
        </w:rPr>
        <w:t>（4）测算过程细化度（总分2分，得分</w:t>
      </w:r>
      <w:r>
        <w:rPr>
          <w:bCs/>
        </w:rPr>
        <w:t>1</w:t>
      </w:r>
      <w:r>
        <w:rPr>
          <w:rFonts w:hint="eastAsia"/>
          <w:bCs/>
        </w:rPr>
        <w:t>分）。</w:t>
      </w:r>
      <w:r>
        <w:rPr>
          <w:rFonts w:hint="eastAsia"/>
          <w:highlight w:val="none"/>
        </w:rPr>
        <w:t>居家和社区养老服务改革试点补助经费项目已按事权划分准确核定了本级财政支出，</w:t>
      </w:r>
      <w:r>
        <w:rPr>
          <w:rFonts w:hint="eastAsia"/>
          <w:highlight w:val="none"/>
          <w:lang w:val="en-US" w:eastAsia="zh-CN"/>
        </w:rPr>
        <w:t>本年</w:t>
      </w:r>
      <w:r>
        <w:rPr>
          <w:rFonts w:hint="eastAsia"/>
          <w:highlight w:val="none"/>
        </w:rPr>
        <w:t>项目预算资金全部由市级补助资金进行保障。</w:t>
      </w:r>
      <w:r>
        <w:rPr>
          <w:rFonts w:hint="eastAsia"/>
        </w:rPr>
        <w:t>但预算测算过程中，未按2</w:t>
      </w:r>
      <w:r>
        <w:t>023</w:t>
      </w:r>
      <w:r>
        <w:rPr>
          <w:rFonts w:hint="eastAsia"/>
        </w:rPr>
        <w:t>年度实际项目内容分别测算</w:t>
      </w:r>
      <w:r>
        <w:rPr>
          <w:rFonts w:hint="eastAsia"/>
          <w:bCs/>
        </w:rPr>
        <w:t>人力、商品和服务等各类费用</w:t>
      </w:r>
      <w:r>
        <w:rPr>
          <w:rFonts w:hint="eastAsia"/>
        </w:rPr>
        <w:t>，</w:t>
      </w:r>
      <w:r>
        <w:rPr>
          <w:bCs/>
        </w:rPr>
        <w:t>项目测算过程细化程度</w:t>
      </w:r>
      <w:r>
        <w:rPr>
          <w:rFonts w:hint="eastAsia"/>
          <w:bCs/>
        </w:rPr>
        <w:t>不足</w:t>
      </w:r>
      <w:r>
        <w:rPr>
          <w:bCs/>
        </w:rPr>
        <w:t>。</w:t>
      </w:r>
    </w:p>
    <w:p>
      <w:pPr>
        <w:pStyle w:val="29"/>
        <w:spacing w:line="560" w:lineRule="exact"/>
        <w:ind w:firstLine="640"/>
      </w:pPr>
      <w:bookmarkStart w:id="18" w:name="_Toc179622656"/>
      <w:r>
        <w:rPr>
          <w:rFonts w:hint="eastAsia"/>
        </w:rPr>
        <w:t>（二）项目过程情况</w:t>
      </w:r>
      <w:bookmarkEnd w:id="18"/>
    </w:p>
    <w:p>
      <w:pPr>
        <w:pStyle w:val="25"/>
        <w:spacing w:line="560" w:lineRule="exact"/>
        <w:ind w:firstLine="640"/>
      </w:pPr>
      <w:r>
        <w:rPr>
          <w:rFonts w:hint="eastAsia"/>
        </w:rPr>
        <w:t>过程指标主要包括资金管理、</w:t>
      </w:r>
      <w:r>
        <w:rPr>
          <w:rFonts w:hint="eastAsia"/>
          <w:bCs/>
        </w:rPr>
        <w:t>组织实施2项二级指标，</w:t>
      </w:r>
      <w:r>
        <w:rPr>
          <w:bCs/>
        </w:rPr>
        <w:t>6</w:t>
      </w:r>
      <w:r>
        <w:rPr>
          <w:rFonts w:hint="eastAsia"/>
          <w:bCs/>
        </w:rPr>
        <w:t>项三级指标，基础总分2</w:t>
      </w:r>
      <w:r>
        <w:rPr>
          <w:bCs/>
        </w:rPr>
        <w:t>3</w:t>
      </w:r>
      <w:r>
        <w:rPr>
          <w:rFonts w:hint="eastAsia"/>
          <w:bCs/>
        </w:rPr>
        <w:t>分，合计得分</w:t>
      </w:r>
      <w:r>
        <w:rPr>
          <w:bCs/>
        </w:rPr>
        <w:t>20</w:t>
      </w:r>
      <w:r>
        <w:rPr>
          <w:rFonts w:hint="eastAsia"/>
          <w:bCs/>
        </w:rPr>
        <w:t>分。</w:t>
      </w:r>
    </w:p>
    <w:p>
      <w:pPr>
        <w:pStyle w:val="25"/>
        <w:spacing w:line="560" w:lineRule="exact"/>
        <w:ind w:firstLine="640"/>
      </w:pPr>
      <w:r>
        <w:rPr>
          <w:rFonts w:hint="eastAsia"/>
        </w:rPr>
        <w:t>1.资金管理</w:t>
      </w:r>
    </w:p>
    <w:p>
      <w:pPr>
        <w:pStyle w:val="25"/>
        <w:spacing w:line="560" w:lineRule="exact"/>
        <w:ind w:firstLine="640"/>
      </w:pPr>
      <w:r>
        <w:rPr>
          <w:rFonts w:hint="eastAsia"/>
        </w:rPr>
        <w:t>（1）资金到位率（总分2分，得分</w:t>
      </w:r>
      <w:r>
        <w:t>2</w:t>
      </w:r>
      <w:r>
        <w:rPr>
          <w:rFonts w:hint="eastAsia"/>
        </w:rPr>
        <w:t>分）。截至</w:t>
      </w:r>
      <w:r>
        <w:t>2023年12月31日，</w:t>
      </w:r>
      <w:r>
        <w:rPr>
          <w:rFonts w:hint="eastAsia"/>
        </w:rPr>
        <w:t>居家和社区养老服务改革试点补助经费项目共计申请预算资金</w:t>
      </w:r>
      <w:r>
        <w:t>866.82</w:t>
      </w:r>
      <w:r>
        <w:rPr>
          <w:rFonts w:hint="eastAsia"/>
        </w:rPr>
        <w:t>万元，分别为：包括市级转移支付资金5</w:t>
      </w:r>
      <w:r>
        <w:t>77.6</w:t>
      </w:r>
      <w:r>
        <w:rPr>
          <w:rFonts w:hint="eastAsia"/>
        </w:rPr>
        <w:t>万元，上年结转资金</w:t>
      </w:r>
      <w:r>
        <w:t>289.22</w:t>
      </w:r>
      <w:r>
        <w:rPr>
          <w:rFonts w:hint="eastAsia"/>
        </w:rPr>
        <w:t>万元。截至2</w:t>
      </w:r>
      <w:r>
        <w:t>023</w:t>
      </w:r>
      <w:r>
        <w:rPr>
          <w:rFonts w:hint="eastAsia"/>
        </w:rPr>
        <w:t>年1</w:t>
      </w:r>
      <w:r>
        <w:t>2</w:t>
      </w:r>
      <w:r>
        <w:rPr>
          <w:rFonts w:hint="eastAsia"/>
        </w:rPr>
        <w:t>月3</w:t>
      </w:r>
      <w:r>
        <w:t>1</w:t>
      </w:r>
      <w:r>
        <w:rPr>
          <w:rFonts w:hint="eastAsia"/>
        </w:rPr>
        <w:t>日，资金已到位</w:t>
      </w:r>
      <w:r>
        <w:t>866.82</w:t>
      </w:r>
      <w:r>
        <w:rPr>
          <w:rFonts w:hint="eastAsia"/>
        </w:rPr>
        <w:t>万元，资金到位率为1</w:t>
      </w:r>
      <w:r>
        <w:t>00</w:t>
      </w:r>
      <w:r>
        <w:rPr>
          <w:rFonts w:hint="eastAsia"/>
        </w:rPr>
        <w:t>%。</w:t>
      </w:r>
    </w:p>
    <w:p>
      <w:pPr>
        <w:pStyle w:val="25"/>
        <w:spacing w:line="560" w:lineRule="exact"/>
        <w:ind w:firstLine="640"/>
      </w:pPr>
      <w:r>
        <w:rPr>
          <w:rFonts w:hint="eastAsia"/>
        </w:rPr>
        <w:t>（2）资金到位及时率（总分1分，得分</w:t>
      </w:r>
      <w:r>
        <w:t>1</w:t>
      </w:r>
      <w:r>
        <w:rPr>
          <w:rFonts w:hint="eastAsia"/>
        </w:rPr>
        <w:t>分）。依据</w:t>
      </w:r>
      <w:r>
        <w:rPr>
          <w:rFonts w:hint="eastAsia" w:ascii="仿宋_GB2312" w:hAnsi="仿宋_GB2312" w:cs="仿宋_GB2312"/>
          <w:szCs w:val="32"/>
        </w:rPr>
        <w:t>《</w:t>
      </w:r>
      <w:r>
        <w:rPr>
          <w:rFonts w:hint="eastAsia"/>
        </w:rPr>
        <w:t>和平区居家和社区养老服务改革试点工作实施方案》（和平政办函〔2020〕5号）及预算批复文件，居家和社区养老服务改革试点补助经费项目实际到位资金为</w:t>
      </w:r>
      <w:r>
        <w:t>866.82</w:t>
      </w:r>
      <w:r>
        <w:rPr>
          <w:rFonts w:hint="eastAsia"/>
        </w:rPr>
        <w:t>万元，及时到位资金</w:t>
      </w:r>
      <w:r>
        <w:t>866.82</w:t>
      </w:r>
      <w:r>
        <w:rPr>
          <w:rFonts w:hint="eastAsia"/>
        </w:rPr>
        <w:t>万元，资金到位及时率为100%。</w:t>
      </w:r>
    </w:p>
    <w:p>
      <w:pPr>
        <w:pStyle w:val="25"/>
        <w:spacing w:line="560" w:lineRule="exact"/>
        <w:ind w:firstLine="640"/>
      </w:pPr>
      <w:r>
        <w:rPr>
          <w:rFonts w:hint="eastAsia"/>
        </w:rPr>
        <w:t>（3）预算执行率（总分2分，得分</w:t>
      </w:r>
      <w:r>
        <w:t>0</w:t>
      </w:r>
      <w:r>
        <w:rPr>
          <w:rFonts w:hint="eastAsia"/>
        </w:rPr>
        <w:t>分）。截至2</w:t>
      </w:r>
      <w:r>
        <w:t>023</w:t>
      </w:r>
      <w:r>
        <w:rPr>
          <w:rFonts w:hint="eastAsia"/>
        </w:rPr>
        <w:t>年1</w:t>
      </w:r>
      <w:r>
        <w:t>2</w:t>
      </w:r>
      <w:r>
        <w:rPr>
          <w:rFonts w:hint="eastAsia"/>
        </w:rPr>
        <w:t>月3</w:t>
      </w:r>
      <w:r>
        <w:t>1</w:t>
      </w:r>
      <w:r>
        <w:rPr>
          <w:rFonts w:hint="eastAsia"/>
        </w:rPr>
        <w:t>日，本项目实际到位预算资金</w:t>
      </w:r>
      <w:r>
        <w:t>866.82</w:t>
      </w:r>
      <w:r>
        <w:rPr>
          <w:rFonts w:hint="eastAsia"/>
        </w:rPr>
        <w:t>万元，</w:t>
      </w:r>
      <w:r>
        <w:rPr>
          <w:rFonts w:hint="eastAsia"/>
          <w:bCs/>
        </w:rPr>
        <w:t>根据项目预算一体化指标执行情况与项目支出明细账数据统计</w:t>
      </w:r>
      <w:r>
        <w:rPr>
          <w:rFonts w:hint="eastAsia"/>
        </w:rPr>
        <w:t>，实际支出</w:t>
      </w:r>
      <w:r>
        <w:t>264.1</w:t>
      </w:r>
      <w:r>
        <w:rPr>
          <w:rFonts w:hint="eastAsia"/>
        </w:rPr>
        <w:t>万元，其中：认知障碍干预中心运营服务费</w:t>
      </w:r>
      <w:r>
        <w:t>13.86</w:t>
      </w:r>
      <w:r>
        <w:rPr>
          <w:rFonts w:hint="eastAsia"/>
        </w:rPr>
        <w:t>万元、适老宜居社区改造服务项目审核费1</w:t>
      </w:r>
      <w:r>
        <w:t>.5</w:t>
      </w:r>
      <w:r>
        <w:rPr>
          <w:rFonts w:hint="eastAsia"/>
        </w:rPr>
        <w:t>万元、2</w:t>
      </w:r>
      <w:r>
        <w:t>023</w:t>
      </w:r>
      <w:r>
        <w:rPr>
          <w:rFonts w:hint="eastAsia"/>
        </w:rPr>
        <w:t>年老旧小区扶手安装服务费</w:t>
      </w:r>
      <w:r>
        <w:t>2.86</w:t>
      </w:r>
      <w:r>
        <w:rPr>
          <w:rFonts w:hint="eastAsia"/>
        </w:rPr>
        <w:t>万元、2</w:t>
      </w:r>
      <w:r>
        <w:t>022</w:t>
      </w:r>
      <w:r>
        <w:rPr>
          <w:rFonts w:hint="eastAsia"/>
        </w:rPr>
        <w:t>年</w:t>
      </w:r>
      <w:r>
        <w:t>9</w:t>
      </w:r>
      <w:r>
        <w:rPr>
          <w:rFonts w:hint="eastAsia"/>
        </w:rPr>
        <w:t>项居家和社区养老服务改革项目尾款</w:t>
      </w:r>
      <w:r>
        <w:t>245.88</w:t>
      </w:r>
      <w:r>
        <w:rPr>
          <w:rFonts w:hint="eastAsia"/>
        </w:rPr>
        <w:t>万元，预算执行率为</w:t>
      </w:r>
      <w:r>
        <w:t>30.47</w:t>
      </w:r>
      <w:r>
        <w:rPr>
          <w:rFonts w:hint="eastAsia"/>
        </w:rPr>
        <w:t>%。</w:t>
      </w:r>
    </w:p>
    <w:p>
      <w:pPr>
        <w:pStyle w:val="25"/>
        <w:spacing w:line="560" w:lineRule="exact"/>
        <w:ind w:firstLine="640"/>
        <w:rPr>
          <w:bCs/>
        </w:rPr>
      </w:pPr>
      <w:r>
        <w:rPr>
          <w:rFonts w:hint="eastAsia"/>
          <w:bCs/>
        </w:rPr>
        <w:t>（4）资金使用合规性（总分</w:t>
      </w:r>
      <w:r>
        <w:rPr>
          <w:bCs/>
        </w:rPr>
        <w:t>11</w:t>
      </w:r>
      <w:r>
        <w:rPr>
          <w:rFonts w:hint="eastAsia"/>
          <w:bCs/>
        </w:rPr>
        <w:t>分，得分</w:t>
      </w:r>
      <w:r>
        <w:rPr>
          <w:bCs/>
        </w:rPr>
        <w:t>11</w:t>
      </w:r>
      <w:r>
        <w:rPr>
          <w:rFonts w:hint="eastAsia"/>
          <w:bCs/>
        </w:rPr>
        <w:t>分）。项目资金主要用于</w:t>
      </w:r>
      <w:r>
        <w:rPr>
          <w:rFonts w:hint="eastAsia"/>
        </w:rPr>
        <w:t>认知障碍干预中心运营服务费、适老宜居社区改造服务项目审核费、2</w:t>
      </w:r>
      <w:r>
        <w:t>023</w:t>
      </w:r>
      <w:r>
        <w:rPr>
          <w:rFonts w:hint="eastAsia"/>
        </w:rPr>
        <w:t>年老旧小区扶手安装服务费及结算2</w:t>
      </w:r>
      <w:r>
        <w:t>022</w:t>
      </w:r>
      <w:r>
        <w:rPr>
          <w:rFonts w:hint="eastAsia"/>
        </w:rPr>
        <w:t>年</w:t>
      </w:r>
      <w:r>
        <w:t>9</w:t>
      </w:r>
      <w:r>
        <w:rPr>
          <w:rFonts w:hint="eastAsia"/>
        </w:rPr>
        <w:t>项居家和社区养老服务改革项目尾款</w:t>
      </w:r>
      <w:r>
        <w:rPr>
          <w:bCs/>
        </w:rPr>
        <w:t>，与项目预算批复和合同规定的用途一致，</w:t>
      </w:r>
      <w:r>
        <w:rPr>
          <w:rFonts w:hint="eastAsia"/>
          <w:bCs/>
        </w:rPr>
        <w:t>资金的拨付有完整的审批程序和手续，</w:t>
      </w:r>
      <w:r>
        <w:rPr>
          <w:bCs/>
        </w:rPr>
        <w:t>财务记账符合国家财经法规和财务管理制度规定；资金的拨付具有完整的审批程序和手续，项目执行过程中不存在截留、挤占、挪用、虚列支出等情况；已按照规定</w:t>
      </w:r>
      <w:r>
        <w:rPr>
          <w:rFonts w:hint="eastAsia"/>
          <w:bCs/>
        </w:rPr>
        <w:t>处理结转资金，将项目结转资金纳入</w:t>
      </w:r>
      <w:r>
        <w:rPr>
          <w:bCs/>
        </w:rPr>
        <w:t>2024</w:t>
      </w:r>
      <w:r>
        <w:rPr>
          <w:rFonts w:hint="eastAsia"/>
          <w:bCs/>
        </w:rPr>
        <w:t>年预算，用于居家和社区养老服务改革试点市级补助资金项目</w:t>
      </w:r>
      <w:r>
        <w:rPr>
          <w:bCs/>
        </w:rPr>
        <w:t>；审计、巡视、财政监察</w:t>
      </w:r>
      <w:r>
        <w:rPr>
          <w:rFonts w:hint="eastAsia"/>
          <w:bCs/>
        </w:rPr>
        <w:t>过程中</w:t>
      </w:r>
      <w:r>
        <w:rPr>
          <w:bCs/>
        </w:rPr>
        <w:t>未针对项目提出整改要求，资金使用合规。</w:t>
      </w:r>
    </w:p>
    <w:p>
      <w:pPr>
        <w:pStyle w:val="25"/>
        <w:spacing w:line="560" w:lineRule="exact"/>
        <w:ind w:firstLine="640"/>
        <w:rPr>
          <w:bCs/>
        </w:rPr>
      </w:pPr>
      <w:r>
        <w:rPr>
          <w:rFonts w:hint="eastAsia"/>
          <w:bCs/>
        </w:rPr>
        <w:t>2.组织实施</w:t>
      </w:r>
    </w:p>
    <w:p>
      <w:pPr>
        <w:pStyle w:val="25"/>
        <w:spacing w:line="560" w:lineRule="exact"/>
        <w:ind w:firstLine="640"/>
      </w:pPr>
      <w:r>
        <w:rPr>
          <w:rFonts w:hint="eastAsia"/>
          <w:bCs/>
        </w:rPr>
        <w:t>（1）管理制度健全性（总分2分，得分</w:t>
      </w:r>
      <w:r>
        <w:rPr>
          <w:bCs/>
        </w:rPr>
        <w:t>2</w:t>
      </w:r>
      <w:r>
        <w:rPr>
          <w:rFonts w:hint="eastAsia"/>
          <w:bCs/>
        </w:rPr>
        <w:t>分）。区民政局作为</w:t>
      </w:r>
      <w:r>
        <w:rPr>
          <w:bCs/>
        </w:rPr>
        <w:t>项目的执行主体</w:t>
      </w:r>
      <w:r>
        <w:rPr>
          <w:rFonts w:hint="eastAsia"/>
          <w:bCs/>
        </w:rPr>
        <w:t>，</w:t>
      </w:r>
      <w:r>
        <w:rPr>
          <w:bCs/>
        </w:rPr>
        <w:t>已</w:t>
      </w:r>
      <w:r>
        <w:rPr>
          <w:rFonts w:hint="eastAsia"/>
          <w:bCs/>
        </w:rPr>
        <w:t>建立相应的财务管理制度和业务管理制度，制度内容合法合规，</w:t>
      </w:r>
      <w:r>
        <w:rPr>
          <w:bCs/>
        </w:rPr>
        <w:t>与上级管理的方法保持一致</w:t>
      </w:r>
      <w:r>
        <w:rPr>
          <w:rFonts w:hint="eastAsia"/>
          <w:bCs/>
        </w:rPr>
        <w:t>；制度及管理办法已覆盖项目申报、项目实施、项目验收等环节，财务和业务管理办法符合国家法律法规，项目的管理制度健全。</w:t>
      </w:r>
    </w:p>
    <w:p>
      <w:pPr>
        <w:pStyle w:val="25"/>
        <w:spacing w:line="560" w:lineRule="exact"/>
        <w:ind w:firstLine="640"/>
        <w:rPr>
          <w:bCs/>
        </w:rPr>
      </w:pPr>
      <w:r>
        <w:rPr>
          <w:rFonts w:hint="eastAsia"/>
          <w:bCs/>
        </w:rPr>
        <w:t>（2）制度执行有效性（总分5分，得分</w:t>
      </w:r>
      <w:r>
        <w:rPr>
          <w:bCs/>
        </w:rPr>
        <w:t>4</w:t>
      </w:r>
      <w:r>
        <w:rPr>
          <w:rFonts w:hint="eastAsia"/>
          <w:bCs/>
        </w:rPr>
        <w:t>分）。</w:t>
      </w:r>
      <w:r>
        <w:rPr>
          <w:rFonts w:hint="eastAsia"/>
        </w:rPr>
        <w:t>居家和社区养老服务改革试点补助经费项目</w:t>
      </w:r>
      <w:r>
        <w:t>执行过程中</w:t>
      </w:r>
      <w:r>
        <w:rPr>
          <w:rFonts w:hint="eastAsia"/>
        </w:rPr>
        <w:t>执行遵守《天津居家社区养老服务改革试点市级补助资金暂行管理办法》，不</w:t>
      </w:r>
      <w:r>
        <w:t>存在人员配置不当、场地选择不合理或信息化支撑措施不足</w:t>
      </w:r>
      <w:r>
        <w:rPr>
          <w:rFonts w:hint="eastAsia"/>
        </w:rPr>
        <w:t>的情况，项目实施过程中各项请款、付款文件、会议纪要齐全并及时归档。但存在部分业务未开展验收工作的问题，如老旧小区扶手安装项目未按单位内部控制规定执行验收程序，</w:t>
      </w:r>
      <w:r>
        <w:t>无法确保服务成果符合预期要求</w:t>
      </w:r>
      <w:r>
        <w:rPr>
          <w:rFonts w:hint="eastAsia"/>
        </w:rPr>
        <w:t>，制度执行有效性不足。</w:t>
      </w:r>
    </w:p>
    <w:p>
      <w:pPr>
        <w:pStyle w:val="29"/>
        <w:spacing w:line="560" w:lineRule="exact"/>
        <w:ind w:firstLine="640"/>
      </w:pPr>
      <w:bookmarkStart w:id="19" w:name="_Toc179622657"/>
      <w:r>
        <w:rPr>
          <w:rFonts w:hint="eastAsia"/>
        </w:rPr>
        <w:t>（三）项目产出情况</w:t>
      </w:r>
      <w:bookmarkEnd w:id="19"/>
    </w:p>
    <w:p>
      <w:pPr>
        <w:pStyle w:val="25"/>
        <w:spacing w:line="560" w:lineRule="exact"/>
        <w:ind w:firstLine="640"/>
      </w:pPr>
      <w:r>
        <w:rPr>
          <w:rFonts w:hint="eastAsia"/>
        </w:rPr>
        <w:t>产出指标主要包括产出数量、产出质量、产出时效和产出成本</w:t>
      </w:r>
      <w:r>
        <w:t>4</w:t>
      </w:r>
      <w:r>
        <w:rPr>
          <w:rFonts w:hint="eastAsia"/>
        </w:rPr>
        <w:t>项二级指标，</w:t>
      </w:r>
      <w:r>
        <w:t>16</w:t>
      </w:r>
      <w:r>
        <w:rPr>
          <w:rFonts w:hint="eastAsia"/>
        </w:rPr>
        <w:t>项三级指标，基础总分</w:t>
      </w:r>
      <w:r>
        <w:t>38</w:t>
      </w:r>
      <w:r>
        <w:rPr>
          <w:rFonts w:hint="eastAsia"/>
        </w:rPr>
        <w:t>分，合计得分</w:t>
      </w:r>
      <w:r>
        <w:t>35</w:t>
      </w:r>
      <w:r>
        <w:rPr>
          <w:rFonts w:hint="eastAsia"/>
        </w:rPr>
        <w:t>分。</w:t>
      </w:r>
    </w:p>
    <w:p>
      <w:pPr>
        <w:pStyle w:val="25"/>
        <w:spacing w:line="560" w:lineRule="exact"/>
        <w:ind w:firstLine="640"/>
      </w:pPr>
      <w:r>
        <w:t>1</w:t>
      </w:r>
      <w:r>
        <w:rPr>
          <w:rFonts w:hint="eastAsia"/>
        </w:rPr>
        <w:t>.产出数量</w:t>
      </w:r>
    </w:p>
    <w:p>
      <w:pPr>
        <w:pStyle w:val="25"/>
        <w:spacing w:line="560" w:lineRule="exact"/>
        <w:ind w:firstLine="640"/>
      </w:pPr>
      <w:r>
        <w:rPr>
          <w:rFonts w:hint="eastAsia"/>
        </w:rPr>
        <w:t>（1）公益知识宣讲完成率（总分</w:t>
      </w:r>
      <w:r>
        <w:t>3</w:t>
      </w:r>
      <w:r>
        <w:rPr>
          <w:rFonts w:hint="eastAsia"/>
        </w:rPr>
        <w:t>分，得分</w:t>
      </w:r>
      <w:r>
        <w:t>3</w:t>
      </w:r>
      <w:r>
        <w:rPr>
          <w:rFonts w:hint="eastAsia"/>
        </w:rPr>
        <w:t>分）。根据区民政局提供的项目需求书和中标合同等文件，2</w:t>
      </w:r>
      <w:r>
        <w:t>023</w:t>
      </w:r>
      <w:r>
        <w:rPr>
          <w:rFonts w:hint="eastAsia"/>
        </w:rPr>
        <w:t>年计划完成</w:t>
      </w:r>
      <w:r>
        <w:rPr>
          <w:rFonts w:cs="Times New Roman"/>
          <w:szCs w:val="32"/>
        </w:rPr>
        <w:t>12</w:t>
      </w:r>
      <w:r>
        <w:rPr>
          <w:rFonts w:hint="eastAsia" w:ascii="仿宋_GB2312" w:hAnsi="仿宋_GB2312" w:cs="仿宋_GB2312"/>
          <w:szCs w:val="32"/>
        </w:rPr>
        <w:t>场</w:t>
      </w:r>
      <w:r>
        <w:rPr>
          <w:rFonts w:hint="eastAsia"/>
        </w:rPr>
        <w:t>公益知识宣讲，依据项目成果报告，2</w:t>
      </w:r>
      <w:r>
        <w:t>023</w:t>
      </w:r>
      <w:r>
        <w:rPr>
          <w:rFonts w:hint="eastAsia"/>
        </w:rPr>
        <w:t>年实际完成3</w:t>
      </w:r>
      <w:r>
        <w:t>2</w:t>
      </w:r>
      <w:r>
        <w:rPr>
          <w:rFonts w:hint="eastAsia"/>
        </w:rPr>
        <w:t>场认知障碍公益知识宣讲，普及“早筛查、早预防、早诊断、早干预、早治疗”的理念，提升了社会公众对认知障碍的正确认识，公益知识宣讲完成率为</w:t>
      </w:r>
      <w:r>
        <w:t>266.67%</w:t>
      </w:r>
      <w:r>
        <w:rPr>
          <w:rFonts w:hint="eastAsia"/>
        </w:rPr>
        <w:t>。</w:t>
      </w:r>
    </w:p>
    <w:p>
      <w:pPr>
        <w:pStyle w:val="25"/>
        <w:spacing w:line="560" w:lineRule="exact"/>
        <w:ind w:firstLine="640"/>
      </w:pPr>
      <w:r>
        <w:rPr>
          <w:rFonts w:hint="eastAsia"/>
        </w:rPr>
        <w:t>（2）结算审核报告完成率（总分</w:t>
      </w:r>
      <w:r>
        <w:t>3</w:t>
      </w:r>
      <w:r>
        <w:rPr>
          <w:rFonts w:hint="eastAsia"/>
        </w:rPr>
        <w:t>分，得分</w:t>
      </w:r>
      <w:r>
        <w:t>3</w:t>
      </w:r>
      <w:r>
        <w:rPr>
          <w:rFonts w:hint="eastAsia"/>
        </w:rPr>
        <w:t>分）。根据区民政局提供的服务合同，因2</w:t>
      </w:r>
      <w:r>
        <w:t>022</w:t>
      </w:r>
      <w:r>
        <w:rPr>
          <w:rFonts w:hint="eastAsia"/>
        </w:rPr>
        <w:t>年天津市和平区适老宜居社区改造项目工程内容变化，计划完成</w:t>
      </w:r>
      <w:r>
        <w:rPr>
          <w:rFonts w:ascii="仿宋_GB2312" w:hAnsi="仿宋_GB2312" w:cs="仿宋_GB2312"/>
          <w:szCs w:val="32"/>
        </w:rPr>
        <w:t>1</w:t>
      </w:r>
      <w:r>
        <w:rPr>
          <w:rFonts w:hint="eastAsia" w:ascii="仿宋_GB2312" w:hAnsi="仿宋_GB2312" w:cs="仿宋_GB2312"/>
          <w:szCs w:val="32"/>
        </w:rPr>
        <w:t>个</w:t>
      </w:r>
      <w:r>
        <w:rPr>
          <w:rFonts w:hint="eastAsia"/>
        </w:rPr>
        <w:t>结算审核报告编制工作。经核实，北京泛华国金工程咨询有限公司完成了天津市和平区适老宜居社区改造服务项目结算审核报告编制工作，结算审核报告完成率为1</w:t>
      </w:r>
      <w:r>
        <w:t>00%</w:t>
      </w:r>
      <w:r>
        <w:rPr>
          <w:rFonts w:hint="eastAsia"/>
        </w:rPr>
        <w:t>。</w:t>
      </w:r>
    </w:p>
    <w:p>
      <w:pPr>
        <w:pStyle w:val="25"/>
        <w:spacing w:line="560" w:lineRule="exact"/>
        <w:ind w:firstLine="640"/>
      </w:pPr>
      <w:r>
        <w:rPr>
          <w:rFonts w:hint="eastAsia"/>
        </w:rPr>
        <w:t>（</w:t>
      </w:r>
      <w:r>
        <w:t>3</w:t>
      </w:r>
      <w:r>
        <w:rPr>
          <w:rFonts w:hint="eastAsia"/>
        </w:rPr>
        <w:t>）扶手安装完成率（总分</w:t>
      </w:r>
      <w:r>
        <w:t>3</w:t>
      </w:r>
      <w:r>
        <w:rPr>
          <w:rFonts w:hint="eastAsia"/>
        </w:rPr>
        <w:t>分，得分</w:t>
      </w:r>
      <w:r>
        <w:t>3</w:t>
      </w:r>
      <w:r>
        <w:rPr>
          <w:rFonts w:hint="eastAsia"/>
        </w:rPr>
        <w:t>分）。根据区民政局提供的服务合同，2</w:t>
      </w:r>
      <w:r>
        <w:t>023</w:t>
      </w:r>
      <w:r>
        <w:rPr>
          <w:rFonts w:hint="eastAsia"/>
        </w:rPr>
        <w:t>年计划完成天津市和平区劝业场街2</w:t>
      </w:r>
      <w:r>
        <w:t>33</w:t>
      </w:r>
      <w:r>
        <w:rPr>
          <w:rFonts w:hint="eastAsia"/>
        </w:rPr>
        <w:t>米老旧小区扶手制作安装，经评价组实地调研，2</w:t>
      </w:r>
      <w:r>
        <w:t>33</w:t>
      </w:r>
      <w:r>
        <w:rPr>
          <w:rFonts w:hint="eastAsia"/>
        </w:rPr>
        <w:t>米扶手已全部安装完成，扶手安装完成率为1</w:t>
      </w:r>
      <w:r>
        <w:t>00%</w:t>
      </w:r>
      <w:r>
        <w:rPr>
          <w:rFonts w:hint="eastAsia"/>
        </w:rPr>
        <w:t>。</w:t>
      </w:r>
    </w:p>
    <w:p>
      <w:pPr>
        <w:pStyle w:val="25"/>
        <w:spacing w:line="560" w:lineRule="exact"/>
        <w:ind w:firstLine="640"/>
      </w:pPr>
      <w:r>
        <w:rPr>
          <w:rFonts w:hint="eastAsia"/>
        </w:rPr>
        <w:t>（</w:t>
      </w:r>
      <w:r>
        <w:t>4</w:t>
      </w:r>
      <w:r>
        <w:rPr>
          <w:rFonts w:hint="eastAsia"/>
        </w:rPr>
        <w:t>）合同尾款结算完成率（总分</w:t>
      </w:r>
      <w:r>
        <w:t>2.5</w:t>
      </w:r>
      <w:r>
        <w:rPr>
          <w:rFonts w:hint="eastAsia"/>
        </w:rPr>
        <w:t>分，得分</w:t>
      </w:r>
      <w:r>
        <w:t>2.5</w:t>
      </w:r>
      <w:r>
        <w:rPr>
          <w:rFonts w:hint="eastAsia"/>
        </w:rPr>
        <w:t>分）。根据区民政局提供的服务合同，2</w:t>
      </w:r>
      <w:r>
        <w:t>023</w:t>
      </w:r>
      <w:r>
        <w:rPr>
          <w:rFonts w:hint="eastAsia"/>
        </w:rPr>
        <w:t>年应结算</w:t>
      </w:r>
      <w:r>
        <w:t>9</w:t>
      </w:r>
      <w:r>
        <w:rPr>
          <w:rFonts w:hint="eastAsia"/>
        </w:rPr>
        <w:t>项2</w:t>
      </w:r>
      <w:r>
        <w:t>022</w:t>
      </w:r>
      <w:r>
        <w:rPr>
          <w:rFonts w:hint="eastAsia"/>
        </w:rPr>
        <w:t>年居家和社区养老服务改革项目尾款</w:t>
      </w:r>
      <w:r>
        <w:rPr>
          <w:rFonts w:hint="eastAsia"/>
          <w:bCs/>
        </w:rPr>
        <w:t>，依据财务</w:t>
      </w:r>
      <w:r>
        <w:rPr>
          <w:rFonts w:hint="eastAsia"/>
        </w:rPr>
        <w:t>记账凭证、明细账，</w:t>
      </w:r>
      <w:r>
        <w:t>2023</w:t>
      </w:r>
      <w:r>
        <w:rPr>
          <w:rFonts w:hint="eastAsia"/>
        </w:rPr>
        <w:t>年已结算居家和社区养老服务中心建设项目监理服务进度款及尾款、适老宜居社区改造服务进度款及尾款、“七彩映像社”短视频助老服务平台进度款及尾款、智慧养老监管系统建设服务费进度款及尾款、居家养老智能化改造进度款及尾款、适老宜居改造服务增项审核尾款、</w:t>
      </w:r>
      <w:r>
        <w:t>养老资源手册制作</w:t>
      </w:r>
      <w:r>
        <w:rPr>
          <w:rFonts w:hint="eastAsia"/>
        </w:rPr>
        <w:t>进度款及尾款、家庭养老床位设备购置及平台开发项目进度款及尾款、</w:t>
      </w:r>
      <w:r>
        <w:t>2022年老旧小区扶手安装进度款及尾款</w:t>
      </w:r>
      <w:r>
        <w:rPr>
          <w:rFonts w:hint="eastAsia"/>
        </w:rPr>
        <w:t>和“开封道”“三盛里”等社区适老化改造服务项目资金评审经费共计9项尾款，合同尾款结算完成率为1</w:t>
      </w:r>
      <w:r>
        <w:t>00%</w:t>
      </w:r>
    </w:p>
    <w:p>
      <w:pPr>
        <w:pStyle w:val="25"/>
        <w:spacing w:line="560" w:lineRule="exact"/>
        <w:ind w:firstLine="640"/>
      </w:pPr>
      <w:r>
        <w:rPr>
          <w:rFonts w:hint="eastAsia"/>
        </w:rPr>
        <w:t>2.产出质量</w:t>
      </w:r>
    </w:p>
    <w:p>
      <w:pPr>
        <w:pStyle w:val="25"/>
        <w:spacing w:line="560" w:lineRule="exact"/>
        <w:ind w:firstLine="640"/>
      </w:pPr>
      <w:r>
        <w:rPr>
          <w:rFonts w:hint="eastAsia"/>
        </w:rPr>
        <w:t>（1）公益知识科普人员达标率（总分</w:t>
      </w:r>
      <w:r>
        <w:t>3</w:t>
      </w:r>
      <w:r>
        <w:rPr>
          <w:rFonts w:hint="eastAsia"/>
        </w:rPr>
        <w:t>分，得分</w:t>
      </w:r>
      <w:r>
        <w:t>0</w:t>
      </w:r>
      <w:r>
        <w:rPr>
          <w:rFonts w:hint="eastAsia"/>
        </w:rPr>
        <w:t>分）。根据区民政局提供的项目需求书和中标合同等文件，2</w:t>
      </w:r>
      <w:r>
        <w:t>023</w:t>
      </w:r>
      <w:r>
        <w:rPr>
          <w:rFonts w:hint="eastAsia"/>
        </w:rPr>
        <w:t>年计划完成</w:t>
      </w:r>
      <w:r>
        <w:rPr>
          <w:rFonts w:hint="eastAsia" w:ascii="仿宋_GB2312" w:hAnsi="仿宋_GB2312" w:cs="仿宋_GB2312"/>
          <w:szCs w:val="32"/>
        </w:rPr>
        <w:t>10000人次的公益知识科普</w:t>
      </w:r>
      <w:r>
        <w:rPr>
          <w:rFonts w:hint="eastAsia"/>
        </w:rPr>
        <w:t>，依据项目成果报告，2</w:t>
      </w:r>
      <w:r>
        <w:t>023</w:t>
      </w:r>
      <w:r>
        <w:rPr>
          <w:rFonts w:hint="eastAsia"/>
        </w:rPr>
        <w:t>年完成的3</w:t>
      </w:r>
      <w:r>
        <w:t>2</w:t>
      </w:r>
      <w:r>
        <w:rPr>
          <w:rFonts w:hint="eastAsia"/>
        </w:rPr>
        <w:t>场认知障碍公益知识宣讲，共涉及</w:t>
      </w:r>
      <w:r>
        <w:t>973</w:t>
      </w:r>
      <w:r>
        <w:rPr>
          <w:rFonts w:hint="eastAsia"/>
        </w:rPr>
        <w:t>人，未达到项目需求标准，公益知识宣讲完成率为</w:t>
      </w:r>
      <w:r>
        <w:t>9.73%</w:t>
      </w:r>
      <w:r>
        <w:rPr>
          <w:rFonts w:hint="eastAsia"/>
        </w:rPr>
        <w:t>。具体情况见表</w:t>
      </w:r>
      <w:r>
        <w:t>3</w:t>
      </w:r>
      <w:r>
        <w:rPr>
          <w:rFonts w:hint="eastAsia"/>
        </w:rPr>
        <w:t>。</w:t>
      </w:r>
    </w:p>
    <w:p>
      <w:pPr>
        <w:pStyle w:val="32"/>
        <w:spacing w:line="560" w:lineRule="exact"/>
      </w:pPr>
      <w:r>
        <w:t>表3</w:t>
      </w:r>
      <w:r>
        <w:rPr>
          <w:rFonts w:hint="eastAsia"/>
        </w:rPr>
        <w:t xml:space="preserve"> </w:t>
      </w:r>
      <w:r>
        <w:t xml:space="preserve"> </w:t>
      </w:r>
      <w:r>
        <w:rPr>
          <w:rFonts w:hint="eastAsia"/>
        </w:rPr>
        <w:t>公益知识科普人员情况</w:t>
      </w:r>
    </w:p>
    <w:p>
      <w:pPr>
        <w:pStyle w:val="33"/>
        <w:spacing w:line="560" w:lineRule="exact"/>
      </w:pPr>
      <w:r>
        <w:rPr>
          <w:rFonts w:hint="eastAsia"/>
        </w:rPr>
        <w:t>单位：人</w:t>
      </w:r>
    </w:p>
    <w:tbl>
      <w:tblPr>
        <w:tblStyle w:val="15"/>
        <w:tblW w:w="49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3"/>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083" w:type="pct"/>
            <w:vAlign w:val="center"/>
          </w:tcPr>
          <w:p>
            <w:pPr>
              <w:pStyle w:val="35"/>
              <w:rPr>
                <w:rFonts w:ascii="宋体" w:hAnsi="宋体" w:eastAsia="宋体" w:cs="宋体"/>
              </w:rPr>
            </w:pPr>
            <w:r>
              <w:rPr>
                <w:rFonts w:hint="eastAsia" w:ascii="宋体" w:hAnsi="宋体" w:eastAsia="宋体" w:cs="宋体"/>
              </w:rPr>
              <w:t>活动名称</w:t>
            </w:r>
          </w:p>
        </w:tc>
        <w:tc>
          <w:tcPr>
            <w:tcW w:w="916" w:type="pct"/>
            <w:vAlign w:val="center"/>
          </w:tcPr>
          <w:p>
            <w:pPr>
              <w:pStyle w:val="35"/>
              <w:rPr>
                <w:rFonts w:ascii="宋体" w:hAnsi="宋体" w:eastAsia="宋体" w:cs="宋体"/>
              </w:rPr>
            </w:pPr>
            <w:r>
              <w:rPr>
                <w:rFonts w:hint="eastAsia" w:ascii="宋体" w:hAnsi="宋体" w:eastAsia="宋体" w:cs="宋体"/>
              </w:rPr>
              <w:t>涉及人数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pPr>
            <w:r>
              <w:rPr>
                <w:rFonts w:hint="eastAsia" w:ascii="宋体" w:eastAsia="宋体" w:cs="宋体"/>
                <w:kern w:val="0"/>
              </w:rPr>
              <w:t>认知障碍干预中心走进书画协会举办“书法写人生，守护记忆”公益活动</w:t>
            </w:r>
          </w:p>
        </w:tc>
        <w:tc>
          <w:tcPr>
            <w:tcW w:w="916" w:type="pct"/>
            <w:vAlign w:val="center"/>
          </w:tcPr>
          <w:p>
            <w:pPr>
              <w:pStyle w:val="3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南营门香榭里携手守护“爱的记忆”脑健康主题活动</w:t>
            </w:r>
          </w:p>
        </w:tc>
        <w:tc>
          <w:tcPr>
            <w:tcW w:w="916" w:type="pct"/>
            <w:vAlign w:val="center"/>
          </w:tcPr>
          <w:p>
            <w:pPr>
              <w:pStyle w:val="37"/>
            </w:pPr>
            <w: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预防认知障碍的生活习惯指导</w:t>
            </w:r>
          </w:p>
        </w:tc>
        <w:tc>
          <w:tcPr>
            <w:tcW w:w="916" w:type="pct"/>
            <w:vAlign w:val="center"/>
          </w:tcPr>
          <w:p>
            <w:pPr>
              <w:pStyle w:val="37"/>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南营门认知障碍风险筛查</w:t>
            </w:r>
          </w:p>
        </w:tc>
        <w:tc>
          <w:tcPr>
            <w:tcW w:w="916" w:type="pct"/>
            <w:vAlign w:val="center"/>
          </w:tcPr>
          <w:p>
            <w:pPr>
              <w:pStyle w:val="37"/>
            </w:pPr>
            <w: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“早诊早治，预防认知障碍”志愿服务活动</w:t>
            </w:r>
          </w:p>
        </w:tc>
        <w:tc>
          <w:tcPr>
            <w:tcW w:w="916" w:type="pct"/>
            <w:vAlign w:val="center"/>
          </w:tcPr>
          <w:p>
            <w:pPr>
              <w:pStyle w:val="3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“认识认知障碍，守护老人记忆之美”</w:t>
            </w:r>
          </w:p>
        </w:tc>
        <w:tc>
          <w:tcPr>
            <w:tcW w:w="916" w:type="pct"/>
            <w:vAlign w:val="center"/>
          </w:tcPr>
          <w:p>
            <w:pPr>
              <w:pStyle w:val="37"/>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“健康义诊进社区，服务群众保健康”社区志愿服务活动</w:t>
            </w:r>
          </w:p>
        </w:tc>
        <w:tc>
          <w:tcPr>
            <w:tcW w:w="916" w:type="pct"/>
            <w:vAlign w:val="center"/>
          </w:tcPr>
          <w:p>
            <w:pPr>
              <w:pStyle w:val="37"/>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“守护不老记忆”志愿服务活动</w:t>
            </w:r>
          </w:p>
        </w:tc>
        <w:tc>
          <w:tcPr>
            <w:tcW w:w="916" w:type="pct"/>
            <w:vAlign w:val="center"/>
          </w:tcPr>
          <w:p>
            <w:pPr>
              <w:pStyle w:val="37"/>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“关爱长者，守护大脑健康”阳光晚年敬老活动</w:t>
            </w:r>
          </w:p>
        </w:tc>
        <w:tc>
          <w:tcPr>
            <w:tcW w:w="916" w:type="pct"/>
            <w:vAlign w:val="center"/>
          </w:tcPr>
          <w:p>
            <w:pPr>
              <w:pStyle w:val="37"/>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“守护不老记忆”志愿服务活动（第二期）</w:t>
            </w:r>
          </w:p>
        </w:tc>
        <w:tc>
          <w:tcPr>
            <w:tcW w:w="916" w:type="pct"/>
            <w:vAlign w:val="center"/>
          </w:tcPr>
          <w:p>
            <w:pPr>
              <w:pStyle w:val="37"/>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“关爱长者，与爱同行”认知障碍早期筛查公益宣讲系列活动</w:t>
            </w:r>
          </w:p>
        </w:tc>
        <w:tc>
          <w:tcPr>
            <w:tcW w:w="916" w:type="pct"/>
            <w:vAlign w:val="center"/>
          </w:tcPr>
          <w:p>
            <w:pPr>
              <w:pStyle w:val="3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“注重健康，携手同行”认知障碍早期筛查公益宣讲系列活动</w:t>
            </w:r>
          </w:p>
        </w:tc>
        <w:tc>
          <w:tcPr>
            <w:tcW w:w="916" w:type="pct"/>
            <w:vAlign w:val="center"/>
          </w:tcPr>
          <w:p>
            <w:pPr>
              <w:pStyle w:val="37"/>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“认识认知障碍，守护老人记忆之美”</w:t>
            </w:r>
          </w:p>
        </w:tc>
        <w:tc>
          <w:tcPr>
            <w:tcW w:w="916" w:type="pct"/>
            <w:vAlign w:val="center"/>
          </w:tcPr>
          <w:p>
            <w:pPr>
              <w:pStyle w:val="37"/>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认知障碍宣讲友谊里社区</w:t>
            </w:r>
          </w:p>
        </w:tc>
        <w:tc>
          <w:tcPr>
            <w:tcW w:w="916" w:type="pct"/>
            <w:vAlign w:val="center"/>
          </w:tcPr>
          <w:p>
            <w:pPr>
              <w:pStyle w:val="37"/>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“知己知彼，健康促进”认知障碍系列活动</w:t>
            </w:r>
          </w:p>
        </w:tc>
        <w:tc>
          <w:tcPr>
            <w:tcW w:w="916" w:type="pct"/>
            <w:vAlign w:val="center"/>
          </w:tcPr>
          <w:p>
            <w:pPr>
              <w:pStyle w:val="37"/>
            </w:pPr>
            <w: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“注重健康，携手同行”认知障碍系列活动第二期</w:t>
            </w:r>
          </w:p>
        </w:tc>
        <w:tc>
          <w:tcPr>
            <w:tcW w:w="916" w:type="pct"/>
            <w:vAlign w:val="center"/>
          </w:tcPr>
          <w:p>
            <w:pPr>
              <w:pStyle w:val="37"/>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“香榭里社区志愿服务活动”</w:t>
            </w:r>
          </w:p>
        </w:tc>
        <w:tc>
          <w:tcPr>
            <w:tcW w:w="916" w:type="pct"/>
            <w:vAlign w:val="center"/>
          </w:tcPr>
          <w:p>
            <w:pPr>
              <w:pStyle w:val="37"/>
            </w:pPr>
            <w: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“关爱身体，健康生活”</w:t>
            </w:r>
          </w:p>
        </w:tc>
        <w:tc>
          <w:tcPr>
            <w:tcW w:w="916" w:type="pct"/>
            <w:vAlign w:val="center"/>
          </w:tcPr>
          <w:p>
            <w:pPr>
              <w:pStyle w:val="37"/>
            </w:pPr>
            <w: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“立防立治，无问早晚”阿尔兹海默病日公益活动滨海新区站</w:t>
            </w:r>
          </w:p>
        </w:tc>
        <w:tc>
          <w:tcPr>
            <w:tcW w:w="916" w:type="pct"/>
            <w:vAlign w:val="center"/>
          </w:tcPr>
          <w:p>
            <w:pPr>
              <w:pStyle w:val="37"/>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“立防立治，无问早晚”阿尔兹海默病日公益活动河东站</w:t>
            </w:r>
          </w:p>
        </w:tc>
        <w:tc>
          <w:tcPr>
            <w:tcW w:w="916" w:type="pct"/>
            <w:vAlign w:val="center"/>
          </w:tcPr>
          <w:p>
            <w:pPr>
              <w:pStyle w:val="37"/>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“立防立治，无问早晚”阿尔兹海默病日公益活动河北站</w:t>
            </w:r>
          </w:p>
        </w:tc>
        <w:tc>
          <w:tcPr>
            <w:tcW w:w="916" w:type="pct"/>
            <w:vAlign w:val="center"/>
          </w:tcPr>
          <w:p>
            <w:pPr>
              <w:pStyle w:val="37"/>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“立防立治，无问早晚”阿尔兹海默病日公益活动津南站</w:t>
            </w:r>
          </w:p>
        </w:tc>
        <w:tc>
          <w:tcPr>
            <w:tcW w:w="916" w:type="pct"/>
            <w:vAlign w:val="center"/>
          </w:tcPr>
          <w:p>
            <w:pPr>
              <w:pStyle w:val="37"/>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“立防立治，无问早晚”阿尔兹海默病日公益活动南开站</w:t>
            </w:r>
          </w:p>
        </w:tc>
        <w:tc>
          <w:tcPr>
            <w:tcW w:w="916" w:type="pct"/>
            <w:vAlign w:val="center"/>
          </w:tcPr>
          <w:p>
            <w:pPr>
              <w:pStyle w:val="37"/>
            </w:pPr>
            <w: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“立防立治，无问早晚”阿尔兹海默病日公益活动和平站</w:t>
            </w:r>
          </w:p>
        </w:tc>
        <w:tc>
          <w:tcPr>
            <w:tcW w:w="916" w:type="pct"/>
            <w:vAlign w:val="center"/>
          </w:tcPr>
          <w:p>
            <w:pPr>
              <w:pStyle w:val="37"/>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康泰老年公寓认知症早期筛查</w:t>
            </w:r>
          </w:p>
        </w:tc>
        <w:tc>
          <w:tcPr>
            <w:tcW w:w="916" w:type="pct"/>
            <w:vAlign w:val="center"/>
          </w:tcPr>
          <w:p>
            <w:pPr>
              <w:pStyle w:val="37"/>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梅江展会认知症早期筛查</w:t>
            </w:r>
          </w:p>
        </w:tc>
        <w:tc>
          <w:tcPr>
            <w:tcW w:w="916" w:type="pct"/>
            <w:vAlign w:val="center"/>
          </w:tcPr>
          <w:p>
            <w:pPr>
              <w:pStyle w:val="37"/>
            </w:pPr>
            <w: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南营门认知症宣讲</w:t>
            </w:r>
          </w:p>
        </w:tc>
        <w:tc>
          <w:tcPr>
            <w:tcW w:w="916" w:type="pct"/>
            <w:vAlign w:val="center"/>
          </w:tcPr>
          <w:p>
            <w:pPr>
              <w:pStyle w:val="37"/>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南营门文化村认知症宣讲</w:t>
            </w:r>
          </w:p>
        </w:tc>
        <w:tc>
          <w:tcPr>
            <w:tcW w:w="916" w:type="pct"/>
            <w:vAlign w:val="center"/>
          </w:tcPr>
          <w:p>
            <w:pPr>
              <w:pStyle w:val="37"/>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南营门西宁道认知症宣讲</w:t>
            </w:r>
          </w:p>
        </w:tc>
        <w:tc>
          <w:tcPr>
            <w:tcW w:w="916" w:type="pct"/>
            <w:vAlign w:val="center"/>
          </w:tcPr>
          <w:p>
            <w:pPr>
              <w:pStyle w:val="37"/>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南营门竞业里认知症宣讲</w:t>
            </w:r>
          </w:p>
        </w:tc>
        <w:tc>
          <w:tcPr>
            <w:tcW w:w="916" w:type="pct"/>
            <w:vAlign w:val="center"/>
          </w:tcPr>
          <w:p>
            <w:pPr>
              <w:pStyle w:val="37"/>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劝业场街认知症早期筛查</w:t>
            </w:r>
          </w:p>
        </w:tc>
        <w:tc>
          <w:tcPr>
            <w:tcW w:w="916" w:type="pct"/>
            <w:vAlign w:val="center"/>
          </w:tcPr>
          <w:p>
            <w:pPr>
              <w:pStyle w:val="37"/>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南营门香榭里志愿服务活动</w:t>
            </w:r>
          </w:p>
        </w:tc>
        <w:tc>
          <w:tcPr>
            <w:tcW w:w="916" w:type="pct"/>
            <w:vAlign w:val="center"/>
          </w:tcPr>
          <w:p>
            <w:pPr>
              <w:pStyle w:val="37"/>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83" w:type="pct"/>
            <w:vAlign w:val="center"/>
          </w:tcPr>
          <w:p>
            <w:pPr>
              <w:autoSpaceDE w:val="0"/>
              <w:autoSpaceDN w:val="0"/>
              <w:adjustRightInd w:val="0"/>
              <w:spacing w:line="240" w:lineRule="auto"/>
              <w:ind w:firstLine="0" w:firstLineChars="0"/>
              <w:jc w:val="center"/>
              <w:rPr>
                <w:rFonts w:ascii="宋体" w:eastAsia="宋体" w:cs="宋体"/>
                <w:b/>
                <w:kern w:val="0"/>
              </w:rPr>
            </w:pPr>
            <w:r>
              <w:rPr>
                <w:rFonts w:hint="eastAsia" w:ascii="宋体" w:eastAsia="宋体" w:cs="宋体"/>
                <w:b/>
                <w:kern w:val="0"/>
              </w:rPr>
              <w:t>合计</w:t>
            </w:r>
          </w:p>
        </w:tc>
        <w:tc>
          <w:tcPr>
            <w:tcW w:w="916" w:type="pct"/>
            <w:vAlign w:val="center"/>
          </w:tcPr>
          <w:p>
            <w:pPr>
              <w:pStyle w:val="37"/>
            </w:pPr>
            <w:r>
              <w:t>973</w:t>
            </w:r>
          </w:p>
        </w:tc>
      </w:tr>
    </w:tbl>
    <w:p>
      <w:pPr>
        <w:pStyle w:val="25"/>
        <w:spacing w:line="560" w:lineRule="exact"/>
        <w:ind w:firstLine="640"/>
      </w:pPr>
      <w:r>
        <w:rPr>
          <w:rFonts w:hint="eastAsia"/>
        </w:rPr>
        <w:t>（</w:t>
      </w:r>
      <w:r>
        <w:t>2</w:t>
      </w:r>
      <w:r>
        <w:rPr>
          <w:rFonts w:hint="eastAsia"/>
        </w:rPr>
        <w:t>）结算审核报告验收合格率（总分</w:t>
      </w:r>
      <w:r>
        <w:t>3</w:t>
      </w:r>
      <w:r>
        <w:rPr>
          <w:rFonts w:hint="eastAsia"/>
        </w:rPr>
        <w:t>分，得分</w:t>
      </w:r>
      <w:r>
        <w:t>3</w:t>
      </w:r>
      <w:r>
        <w:rPr>
          <w:rFonts w:hint="eastAsia"/>
        </w:rPr>
        <w:t>分）。根据区民政局提供的结算审核报告和造价咨询服务质量反馈表等文件，适老宜居社区改造服务项目结算审核报告已完成验收工作，报告内容符合《天津市建筑工程预算基价》《天津市装饰装修工程预算基价》《天津市安装工程预算基价》《天津市市政工程预算基价》《天津市房屋修缮工程预算基价》和《天津市建设工程计价方法》等与建设项目相关的法律法规，结算审核报告验收合格率为1</w:t>
      </w:r>
      <w:r>
        <w:t>00%</w:t>
      </w:r>
      <w:r>
        <w:rPr>
          <w:rFonts w:hint="eastAsia"/>
        </w:rPr>
        <w:t>。</w:t>
      </w:r>
    </w:p>
    <w:p>
      <w:pPr>
        <w:pStyle w:val="25"/>
        <w:spacing w:line="560" w:lineRule="exact"/>
        <w:ind w:firstLine="640"/>
      </w:pPr>
      <w:r>
        <w:rPr>
          <w:rFonts w:hint="eastAsia"/>
        </w:rPr>
        <w:t>（</w:t>
      </w:r>
      <w:r>
        <w:t>3</w:t>
      </w:r>
      <w:r>
        <w:rPr>
          <w:rFonts w:hint="eastAsia"/>
        </w:rPr>
        <w:t>）扶手质量达标率（总分</w:t>
      </w:r>
      <w:r>
        <w:t>3</w:t>
      </w:r>
      <w:r>
        <w:rPr>
          <w:rFonts w:hint="eastAsia"/>
        </w:rPr>
        <w:t>分，得分</w:t>
      </w:r>
      <w:r>
        <w:t>3</w:t>
      </w:r>
      <w:r>
        <w:rPr>
          <w:rFonts w:hint="eastAsia"/>
        </w:rPr>
        <w:t>分）。经评价组实地调研，天津市和平区劝业场街2</w:t>
      </w:r>
      <w:r>
        <w:t>33</w:t>
      </w:r>
      <w:r>
        <w:rPr>
          <w:rFonts w:hint="eastAsia"/>
        </w:rPr>
        <w:t>米老旧小区新装扶手的</w:t>
      </w:r>
      <w:r>
        <w:rPr>
          <w:rFonts w:ascii="Segoe UI" w:hAnsi="Segoe UI" w:cs="Segoe UI"/>
          <w:shd w:val="clear" w:color="auto" w:fill="FFFFFF"/>
        </w:rPr>
        <w:t>尺寸、高度、间距等参数准确</w:t>
      </w:r>
      <w:r>
        <w:rPr>
          <w:rFonts w:hint="eastAsia" w:ascii="Segoe UI" w:hAnsi="Segoe UI" w:cs="Segoe UI"/>
          <w:shd w:val="clear" w:color="auto" w:fill="FFFFFF"/>
        </w:rPr>
        <w:t>，材质强度、</w:t>
      </w:r>
      <w:r>
        <w:rPr>
          <w:rFonts w:ascii="Segoe UI" w:hAnsi="Segoe UI" w:cs="Segoe UI"/>
          <w:shd w:val="clear" w:color="auto" w:fill="FFFFFF"/>
        </w:rPr>
        <w:t>耐久性和安全性</w:t>
      </w:r>
      <w:r>
        <w:rPr>
          <w:rFonts w:hint="eastAsia" w:ascii="Segoe UI" w:hAnsi="Segoe UI" w:cs="Segoe UI"/>
          <w:shd w:val="clear" w:color="auto" w:fill="FFFFFF"/>
        </w:rPr>
        <w:t>达标</w:t>
      </w:r>
      <w:r>
        <w:rPr>
          <w:rFonts w:ascii="Segoe UI" w:hAnsi="Segoe UI" w:cs="Segoe UI"/>
          <w:shd w:val="clear" w:color="auto" w:fill="FFFFFF"/>
        </w:rPr>
        <w:t>。</w:t>
      </w:r>
      <w:r>
        <w:rPr>
          <w:rFonts w:hint="eastAsia"/>
        </w:rPr>
        <w:t>扶手质量达标率为1</w:t>
      </w:r>
      <w:r>
        <w:t>00%</w:t>
      </w:r>
      <w:r>
        <w:rPr>
          <w:rFonts w:hint="eastAsia"/>
        </w:rPr>
        <w:t>。</w:t>
      </w:r>
    </w:p>
    <w:p>
      <w:pPr>
        <w:pStyle w:val="25"/>
        <w:spacing w:line="560" w:lineRule="exact"/>
        <w:ind w:firstLine="640"/>
      </w:pPr>
      <w:r>
        <w:rPr>
          <w:rFonts w:hint="eastAsia"/>
        </w:rPr>
        <w:t>（</w:t>
      </w:r>
      <w:r>
        <w:t>4</w:t>
      </w:r>
      <w:r>
        <w:rPr>
          <w:rFonts w:hint="eastAsia"/>
        </w:rPr>
        <w:t>）合同尾款结算准确率（总分</w:t>
      </w:r>
      <w:r>
        <w:t>2.5</w:t>
      </w:r>
      <w:r>
        <w:rPr>
          <w:rFonts w:hint="eastAsia"/>
        </w:rPr>
        <w:t>分，得分</w:t>
      </w:r>
      <w:r>
        <w:t>2.5</w:t>
      </w:r>
      <w:r>
        <w:rPr>
          <w:rFonts w:hint="eastAsia"/>
        </w:rPr>
        <w:t>分）。经评价组</w:t>
      </w:r>
      <w:r>
        <w:t>对区民政局提供的 2022 年居家和社区养老服务改革项目的相关资料</w:t>
      </w:r>
      <w:r>
        <w:rPr>
          <w:rFonts w:hint="eastAsia"/>
        </w:rPr>
        <w:t>进行审查，通过</w:t>
      </w:r>
      <w:r>
        <w:t>查阅了相关</w:t>
      </w:r>
      <w:r>
        <w:rPr>
          <w:rFonts w:hint="eastAsia"/>
        </w:rPr>
        <w:t>项目</w:t>
      </w:r>
      <w:r>
        <w:t>服务合同、财务记账凭证以及明细账等资料</w:t>
      </w:r>
      <w:r>
        <w:rPr>
          <w:rFonts w:hint="eastAsia"/>
        </w:rPr>
        <w:t>，</w:t>
      </w:r>
      <w:r>
        <w:t>9项2022年居家和社区养老服务改革项目尾款金额准确</w:t>
      </w:r>
      <w:r>
        <w:rPr>
          <w:rFonts w:hint="eastAsia"/>
        </w:rPr>
        <w:t>，符合合同支付条款，合同尾款结算准确率为1</w:t>
      </w:r>
      <w:r>
        <w:t>00%</w:t>
      </w:r>
      <w:r>
        <w:rPr>
          <w:rFonts w:hint="eastAsia"/>
        </w:rPr>
        <w:t>。</w:t>
      </w:r>
    </w:p>
    <w:p>
      <w:pPr>
        <w:pStyle w:val="25"/>
        <w:spacing w:line="560" w:lineRule="exact"/>
        <w:ind w:firstLine="640"/>
      </w:pPr>
      <w:r>
        <w:rPr>
          <w:rFonts w:hint="eastAsia"/>
        </w:rPr>
        <w:t>3.产出时效</w:t>
      </w:r>
    </w:p>
    <w:p>
      <w:pPr>
        <w:pStyle w:val="25"/>
        <w:spacing w:line="560" w:lineRule="exact"/>
        <w:ind w:firstLine="640"/>
      </w:pPr>
      <w:r>
        <w:rPr>
          <w:rFonts w:hint="eastAsia"/>
        </w:rPr>
        <w:t>（1）公益知识宣讲开展及时率（总分</w:t>
      </w:r>
      <w:r>
        <w:t>2</w:t>
      </w:r>
      <w:r>
        <w:rPr>
          <w:rFonts w:hint="eastAsia"/>
        </w:rPr>
        <w:t>分，得分</w:t>
      </w:r>
      <w:r>
        <w:t>2</w:t>
      </w:r>
      <w:r>
        <w:rPr>
          <w:rFonts w:hint="eastAsia"/>
        </w:rPr>
        <w:t>分）。根据区民政局提供的合同和项目成果报告等文件，截至</w:t>
      </w:r>
      <w:r>
        <w:t>2023</w:t>
      </w:r>
      <w:r>
        <w:rPr>
          <w:rFonts w:hint="eastAsia"/>
        </w:rPr>
        <w:t>年</w:t>
      </w:r>
      <w:r>
        <w:t>11</w:t>
      </w:r>
      <w:r>
        <w:rPr>
          <w:rFonts w:hint="eastAsia"/>
        </w:rPr>
        <w:t>月</w:t>
      </w:r>
      <w:r>
        <w:t>23</w:t>
      </w:r>
      <w:r>
        <w:rPr>
          <w:rFonts w:hint="eastAsia"/>
        </w:rPr>
        <w:t>日，</w:t>
      </w:r>
      <w:r>
        <w:t>32</w:t>
      </w:r>
      <w:r>
        <w:rPr>
          <w:rFonts w:hint="eastAsia"/>
        </w:rPr>
        <w:t>场认知障碍公益知识宣讲均已按时开展，符合宣讲开展计划，公益知识宣讲开展及时率为1</w:t>
      </w:r>
      <w:r>
        <w:t>00%</w:t>
      </w:r>
      <w:r>
        <w:rPr>
          <w:rFonts w:hint="eastAsia"/>
        </w:rPr>
        <w:t>。具体情况见表</w:t>
      </w:r>
      <w:r>
        <w:t>4</w:t>
      </w:r>
      <w:r>
        <w:rPr>
          <w:rFonts w:hint="eastAsia"/>
        </w:rPr>
        <w:t>。</w:t>
      </w:r>
    </w:p>
    <w:p>
      <w:pPr>
        <w:pStyle w:val="32"/>
        <w:spacing w:line="560" w:lineRule="exact"/>
      </w:pPr>
      <w:r>
        <w:t>表4</w:t>
      </w:r>
      <w:r>
        <w:rPr>
          <w:rFonts w:hint="eastAsia"/>
        </w:rPr>
        <w:t xml:space="preserve"> </w:t>
      </w:r>
      <w:r>
        <w:t xml:space="preserve"> </w:t>
      </w:r>
      <w:r>
        <w:rPr>
          <w:rFonts w:hint="eastAsia"/>
        </w:rPr>
        <w:t>公益知识科普宣讲进度统计表</w:t>
      </w:r>
    </w:p>
    <w:p>
      <w:pPr>
        <w:pStyle w:val="33"/>
        <w:spacing w:line="560" w:lineRule="exact"/>
      </w:pPr>
      <w:r>
        <w:rPr>
          <w:rFonts w:hint="eastAsia"/>
        </w:rPr>
        <w:t xml:space="preserve"> 单位：人</w:t>
      </w:r>
    </w:p>
    <w:tbl>
      <w:tblPr>
        <w:tblStyle w:val="15"/>
        <w:tblW w:w="49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4"/>
        <w:gridCol w:w="2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22" w:type="pct"/>
            <w:vAlign w:val="center"/>
          </w:tcPr>
          <w:p>
            <w:pPr>
              <w:pStyle w:val="35"/>
              <w:rPr>
                <w:rFonts w:ascii="宋体" w:hAnsi="宋体" w:eastAsia="宋体" w:cs="宋体"/>
              </w:rPr>
            </w:pPr>
            <w:r>
              <w:rPr>
                <w:rFonts w:hint="eastAsia" w:ascii="宋体" w:hAnsi="宋体" w:eastAsia="宋体" w:cs="宋体"/>
              </w:rPr>
              <w:t>活动名称</w:t>
            </w:r>
          </w:p>
        </w:tc>
        <w:tc>
          <w:tcPr>
            <w:tcW w:w="1377" w:type="pct"/>
            <w:vAlign w:val="center"/>
          </w:tcPr>
          <w:p>
            <w:pPr>
              <w:pStyle w:val="35"/>
              <w:rPr>
                <w:rFonts w:ascii="宋体" w:hAnsi="宋体" w:eastAsia="宋体" w:cs="宋体"/>
              </w:rPr>
            </w:pPr>
            <w:r>
              <w:rPr>
                <w:rFonts w:hint="eastAsia" w:ascii="宋体" w:hAnsi="宋体" w:eastAsia="宋体" w:cs="宋体"/>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pPr>
            <w:r>
              <w:rPr>
                <w:rFonts w:hint="eastAsia" w:ascii="宋体" w:eastAsia="宋体" w:cs="宋体"/>
                <w:kern w:val="0"/>
              </w:rPr>
              <w:t>认知障碍干预中心走进书画协会举办“书法写人生，守护记忆”公益活动</w:t>
            </w:r>
          </w:p>
        </w:tc>
        <w:tc>
          <w:tcPr>
            <w:tcW w:w="1377" w:type="pct"/>
            <w:vAlign w:val="center"/>
          </w:tcPr>
          <w:p>
            <w:pPr>
              <w:pStyle w:val="37"/>
            </w:pPr>
            <w:r>
              <w:t>2023</w:t>
            </w:r>
            <w:r>
              <w:rPr>
                <w:rFonts w:hint="eastAsia"/>
              </w:rPr>
              <w:t>年2月7日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南营门香榭里携手守护“爱的记忆”脑健康主题活动</w:t>
            </w:r>
          </w:p>
        </w:tc>
        <w:tc>
          <w:tcPr>
            <w:tcW w:w="1377" w:type="pct"/>
            <w:vAlign w:val="center"/>
          </w:tcPr>
          <w:p>
            <w:pPr>
              <w:pStyle w:val="37"/>
            </w:pPr>
            <w:r>
              <w:t>2023</w:t>
            </w:r>
            <w:r>
              <w:rPr>
                <w:rFonts w:hint="eastAsia"/>
              </w:rPr>
              <w:t>年</w:t>
            </w:r>
            <w:r>
              <w:t>3</w:t>
            </w:r>
            <w:r>
              <w:rPr>
                <w:rFonts w:hint="eastAsia"/>
              </w:rPr>
              <w:t>月</w:t>
            </w:r>
            <w:r>
              <w:t>3</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预防认知障碍的生活习惯指导</w:t>
            </w:r>
          </w:p>
        </w:tc>
        <w:tc>
          <w:tcPr>
            <w:tcW w:w="1377" w:type="pct"/>
          </w:tcPr>
          <w:p>
            <w:pPr>
              <w:pStyle w:val="37"/>
            </w:pPr>
            <w:r>
              <w:t>2023</w:t>
            </w:r>
            <w:r>
              <w:rPr>
                <w:rFonts w:hint="eastAsia"/>
              </w:rPr>
              <w:t>年</w:t>
            </w:r>
            <w:r>
              <w:t>3</w:t>
            </w:r>
            <w:r>
              <w:rPr>
                <w:rFonts w:hint="eastAsia"/>
              </w:rPr>
              <w:t>月</w:t>
            </w:r>
            <w:r>
              <w:t>16</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南营门认知障碍风险筛查</w:t>
            </w:r>
          </w:p>
        </w:tc>
        <w:tc>
          <w:tcPr>
            <w:tcW w:w="1377" w:type="pct"/>
          </w:tcPr>
          <w:p>
            <w:pPr>
              <w:pStyle w:val="37"/>
            </w:pPr>
            <w:r>
              <w:t>2023</w:t>
            </w:r>
            <w:r>
              <w:rPr>
                <w:rFonts w:hint="eastAsia"/>
              </w:rPr>
              <w:t>年</w:t>
            </w:r>
            <w:r>
              <w:t>4</w:t>
            </w:r>
            <w:r>
              <w:rPr>
                <w:rFonts w:hint="eastAsia"/>
              </w:rPr>
              <w:t>月</w:t>
            </w:r>
            <w:r>
              <w:t>18</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“早诊早治，预防认知障碍”志愿服务活动</w:t>
            </w:r>
          </w:p>
        </w:tc>
        <w:tc>
          <w:tcPr>
            <w:tcW w:w="1377" w:type="pct"/>
          </w:tcPr>
          <w:p>
            <w:pPr>
              <w:pStyle w:val="37"/>
            </w:pPr>
            <w:r>
              <w:t>2023</w:t>
            </w:r>
            <w:r>
              <w:rPr>
                <w:rFonts w:hint="eastAsia"/>
              </w:rPr>
              <w:t>年</w:t>
            </w:r>
            <w:r>
              <w:t>6</w:t>
            </w:r>
            <w:r>
              <w:rPr>
                <w:rFonts w:hint="eastAsia"/>
              </w:rPr>
              <w:t>月</w:t>
            </w:r>
            <w:r>
              <w:t>14</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“认识认知障碍，守护老人记忆之美”</w:t>
            </w:r>
          </w:p>
        </w:tc>
        <w:tc>
          <w:tcPr>
            <w:tcW w:w="1377" w:type="pct"/>
          </w:tcPr>
          <w:p>
            <w:pPr>
              <w:pStyle w:val="37"/>
            </w:pPr>
            <w:r>
              <w:t>2023</w:t>
            </w:r>
            <w:r>
              <w:rPr>
                <w:rFonts w:hint="eastAsia"/>
              </w:rPr>
              <w:t>年</w:t>
            </w:r>
            <w:r>
              <w:t>6</w:t>
            </w:r>
            <w:r>
              <w:rPr>
                <w:rFonts w:hint="eastAsia"/>
              </w:rPr>
              <w:t>月</w:t>
            </w:r>
            <w:r>
              <w:t>21</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“健康义诊进社区，服务群众保健康”社区志愿服务活动</w:t>
            </w:r>
          </w:p>
        </w:tc>
        <w:tc>
          <w:tcPr>
            <w:tcW w:w="1377" w:type="pct"/>
          </w:tcPr>
          <w:p>
            <w:pPr>
              <w:pStyle w:val="37"/>
            </w:pPr>
            <w:r>
              <w:t>2023</w:t>
            </w:r>
            <w:r>
              <w:rPr>
                <w:rFonts w:hint="eastAsia"/>
              </w:rPr>
              <w:t>年</w:t>
            </w:r>
            <w:r>
              <w:t>7</w:t>
            </w:r>
            <w:r>
              <w:rPr>
                <w:rFonts w:hint="eastAsia"/>
              </w:rPr>
              <w:t>月</w:t>
            </w:r>
            <w:r>
              <w:t>6</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“守护不老记忆”志愿服务活动</w:t>
            </w:r>
          </w:p>
        </w:tc>
        <w:tc>
          <w:tcPr>
            <w:tcW w:w="1377" w:type="pct"/>
          </w:tcPr>
          <w:p>
            <w:pPr>
              <w:pStyle w:val="37"/>
            </w:pPr>
            <w:r>
              <w:t>2023</w:t>
            </w:r>
            <w:r>
              <w:rPr>
                <w:rFonts w:hint="eastAsia"/>
              </w:rPr>
              <w:t>年</w:t>
            </w:r>
            <w:r>
              <w:t>7</w:t>
            </w:r>
            <w:r>
              <w:rPr>
                <w:rFonts w:hint="eastAsia"/>
              </w:rPr>
              <w:t>月</w:t>
            </w:r>
            <w:r>
              <w:t>18</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“关爱长者，守护大脑健康”阳光晚年敬老活动</w:t>
            </w:r>
          </w:p>
        </w:tc>
        <w:tc>
          <w:tcPr>
            <w:tcW w:w="1377" w:type="pct"/>
          </w:tcPr>
          <w:p>
            <w:pPr>
              <w:pStyle w:val="37"/>
            </w:pPr>
            <w:r>
              <w:t>2023</w:t>
            </w:r>
            <w:r>
              <w:rPr>
                <w:rFonts w:hint="eastAsia"/>
              </w:rPr>
              <w:t>年</w:t>
            </w:r>
            <w:r>
              <w:t>7</w:t>
            </w:r>
            <w:r>
              <w:rPr>
                <w:rFonts w:hint="eastAsia"/>
              </w:rPr>
              <w:t>月</w:t>
            </w:r>
            <w:r>
              <w:t>20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“守护不老记忆”志愿服务活动（第二期）</w:t>
            </w:r>
          </w:p>
        </w:tc>
        <w:tc>
          <w:tcPr>
            <w:tcW w:w="1377" w:type="pct"/>
          </w:tcPr>
          <w:p>
            <w:pPr>
              <w:pStyle w:val="37"/>
            </w:pPr>
            <w:r>
              <w:t>2023</w:t>
            </w:r>
            <w:r>
              <w:rPr>
                <w:rFonts w:hint="eastAsia"/>
              </w:rPr>
              <w:t>年</w:t>
            </w:r>
            <w:r>
              <w:t>7</w:t>
            </w:r>
            <w:r>
              <w:rPr>
                <w:rFonts w:hint="eastAsia"/>
              </w:rPr>
              <w:t>月</w:t>
            </w:r>
            <w:r>
              <w:t>25</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“关爱长者，与爱同行”认知障碍早期筛查公益宣讲系列活动</w:t>
            </w:r>
          </w:p>
        </w:tc>
        <w:tc>
          <w:tcPr>
            <w:tcW w:w="1377" w:type="pct"/>
          </w:tcPr>
          <w:p>
            <w:pPr>
              <w:pStyle w:val="37"/>
            </w:pPr>
            <w:r>
              <w:t>2023</w:t>
            </w:r>
            <w:r>
              <w:rPr>
                <w:rFonts w:hint="eastAsia"/>
              </w:rPr>
              <w:t>年</w:t>
            </w:r>
            <w:r>
              <w:t>8</w:t>
            </w:r>
            <w:r>
              <w:rPr>
                <w:rFonts w:hint="eastAsia"/>
              </w:rPr>
              <w:t>月</w:t>
            </w:r>
            <w:r>
              <w:t>3</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“注重健康，携手同行”认知障碍早期筛查公益宣讲系列活动</w:t>
            </w:r>
          </w:p>
        </w:tc>
        <w:tc>
          <w:tcPr>
            <w:tcW w:w="1377" w:type="pct"/>
          </w:tcPr>
          <w:p>
            <w:pPr>
              <w:pStyle w:val="37"/>
            </w:pPr>
            <w:r>
              <w:t>2023</w:t>
            </w:r>
            <w:r>
              <w:rPr>
                <w:rFonts w:hint="eastAsia"/>
              </w:rPr>
              <w:t>年</w:t>
            </w:r>
            <w:r>
              <w:t>8</w:t>
            </w:r>
            <w:r>
              <w:rPr>
                <w:rFonts w:hint="eastAsia"/>
              </w:rPr>
              <w:t>月</w:t>
            </w:r>
            <w:r>
              <w:t>9</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“认识认知障碍，守护老人记忆之美”</w:t>
            </w:r>
          </w:p>
        </w:tc>
        <w:tc>
          <w:tcPr>
            <w:tcW w:w="1377" w:type="pct"/>
          </w:tcPr>
          <w:p>
            <w:pPr>
              <w:pStyle w:val="37"/>
            </w:pPr>
            <w:r>
              <w:t>2023</w:t>
            </w:r>
            <w:r>
              <w:rPr>
                <w:rFonts w:hint="eastAsia"/>
              </w:rPr>
              <w:t>年</w:t>
            </w:r>
            <w:r>
              <w:t>8</w:t>
            </w:r>
            <w:r>
              <w:rPr>
                <w:rFonts w:hint="eastAsia"/>
              </w:rPr>
              <w:t>月</w:t>
            </w:r>
            <w:r>
              <w:t>10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认知障碍宣讲友谊里社区</w:t>
            </w:r>
          </w:p>
        </w:tc>
        <w:tc>
          <w:tcPr>
            <w:tcW w:w="1377" w:type="pct"/>
          </w:tcPr>
          <w:p>
            <w:pPr>
              <w:pStyle w:val="37"/>
            </w:pPr>
            <w:r>
              <w:t>2023</w:t>
            </w:r>
            <w:r>
              <w:rPr>
                <w:rFonts w:hint="eastAsia"/>
              </w:rPr>
              <w:t>年</w:t>
            </w:r>
            <w:r>
              <w:t>8</w:t>
            </w:r>
            <w:r>
              <w:rPr>
                <w:rFonts w:hint="eastAsia"/>
              </w:rPr>
              <w:t>月</w:t>
            </w:r>
            <w:r>
              <w:t>18</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“知己知彼，健康促进”认知障碍系列活动</w:t>
            </w:r>
          </w:p>
        </w:tc>
        <w:tc>
          <w:tcPr>
            <w:tcW w:w="1377" w:type="pct"/>
          </w:tcPr>
          <w:p>
            <w:pPr>
              <w:pStyle w:val="37"/>
            </w:pPr>
            <w:r>
              <w:t>2023</w:t>
            </w:r>
            <w:r>
              <w:rPr>
                <w:rFonts w:hint="eastAsia"/>
              </w:rPr>
              <w:t>年</w:t>
            </w:r>
            <w:r>
              <w:t>8</w:t>
            </w:r>
            <w:r>
              <w:rPr>
                <w:rFonts w:hint="eastAsia"/>
              </w:rPr>
              <w:t>月</w:t>
            </w:r>
            <w:r>
              <w:t>24</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“注重健康，携手同行”认知障碍系列活动第二期</w:t>
            </w:r>
          </w:p>
        </w:tc>
        <w:tc>
          <w:tcPr>
            <w:tcW w:w="1377" w:type="pct"/>
          </w:tcPr>
          <w:p>
            <w:pPr>
              <w:pStyle w:val="37"/>
            </w:pPr>
            <w:r>
              <w:t>2023</w:t>
            </w:r>
            <w:r>
              <w:rPr>
                <w:rFonts w:hint="eastAsia"/>
              </w:rPr>
              <w:t>年</w:t>
            </w:r>
            <w:r>
              <w:t>8</w:t>
            </w:r>
            <w:r>
              <w:rPr>
                <w:rFonts w:hint="eastAsia"/>
              </w:rPr>
              <w:t>月</w:t>
            </w:r>
            <w:r>
              <w:t>25</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“香榭里社区志愿服务活动”</w:t>
            </w:r>
          </w:p>
        </w:tc>
        <w:tc>
          <w:tcPr>
            <w:tcW w:w="1377" w:type="pct"/>
          </w:tcPr>
          <w:p>
            <w:pPr>
              <w:pStyle w:val="37"/>
            </w:pPr>
            <w:r>
              <w:t>2023</w:t>
            </w:r>
            <w:r>
              <w:rPr>
                <w:rFonts w:hint="eastAsia"/>
              </w:rPr>
              <w:t>年</w:t>
            </w:r>
            <w:r>
              <w:t>8</w:t>
            </w:r>
            <w:r>
              <w:rPr>
                <w:rFonts w:hint="eastAsia"/>
              </w:rPr>
              <w:t>月</w:t>
            </w:r>
            <w:r>
              <w:t>30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“关爱身体，健康生活”</w:t>
            </w:r>
          </w:p>
        </w:tc>
        <w:tc>
          <w:tcPr>
            <w:tcW w:w="1377" w:type="pct"/>
          </w:tcPr>
          <w:p>
            <w:pPr>
              <w:pStyle w:val="37"/>
            </w:pPr>
            <w:r>
              <w:t>2023</w:t>
            </w:r>
            <w:r>
              <w:rPr>
                <w:rFonts w:hint="eastAsia"/>
              </w:rPr>
              <w:t>年</w:t>
            </w:r>
            <w:r>
              <w:t>9</w:t>
            </w:r>
            <w:r>
              <w:rPr>
                <w:rFonts w:hint="eastAsia"/>
              </w:rPr>
              <w:t>月</w:t>
            </w:r>
            <w:r>
              <w:t>6</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“立防立治，无问早晚”阿尔兹海默病日公益活动滨海新区站</w:t>
            </w:r>
          </w:p>
        </w:tc>
        <w:tc>
          <w:tcPr>
            <w:tcW w:w="1377" w:type="pct"/>
          </w:tcPr>
          <w:p>
            <w:pPr>
              <w:pStyle w:val="37"/>
            </w:pPr>
            <w:r>
              <w:t>2023</w:t>
            </w:r>
            <w:r>
              <w:rPr>
                <w:rFonts w:hint="eastAsia"/>
              </w:rPr>
              <w:t>年</w:t>
            </w:r>
            <w:r>
              <w:t>9</w:t>
            </w:r>
            <w:r>
              <w:rPr>
                <w:rFonts w:hint="eastAsia"/>
              </w:rPr>
              <w:t>月</w:t>
            </w:r>
            <w:r>
              <w:t>19</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“立防立治，无问早晚”阿尔兹海默病日公益活动河东站</w:t>
            </w:r>
          </w:p>
        </w:tc>
        <w:tc>
          <w:tcPr>
            <w:tcW w:w="1377" w:type="pct"/>
          </w:tcPr>
          <w:p>
            <w:pPr>
              <w:pStyle w:val="37"/>
            </w:pPr>
            <w:r>
              <w:t>2023</w:t>
            </w:r>
            <w:r>
              <w:rPr>
                <w:rFonts w:hint="eastAsia"/>
              </w:rPr>
              <w:t>年</w:t>
            </w:r>
            <w:r>
              <w:t>9</w:t>
            </w:r>
            <w:r>
              <w:rPr>
                <w:rFonts w:hint="eastAsia"/>
              </w:rPr>
              <w:t>月</w:t>
            </w:r>
            <w:r>
              <w:t>19</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“立防立治，无问早晚”阿尔兹海默病日公益活动河北站</w:t>
            </w:r>
          </w:p>
        </w:tc>
        <w:tc>
          <w:tcPr>
            <w:tcW w:w="1377" w:type="pct"/>
          </w:tcPr>
          <w:p>
            <w:pPr>
              <w:pStyle w:val="37"/>
            </w:pPr>
            <w:r>
              <w:t>2023</w:t>
            </w:r>
            <w:r>
              <w:rPr>
                <w:rFonts w:hint="eastAsia"/>
              </w:rPr>
              <w:t>年</w:t>
            </w:r>
            <w:r>
              <w:t>9</w:t>
            </w:r>
            <w:r>
              <w:rPr>
                <w:rFonts w:hint="eastAsia"/>
              </w:rPr>
              <w:t>月</w:t>
            </w:r>
            <w:r>
              <w:t>20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“立防立治，无问早晚”阿尔兹海默病日公益活动津南站</w:t>
            </w:r>
          </w:p>
        </w:tc>
        <w:tc>
          <w:tcPr>
            <w:tcW w:w="1377" w:type="pct"/>
          </w:tcPr>
          <w:p>
            <w:pPr>
              <w:pStyle w:val="37"/>
            </w:pPr>
            <w:r>
              <w:t>2023</w:t>
            </w:r>
            <w:r>
              <w:rPr>
                <w:rFonts w:hint="eastAsia"/>
              </w:rPr>
              <w:t>年</w:t>
            </w:r>
            <w:r>
              <w:t>9</w:t>
            </w:r>
            <w:r>
              <w:rPr>
                <w:rFonts w:hint="eastAsia"/>
              </w:rPr>
              <w:t>月</w:t>
            </w:r>
            <w:r>
              <w:t>21</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“立防立治，无问早晚”阿尔兹海默病日公益活动南开站</w:t>
            </w:r>
          </w:p>
        </w:tc>
        <w:tc>
          <w:tcPr>
            <w:tcW w:w="1377" w:type="pct"/>
          </w:tcPr>
          <w:p>
            <w:pPr>
              <w:pStyle w:val="37"/>
            </w:pPr>
            <w:r>
              <w:t>2023</w:t>
            </w:r>
            <w:r>
              <w:rPr>
                <w:rFonts w:hint="eastAsia"/>
              </w:rPr>
              <w:t>年</w:t>
            </w:r>
            <w:r>
              <w:t>9</w:t>
            </w:r>
            <w:r>
              <w:rPr>
                <w:rFonts w:hint="eastAsia"/>
              </w:rPr>
              <w:t>月</w:t>
            </w:r>
            <w:r>
              <w:t>25</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“立防立治，无问早晚”阿尔兹海默病日公益活动和平站</w:t>
            </w:r>
          </w:p>
        </w:tc>
        <w:tc>
          <w:tcPr>
            <w:tcW w:w="1377" w:type="pct"/>
          </w:tcPr>
          <w:p>
            <w:pPr>
              <w:pStyle w:val="37"/>
            </w:pPr>
            <w:r>
              <w:t>2023</w:t>
            </w:r>
            <w:r>
              <w:rPr>
                <w:rFonts w:hint="eastAsia"/>
              </w:rPr>
              <w:t>年</w:t>
            </w:r>
            <w:r>
              <w:t>9</w:t>
            </w:r>
            <w:r>
              <w:rPr>
                <w:rFonts w:hint="eastAsia"/>
              </w:rPr>
              <w:t>月</w:t>
            </w:r>
            <w:r>
              <w:t>25</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康泰老年公寓认知症早期筛查</w:t>
            </w:r>
          </w:p>
        </w:tc>
        <w:tc>
          <w:tcPr>
            <w:tcW w:w="1377" w:type="pct"/>
          </w:tcPr>
          <w:p>
            <w:pPr>
              <w:pStyle w:val="37"/>
            </w:pPr>
            <w:r>
              <w:t>2023</w:t>
            </w:r>
            <w:r>
              <w:rPr>
                <w:rFonts w:hint="eastAsia"/>
              </w:rPr>
              <w:t>年</w:t>
            </w:r>
            <w:r>
              <w:t>10</w:t>
            </w:r>
            <w:r>
              <w:rPr>
                <w:rFonts w:hint="eastAsia"/>
              </w:rPr>
              <w:t>月</w:t>
            </w:r>
            <w:r>
              <w:t>18</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梅江展会认知症早期筛查</w:t>
            </w:r>
          </w:p>
        </w:tc>
        <w:tc>
          <w:tcPr>
            <w:tcW w:w="1377" w:type="pct"/>
          </w:tcPr>
          <w:p>
            <w:pPr>
              <w:pStyle w:val="37"/>
            </w:pPr>
            <w:r>
              <w:t>2023</w:t>
            </w:r>
            <w:r>
              <w:rPr>
                <w:rFonts w:hint="eastAsia"/>
              </w:rPr>
              <w:t>年</w:t>
            </w:r>
            <w:r>
              <w:t>10</w:t>
            </w:r>
            <w:r>
              <w:rPr>
                <w:rFonts w:hint="eastAsia"/>
              </w:rPr>
              <w:t>月</w:t>
            </w:r>
            <w:r>
              <w:t>20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南营门认知症宣讲</w:t>
            </w:r>
          </w:p>
        </w:tc>
        <w:tc>
          <w:tcPr>
            <w:tcW w:w="1377" w:type="pct"/>
          </w:tcPr>
          <w:p>
            <w:pPr>
              <w:pStyle w:val="37"/>
            </w:pPr>
            <w:r>
              <w:t>2023</w:t>
            </w:r>
            <w:r>
              <w:rPr>
                <w:rFonts w:hint="eastAsia"/>
              </w:rPr>
              <w:t>年</w:t>
            </w:r>
            <w:r>
              <w:t>11</w:t>
            </w:r>
            <w:r>
              <w:rPr>
                <w:rFonts w:hint="eastAsia"/>
              </w:rPr>
              <w:t>月</w:t>
            </w:r>
            <w:r>
              <w:t>7</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南营门文化村认知症宣讲</w:t>
            </w:r>
          </w:p>
        </w:tc>
        <w:tc>
          <w:tcPr>
            <w:tcW w:w="1377" w:type="pct"/>
          </w:tcPr>
          <w:p>
            <w:pPr>
              <w:pStyle w:val="37"/>
            </w:pPr>
            <w:r>
              <w:t>2023</w:t>
            </w:r>
            <w:r>
              <w:rPr>
                <w:rFonts w:hint="eastAsia"/>
              </w:rPr>
              <w:t>年</w:t>
            </w:r>
            <w:r>
              <w:t>11</w:t>
            </w:r>
            <w:r>
              <w:rPr>
                <w:rFonts w:hint="eastAsia"/>
              </w:rPr>
              <w:t>月</w:t>
            </w:r>
            <w:r>
              <w:t>8</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南营门西宁道认知症宣讲</w:t>
            </w:r>
          </w:p>
        </w:tc>
        <w:tc>
          <w:tcPr>
            <w:tcW w:w="1377" w:type="pct"/>
          </w:tcPr>
          <w:p>
            <w:pPr>
              <w:pStyle w:val="37"/>
            </w:pPr>
            <w:r>
              <w:t>2023</w:t>
            </w:r>
            <w:r>
              <w:rPr>
                <w:rFonts w:hint="eastAsia"/>
              </w:rPr>
              <w:t>年</w:t>
            </w:r>
            <w:r>
              <w:t>11</w:t>
            </w:r>
            <w:r>
              <w:rPr>
                <w:rFonts w:hint="eastAsia"/>
              </w:rPr>
              <w:t>月</w:t>
            </w:r>
            <w:r>
              <w:t>10</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南营门竞业里认知症宣讲</w:t>
            </w:r>
          </w:p>
        </w:tc>
        <w:tc>
          <w:tcPr>
            <w:tcW w:w="1377" w:type="pct"/>
          </w:tcPr>
          <w:p>
            <w:pPr>
              <w:pStyle w:val="37"/>
            </w:pPr>
            <w:r>
              <w:t>2023</w:t>
            </w:r>
            <w:r>
              <w:rPr>
                <w:rFonts w:hint="eastAsia"/>
              </w:rPr>
              <w:t>年</w:t>
            </w:r>
            <w:r>
              <w:t>11</w:t>
            </w:r>
            <w:r>
              <w:rPr>
                <w:rFonts w:hint="eastAsia"/>
              </w:rPr>
              <w:t>月</w:t>
            </w:r>
            <w:r>
              <w:t>13</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劝业场街认知症早期筛查</w:t>
            </w:r>
          </w:p>
        </w:tc>
        <w:tc>
          <w:tcPr>
            <w:tcW w:w="1377" w:type="pct"/>
          </w:tcPr>
          <w:p>
            <w:pPr>
              <w:pStyle w:val="37"/>
            </w:pPr>
            <w:r>
              <w:t>2023</w:t>
            </w:r>
            <w:r>
              <w:rPr>
                <w:rFonts w:hint="eastAsia"/>
              </w:rPr>
              <w:t>年</w:t>
            </w:r>
            <w:r>
              <w:t>11</w:t>
            </w:r>
            <w:r>
              <w:rPr>
                <w:rFonts w:hint="eastAsia"/>
              </w:rPr>
              <w:t>月</w:t>
            </w:r>
            <w:r>
              <w:t>21</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622" w:type="pct"/>
            <w:vAlign w:val="center"/>
          </w:tcPr>
          <w:p>
            <w:pPr>
              <w:autoSpaceDE w:val="0"/>
              <w:autoSpaceDN w:val="0"/>
              <w:adjustRightInd w:val="0"/>
              <w:spacing w:line="240" w:lineRule="auto"/>
              <w:ind w:firstLine="0" w:firstLineChars="0"/>
              <w:jc w:val="center"/>
              <w:rPr>
                <w:rFonts w:ascii="宋体" w:eastAsia="宋体" w:cs="宋体"/>
                <w:kern w:val="0"/>
              </w:rPr>
            </w:pPr>
            <w:r>
              <w:rPr>
                <w:rFonts w:hint="eastAsia" w:ascii="宋体" w:eastAsia="宋体" w:cs="宋体"/>
                <w:kern w:val="0"/>
              </w:rPr>
              <w:t>南营门香榭里志愿服务活动</w:t>
            </w:r>
          </w:p>
        </w:tc>
        <w:tc>
          <w:tcPr>
            <w:tcW w:w="1377" w:type="pct"/>
          </w:tcPr>
          <w:p>
            <w:pPr>
              <w:pStyle w:val="37"/>
            </w:pPr>
            <w:r>
              <w:t>2023</w:t>
            </w:r>
            <w:r>
              <w:rPr>
                <w:rFonts w:hint="eastAsia"/>
              </w:rPr>
              <w:t>年</w:t>
            </w:r>
            <w:r>
              <w:t>11</w:t>
            </w:r>
            <w:r>
              <w:rPr>
                <w:rFonts w:hint="eastAsia"/>
              </w:rPr>
              <w:t>月</w:t>
            </w:r>
            <w:r>
              <w:t>23</w:t>
            </w:r>
            <w:r>
              <w:rPr>
                <w:rFonts w:hint="eastAsia"/>
              </w:rPr>
              <w:t>日</w:t>
            </w:r>
          </w:p>
        </w:tc>
      </w:tr>
    </w:tbl>
    <w:p>
      <w:pPr>
        <w:pStyle w:val="25"/>
        <w:spacing w:line="560" w:lineRule="exact"/>
        <w:ind w:firstLine="640"/>
      </w:pPr>
      <w:r>
        <w:rPr>
          <w:rFonts w:hint="eastAsia"/>
        </w:rPr>
        <w:t>（</w:t>
      </w:r>
      <w:r>
        <w:t>2</w:t>
      </w:r>
      <w:r>
        <w:rPr>
          <w:rFonts w:hint="eastAsia"/>
        </w:rPr>
        <w:t>）结算审核报告完成及时率（总分</w:t>
      </w:r>
      <w:r>
        <w:t>2</w:t>
      </w:r>
      <w:r>
        <w:rPr>
          <w:rFonts w:hint="eastAsia"/>
        </w:rPr>
        <w:t>分，得分</w:t>
      </w:r>
      <w:r>
        <w:t>2</w:t>
      </w:r>
      <w:r>
        <w:rPr>
          <w:rFonts w:hint="eastAsia"/>
        </w:rPr>
        <w:t>分）。根据区民政局提供的合同、结算审核报告和造价咨询服务质量反馈表等文件，截至</w:t>
      </w:r>
      <w:r>
        <w:t>2023</w:t>
      </w:r>
      <w:r>
        <w:rPr>
          <w:rFonts w:hint="eastAsia"/>
        </w:rPr>
        <w:t>年</w:t>
      </w:r>
      <w:r>
        <w:t>8</w:t>
      </w:r>
      <w:r>
        <w:rPr>
          <w:rFonts w:hint="eastAsia"/>
        </w:rPr>
        <w:t>月</w:t>
      </w:r>
      <w:r>
        <w:t>22</w:t>
      </w:r>
      <w:r>
        <w:rPr>
          <w:rFonts w:hint="eastAsia"/>
        </w:rPr>
        <w:t>日，已完成结算审核报告编制工作，并通过验收审核，符合报告完成计划，结算审核报告完成及时率为1</w:t>
      </w:r>
      <w:r>
        <w:t>00%</w:t>
      </w:r>
      <w:r>
        <w:rPr>
          <w:rFonts w:hint="eastAsia"/>
        </w:rPr>
        <w:t>。</w:t>
      </w:r>
    </w:p>
    <w:p>
      <w:pPr>
        <w:pStyle w:val="25"/>
        <w:spacing w:line="560" w:lineRule="exact"/>
        <w:ind w:firstLine="640"/>
      </w:pPr>
      <w:r>
        <w:rPr>
          <w:rFonts w:hint="eastAsia"/>
        </w:rPr>
        <w:t>（</w:t>
      </w:r>
      <w:r>
        <w:t>3</w:t>
      </w:r>
      <w:r>
        <w:rPr>
          <w:rFonts w:hint="eastAsia"/>
        </w:rPr>
        <w:t>）扶手安装完成及时率（总分</w:t>
      </w:r>
      <w:r>
        <w:t>2</w:t>
      </w:r>
      <w:r>
        <w:rPr>
          <w:rFonts w:hint="eastAsia"/>
        </w:rPr>
        <w:t>分，得分</w:t>
      </w:r>
      <w:r>
        <w:t>2</w:t>
      </w:r>
      <w:r>
        <w:rPr>
          <w:rFonts w:hint="eastAsia"/>
        </w:rPr>
        <w:t>分）。经评价组现场核实，天津市和平区劝业场街道2</w:t>
      </w:r>
      <w:r>
        <w:t>33</w:t>
      </w:r>
      <w:r>
        <w:rPr>
          <w:rFonts w:hint="eastAsia"/>
        </w:rPr>
        <w:t>米扶手安装工作已于</w:t>
      </w:r>
      <w:r>
        <w:t>2023年9月按照合同要求完成</w:t>
      </w:r>
      <w:r>
        <w:rPr>
          <w:rFonts w:hint="eastAsia"/>
        </w:rPr>
        <w:t>安装，扶手安装完成及时率为1</w:t>
      </w:r>
      <w:r>
        <w:t>00%</w:t>
      </w:r>
      <w:r>
        <w:rPr>
          <w:rFonts w:hint="eastAsia"/>
        </w:rPr>
        <w:t>。</w:t>
      </w:r>
    </w:p>
    <w:p>
      <w:pPr>
        <w:pStyle w:val="25"/>
        <w:spacing w:line="560" w:lineRule="exact"/>
        <w:ind w:firstLine="640"/>
      </w:pPr>
      <w:r>
        <w:rPr>
          <w:rFonts w:hint="eastAsia"/>
        </w:rPr>
        <w:t>（</w:t>
      </w:r>
      <w:r>
        <w:t>4</w:t>
      </w:r>
      <w:r>
        <w:rPr>
          <w:rFonts w:hint="eastAsia"/>
        </w:rPr>
        <w:t>）合同尾款结算及时率（总分</w:t>
      </w:r>
      <w:r>
        <w:t>1.5</w:t>
      </w:r>
      <w:r>
        <w:rPr>
          <w:rFonts w:hint="eastAsia"/>
        </w:rPr>
        <w:t>分，得分</w:t>
      </w:r>
      <w:r>
        <w:t>1.5</w:t>
      </w:r>
      <w:r>
        <w:rPr>
          <w:rFonts w:hint="eastAsia"/>
        </w:rPr>
        <w:t>分）。评价组通过</w:t>
      </w:r>
      <w:r>
        <w:t>查阅2022年居家和社区养老服务改革</w:t>
      </w:r>
      <w:r>
        <w:rPr>
          <w:rFonts w:hint="eastAsia"/>
        </w:rPr>
        <w:t>项目</w:t>
      </w:r>
      <w:r>
        <w:t>服务合同、财务记账凭证以及明细账等资料</w:t>
      </w:r>
      <w:r>
        <w:rPr>
          <w:rFonts w:hint="eastAsia"/>
        </w:rPr>
        <w:t>，</w:t>
      </w:r>
      <w:r>
        <w:t>9项2022年居家和社区养老服务改革项目尾款</w:t>
      </w:r>
      <w:r>
        <w:rPr>
          <w:rFonts w:hint="eastAsia"/>
        </w:rPr>
        <w:t>结算工作已按合同条款于2023年及时支付，合同尾款结算及时率为1</w:t>
      </w:r>
      <w:r>
        <w:t>00%</w:t>
      </w:r>
      <w:r>
        <w:rPr>
          <w:rFonts w:hint="eastAsia"/>
        </w:rPr>
        <w:t>。</w:t>
      </w:r>
    </w:p>
    <w:p>
      <w:pPr>
        <w:pStyle w:val="25"/>
        <w:spacing w:line="560" w:lineRule="exact"/>
        <w:ind w:firstLine="640"/>
      </w:pPr>
      <w:r>
        <w:rPr>
          <w:rFonts w:hint="eastAsia"/>
        </w:rPr>
        <w:t>4.产出成本</w:t>
      </w:r>
    </w:p>
    <w:p>
      <w:pPr>
        <w:pStyle w:val="25"/>
        <w:spacing w:line="560" w:lineRule="exact"/>
        <w:ind w:firstLine="640"/>
      </w:pPr>
      <w:r>
        <w:rPr>
          <w:rFonts w:hint="eastAsia"/>
        </w:rPr>
        <w:t>（1）认知障碍干预中心运营服务成本节约率</w:t>
      </w:r>
      <w:r>
        <w:t>（总分2分，得分2分）。</w:t>
      </w:r>
      <w:r>
        <w:rPr>
          <w:rFonts w:hint="eastAsia"/>
        </w:rPr>
        <w:t>根据区民政局提供的项目合同、记账凭证等文件，</w:t>
      </w:r>
      <w:r>
        <w:rPr>
          <w:rFonts w:hint="eastAsia"/>
          <w:bCs/>
        </w:rPr>
        <w:t>2</w:t>
      </w:r>
      <w:r>
        <w:rPr>
          <w:bCs/>
        </w:rPr>
        <w:t>023</w:t>
      </w:r>
      <w:r>
        <w:rPr>
          <w:rFonts w:hint="eastAsia"/>
          <w:bCs/>
        </w:rPr>
        <w:t>年计划支付</w:t>
      </w:r>
      <w:r>
        <w:rPr>
          <w:rFonts w:hint="eastAsia"/>
        </w:rPr>
        <w:t>认知障碍干预中心运营服务</w:t>
      </w:r>
      <w:r>
        <w:rPr>
          <w:rFonts w:hint="eastAsia"/>
          <w:bCs/>
        </w:rPr>
        <w:t>费用</w:t>
      </w:r>
      <w:r>
        <w:t>13.86</w:t>
      </w:r>
      <w:r>
        <w:rPr>
          <w:rFonts w:hint="eastAsia"/>
        </w:rPr>
        <w:t>万元，实际支出金额为</w:t>
      </w:r>
      <w:r>
        <w:t>13.86</w:t>
      </w:r>
      <w:r>
        <w:rPr>
          <w:rFonts w:hint="eastAsia"/>
        </w:rPr>
        <w:t>万元，认知障碍干预中心运营服务成本节约率为0%。</w:t>
      </w:r>
    </w:p>
    <w:p>
      <w:pPr>
        <w:pStyle w:val="25"/>
        <w:spacing w:line="560" w:lineRule="exact"/>
        <w:ind w:firstLine="640"/>
      </w:pPr>
      <w:r>
        <w:rPr>
          <w:rFonts w:hint="eastAsia"/>
        </w:rPr>
        <w:t>（</w:t>
      </w:r>
      <w:r>
        <w:t>2</w:t>
      </w:r>
      <w:r>
        <w:rPr>
          <w:rFonts w:hint="eastAsia"/>
        </w:rPr>
        <w:t>）适老宜居社区改造服务项目审核成本节约率</w:t>
      </w:r>
      <w:r>
        <w:t>（总分2分，得分2分）。</w:t>
      </w:r>
      <w:r>
        <w:rPr>
          <w:rFonts w:hint="eastAsia"/>
        </w:rPr>
        <w:t>根据区民政局提供的项目合同、记账凭证等文件，</w:t>
      </w:r>
      <w:r>
        <w:rPr>
          <w:rFonts w:hint="eastAsia"/>
          <w:bCs/>
        </w:rPr>
        <w:t>2</w:t>
      </w:r>
      <w:r>
        <w:rPr>
          <w:bCs/>
        </w:rPr>
        <w:t>023</w:t>
      </w:r>
      <w:r>
        <w:rPr>
          <w:rFonts w:hint="eastAsia"/>
          <w:bCs/>
        </w:rPr>
        <w:t>年计划支付</w:t>
      </w:r>
      <w:r>
        <w:rPr>
          <w:rFonts w:hint="eastAsia"/>
        </w:rPr>
        <w:t>适老宜居社区改造服务项目审核</w:t>
      </w:r>
      <w:r>
        <w:rPr>
          <w:rFonts w:hint="eastAsia"/>
          <w:bCs/>
        </w:rPr>
        <w:t>费用</w:t>
      </w:r>
      <w:r>
        <w:t>1.5</w:t>
      </w:r>
      <w:r>
        <w:rPr>
          <w:rFonts w:hint="eastAsia"/>
        </w:rPr>
        <w:t>万元，实际支出金额为</w:t>
      </w:r>
      <w:r>
        <w:t>1.5</w:t>
      </w:r>
      <w:r>
        <w:rPr>
          <w:rFonts w:hint="eastAsia"/>
        </w:rPr>
        <w:t>万元，适老宜居社区改造服务项目审核成本节约率为0%。</w:t>
      </w:r>
    </w:p>
    <w:p>
      <w:pPr>
        <w:pStyle w:val="25"/>
        <w:spacing w:line="560" w:lineRule="exact"/>
        <w:ind w:firstLine="640"/>
      </w:pPr>
      <w:r>
        <w:rPr>
          <w:rFonts w:hint="eastAsia"/>
        </w:rPr>
        <w:t>（</w:t>
      </w:r>
      <w:r>
        <w:t>3</w:t>
      </w:r>
      <w:r>
        <w:rPr>
          <w:rFonts w:hint="eastAsia"/>
        </w:rPr>
        <w:t>）扶手安装费用成本节约率</w:t>
      </w:r>
      <w:r>
        <w:t>（总分2分，得分2分）。</w:t>
      </w:r>
      <w:r>
        <w:rPr>
          <w:rFonts w:hint="eastAsia"/>
        </w:rPr>
        <w:t>根据区民政局提供的项目合同、记账凭证等文件，</w:t>
      </w:r>
      <w:r>
        <w:rPr>
          <w:rFonts w:hint="eastAsia"/>
          <w:bCs/>
        </w:rPr>
        <w:t>2</w:t>
      </w:r>
      <w:r>
        <w:rPr>
          <w:bCs/>
        </w:rPr>
        <w:t>023</w:t>
      </w:r>
      <w:r>
        <w:rPr>
          <w:rFonts w:hint="eastAsia"/>
          <w:bCs/>
        </w:rPr>
        <w:t>年计划支付</w:t>
      </w:r>
      <w:r>
        <w:rPr>
          <w:rFonts w:hint="eastAsia"/>
        </w:rPr>
        <w:t>扶手安装</w:t>
      </w:r>
      <w:r>
        <w:rPr>
          <w:rFonts w:hint="eastAsia"/>
          <w:bCs/>
        </w:rPr>
        <w:t>费用</w:t>
      </w:r>
      <w:r>
        <w:t>2.89</w:t>
      </w:r>
      <w:r>
        <w:rPr>
          <w:rFonts w:hint="eastAsia"/>
        </w:rPr>
        <w:t>万元，实际支出金额为</w:t>
      </w:r>
      <w:r>
        <w:t>2.89</w:t>
      </w:r>
      <w:r>
        <w:rPr>
          <w:rFonts w:hint="eastAsia"/>
        </w:rPr>
        <w:t>万元，扶手安装费用成本节约率为0%。</w:t>
      </w:r>
    </w:p>
    <w:p>
      <w:pPr>
        <w:pStyle w:val="25"/>
        <w:spacing w:line="560" w:lineRule="exact"/>
        <w:ind w:firstLine="640"/>
      </w:pPr>
      <w:r>
        <w:rPr>
          <w:rFonts w:hint="eastAsia"/>
        </w:rPr>
        <w:t>（</w:t>
      </w:r>
      <w:r>
        <w:t>4</w:t>
      </w:r>
      <w:r>
        <w:rPr>
          <w:rFonts w:hint="eastAsia"/>
        </w:rPr>
        <w:t>）合同尾款结算费用成本节约率</w:t>
      </w:r>
      <w:r>
        <w:t>（总分1.5分，得分1.5分）。</w:t>
      </w:r>
      <w:r>
        <w:rPr>
          <w:rFonts w:hint="eastAsia"/>
        </w:rPr>
        <w:t>根据区民政局提供的项目合同、记账凭证等文件，</w:t>
      </w:r>
      <w:r>
        <w:rPr>
          <w:rFonts w:hint="eastAsia"/>
          <w:bCs/>
        </w:rPr>
        <w:t>2</w:t>
      </w:r>
      <w:r>
        <w:rPr>
          <w:bCs/>
        </w:rPr>
        <w:t>023</w:t>
      </w:r>
      <w:r>
        <w:rPr>
          <w:rFonts w:hint="eastAsia"/>
          <w:bCs/>
        </w:rPr>
        <w:t>年计划结算</w:t>
      </w:r>
      <w:r>
        <w:t>居家和社区养老服务改革项目尾款245.88</w:t>
      </w:r>
      <w:r>
        <w:rPr>
          <w:rFonts w:hint="eastAsia"/>
        </w:rPr>
        <w:t>万元，实际支出金额为</w:t>
      </w:r>
      <w:r>
        <w:t>245.88</w:t>
      </w:r>
      <w:r>
        <w:rPr>
          <w:rFonts w:hint="eastAsia"/>
        </w:rPr>
        <w:t>万元，合同尾款结算费用成本节约率0%。</w:t>
      </w:r>
    </w:p>
    <w:p>
      <w:pPr>
        <w:pStyle w:val="29"/>
        <w:spacing w:line="560" w:lineRule="exact"/>
        <w:ind w:firstLine="640"/>
      </w:pPr>
      <w:bookmarkStart w:id="20" w:name="_Toc179622658"/>
      <w:r>
        <w:rPr>
          <w:rFonts w:hint="eastAsia"/>
        </w:rPr>
        <w:t>（四）项目效益情况</w:t>
      </w:r>
      <w:bookmarkEnd w:id="20"/>
    </w:p>
    <w:p>
      <w:pPr>
        <w:pStyle w:val="25"/>
        <w:spacing w:line="560" w:lineRule="exact"/>
        <w:ind w:firstLine="640"/>
      </w:pPr>
      <w:r>
        <w:rPr>
          <w:rFonts w:hint="eastAsia"/>
        </w:rPr>
        <w:t>效益指标主要包括社会效益、可持续影响、服务对象满意度2项二级指标，3项三级指标，基础总分</w:t>
      </w:r>
      <w:r>
        <w:t>22</w:t>
      </w:r>
      <w:r>
        <w:rPr>
          <w:rFonts w:hint="eastAsia"/>
        </w:rPr>
        <w:t>分，合计得分</w:t>
      </w:r>
      <w:r>
        <w:t>17.66</w:t>
      </w:r>
      <w:r>
        <w:rPr>
          <w:rFonts w:hint="eastAsia"/>
        </w:rPr>
        <w:t>分。</w:t>
      </w:r>
    </w:p>
    <w:p>
      <w:pPr>
        <w:pStyle w:val="25"/>
        <w:spacing w:line="560" w:lineRule="exact"/>
        <w:ind w:firstLine="640"/>
      </w:pPr>
      <w:r>
        <w:rPr>
          <w:rFonts w:hint="eastAsia"/>
        </w:rPr>
        <w:t>1.社会效益</w:t>
      </w:r>
    </w:p>
    <w:p>
      <w:pPr>
        <w:pStyle w:val="25"/>
        <w:spacing w:line="560" w:lineRule="exact"/>
        <w:ind w:firstLine="640"/>
        <w:rPr>
          <w:bCs/>
        </w:rPr>
      </w:pPr>
      <w:r>
        <w:rPr>
          <w:rFonts w:hint="eastAsia"/>
        </w:rPr>
        <w:t>（1）</w:t>
      </w:r>
      <w:r>
        <w:rPr>
          <w:rFonts w:hint="eastAsia"/>
          <w:bCs/>
        </w:rPr>
        <w:t>养老服务改革试点覆盖率（总分</w:t>
      </w:r>
      <w:r>
        <w:rPr>
          <w:bCs/>
        </w:rPr>
        <w:t>8</w:t>
      </w:r>
      <w:r>
        <w:rPr>
          <w:rFonts w:hint="eastAsia"/>
          <w:bCs/>
        </w:rPr>
        <w:t>分，得分</w:t>
      </w:r>
      <w:r>
        <w:rPr>
          <w:bCs/>
        </w:rPr>
        <w:t>8</w:t>
      </w:r>
      <w:r>
        <w:rPr>
          <w:rFonts w:hint="eastAsia"/>
          <w:bCs/>
        </w:rPr>
        <w:t>分）。根据区民政局提供的项目资料和评价组现场调研，居家和社区养老服务改革试点补助经费项目</w:t>
      </w:r>
      <w:r>
        <w:rPr>
          <w:bCs/>
        </w:rPr>
        <w:t>完成</w:t>
      </w:r>
      <w:r>
        <w:rPr>
          <w:rFonts w:hint="eastAsia"/>
          <w:bCs/>
        </w:rPr>
        <w:t>了</w:t>
      </w:r>
      <w:r>
        <w:rPr>
          <w:bCs/>
        </w:rPr>
        <w:t>64个社区的改造工作</w:t>
      </w:r>
      <w:r>
        <w:rPr>
          <w:rFonts w:hint="eastAsia"/>
          <w:bCs/>
        </w:rPr>
        <w:t>，项目内容</w:t>
      </w:r>
      <w:r>
        <w:rPr>
          <w:bCs/>
        </w:rPr>
        <w:t>涵盖建设类、服务类、培训类</w:t>
      </w:r>
      <w:r>
        <w:rPr>
          <w:rFonts w:hint="eastAsia"/>
          <w:bCs/>
        </w:rPr>
        <w:t>和</w:t>
      </w:r>
      <w:r>
        <w:rPr>
          <w:bCs/>
        </w:rPr>
        <w:t>其他类项目</w:t>
      </w:r>
      <w:r>
        <w:rPr>
          <w:rFonts w:hint="eastAsia"/>
          <w:bCs/>
        </w:rPr>
        <w:t>，</w:t>
      </w:r>
      <w:r>
        <w:rPr>
          <w:bCs/>
        </w:rPr>
        <w:t>包括居家养老服务试点宣传，老人日间照料中心与老人食堂运营情况评估服务，养老机构护理培训，8910智慧养老服务平台技术服务，</w:t>
      </w:r>
      <w:r>
        <w:rPr>
          <w:rFonts w:hint="eastAsia"/>
          <w:bCs/>
        </w:rPr>
        <w:t>“</w:t>
      </w:r>
      <w:r>
        <w:rPr>
          <w:bCs/>
        </w:rPr>
        <w:t>和悦家</w:t>
      </w:r>
      <w:r>
        <w:rPr>
          <w:rFonts w:hint="eastAsia"/>
          <w:bCs/>
        </w:rPr>
        <w:t>”</w:t>
      </w:r>
      <w:r>
        <w:rPr>
          <w:bCs/>
        </w:rPr>
        <w:t>综合养老服务基地办公家具购置、项目施工，适老宜居社区改造服务，综合养老服务基地认知障碍干预中心</w:t>
      </w:r>
      <w:r>
        <w:rPr>
          <w:rFonts w:hint="eastAsia"/>
          <w:bCs/>
        </w:rPr>
        <w:t>设备采购、运营</w:t>
      </w:r>
      <w:r>
        <w:rPr>
          <w:bCs/>
        </w:rPr>
        <w:t>，</w:t>
      </w:r>
      <w:r>
        <w:rPr>
          <w:rFonts w:hint="eastAsia"/>
          <w:bCs/>
        </w:rPr>
        <w:t>老旧小区扶手安装，</w:t>
      </w:r>
      <w:r>
        <w:rPr>
          <w:bCs/>
        </w:rPr>
        <w:t>智慧养老监管系统建设</w:t>
      </w:r>
      <w:r>
        <w:rPr>
          <w:rFonts w:hint="eastAsia"/>
          <w:bCs/>
        </w:rPr>
        <w:t>，</w:t>
      </w:r>
      <w:r>
        <w:rPr>
          <w:bCs/>
        </w:rPr>
        <w:t>开封道、三盛里等社区适老化改造服务项目，</w:t>
      </w:r>
      <w:r>
        <w:rPr>
          <w:rFonts w:hint="eastAsia"/>
          <w:bCs/>
        </w:rPr>
        <w:t>“</w:t>
      </w:r>
      <w:r>
        <w:rPr>
          <w:bCs/>
        </w:rPr>
        <w:t>七彩映像社</w:t>
      </w:r>
      <w:r>
        <w:rPr>
          <w:rFonts w:hint="eastAsia"/>
          <w:bCs/>
        </w:rPr>
        <w:t>”</w:t>
      </w:r>
      <w:r>
        <w:rPr>
          <w:bCs/>
        </w:rPr>
        <w:t>短视频助老服务平台</w:t>
      </w:r>
      <w:r>
        <w:rPr>
          <w:rFonts w:hint="eastAsia"/>
          <w:bCs/>
        </w:rPr>
        <w:t>建设等，服务内容覆盖天津市和平区所有社区。</w:t>
      </w:r>
      <w:r>
        <w:rPr>
          <w:rFonts w:ascii="Segoe UI" w:hAnsi="Segoe UI" w:cs="Segoe UI"/>
          <w:shd w:val="clear" w:color="auto" w:fill="FFFFFF"/>
        </w:rPr>
        <w:t>为老年人提供了更好的养老环境和服务，推动了养老服务事业的发展</w:t>
      </w:r>
      <w:r>
        <w:rPr>
          <w:rFonts w:hint="eastAsia" w:ascii="Segoe UI" w:hAnsi="Segoe UI" w:cs="Segoe UI"/>
          <w:shd w:val="clear" w:color="auto" w:fill="FFFFFF"/>
        </w:rPr>
        <w:t>，</w:t>
      </w:r>
      <w:r>
        <w:rPr>
          <w:rFonts w:hint="eastAsia"/>
          <w:bCs/>
        </w:rPr>
        <w:t>养老服务改革试点覆盖率为1</w:t>
      </w:r>
      <w:r>
        <w:rPr>
          <w:bCs/>
        </w:rPr>
        <w:t>00%</w:t>
      </w:r>
      <w:r>
        <w:rPr>
          <w:rFonts w:hint="eastAsia"/>
          <w:bCs/>
        </w:rPr>
        <w:t>。</w:t>
      </w:r>
    </w:p>
    <w:p>
      <w:pPr>
        <w:pStyle w:val="25"/>
        <w:spacing w:line="560" w:lineRule="exact"/>
        <w:ind w:firstLine="640"/>
        <w:rPr>
          <w:bCs/>
        </w:rPr>
      </w:pPr>
      <w:r>
        <w:rPr>
          <w:rFonts w:hint="eastAsia"/>
        </w:rPr>
        <w:t>（2）改善认知症发病保障状况（总分</w:t>
      </w:r>
      <w:r>
        <w:t>8</w:t>
      </w:r>
      <w:r>
        <w:rPr>
          <w:rFonts w:hint="eastAsia"/>
        </w:rPr>
        <w:t>分，得分</w:t>
      </w:r>
      <w:r>
        <w:t>4</w:t>
      </w:r>
      <w:r>
        <w:rPr>
          <w:rFonts w:hint="eastAsia"/>
        </w:rPr>
        <w:t>分）。评价组通过分析</w:t>
      </w:r>
      <w:r>
        <w:rPr>
          <w:rFonts w:hint="eastAsia"/>
          <w:bCs/>
        </w:rPr>
        <w:t>区民政局提供的</w:t>
      </w:r>
      <w:r>
        <w:rPr>
          <w:rFonts w:hint="eastAsia"/>
        </w:rPr>
        <w:t>项目成果报告并查阅相关资料</w:t>
      </w:r>
      <w:r>
        <w:rPr>
          <w:rFonts w:hint="eastAsia"/>
          <w:bCs/>
        </w:rPr>
        <w:t>，</w:t>
      </w:r>
      <w:r>
        <w:rPr>
          <w:bCs/>
        </w:rPr>
        <w:t>弥新认知障碍干预中心采用智慧化测评系统、VR技术、语音交互、重力测量等方式对2120名老年人进行认知障碍评估筛查，并为筛查出有认知障碍危险因素的群体提供评估服务，形成健康电子档案，及时发现</w:t>
      </w:r>
      <w:r>
        <w:rPr>
          <w:rFonts w:hint="eastAsia"/>
          <w:bCs/>
        </w:rPr>
        <w:t>了</w:t>
      </w:r>
      <w:r>
        <w:rPr>
          <w:bCs/>
        </w:rPr>
        <w:t>潜在的认知障碍问题，为早期干预提供依据。同时，开展了</w:t>
      </w:r>
      <w:r>
        <w:rPr>
          <w:rFonts w:hint="eastAsia"/>
          <w:bCs/>
        </w:rPr>
        <w:t>“</w:t>
      </w:r>
      <w:r>
        <w:rPr>
          <w:bCs/>
        </w:rPr>
        <w:t>早诊早治，预防认知障碍</w:t>
      </w:r>
      <w:r>
        <w:rPr>
          <w:rFonts w:hint="eastAsia"/>
          <w:bCs/>
        </w:rPr>
        <w:t>”“</w:t>
      </w:r>
      <w:r>
        <w:rPr>
          <w:bCs/>
        </w:rPr>
        <w:t>认识认知障碍，守护老人记忆之美</w:t>
      </w:r>
      <w:r>
        <w:rPr>
          <w:rFonts w:hint="eastAsia"/>
          <w:bCs/>
        </w:rPr>
        <w:t>”“</w:t>
      </w:r>
      <w:r>
        <w:rPr>
          <w:bCs/>
        </w:rPr>
        <w:t>健康义诊进社区，服务群众保健康</w:t>
      </w:r>
      <w:r>
        <w:rPr>
          <w:rFonts w:hint="eastAsia"/>
          <w:bCs/>
        </w:rPr>
        <w:t>”“</w:t>
      </w:r>
      <w:r>
        <w:rPr>
          <w:bCs/>
        </w:rPr>
        <w:t>守护不老记忆</w:t>
      </w:r>
      <w:r>
        <w:rPr>
          <w:rFonts w:hint="eastAsia"/>
          <w:bCs/>
        </w:rPr>
        <w:t>”“</w:t>
      </w:r>
      <w:r>
        <w:rPr>
          <w:bCs/>
        </w:rPr>
        <w:t>关爱长者，守护大脑健康</w:t>
      </w:r>
      <w:r>
        <w:rPr>
          <w:rFonts w:hint="eastAsia"/>
          <w:bCs/>
        </w:rPr>
        <w:t>”、</w:t>
      </w:r>
      <w:r>
        <w:rPr>
          <w:bCs/>
        </w:rPr>
        <w:t>阿尔兹海默病日公益活动、认知症宣讲等</w:t>
      </w:r>
      <w:r>
        <w:rPr>
          <w:rFonts w:hint="eastAsia"/>
          <w:bCs/>
        </w:rPr>
        <w:t>3</w:t>
      </w:r>
      <w:r>
        <w:rPr>
          <w:bCs/>
        </w:rPr>
        <w:t>2</w:t>
      </w:r>
      <w:r>
        <w:rPr>
          <w:rFonts w:hint="eastAsia"/>
          <w:bCs/>
        </w:rPr>
        <w:t>场</w:t>
      </w:r>
      <w:r>
        <w:rPr>
          <w:bCs/>
        </w:rPr>
        <w:t>主题公益知识讲座</w:t>
      </w:r>
      <w:r>
        <w:rPr>
          <w:rFonts w:hint="eastAsia"/>
          <w:bCs/>
        </w:rPr>
        <w:t>，但</w:t>
      </w:r>
      <w:r>
        <w:rPr>
          <w:bCs/>
        </w:rPr>
        <w:t>认知障碍知识科普参与人数较少，未达到认知障碍知识科普宣传预期效果。</w:t>
      </w:r>
    </w:p>
    <w:p>
      <w:pPr>
        <w:pStyle w:val="25"/>
        <w:spacing w:line="560" w:lineRule="exact"/>
        <w:ind w:firstLine="640"/>
      </w:pPr>
      <w:r>
        <w:t>2</w:t>
      </w:r>
      <w:r>
        <w:rPr>
          <w:rFonts w:hint="eastAsia"/>
        </w:rPr>
        <w:t>.服务对象满意度</w:t>
      </w:r>
    </w:p>
    <w:p>
      <w:pPr>
        <w:pStyle w:val="25"/>
        <w:spacing w:line="560" w:lineRule="exact"/>
        <w:ind w:firstLine="640"/>
      </w:pPr>
      <w:r>
        <w:rPr>
          <w:rFonts w:hint="eastAsia"/>
        </w:rPr>
        <w:t>辖区老人满意度（总分</w:t>
      </w:r>
      <w:r>
        <w:t>6</w:t>
      </w:r>
      <w:r>
        <w:rPr>
          <w:rFonts w:hint="eastAsia"/>
        </w:rPr>
        <w:t>分，得分</w:t>
      </w:r>
      <w:r>
        <w:t>5.66</w:t>
      </w:r>
      <w:r>
        <w:rPr>
          <w:rFonts w:hint="eastAsia"/>
        </w:rPr>
        <w:t>分）。根据居家和社区养老服务改革试点补助经费项目</w:t>
      </w:r>
      <w:r>
        <w:t>主要实施内容，项目</w:t>
      </w:r>
      <w:r>
        <w:rPr>
          <w:rFonts w:hint="eastAsia"/>
        </w:rPr>
        <w:t>主要</w:t>
      </w:r>
      <w:r>
        <w:t>受益对象是</w:t>
      </w:r>
      <w:r>
        <w:rPr>
          <w:rFonts w:hint="eastAsia"/>
        </w:rPr>
        <w:t>辖区老人</w:t>
      </w:r>
      <w:r>
        <w:t>，</w:t>
      </w:r>
      <w:r>
        <w:rPr>
          <w:rFonts w:hint="eastAsia"/>
        </w:rPr>
        <w:t>评价组</w:t>
      </w:r>
      <w:r>
        <w:t>对200</w:t>
      </w:r>
      <w:r>
        <w:rPr>
          <w:rFonts w:hint="eastAsia"/>
        </w:rPr>
        <w:t>名老人</w:t>
      </w:r>
      <w:r>
        <w:t>进行满意度调查，共发放200份问卷，实际收回有效问卷共200份，</w:t>
      </w:r>
      <w:r>
        <w:rPr>
          <w:rFonts w:hint="eastAsia"/>
        </w:rPr>
        <w:t>涉及满意度问题</w:t>
      </w:r>
      <w:r>
        <w:t>4</w:t>
      </w:r>
      <w:r>
        <w:rPr>
          <w:rFonts w:hint="eastAsia"/>
        </w:rPr>
        <w:t>项，调查内容涉及</w:t>
      </w:r>
      <w:r>
        <w:rPr>
          <w:rFonts w:ascii="Segoe UI" w:hAnsi="Segoe UI" w:cs="Segoe UI"/>
          <w:shd w:val="clear" w:color="auto" w:fill="FFFFFF"/>
        </w:rPr>
        <w:t>居家养老服务人员服务态度</w:t>
      </w:r>
      <w:r>
        <w:rPr>
          <w:rFonts w:hint="eastAsia"/>
        </w:rPr>
        <w:t>的满意度、</w:t>
      </w:r>
      <w:r>
        <w:rPr>
          <w:rFonts w:ascii="Segoe UI" w:hAnsi="Segoe UI" w:cs="Segoe UI"/>
          <w:shd w:val="clear" w:color="auto" w:fill="FFFFFF"/>
        </w:rPr>
        <w:t>社区养老服务设施完善程度</w:t>
      </w:r>
      <w:r>
        <w:rPr>
          <w:rFonts w:hint="eastAsia"/>
        </w:rPr>
        <w:t>的满意度、</w:t>
      </w:r>
      <w:r>
        <w:rPr>
          <w:rFonts w:ascii="Segoe UI" w:hAnsi="Segoe UI" w:cs="Segoe UI"/>
          <w:shd w:val="clear" w:color="auto" w:fill="FFFFFF"/>
        </w:rPr>
        <w:t>老年活动丰富程度</w:t>
      </w:r>
      <w:r>
        <w:rPr>
          <w:rFonts w:hint="eastAsia"/>
        </w:rPr>
        <w:t>的满意度、</w:t>
      </w:r>
      <w:r>
        <w:rPr>
          <w:rFonts w:ascii="Segoe UI" w:hAnsi="Segoe UI" w:cs="Segoe UI"/>
          <w:shd w:val="clear" w:color="auto" w:fill="FFFFFF"/>
        </w:rPr>
        <w:t>社区提供医疗保健服务</w:t>
      </w:r>
      <w:r>
        <w:rPr>
          <w:rFonts w:hint="eastAsia"/>
        </w:rPr>
        <w:t>的满意度。</w:t>
      </w:r>
      <w:bookmarkStart w:id="21" w:name="_Hlk140793631"/>
      <w:r>
        <w:rPr>
          <w:rFonts w:hint="eastAsia"/>
        </w:rPr>
        <w:t>辖区老人对居家和社区养老服务改革工作的满意度</w:t>
      </w:r>
      <w:bookmarkEnd w:id="21"/>
      <w:r>
        <w:rPr>
          <w:rFonts w:hint="eastAsia"/>
        </w:rPr>
        <w:t>为</w:t>
      </w:r>
      <w:r>
        <w:t>94.25%</w:t>
      </w:r>
      <w:r>
        <w:rPr>
          <w:rFonts w:hint="eastAsia"/>
        </w:rPr>
        <w:t>。具体情况见表</w:t>
      </w:r>
      <w:r>
        <w:t>5</w:t>
      </w:r>
      <w:r>
        <w:rPr>
          <w:rFonts w:hint="eastAsia"/>
        </w:rPr>
        <w:t>。</w:t>
      </w:r>
    </w:p>
    <w:p>
      <w:pPr>
        <w:pStyle w:val="32"/>
        <w:spacing w:line="560" w:lineRule="exact"/>
      </w:pPr>
      <w:r>
        <w:t>表5</w:t>
      </w:r>
      <w:r>
        <w:rPr>
          <w:rFonts w:hint="eastAsia"/>
        </w:rPr>
        <w:t xml:space="preserve"> </w:t>
      </w:r>
      <w:r>
        <w:t xml:space="preserve"> </w:t>
      </w:r>
      <w:r>
        <w:rPr>
          <w:rFonts w:hint="eastAsia"/>
        </w:rPr>
        <w:t>辖区老人满意度</w:t>
      </w:r>
      <w:r>
        <w:t>统计表</w:t>
      </w:r>
    </w:p>
    <w:p>
      <w:pPr>
        <w:spacing w:line="560" w:lineRule="exact"/>
        <w:ind w:right="304" w:firstLine="420"/>
        <w:jc w:val="right"/>
        <w:rPr>
          <w:rFonts w:ascii="Times New Roman" w:hAnsi="Times New Roman" w:eastAsia="宋体"/>
        </w:rPr>
      </w:pPr>
      <w:r>
        <w:rPr>
          <w:rFonts w:hint="eastAsia" w:ascii="宋体" w:hAnsi="宋体" w:eastAsia="宋体" w:cs="宋体"/>
        </w:rPr>
        <w:t xml:space="preserve"> </w:t>
      </w:r>
      <w:r>
        <w:rPr>
          <w:rFonts w:ascii="宋体" w:hAnsi="宋体" w:eastAsia="宋体" w:cs="宋体"/>
        </w:rPr>
        <w:t xml:space="preserve">                                                          </w:t>
      </w:r>
      <w:r>
        <w:rPr>
          <w:rFonts w:ascii="Times New Roman" w:hAnsi="Times New Roman" w:eastAsia="宋体" w:cs="宋体"/>
        </w:rPr>
        <w:t xml:space="preserve"> </w:t>
      </w:r>
      <w:r>
        <w:rPr>
          <w:rFonts w:hint="eastAsia" w:ascii="Times New Roman" w:hAnsi="Times New Roman" w:eastAsia="宋体" w:cs="宋体"/>
        </w:rPr>
        <w:t xml:space="preserve"> </w:t>
      </w:r>
      <w:r>
        <w:rPr>
          <w:rFonts w:ascii="Times New Roman" w:hAnsi="Times New Roman" w:eastAsia="宋体" w:cs="宋体"/>
        </w:rPr>
        <w:t xml:space="preserve">单位：人                                                                                           </w:t>
      </w:r>
    </w:p>
    <w:tbl>
      <w:tblPr>
        <w:tblStyle w:val="15"/>
        <w:tblW w:w="45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0"/>
        <w:gridCol w:w="1408"/>
        <w:gridCol w:w="1336"/>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pct"/>
          </w:tcPr>
          <w:p>
            <w:pPr>
              <w:spacing w:line="259" w:lineRule="auto"/>
              <w:ind w:firstLine="0" w:firstLineChars="0"/>
              <w:jc w:val="center"/>
              <w:rPr>
                <w:rFonts w:ascii="黑体" w:hAnsi="黑体" w:eastAsia="黑体"/>
                <w:b/>
              </w:rPr>
            </w:pPr>
            <w:r>
              <w:rPr>
                <w:rFonts w:hint="eastAsia" w:ascii="黑体" w:hAnsi="黑体" w:eastAsia="黑体"/>
                <w:b/>
              </w:rPr>
              <w:t>调查问题</w:t>
            </w:r>
          </w:p>
        </w:tc>
        <w:tc>
          <w:tcPr>
            <w:tcW w:w="856" w:type="pct"/>
          </w:tcPr>
          <w:p>
            <w:pPr>
              <w:spacing w:line="259" w:lineRule="auto"/>
              <w:ind w:firstLine="0" w:firstLineChars="0"/>
              <w:jc w:val="center"/>
              <w:rPr>
                <w:rFonts w:ascii="黑体" w:hAnsi="黑体" w:eastAsia="黑体"/>
                <w:b/>
              </w:rPr>
            </w:pPr>
            <w:r>
              <w:rPr>
                <w:rFonts w:hint="eastAsia" w:ascii="黑体" w:hAnsi="黑体" w:eastAsia="黑体"/>
                <w:b/>
              </w:rPr>
              <w:t>调查人数</w:t>
            </w:r>
          </w:p>
        </w:tc>
        <w:tc>
          <w:tcPr>
            <w:tcW w:w="810" w:type="pct"/>
          </w:tcPr>
          <w:p>
            <w:pPr>
              <w:spacing w:line="259" w:lineRule="auto"/>
              <w:ind w:firstLine="0" w:firstLineChars="0"/>
              <w:jc w:val="center"/>
              <w:rPr>
                <w:rFonts w:ascii="黑体" w:hAnsi="黑体" w:eastAsia="黑体"/>
                <w:b/>
              </w:rPr>
            </w:pPr>
            <w:r>
              <w:rPr>
                <w:rFonts w:hint="eastAsia" w:ascii="黑体" w:hAnsi="黑体" w:eastAsia="黑体"/>
                <w:b/>
              </w:rPr>
              <w:t>满意人数</w:t>
            </w:r>
          </w:p>
        </w:tc>
        <w:tc>
          <w:tcPr>
            <w:tcW w:w="924" w:type="pct"/>
          </w:tcPr>
          <w:p>
            <w:pPr>
              <w:spacing w:line="259" w:lineRule="auto"/>
              <w:ind w:firstLine="0" w:firstLineChars="0"/>
              <w:jc w:val="center"/>
              <w:rPr>
                <w:rFonts w:ascii="黑体" w:hAnsi="黑体" w:eastAsia="黑体"/>
                <w:b/>
              </w:rPr>
            </w:pPr>
            <w:r>
              <w:rPr>
                <w:rFonts w:hint="eastAsia" w:ascii="黑体" w:hAnsi="黑体" w:eastAsia="黑体"/>
                <w:b/>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pct"/>
          </w:tcPr>
          <w:p>
            <w:pPr>
              <w:spacing w:line="259" w:lineRule="auto"/>
              <w:ind w:firstLine="0" w:firstLineChars="0"/>
              <w:jc w:val="center"/>
              <w:rPr>
                <w:rFonts w:ascii="宋体" w:hAnsi="宋体" w:eastAsia="宋体"/>
              </w:rPr>
            </w:pPr>
            <w:r>
              <w:rPr>
                <w:rFonts w:hint="eastAsia" w:ascii="宋体" w:hAnsi="宋体" w:eastAsia="宋体"/>
              </w:rPr>
              <w:t>居家养老服务人员服务态度的满意度</w:t>
            </w:r>
          </w:p>
        </w:tc>
        <w:tc>
          <w:tcPr>
            <w:tcW w:w="856"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200</w:t>
            </w:r>
          </w:p>
        </w:tc>
        <w:tc>
          <w:tcPr>
            <w:tcW w:w="810"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193</w:t>
            </w:r>
          </w:p>
        </w:tc>
        <w:tc>
          <w:tcPr>
            <w:tcW w:w="924"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pct"/>
          </w:tcPr>
          <w:p>
            <w:pPr>
              <w:spacing w:line="259" w:lineRule="auto"/>
              <w:ind w:firstLine="0" w:firstLineChars="0"/>
              <w:jc w:val="center"/>
              <w:rPr>
                <w:rFonts w:ascii="宋体" w:hAnsi="宋体" w:eastAsia="宋体"/>
              </w:rPr>
            </w:pPr>
            <w:r>
              <w:rPr>
                <w:rFonts w:hint="eastAsia" w:ascii="宋体" w:hAnsi="宋体" w:eastAsia="宋体"/>
              </w:rPr>
              <w:t>社区养老服务设施完善程度的满意度</w:t>
            </w:r>
          </w:p>
        </w:tc>
        <w:tc>
          <w:tcPr>
            <w:tcW w:w="856"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200</w:t>
            </w:r>
          </w:p>
        </w:tc>
        <w:tc>
          <w:tcPr>
            <w:tcW w:w="810"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191</w:t>
            </w:r>
          </w:p>
        </w:tc>
        <w:tc>
          <w:tcPr>
            <w:tcW w:w="924"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pct"/>
          </w:tcPr>
          <w:p>
            <w:pPr>
              <w:spacing w:line="259" w:lineRule="auto"/>
              <w:ind w:firstLine="0" w:firstLineChars="0"/>
              <w:jc w:val="center"/>
              <w:rPr>
                <w:rFonts w:ascii="宋体" w:hAnsi="宋体" w:eastAsia="宋体"/>
              </w:rPr>
            </w:pPr>
            <w:r>
              <w:rPr>
                <w:rFonts w:hint="eastAsia" w:ascii="宋体" w:hAnsi="宋体" w:eastAsia="宋体"/>
              </w:rPr>
              <w:t>老年活动丰富程度的满意度</w:t>
            </w:r>
          </w:p>
        </w:tc>
        <w:tc>
          <w:tcPr>
            <w:tcW w:w="856"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200</w:t>
            </w:r>
          </w:p>
        </w:tc>
        <w:tc>
          <w:tcPr>
            <w:tcW w:w="810"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183</w:t>
            </w:r>
          </w:p>
        </w:tc>
        <w:tc>
          <w:tcPr>
            <w:tcW w:w="924"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7" w:type="pct"/>
          </w:tcPr>
          <w:p>
            <w:pPr>
              <w:spacing w:line="259" w:lineRule="auto"/>
              <w:ind w:firstLine="0" w:firstLineChars="0"/>
              <w:jc w:val="center"/>
              <w:rPr>
                <w:rFonts w:ascii="宋体" w:hAnsi="宋体" w:eastAsia="宋体"/>
              </w:rPr>
            </w:pPr>
            <w:r>
              <w:rPr>
                <w:rFonts w:hint="eastAsia" w:ascii="宋体" w:hAnsi="宋体" w:eastAsia="宋体"/>
              </w:rPr>
              <w:t>社区提供医疗保健服务的满意度</w:t>
            </w:r>
          </w:p>
        </w:tc>
        <w:tc>
          <w:tcPr>
            <w:tcW w:w="856"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200</w:t>
            </w:r>
          </w:p>
        </w:tc>
        <w:tc>
          <w:tcPr>
            <w:tcW w:w="810"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187</w:t>
            </w:r>
          </w:p>
        </w:tc>
        <w:tc>
          <w:tcPr>
            <w:tcW w:w="924"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75" w:type="pct"/>
            <w:gridSpan w:val="3"/>
          </w:tcPr>
          <w:p>
            <w:pPr>
              <w:spacing w:line="259" w:lineRule="auto"/>
              <w:ind w:firstLine="0" w:firstLineChars="0"/>
              <w:jc w:val="center"/>
              <w:rPr>
                <w:rFonts w:ascii="宋体" w:hAnsi="宋体" w:eastAsia="宋体"/>
                <w:b/>
              </w:rPr>
            </w:pPr>
            <w:r>
              <w:rPr>
                <w:rFonts w:hint="eastAsia" w:ascii="宋体" w:hAnsi="宋体" w:eastAsia="宋体"/>
                <w:b/>
              </w:rPr>
              <w:t>合计</w:t>
            </w:r>
          </w:p>
        </w:tc>
        <w:tc>
          <w:tcPr>
            <w:tcW w:w="924" w:type="pct"/>
          </w:tcPr>
          <w:p>
            <w:pPr>
              <w:spacing w:line="259" w:lineRule="auto"/>
              <w:ind w:firstLine="0" w:firstLineChars="0"/>
              <w:jc w:val="center"/>
              <w:rPr>
                <w:rFonts w:ascii="Times New Roman" w:hAnsi="Times New Roman" w:eastAsia="宋体" w:cs="Times New Roman"/>
                <w:b/>
              </w:rPr>
            </w:pPr>
            <w:r>
              <w:rPr>
                <w:rFonts w:ascii="Times New Roman" w:hAnsi="Times New Roman" w:eastAsia="宋体" w:cs="Times New Roman"/>
                <w:b/>
              </w:rPr>
              <w:t>94.25%</w:t>
            </w:r>
          </w:p>
        </w:tc>
      </w:tr>
    </w:tbl>
    <w:p>
      <w:pPr>
        <w:pStyle w:val="27"/>
        <w:spacing w:line="560" w:lineRule="exact"/>
        <w:ind w:firstLine="640" w:firstLineChars="200"/>
      </w:pPr>
      <w:bookmarkStart w:id="22" w:name="_Toc179622659"/>
      <w:r>
        <w:rPr>
          <w:rFonts w:hint="eastAsia"/>
        </w:rPr>
        <w:t>五、存在的主要问题</w:t>
      </w:r>
      <w:bookmarkEnd w:id="22"/>
    </w:p>
    <w:p>
      <w:pPr>
        <w:pStyle w:val="29"/>
        <w:spacing w:line="560" w:lineRule="exact"/>
        <w:ind w:firstLine="640"/>
      </w:pPr>
      <w:bookmarkStart w:id="23" w:name="_Toc179622660"/>
      <w:bookmarkStart w:id="24" w:name="_Hlk91875531"/>
      <w:r>
        <w:rPr>
          <w:rFonts w:hint="eastAsia"/>
        </w:rPr>
        <w:t>（一）项目设立程序不规范</w:t>
      </w:r>
      <w:bookmarkEnd w:id="23"/>
    </w:p>
    <w:p>
      <w:pPr>
        <w:pStyle w:val="25"/>
        <w:spacing w:line="560" w:lineRule="exact"/>
        <w:ind w:firstLine="640"/>
      </w:pPr>
      <w:r>
        <w:rPr>
          <w:rFonts w:hint="eastAsia"/>
        </w:rPr>
        <w:t>居家和社区养老服务改革试点补助</w:t>
      </w:r>
      <w:r>
        <w:t>项目</w:t>
      </w:r>
      <w:r>
        <w:rPr>
          <w:rFonts w:hint="eastAsia"/>
        </w:rPr>
        <w:t>设立未经过区民政局集体决策，缺少项目设立审批文件、集体决策会议纪要，不符合区民政局制定的内部控制管理手册的规定。</w:t>
      </w:r>
    </w:p>
    <w:p>
      <w:pPr>
        <w:pStyle w:val="29"/>
        <w:spacing w:line="560" w:lineRule="exact"/>
        <w:ind w:firstLine="640"/>
        <w:rPr>
          <w:rFonts w:ascii="Times New Roman" w:hAnsi="Times New Roman"/>
        </w:rPr>
      </w:pPr>
      <w:bookmarkStart w:id="25" w:name="_Toc175737145"/>
      <w:bookmarkStart w:id="26" w:name="_Toc179622661"/>
      <w:r>
        <w:rPr>
          <w:rFonts w:hint="eastAsia" w:ascii="Times New Roman" w:hAnsi="Times New Roman"/>
        </w:rPr>
        <w:t>（二）</w:t>
      </w:r>
      <w:bookmarkEnd w:id="25"/>
      <w:r>
        <w:rPr>
          <w:rFonts w:hint="eastAsia" w:ascii="Times New Roman" w:hAnsi="Times New Roman"/>
        </w:rPr>
        <w:t>绩效管理意识不强，绩效目标质量不高</w:t>
      </w:r>
      <w:bookmarkEnd w:id="26"/>
    </w:p>
    <w:p>
      <w:pPr>
        <w:pStyle w:val="25"/>
        <w:spacing w:line="560" w:lineRule="exact"/>
        <w:ind w:firstLine="640"/>
        <w:rPr>
          <w:rFonts w:cs="仿宋_GB2312"/>
          <w:szCs w:val="32"/>
        </w:rPr>
      </w:pPr>
      <w:r>
        <w:rPr>
          <w:rFonts w:hint="eastAsia" w:ascii="仿宋_GB2312"/>
        </w:rPr>
        <w:t>绩效目标设置不够明确，过于笼统，</w:t>
      </w:r>
      <w:r>
        <w:rPr>
          <w:rFonts w:hint="eastAsia"/>
        </w:rPr>
        <w:t>未能反映本项目认知障碍干预中心运营、适老宜居社区改造服务项目审核、老旧小区扶手安装及结算2</w:t>
      </w:r>
      <w:r>
        <w:t>022</w:t>
      </w:r>
      <w:r>
        <w:rPr>
          <w:rFonts w:hint="eastAsia"/>
        </w:rPr>
        <w:t>年</w:t>
      </w:r>
      <w:r>
        <w:t>9</w:t>
      </w:r>
      <w:r>
        <w:rPr>
          <w:rFonts w:hint="eastAsia"/>
        </w:rPr>
        <w:t>项居家和社区养老服务改革项目尾款</w:t>
      </w:r>
      <w:r>
        <w:rPr>
          <w:rFonts w:hint="eastAsia"/>
          <w:bCs/>
        </w:rPr>
        <w:t>目等实际工作内容</w:t>
      </w:r>
      <w:r>
        <w:rPr>
          <w:rFonts w:hint="eastAsia" w:ascii="仿宋_GB2312"/>
        </w:rPr>
        <w:t>，</w:t>
      </w:r>
      <w:r>
        <w:rPr>
          <w:rFonts w:hint="eastAsia"/>
          <w:bCs/>
        </w:rPr>
        <w:t>绩效目标与实际工作内容相关性不足</w:t>
      </w:r>
      <w:r>
        <w:t>。</w:t>
      </w:r>
    </w:p>
    <w:p>
      <w:pPr>
        <w:pStyle w:val="29"/>
        <w:spacing w:line="560" w:lineRule="exact"/>
        <w:ind w:firstLine="640"/>
      </w:pPr>
      <w:bookmarkStart w:id="27" w:name="_Toc175824256"/>
      <w:bookmarkStart w:id="28" w:name="_Toc179622662"/>
      <w:r>
        <w:rPr>
          <w:rFonts w:hint="eastAsia"/>
        </w:rPr>
        <w:t>（三</w:t>
      </w:r>
      <w:r>
        <w:t>）</w:t>
      </w:r>
      <w:r>
        <w:rPr>
          <w:rFonts w:hint="eastAsia"/>
        </w:rPr>
        <w:t>预算测算</w:t>
      </w:r>
      <w:bookmarkEnd w:id="27"/>
      <w:r>
        <w:rPr>
          <w:rFonts w:hint="eastAsia"/>
        </w:rPr>
        <w:t>细化程度不够</w:t>
      </w:r>
      <w:bookmarkEnd w:id="28"/>
    </w:p>
    <w:p>
      <w:pPr>
        <w:pStyle w:val="25"/>
        <w:spacing w:line="560" w:lineRule="exact"/>
        <w:ind w:firstLine="640"/>
      </w:pPr>
      <w:r>
        <w:rPr>
          <w:rFonts w:ascii="Segoe UI" w:hAnsi="Segoe UI" w:cs="Segoe UI"/>
          <w:shd w:val="clear" w:color="auto" w:fill="FFFFFF"/>
        </w:rPr>
        <w:t>预算测算过程中，</w:t>
      </w:r>
      <w:r>
        <w:rPr>
          <w:rFonts w:hint="eastAsia" w:ascii="Segoe UI" w:hAnsi="Segoe UI" w:cs="Segoe UI"/>
          <w:shd w:val="clear" w:color="auto" w:fill="FFFFFF"/>
        </w:rPr>
        <w:t>区民政局</w:t>
      </w:r>
      <w:r>
        <w:rPr>
          <w:rFonts w:ascii="Segoe UI" w:hAnsi="Segoe UI" w:cs="Segoe UI"/>
          <w:shd w:val="clear" w:color="auto" w:fill="FFFFFF"/>
        </w:rPr>
        <w:t>未能充分考量项目实际情况</w:t>
      </w:r>
      <w:r>
        <w:rPr>
          <w:rFonts w:hint="eastAsia" w:ascii="Segoe UI" w:hAnsi="Segoe UI" w:cs="Segoe UI"/>
          <w:shd w:val="clear" w:color="auto" w:fill="FFFFFF"/>
        </w:rPr>
        <w:t>，</w:t>
      </w:r>
      <w:r>
        <w:rPr>
          <w:rFonts w:hint="eastAsia"/>
        </w:rPr>
        <w:t>未依据</w:t>
      </w:r>
      <w:r>
        <w:t>2023年度的实际项目内容展开测算</w:t>
      </w:r>
      <w:r>
        <w:rPr>
          <w:rFonts w:hint="eastAsia"/>
        </w:rPr>
        <w:t>。例如，在认知障碍干预中心运营服务费用、适老宜居社区改造服务项目审核服务费用、</w:t>
      </w:r>
      <w:r>
        <w:t>2023年老旧小区扶手安装服务以及2022年9项居家和社区养老服务改革项目尾款支付费用等方面，</w:t>
      </w:r>
      <w:r>
        <w:rPr>
          <w:rFonts w:hint="eastAsia"/>
        </w:rPr>
        <w:t>未</w:t>
      </w:r>
      <w:r>
        <w:t>对人力、商品和服务等各类费用</w:t>
      </w:r>
      <w:r>
        <w:rPr>
          <w:rFonts w:hint="eastAsia"/>
        </w:rPr>
        <w:t>开展测算</w:t>
      </w:r>
      <w:r>
        <w:t>。由于测算数据客观性欠佳，项目测算过程细化程度不足，可能导致资源分配不合理，进而影响项目的顺利推进与目标的实现。</w:t>
      </w:r>
    </w:p>
    <w:p>
      <w:pPr>
        <w:pStyle w:val="29"/>
        <w:spacing w:line="560" w:lineRule="exact"/>
        <w:ind w:firstLine="640"/>
      </w:pPr>
      <w:bookmarkStart w:id="29" w:name="_Toc179622663"/>
      <w:r>
        <w:rPr>
          <w:rFonts w:hint="eastAsia"/>
        </w:rPr>
        <w:t>（四</w:t>
      </w:r>
      <w:r>
        <w:t>）</w:t>
      </w:r>
      <w:r>
        <w:rPr>
          <w:rFonts w:hint="eastAsia"/>
        </w:rPr>
        <w:t>预算执行不到位</w:t>
      </w:r>
      <w:bookmarkEnd w:id="29"/>
    </w:p>
    <w:p>
      <w:pPr>
        <w:pStyle w:val="25"/>
        <w:spacing w:line="560" w:lineRule="exact"/>
        <w:ind w:firstLine="640"/>
      </w:pPr>
      <w:r>
        <w:rPr>
          <w:rFonts w:hint="eastAsia"/>
        </w:rPr>
        <w:t>居家和社区养老服务改革试点补助</w:t>
      </w:r>
      <w:r>
        <w:t>项目</w:t>
      </w:r>
      <w:r>
        <w:rPr>
          <w:rFonts w:hint="eastAsia"/>
        </w:rPr>
        <w:t>实际到位预算资金</w:t>
      </w:r>
      <w:r>
        <w:t>866.82</w:t>
      </w:r>
      <w:r>
        <w:rPr>
          <w:rFonts w:hint="eastAsia"/>
        </w:rPr>
        <w:t>万元，</w:t>
      </w:r>
      <w:r>
        <w:rPr>
          <w:rFonts w:hint="eastAsia"/>
          <w:bCs/>
        </w:rPr>
        <w:t>根据项目预算一体化指标执行情况与项目支出明细账数据统计</w:t>
      </w:r>
      <w:r>
        <w:rPr>
          <w:rFonts w:hint="eastAsia"/>
        </w:rPr>
        <w:t>，</w:t>
      </w:r>
      <w:r>
        <w:rPr>
          <w:rFonts w:hint="eastAsia"/>
          <w:bCs/>
        </w:rPr>
        <w:t>实际支出</w:t>
      </w:r>
      <w:r>
        <w:t>264.1</w:t>
      </w:r>
      <w:r>
        <w:rPr>
          <w:rFonts w:hint="eastAsia"/>
          <w:bCs/>
        </w:rPr>
        <w:t>万元。</w:t>
      </w:r>
      <w:r>
        <w:rPr>
          <w:rFonts w:hint="eastAsia"/>
          <w:bCs/>
          <w:lang w:val="en-US" w:eastAsia="zh-CN"/>
        </w:rPr>
        <w:t>主要原因</w:t>
      </w:r>
      <w:r>
        <w:rPr>
          <w:rFonts w:hint="eastAsia"/>
          <w:bCs/>
          <w:highlight w:val="none"/>
          <w:lang w:val="en-US" w:eastAsia="zh-CN"/>
        </w:rPr>
        <w:t>为</w:t>
      </w:r>
      <w:r>
        <w:rPr>
          <w:rFonts w:ascii="Segoe UI" w:hAnsi="Segoe UI" w:cs="Segoe UI"/>
          <w:highlight w:val="none"/>
          <w:shd w:val="clear" w:color="auto" w:fill="FFFFFF"/>
        </w:rPr>
        <w:t>预算编制测算不准确，未能充分考虑到实际情况</w:t>
      </w:r>
      <w:r>
        <w:rPr>
          <w:rFonts w:hint="eastAsia" w:ascii="Segoe UI" w:hAnsi="Segoe UI" w:cs="Segoe UI"/>
          <w:highlight w:val="none"/>
          <w:shd w:val="clear" w:color="auto" w:fill="FFFFFF"/>
        </w:rPr>
        <w:t>，</w:t>
      </w:r>
      <w:r>
        <w:rPr>
          <w:rFonts w:ascii="Segoe UI" w:hAnsi="Segoe UI" w:cs="Segoe UI"/>
          <w:highlight w:val="none"/>
          <w:shd w:val="clear" w:color="auto" w:fill="FFFFFF"/>
        </w:rPr>
        <w:t>导致项目在执行过程中出现资金安排与实际需求不匹配的情况</w:t>
      </w:r>
      <w:r>
        <w:rPr>
          <w:rFonts w:hint="eastAsia" w:ascii="Segoe UI" w:hAnsi="Segoe UI" w:cs="Segoe UI"/>
          <w:highlight w:val="none"/>
          <w:shd w:val="clear" w:color="auto" w:fill="FFFFFF"/>
        </w:rPr>
        <w:t>，</w:t>
      </w:r>
      <w:r>
        <w:rPr>
          <w:rFonts w:hint="eastAsia" w:asciiTheme="minorHAnsi" w:hAnsiTheme="minorHAnsi"/>
          <w:highlight w:val="none"/>
        </w:rPr>
        <w:t>项目总体预算执行水平较低</w:t>
      </w:r>
      <w:r>
        <w:rPr>
          <w:rFonts w:hint="eastAsia"/>
          <w:highlight w:val="none"/>
        </w:rPr>
        <w:t>。</w:t>
      </w:r>
    </w:p>
    <w:p>
      <w:pPr>
        <w:pStyle w:val="29"/>
        <w:spacing w:line="560" w:lineRule="exact"/>
        <w:ind w:firstLine="640"/>
      </w:pPr>
      <w:bookmarkStart w:id="30" w:name="_Toc179622664"/>
      <w:r>
        <w:rPr>
          <w:rFonts w:hint="eastAsia"/>
        </w:rPr>
        <w:t>（五</w:t>
      </w:r>
      <w:r>
        <w:t>）</w:t>
      </w:r>
      <w:r>
        <w:rPr>
          <w:rFonts w:hint="eastAsia"/>
        </w:rPr>
        <w:t>验收程序执行不严格</w:t>
      </w:r>
      <w:bookmarkEnd w:id="30"/>
    </w:p>
    <w:p>
      <w:pPr>
        <w:pStyle w:val="25"/>
        <w:spacing w:line="560" w:lineRule="exact"/>
        <w:ind w:firstLine="640"/>
      </w:pPr>
      <w:r>
        <w:rPr>
          <w:rFonts w:hint="eastAsia"/>
        </w:rPr>
        <w:t>项目部分业务未开展验收工作，如老旧小区扶手安装项目未按照单位内部控制规定执行验收程序，</w:t>
      </w:r>
      <w:r>
        <w:t>无法确保服务成果符合预期要求</w:t>
      </w:r>
      <w:r>
        <w:rPr>
          <w:rFonts w:hint="eastAsia"/>
        </w:rPr>
        <w:t>，验收程序执行不严格。</w:t>
      </w:r>
    </w:p>
    <w:p>
      <w:pPr>
        <w:pStyle w:val="29"/>
        <w:spacing w:line="560" w:lineRule="exact"/>
        <w:ind w:firstLine="640"/>
      </w:pPr>
      <w:bookmarkStart w:id="31" w:name="_Toc179622665"/>
      <w:r>
        <w:rPr>
          <w:rFonts w:hint="eastAsia"/>
        </w:rPr>
        <w:t>（六</w:t>
      </w:r>
      <w:r>
        <w:t>）</w:t>
      </w:r>
      <w:r>
        <w:rPr>
          <w:rFonts w:hint="eastAsia"/>
        </w:rPr>
        <w:t>公益知识科普人员数量不达标</w:t>
      </w:r>
      <w:bookmarkEnd w:id="31"/>
    </w:p>
    <w:p>
      <w:pPr>
        <w:pStyle w:val="25"/>
        <w:spacing w:line="560" w:lineRule="exact"/>
        <w:ind w:firstLine="640"/>
      </w:pPr>
      <w:r>
        <w:t>2023年进行了32场认知障碍公益知识宣讲，宣讲共覆盖973人。</w:t>
      </w:r>
      <w:r>
        <w:rPr>
          <w:rFonts w:hint="eastAsia"/>
        </w:rPr>
        <w:t>但</w:t>
      </w:r>
      <w:r>
        <w:t>认知障碍干预中心运营项目需求书要求完成10000人次的公益知识科普。由于公益知识科普人次设定较高，未能达成认知障碍知识科普的预期效果</w:t>
      </w:r>
      <w:r>
        <w:rPr>
          <w:rFonts w:hint="eastAsia"/>
        </w:rPr>
        <w:t>，</w:t>
      </w:r>
      <w:r>
        <w:t>需要进一步增强科普力度，创新科普方式，使更多人了解认知障碍，提升公众对认知障碍的认识及重视程度</w:t>
      </w:r>
      <w:r>
        <w:rPr>
          <w:rFonts w:hint="eastAsia"/>
        </w:rPr>
        <w:t>。</w:t>
      </w:r>
      <w:bookmarkEnd w:id="24"/>
    </w:p>
    <w:p>
      <w:pPr>
        <w:pStyle w:val="27"/>
        <w:spacing w:line="560" w:lineRule="exact"/>
        <w:ind w:firstLine="640" w:firstLineChars="200"/>
      </w:pPr>
      <w:bookmarkStart w:id="32" w:name="_Toc179622666"/>
      <w:r>
        <w:rPr>
          <w:rFonts w:hint="eastAsia"/>
        </w:rPr>
        <w:t>六、相关建议</w:t>
      </w:r>
      <w:bookmarkEnd w:id="32"/>
    </w:p>
    <w:p>
      <w:pPr>
        <w:pStyle w:val="29"/>
        <w:spacing w:line="560" w:lineRule="exact"/>
        <w:ind w:firstLine="640"/>
        <w:rPr>
          <w:rFonts w:ascii="Times New Roman" w:hAnsi="Times New Roman"/>
        </w:rPr>
      </w:pPr>
      <w:bookmarkStart w:id="33" w:name="_Toc175737148"/>
      <w:bookmarkStart w:id="34" w:name="_Toc179622667"/>
      <w:r>
        <w:rPr>
          <w:rFonts w:hint="eastAsia" w:ascii="Times New Roman" w:hAnsi="Times New Roman"/>
        </w:rPr>
        <w:t>（一）加强项目设立管理，严格执行资金管理制度</w:t>
      </w:r>
      <w:bookmarkEnd w:id="33"/>
      <w:bookmarkEnd w:id="34"/>
    </w:p>
    <w:p>
      <w:pPr>
        <w:pStyle w:val="25"/>
        <w:spacing w:line="560" w:lineRule="exact"/>
        <w:ind w:firstLine="640"/>
      </w:pPr>
      <w:r>
        <w:rPr>
          <w:rFonts w:hint="eastAsia"/>
        </w:rPr>
        <w:t>一是建议区民政局进</w:t>
      </w:r>
      <w:r>
        <w:t>一步完善项目资金管理制度和项目</w:t>
      </w:r>
      <w:r>
        <w:rPr>
          <w:rFonts w:hint="eastAsia"/>
        </w:rPr>
        <w:t>设立</w:t>
      </w:r>
      <w:r>
        <w:t>流程，明确各个环节的职责和要求，确保制度具有可操作性和针对性。</w:t>
      </w:r>
      <w:r>
        <w:rPr>
          <w:rFonts w:hint="eastAsia"/>
        </w:rPr>
        <w:t>二是建议区民政局</w:t>
      </w:r>
      <w:r>
        <w:t>健全制度执行机制，明确责任部门和责任人，加强对制度执行情况的监督检查和考核评估工作。</w:t>
      </w:r>
      <w:r>
        <w:rPr>
          <w:rFonts w:hint="eastAsia"/>
        </w:rPr>
        <w:t>三是建议区民政局组织专项培训，</w:t>
      </w:r>
      <w:r>
        <w:rPr>
          <w:bCs/>
        </w:rPr>
        <w:t>重申</w:t>
      </w:r>
      <w:r>
        <w:t>项目资金管理制度的重要性，确保所有相关人员都充分认识到该制度对于规范项目</w:t>
      </w:r>
      <w:r>
        <w:rPr>
          <w:rFonts w:hint="eastAsia"/>
        </w:rPr>
        <w:t>设立</w:t>
      </w:r>
      <w:r>
        <w:t>、保障资金安全</w:t>
      </w:r>
      <w:r>
        <w:rPr>
          <w:rFonts w:hint="eastAsia"/>
        </w:rPr>
        <w:t>的作用</w:t>
      </w:r>
      <w:r>
        <w:t>。</w:t>
      </w:r>
      <w:r>
        <w:rPr>
          <w:rFonts w:hint="eastAsia"/>
        </w:rPr>
        <w:t>同时深入解读项目资金管理制度的具体要求，</w:t>
      </w:r>
      <w:r>
        <w:t>提高项目管理人员和决策者的制度执行意识</w:t>
      </w:r>
      <w:r>
        <w:rPr>
          <w:rFonts w:hint="eastAsia"/>
        </w:rPr>
        <w:t>。</w:t>
      </w:r>
    </w:p>
    <w:p>
      <w:pPr>
        <w:pStyle w:val="29"/>
        <w:spacing w:line="560" w:lineRule="exact"/>
        <w:ind w:firstLine="640"/>
        <w:rPr>
          <w:rFonts w:ascii="Times New Roman" w:hAnsi="Times New Roman"/>
        </w:rPr>
      </w:pPr>
      <w:bookmarkStart w:id="35" w:name="_Toc175737149"/>
      <w:bookmarkStart w:id="36" w:name="_Toc179622668"/>
      <w:r>
        <w:rPr>
          <w:rFonts w:hint="eastAsia" w:ascii="Times New Roman" w:hAnsi="Times New Roman"/>
        </w:rPr>
        <w:t>（二）完善绩效目标设置，提升绩效管理水平</w:t>
      </w:r>
      <w:bookmarkEnd w:id="35"/>
      <w:bookmarkEnd w:id="36"/>
    </w:p>
    <w:p>
      <w:pPr>
        <w:pStyle w:val="25"/>
        <w:spacing w:line="560" w:lineRule="exact"/>
        <w:ind w:firstLine="640"/>
      </w:pPr>
      <w:r>
        <w:rPr>
          <w:rFonts w:hint="eastAsia"/>
        </w:rPr>
        <w:t>建议区民政局完善绩效目标设置，在编制项目绩效目标时</w:t>
      </w:r>
      <w:r>
        <w:t>紧密关联项目计划期内的具体任务数与</w:t>
      </w:r>
      <w:r>
        <w:rPr>
          <w:rFonts w:hint="eastAsia"/>
          <w:bCs/>
        </w:rPr>
        <w:t>实际工作内容</w:t>
      </w:r>
      <w:r>
        <w:rPr>
          <w:rFonts w:hint="eastAsia"/>
        </w:rPr>
        <w:t>，</w:t>
      </w:r>
      <w:r>
        <w:t>全面、准确地反映项目的主要工作任务，</w:t>
      </w:r>
      <w:r>
        <w:rPr>
          <w:rFonts w:hint="eastAsia"/>
        </w:rPr>
        <w:t>确保绩效目标指标明确、细化、可衡量，从而</w:t>
      </w:r>
      <w:r>
        <w:t>实现对项目进展的有效衡量与监控。</w:t>
      </w:r>
      <w:r>
        <w:rPr>
          <w:rFonts w:hint="eastAsia"/>
        </w:rPr>
        <w:t>同时，加大部门</w:t>
      </w:r>
      <w:r>
        <w:t>绩效培训力度，提高</w:t>
      </w:r>
      <w:r>
        <w:rPr>
          <w:rFonts w:hint="eastAsia"/>
        </w:rPr>
        <w:t>预算</w:t>
      </w:r>
      <w:r>
        <w:t>绩效</w:t>
      </w:r>
      <w:r>
        <w:rPr>
          <w:rFonts w:hint="eastAsia"/>
        </w:rPr>
        <w:t>管理</w:t>
      </w:r>
      <w:r>
        <w:t>工作的重视程度，强化对绩效基本概念的理解，提高整体绩效工作质量</w:t>
      </w:r>
      <w:r>
        <w:rPr>
          <w:rFonts w:hint="eastAsia"/>
        </w:rPr>
        <w:t>，充分发挥绩效目标对项目执行的引导约束和控制作用</w:t>
      </w:r>
      <w:r>
        <w:t>。</w:t>
      </w:r>
    </w:p>
    <w:p>
      <w:pPr>
        <w:pStyle w:val="29"/>
        <w:spacing w:line="560" w:lineRule="exact"/>
        <w:ind w:firstLine="640"/>
        <w:rPr>
          <w:rFonts w:ascii="Times New Roman" w:hAnsi="Times New Roman"/>
        </w:rPr>
      </w:pPr>
      <w:bookmarkStart w:id="37" w:name="_Toc175824261"/>
      <w:bookmarkStart w:id="38" w:name="_Toc179622669"/>
      <w:bookmarkStart w:id="39" w:name="_Toc175737150"/>
      <w:r>
        <w:rPr>
          <w:rFonts w:hint="eastAsia"/>
        </w:rPr>
        <w:t>（三）提高</w:t>
      </w:r>
      <w:r>
        <w:rPr>
          <w:rFonts w:hint="eastAsia" w:ascii="Times New Roman" w:hAnsi="Times New Roman"/>
        </w:rPr>
        <w:t>预算测算精准度，</w:t>
      </w:r>
      <w:bookmarkEnd w:id="37"/>
      <w:r>
        <w:rPr>
          <w:rFonts w:hint="eastAsia" w:ascii="Times New Roman" w:hAnsi="Times New Roman"/>
        </w:rPr>
        <w:t>保障测算细化程度</w:t>
      </w:r>
      <w:bookmarkEnd w:id="38"/>
    </w:p>
    <w:p>
      <w:pPr>
        <w:pStyle w:val="25"/>
        <w:spacing w:line="560" w:lineRule="exact"/>
        <w:ind w:firstLine="640"/>
      </w:pPr>
      <w:r>
        <w:t>建议</w:t>
      </w:r>
      <w:r>
        <w:rPr>
          <w:rFonts w:hint="eastAsia"/>
        </w:rPr>
        <w:t>区民政局</w:t>
      </w:r>
      <w:r>
        <w:t>在预算测算</w:t>
      </w:r>
      <w:r>
        <w:rPr>
          <w:rFonts w:hint="eastAsia"/>
        </w:rPr>
        <w:t>阶段，充分分析</w:t>
      </w:r>
      <w:r>
        <w:t>项目</w:t>
      </w:r>
      <w:r>
        <w:rPr>
          <w:rFonts w:hint="eastAsia"/>
        </w:rPr>
        <w:t>具体</w:t>
      </w:r>
      <w:r>
        <w:t>需求</w:t>
      </w:r>
      <w:r>
        <w:rPr>
          <w:rFonts w:hint="eastAsia"/>
        </w:rPr>
        <w:t>，</w:t>
      </w:r>
      <w:r>
        <w:t>准确预测所需资源和成本</w:t>
      </w:r>
      <w:r>
        <w:rPr>
          <w:rFonts w:hint="eastAsia"/>
        </w:rPr>
        <w:t>，</w:t>
      </w:r>
      <w:r>
        <w:t>提高预算测算的精准度。</w:t>
      </w:r>
      <w:r>
        <w:rPr>
          <w:rFonts w:hint="eastAsia"/>
        </w:rPr>
        <w:t>在测算过程中</w:t>
      </w:r>
      <w:r>
        <w:rPr>
          <w:rFonts w:ascii="Segoe UI" w:hAnsi="Segoe UI" w:cs="Segoe UI"/>
          <w:shd w:val="clear" w:color="auto" w:fill="FFFFFF"/>
        </w:rPr>
        <w:t>进一步提高细化程</w:t>
      </w:r>
      <w:r>
        <w:rPr>
          <w:rFonts w:hint="eastAsia" w:ascii="Segoe UI" w:hAnsi="Segoe UI" w:cs="Segoe UI"/>
          <w:shd w:val="clear" w:color="auto" w:fill="FFFFFF"/>
        </w:rPr>
        <w:t>。对于</w:t>
      </w:r>
      <w:r>
        <w:rPr>
          <w:rFonts w:ascii="Segoe UI" w:hAnsi="Segoe UI" w:cs="Segoe UI"/>
          <w:shd w:val="clear" w:color="auto" w:fill="FFFFFF"/>
        </w:rPr>
        <w:t>各项费用的列支</w:t>
      </w:r>
      <w:r>
        <w:rPr>
          <w:rFonts w:hint="eastAsia" w:ascii="Segoe UI" w:hAnsi="Segoe UI" w:cs="Segoe UI"/>
          <w:shd w:val="clear" w:color="auto" w:fill="FFFFFF"/>
        </w:rPr>
        <w:t>，需</w:t>
      </w:r>
      <w:r>
        <w:rPr>
          <w:rFonts w:ascii="Segoe UI" w:hAnsi="Segoe UI" w:cs="Segoe UI"/>
          <w:shd w:val="clear" w:color="auto" w:fill="FFFFFF"/>
        </w:rPr>
        <w:t>详细到具体的子项目</w:t>
      </w:r>
      <w:r>
        <w:rPr>
          <w:rFonts w:hint="eastAsia" w:ascii="Segoe UI" w:hAnsi="Segoe UI" w:cs="Segoe UI"/>
          <w:shd w:val="clear" w:color="auto" w:fill="FFFFFF"/>
        </w:rPr>
        <w:t>；</w:t>
      </w:r>
      <w:r>
        <w:rPr>
          <w:rFonts w:ascii="Segoe UI" w:hAnsi="Segoe UI" w:cs="Segoe UI"/>
          <w:shd w:val="clear" w:color="auto" w:fill="FFFFFF"/>
        </w:rPr>
        <w:t>对于物资采购预算，需明确每一种物资的规格、数量、预计单价等信息</w:t>
      </w:r>
      <w:r>
        <w:rPr>
          <w:rFonts w:hint="eastAsia" w:ascii="Segoe UI" w:hAnsi="Segoe UI" w:cs="Segoe UI"/>
          <w:shd w:val="clear" w:color="auto" w:fill="FFFFFF"/>
        </w:rPr>
        <w:t>；</w:t>
      </w:r>
      <w:r>
        <w:rPr>
          <w:rFonts w:ascii="Segoe UI" w:hAnsi="Segoe UI" w:cs="Segoe UI"/>
          <w:shd w:val="clear" w:color="auto" w:fill="FFFFFF"/>
        </w:rPr>
        <w:t>人力成本方面，要将不同岗位、不同工作时长对应的薪酬详细列出</w:t>
      </w:r>
      <w:r>
        <w:rPr>
          <w:rFonts w:hint="eastAsia" w:ascii="Segoe UI" w:hAnsi="Segoe UI" w:cs="Segoe UI"/>
          <w:shd w:val="clear" w:color="auto" w:fill="FFFFFF"/>
        </w:rPr>
        <w:t>；</w:t>
      </w:r>
      <w:r>
        <w:rPr>
          <w:rFonts w:ascii="Segoe UI" w:hAnsi="Segoe UI" w:cs="Segoe UI"/>
          <w:shd w:val="clear" w:color="auto" w:fill="FFFFFF"/>
        </w:rPr>
        <w:t>项目支出方面，</w:t>
      </w:r>
      <w:r>
        <w:rPr>
          <w:rFonts w:hint="eastAsia" w:ascii="Segoe UI" w:hAnsi="Segoe UI" w:cs="Segoe UI"/>
          <w:shd w:val="clear" w:color="auto" w:fill="FFFFFF"/>
        </w:rPr>
        <w:t>需将</w:t>
      </w:r>
      <w:r>
        <w:rPr>
          <w:rFonts w:ascii="Segoe UI" w:hAnsi="Segoe UI" w:cs="Segoe UI"/>
          <w:shd w:val="clear" w:color="auto" w:fill="FFFFFF"/>
        </w:rPr>
        <w:t>每个阶段的具体花费项目逐一罗列</w:t>
      </w:r>
      <w:r>
        <w:rPr>
          <w:rFonts w:hint="eastAsia" w:ascii="Segoe UI" w:hAnsi="Segoe UI" w:cs="Segoe UI"/>
          <w:shd w:val="clear" w:color="auto" w:fill="FFFFFF"/>
        </w:rPr>
        <w:t>，确保</w:t>
      </w:r>
      <w:r>
        <w:rPr>
          <w:rFonts w:ascii="Segoe UI" w:hAnsi="Segoe UI" w:cs="Segoe UI"/>
          <w:shd w:val="clear" w:color="auto" w:fill="FFFFFF"/>
        </w:rPr>
        <w:t>预算测算过程精准、详细。</w:t>
      </w:r>
    </w:p>
    <w:p>
      <w:pPr>
        <w:pStyle w:val="29"/>
        <w:spacing w:line="560" w:lineRule="exact"/>
        <w:ind w:firstLine="640"/>
        <w:rPr>
          <w:rFonts w:ascii="Times New Roman" w:hAnsi="Times New Roman"/>
        </w:rPr>
      </w:pPr>
      <w:bookmarkStart w:id="40" w:name="_Toc179622670"/>
      <w:r>
        <w:rPr>
          <w:rFonts w:hint="eastAsia"/>
        </w:rPr>
        <w:t>（四）强化预算执行动态监督</w:t>
      </w:r>
      <w:r>
        <w:rPr>
          <w:rFonts w:hint="eastAsia" w:ascii="Times New Roman" w:hAnsi="Times New Roman"/>
        </w:rPr>
        <w:t>，提高预算执行力</w:t>
      </w:r>
      <w:bookmarkEnd w:id="40"/>
    </w:p>
    <w:p>
      <w:pPr>
        <w:pStyle w:val="25"/>
        <w:spacing w:line="560" w:lineRule="exact"/>
        <w:ind w:firstLine="640"/>
        <w:rPr>
          <w:highlight w:val="none"/>
        </w:rPr>
      </w:pPr>
      <w:r>
        <w:rPr>
          <w:rFonts w:hint="eastAsia"/>
          <w:highlight w:val="none"/>
        </w:rPr>
        <w:t>一是建议区民政局在预算编制阶段，</w:t>
      </w:r>
      <w:r>
        <w:rPr>
          <w:rFonts w:ascii="Segoe UI" w:hAnsi="Segoe UI" w:cs="Segoe UI"/>
          <w:highlight w:val="none"/>
          <w:shd w:val="clear" w:color="auto" w:fill="FFFFFF"/>
        </w:rPr>
        <w:t>开展实际</w:t>
      </w:r>
      <w:r>
        <w:rPr>
          <w:rFonts w:hint="eastAsia" w:ascii="Segoe UI" w:hAnsi="Segoe UI" w:cs="Segoe UI"/>
          <w:highlight w:val="none"/>
          <w:shd w:val="clear" w:color="auto" w:fill="FFFFFF"/>
        </w:rPr>
        <w:t>项目</w:t>
      </w:r>
      <w:r>
        <w:rPr>
          <w:rFonts w:ascii="Segoe UI" w:hAnsi="Segoe UI" w:cs="Segoe UI"/>
          <w:highlight w:val="none"/>
          <w:shd w:val="clear" w:color="auto" w:fill="FFFFFF"/>
        </w:rPr>
        <w:t>需求调研工作，组织专业人士全面细致地调研服务对象的数量、具体的需求类型以及相应的费用成本等要素，通过走访社区、养老机构以及老年人家庭等广泛收集资料，以此提高预算测算的精准程度，有效避免资金的浪费</w:t>
      </w:r>
      <w:r>
        <w:rPr>
          <w:rFonts w:hint="eastAsia"/>
          <w:highlight w:val="none"/>
        </w:rPr>
        <w:t>。</w:t>
      </w:r>
      <w:r>
        <w:rPr>
          <w:rFonts w:hint="eastAsia" w:ascii="Segoe UI" w:hAnsi="Segoe UI" w:cs="Segoe UI"/>
          <w:highlight w:val="none"/>
          <w:shd w:val="clear" w:color="auto" w:fill="FFFFFF"/>
        </w:rPr>
        <w:t>二是</w:t>
      </w:r>
      <w:r>
        <w:rPr>
          <w:rFonts w:hint="eastAsia"/>
          <w:highlight w:val="none"/>
        </w:rPr>
        <w:t>建议区民政局在</w:t>
      </w:r>
      <w:r>
        <w:rPr>
          <w:rFonts w:ascii="Segoe UI" w:hAnsi="Segoe UI" w:cs="Segoe UI"/>
          <w:highlight w:val="none"/>
          <w:shd w:val="clear" w:color="auto" w:fill="FFFFFF"/>
        </w:rPr>
        <w:t>在执行过程中</w:t>
      </w:r>
      <w:r>
        <w:rPr>
          <w:rFonts w:hint="eastAsia" w:ascii="Segoe UI" w:hAnsi="Segoe UI" w:cs="Segoe UI"/>
          <w:highlight w:val="none"/>
          <w:shd w:val="clear" w:color="auto" w:fill="FFFFFF"/>
        </w:rPr>
        <w:t>，</w:t>
      </w:r>
      <w:r>
        <w:rPr>
          <w:rFonts w:ascii="Segoe UI" w:hAnsi="Segoe UI" w:cs="Segoe UI"/>
          <w:highlight w:val="none"/>
          <w:shd w:val="clear" w:color="auto" w:fill="FFFFFF"/>
        </w:rPr>
        <w:t>进一步完善</w:t>
      </w:r>
      <w:r>
        <w:rPr>
          <w:rFonts w:hint="eastAsia" w:ascii="Segoe UI" w:hAnsi="Segoe UI" w:cs="Segoe UI"/>
          <w:highlight w:val="none"/>
          <w:shd w:val="clear" w:color="auto" w:fill="FFFFFF"/>
        </w:rPr>
        <w:t>预算执行</w:t>
      </w:r>
      <w:r>
        <w:rPr>
          <w:rFonts w:ascii="Segoe UI" w:hAnsi="Segoe UI" w:cs="Segoe UI"/>
          <w:highlight w:val="none"/>
          <w:shd w:val="clear" w:color="auto" w:fill="FFFFFF"/>
        </w:rPr>
        <w:t>动态监督机制，</w:t>
      </w:r>
      <w:r>
        <w:rPr>
          <w:rFonts w:hint="eastAsia"/>
          <w:highlight w:val="none"/>
        </w:rPr>
        <w:t>及时掌握各科室预算执行过程中的情况和实时动态，</w:t>
      </w:r>
      <w:r>
        <w:rPr>
          <w:rFonts w:ascii="Segoe UI" w:hAnsi="Segoe UI" w:cs="Segoe UI"/>
          <w:highlight w:val="none"/>
          <w:shd w:val="clear" w:color="auto" w:fill="FFFFFF"/>
        </w:rPr>
        <w:t>业务科室与财务人员之间的沟通交流</w:t>
      </w:r>
      <w:r>
        <w:rPr>
          <w:rFonts w:hint="eastAsia"/>
          <w:highlight w:val="none"/>
        </w:rPr>
        <w:t>，</w:t>
      </w:r>
      <w:r>
        <w:rPr>
          <w:rFonts w:ascii="Segoe UI" w:hAnsi="Segoe UI" w:cs="Segoe UI"/>
          <w:highlight w:val="none"/>
          <w:shd w:val="clear" w:color="auto" w:fill="FFFFFF"/>
        </w:rPr>
        <w:t>确保信息得以充分共享、工作实现高度协同。依据预算资金的执行情况，适时调整预算额度，强化对本单位预算执行过程的调度管理，切实提高项目预算的执行力</w:t>
      </w:r>
      <w:r>
        <w:rPr>
          <w:rFonts w:hint="eastAsia"/>
          <w:highlight w:val="none"/>
        </w:rPr>
        <w:t>。</w:t>
      </w:r>
    </w:p>
    <w:p>
      <w:pPr>
        <w:pStyle w:val="29"/>
        <w:spacing w:line="560" w:lineRule="exact"/>
        <w:ind w:firstLine="640"/>
        <w:rPr>
          <w:rFonts w:ascii="Times New Roman" w:hAnsi="Times New Roman"/>
        </w:rPr>
      </w:pPr>
      <w:bookmarkStart w:id="41" w:name="_Toc179622671"/>
      <w:r>
        <w:rPr>
          <w:rFonts w:hint="eastAsia" w:ascii="Times New Roman" w:hAnsi="Times New Roman"/>
        </w:rPr>
        <w:t>（五）开展采购验收培训，规范采购验收流程</w:t>
      </w:r>
      <w:bookmarkEnd w:id="39"/>
      <w:bookmarkEnd w:id="41"/>
    </w:p>
    <w:p>
      <w:pPr>
        <w:pStyle w:val="25"/>
        <w:spacing w:line="560" w:lineRule="exact"/>
        <w:ind w:firstLine="640"/>
      </w:pPr>
      <w:r>
        <w:rPr>
          <w:rFonts w:hint="eastAsia"/>
        </w:rPr>
        <w:t>建议区民政局根据采购合同内容，制定详细的验收标准和流程，确保验收工作有据可依、有章可循。</w:t>
      </w:r>
      <w:r>
        <w:t>在验收过程中，严格执行采购验收管理制度</w:t>
      </w:r>
      <w:r>
        <w:rPr>
          <w:rFonts w:hint="eastAsia"/>
        </w:rPr>
        <w:t>，确保项目严格依据《天津市和平区民政局内控管理手册》执行验收工作，按照规定的条款逐项核验，不能缺项漏项，结束后要签字确认。同时，</w:t>
      </w:r>
      <w:r>
        <w:t>定期对</w:t>
      </w:r>
      <w:r>
        <w:rPr>
          <w:rFonts w:hint="eastAsia"/>
        </w:rPr>
        <w:t>项目</w:t>
      </w:r>
      <w:r>
        <w:t>采购管理人员、验收人员等进行专业培训，提高</w:t>
      </w:r>
      <w:r>
        <w:rPr>
          <w:rFonts w:hint="eastAsia"/>
        </w:rPr>
        <w:t>其</w:t>
      </w:r>
      <w:r>
        <w:t>对相关法律法规、制度流程的理解和执行能力。</w:t>
      </w:r>
    </w:p>
    <w:p>
      <w:pPr>
        <w:pStyle w:val="29"/>
        <w:spacing w:line="560" w:lineRule="exact"/>
        <w:ind w:firstLine="640"/>
      </w:pPr>
      <w:bookmarkStart w:id="42" w:name="_Toc179622672"/>
      <w:r>
        <w:rPr>
          <w:rFonts w:hint="eastAsia"/>
        </w:rPr>
        <w:t>（六</w:t>
      </w:r>
      <w:r>
        <w:t>）</w:t>
      </w:r>
      <w:r>
        <w:rPr>
          <w:rFonts w:ascii="Segoe UI" w:hAnsi="Segoe UI" w:cs="Segoe UI"/>
          <w:shd w:val="clear" w:color="auto" w:fill="FFFFFF"/>
        </w:rPr>
        <w:t>拓宽宣传渠道</w:t>
      </w:r>
      <w:r>
        <w:rPr>
          <w:rFonts w:hint="eastAsia" w:ascii="Segoe UI" w:hAnsi="Segoe UI" w:cs="Segoe UI"/>
          <w:shd w:val="clear" w:color="auto" w:fill="FFFFFF"/>
        </w:rPr>
        <w:t>及覆盖面，</w:t>
      </w:r>
      <w:r>
        <w:rPr>
          <w:rFonts w:hint="eastAsia"/>
        </w:rPr>
        <w:t>提升公益知识科普水平</w:t>
      </w:r>
      <w:bookmarkEnd w:id="42"/>
    </w:p>
    <w:p>
      <w:pPr>
        <w:pStyle w:val="25"/>
        <w:spacing w:line="560" w:lineRule="exact"/>
        <w:ind w:firstLine="640"/>
      </w:pPr>
      <w:r>
        <w:rPr>
          <w:rFonts w:hint="eastAsia"/>
        </w:rPr>
        <w:t>一是建议区民政局</w:t>
      </w:r>
      <w:r>
        <w:rPr>
          <w:rFonts w:ascii="Segoe UI" w:hAnsi="Segoe UI" w:cs="Segoe UI"/>
          <w:shd w:val="clear" w:color="auto" w:fill="FFFFFF"/>
        </w:rPr>
        <w:t>拓宽宣传渠道</w:t>
      </w:r>
      <w:r>
        <w:rPr>
          <w:rFonts w:hint="eastAsia" w:ascii="Segoe UI" w:hAnsi="Segoe UI" w:cs="Segoe UI"/>
          <w:shd w:val="clear" w:color="auto" w:fill="FFFFFF"/>
        </w:rPr>
        <w:t>，利用社交媒体平台，如微信、微博、抖音等，发布认知障碍科普视频、文章，吸引更多用户关注。同时与当地媒体合作，如电视台、报纸、广播等，进行专题报道，提高认知障碍知识的曝光度。二是</w:t>
      </w:r>
      <w:r>
        <w:rPr>
          <w:rFonts w:hint="eastAsia"/>
        </w:rPr>
        <w:t>建议区民政局</w:t>
      </w:r>
      <w:r>
        <w:rPr>
          <w:rFonts w:hint="eastAsia" w:ascii="Segoe UI" w:hAnsi="Segoe UI" w:cs="Segoe UI"/>
          <w:shd w:val="clear" w:color="auto" w:fill="FFFFFF"/>
        </w:rPr>
        <w:t>增加宣讲场次及覆盖范围，根据不同受众的需求和时间安排，灵活调整宣讲时间和地点。与医疗机构、社会组织、志愿者团体等合作，邀请专家学者、患者家属、志愿者等参与宣讲，分享他们的经验和故事，增加公益科普的可信度和感染力。</w:t>
      </w:r>
    </w:p>
    <w:p>
      <w:pPr>
        <w:pStyle w:val="27"/>
        <w:numPr>
          <w:ilvl w:val="0"/>
          <w:numId w:val="1"/>
        </w:numPr>
        <w:spacing w:line="560" w:lineRule="exact"/>
        <w:rPr>
          <w:rFonts w:eastAsia="仿宋_GB2312" w:cstheme="minorBidi"/>
          <w:szCs w:val="21"/>
        </w:rPr>
      </w:pPr>
      <w:bookmarkStart w:id="43" w:name="_Toc20252"/>
      <w:bookmarkStart w:id="44" w:name="_Toc179622673"/>
      <w:bookmarkStart w:id="45" w:name="_Toc29032"/>
      <w:r>
        <w:rPr>
          <w:rFonts w:hint="eastAsia"/>
        </w:rPr>
        <w:t>其他需要说明的问题</w:t>
      </w:r>
      <w:bookmarkEnd w:id="43"/>
      <w:bookmarkEnd w:id="44"/>
      <w:bookmarkEnd w:id="45"/>
    </w:p>
    <w:p>
      <w:pPr>
        <w:pStyle w:val="25"/>
        <w:spacing w:line="560" w:lineRule="exact"/>
        <w:ind w:firstLine="640"/>
      </w:pPr>
      <w:r>
        <w:rPr>
          <w:rFonts w:hint="eastAsia"/>
        </w:rPr>
        <w:t>无</w:t>
      </w:r>
    </w:p>
    <w:p>
      <w:pPr>
        <w:pStyle w:val="27"/>
        <w:numPr>
          <w:ilvl w:val="0"/>
          <w:numId w:val="1"/>
        </w:numPr>
        <w:spacing w:line="560" w:lineRule="exact"/>
        <w:rPr>
          <w:color w:val="000000" w:themeColor="text1"/>
          <w14:textFill>
            <w14:solidFill>
              <w14:schemeClr w14:val="tx1"/>
            </w14:solidFill>
          </w14:textFill>
        </w:rPr>
      </w:pPr>
      <w:bookmarkStart w:id="46" w:name="_Toc1672"/>
      <w:bookmarkStart w:id="47" w:name="_Toc31979"/>
      <w:bookmarkStart w:id="48" w:name="_Toc179622674"/>
      <w:r>
        <w:rPr>
          <w:rFonts w:hint="eastAsia"/>
        </w:rPr>
        <w:t>相关附件</w:t>
      </w:r>
      <w:bookmarkEnd w:id="46"/>
      <w:bookmarkEnd w:id="47"/>
      <w:bookmarkEnd w:id="48"/>
    </w:p>
    <w:p>
      <w:pPr>
        <w:pStyle w:val="25"/>
        <w:spacing w:line="560" w:lineRule="exact"/>
        <w:ind w:firstLine="640"/>
      </w:pPr>
      <w:r>
        <w:rPr>
          <w:rFonts w:hint="eastAsia"/>
          <w:color w:val="000000" w:themeColor="text1"/>
          <w14:textFill>
            <w14:solidFill>
              <w14:schemeClr w14:val="tx1"/>
            </w14:solidFill>
          </w14:textFill>
        </w:rPr>
        <w:t>居家和社区养老服务改革试点补助</w:t>
      </w:r>
      <w:r>
        <w:rPr>
          <w:color w:val="000000" w:themeColor="text1"/>
          <w14:textFill>
            <w14:solidFill>
              <w14:schemeClr w14:val="tx1"/>
            </w14:solidFill>
          </w14:textFill>
        </w:rPr>
        <w:t>项目绩效评价指标体系及评分表</w:t>
      </w:r>
    </w:p>
    <w:sectPr>
      <w:footerReference r:id="rId11" w:type="default"/>
      <w:pgSz w:w="11906" w:h="16838"/>
      <w:pgMar w:top="2041" w:right="1531" w:bottom="2041" w:left="1531"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p>
  <w:p>
    <w:pPr>
      <w:ind w:firstLine="4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宋体" w:hAnsi="宋体" w:eastAsia="宋体" w:cs="宋体"/>
        <w:sz w:val="28"/>
        <w:szCs w:val="28"/>
      </w:rPr>
      <w:id w:val="-1087775189"/>
    </w:sdtPr>
    <w:sdtEndPr>
      <w:rPr>
        <w:rFonts w:hint="eastAsia" w:ascii="Times New Roman" w:hAnsi="Times New Roman" w:eastAsia="宋体" w:cs="Times New Roman"/>
        <w:sz w:val="28"/>
        <w:szCs w:val="28"/>
      </w:rPr>
    </w:sdtEndPr>
    <w:sdtContent>
      <w:p>
        <w:pPr>
          <w:pStyle w:val="10"/>
          <w:ind w:firstLine="560"/>
          <w:jc w:val="center"/>
          <w:rPr>
            <w:rFonts w:ascii="Times New Roman" w:hAnsi="Times New Roman" w:cs="Times New Roman"/>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1 -</w:t>
        </w:r>
        <w:r>
          <w:rPr>
            <w:rFonts w:hint="eastAsia" w:ascii="宋体" w:hAnsi="宋体" w:eastAsia="宋体" w:cs="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661057"/>
    <w:rsid w:val="000038DF"/>
    <w:rsid w:val="00010865"/>
    <w:rsid w:val="00010D62"/>
    <w:rsid w:val="00015C05"/>
    <w:rsid w:val="00017921"/>
    <w:rsid w:val="00021949"/>
    <w:rsid w:val="00024AFD"/>
    <w:rsid w:val="000315D7"/>
    <w:rsid w:val="000320CF"/>
    <w:rsid w:val="00041A50"/>
    <w:rsid w:val="0004278D"/>
    <w:rsid w:val="00043D28"/>
    <w:rsid w:val="00044C41"/>
    <w:rsid w:val="00053280"/>
    <w:rsid w:val="00053EC5"/>
    <w:rsid w:val="00055942"/>
    <w:rsid w:val="0006030F"/>
    <w:rsid w:val="00063FEA"/>
    <w:rsid w:val="000659E7"/>
    <w:rsid w:val="0007429F"/>
    <w:rsid w:val="000746D9"/>
    <w:rsid w:val="000751CF"/>
    <w:rsid w:val="00080B58"/>
    <w:rsid w:val="00086F50"/>
    <w:rsid w:val="00090B22"/>
    <w:rsid w:val="00090E60"/>
    <w:rsid w:val="00092536"/>
    <w:rsid w:val="000966C1"/>
    <w:rsid w:val="00097F49"/>
    <w:rsid w:val="000A37D5"/>
    <w:rsid w:val="000A4068"/>
    <w:rsid w:val="000B12D4"/>
    <w:rsid w:val="000B57FD"/>
    <w:rsid w:val="000B5842"/>
    <w:rsid w:val="000B765C"/>
    <w:rsid w:val="000C03C1"/>
    <w:rsid w:val="000C161F"/>
    <w:rsid w:val="000C5841"/>
    <w:rsid w:val="000C677C"/>
    <w:rsid w:val="000D0CBC"/>
    <w:rsid w:val="000D1B8A"/>
    <w:rsid w:val="000D4798"/>
    <w:rsid w:val="000D55C4"/>
    <w:rsid w:val="000D59C4"/>
    <w:rsid w:val="000E09D3"/>
    <w:rsid w:val="000E13C4"/>
    <w:rsid w:val="000E1645"/>
    <w:rsid w:val="000E3080"/>
    <w:rsid w:val="000E60B5"/>
    <w:rsid w:val="000F30F7"/>
    <w:rsid w:val="000F5269"/>
    <w:rsid w:val="000F5322"/>
    <w:rsid w:val="000F5749"/>
    <w:rsid w:val="000F57C3"/>
    <w:rsid w:val="000F6666"/>
    <w:rsid w:val="000F6B45"/>
    <w:rsid w:val="00100141"/>
    <w:rsid w:val="0010314C"/>
    <w:rsid w:val="0010563C"/>
    <w:rsid w:val="0011078B"/>
    <w:rsid w:val="00112725"/>
    <w:rsid w:val="001144A3"/>
    <w:rsid w:val="00117125"/>
    <w:rsid w:val="00123D1A"/>
    <w:rsid w:val="0013336B"/>
    <w:rsid w:val="00133A6C"/>
    <w:rsid w:val="001345F6"/>
    <w:rsid w:val="0014294F"/>
    <w:rsid w:val="00142FBC"/>
    <w:rsid w:val="00145549"/>
    <w:rsid w:val="00146A15"/>
    <w:rsid w:val="00150014"/>
    <w:rsid w:val="00150419"/>
    <w:rsid w:val="001522B5"/>
    <w:rsid w:val="00156000"/>
    <w:rsid w:val="00162746"/>
    <w:rsid w:val="001642C9"/>
    <w:rsid w:val="001672F2"/>
    <w:rsid w:val="001704F7"/>
    <w:rsid w:val="0017117B"/>
    <w:rsid w:val="0017297C"/>
    <w:rsid w:val="00174C47"/>
    <w:rsid w:val="0017581B"/>
    <w:rsid w:val="0017673E"/>
    <w:rsid w:val="00180AB1"/>
    <w:rsid w:val="00181E79"/>
    <w:rsid w:val="00185478"/>
    <w:rsid w:val="001871DE"/>
    <w:rsid w:val="001871E9"/>
    <w:rsid w:val="0019129E"/>
    <w:rsid w:val="00191749"/>
    <w:rsid w:val="00192DF8"/>
    <w:rsid w:val="001943B6"/>
    <w:rsid w:val="00195E1D"/>
    <w:rsid w:val="001A2DD7"/>
    <w:rsid w:val="001A435E"/>
    <w:rsid w:val="001A5D0F"/>
    <w:rsid w:val="001B1767"/>
    <w:rsid w:val="001B293E"/>
    <w:rsid w:val="001B356B"/>
    <w:rsid w:val="001B462D"/>
    <w:rsid w:val="001B46AF"/>
    <w:rsid w:val="001B62FE"/>
    <w:rsid w:val="001B6D05"/>
    <w:rsid w:val="001C1C98"/>
    <w:rsid w:val="001C455A"/>
    <w:rsid w:val="001C4838"/>
    <w:rsid w:val="001C68F0"/>
    <w:rsid w:val="001C76B7"/>
    <w:rsid w:val="001D0C4F"/>
    <w:rsid w:val="001D1563"/>
    <w:rsid w:val="001D4BB2"/>
    <w:rsid w:val="001D4D25"/>
    <w:rsid w:val="001D598D"/>
    <w:rsid w:val="001D772C"/>
    <w:rsid w:val="001E6B0A"/>
    <w:rsid w:val="001E7755"/>
    <w:rsid w:val="001F5FB8"/>
    <w:rsid w:val="001F68E6"/>
    <w:rsid w:val="001F71E9"/>
    <w:rsid w:val="00201026"/>
    <w:rsid w:val="00201EAB"/>
    <w:rsid w:val="00202699"/>
    <w:rsid w:val="00202982"/>
    <w:rsid w:val="002055EC"/>
    <w:rsid w:val="002060CF"/>
    <w:rsid w:val="00206ED6"/>
    <w:rsid w:val="00210763"/>
    <w:rsid w:val="00213586"/>
    <w:rsid w:val="00223431"/>
    <w:rsid w:val="0023033A"/>
    <w:rsid w:val="00231B10"/>
    <w:rsid w:val="00233C15"/>
    <w:rsid w:val="002341A0"/>
    <w:rsid w:val="002362E6"/>
    <w:rsid w:val="00237BDE"/>
    <w:rsid w:val="00242297"/>
    <w:rsid w:val="00251C6D"/>
    <w:rsid w:val="0025214F"/>
    <w:rsid w:val="00252F45"/>
    <w:rsid w:val="00254126"/>
    <w:rsid w:val="00255788"/>
    <w:rsid w:val="00256C61"/>
    <w:rsid w:val="00256F67"/>
    <w:rsid w:val="002606BD"/>
    <w:rsid w:val="00264F5A"/>
    <w:rsid w:val="00264F7B"/>
    <w:rsid w:val="00265D4E"/>
    <w:rsid w:val="002678A4"/>
    <w:rsid w:val="002709FF"/>
    <w:rsid w:val="0027222E"/>
    <w:rsid w:val="002753AA"/>
    <w:rsid w:val="00280677"/>
    <w:rsid w:val="00280C5D"/>
    <w:rsid w:val="00280EAC"/>
    <w:rsid w:val="002815AF"/>
    <w:rsid w:val="00282482"/>
    <w:rsid w:val="00285E85"/>
    <w:rsid w:val="002921B0"/>
    <w:rsid w:val="00297E04"/>
    <w:rsid w:val="002A25A4"/>
    <w:rsid w:val="002A3D27"/>
    <w:rsid w:val="002A425C"/>
    <w:rsid w:val="002A52F3"/>
    <w:rsid w:val="002B2402"/>
    <w:rsid w:val="002B5696"/>
    <w:rsid w:val="002B5B9C"/>
    <w:rsid w:val="002B6E5F"/>
    <w:rsid w:val="002C1B23"/>
    <w:rsid w:val="002C1B2B"/>
    <w:rsid w:val="002C23B2"/>
    <w:rsid w:val="002C2ECC"/>
    <w:rsid w:val="002C3E2F"/>
    <w:rsid w:val="002C66CD"/>
    <w:rsid w:val="002C6A3C"/>
    <w:rsid w:val="002D741B"/>
    <w:rsid w:val="002D779E"/>
    <w:rsid w:val="002E0D16"/>
    <w:rsid w:val="002E2787"/>
    <w:rsid w:val="002E3C4E"/>
    <w:rsid w:val="002E79B9"/>
    <w:rsid w:val="002F077A"/>
    <w:rsid w:val="002F0D38"/>
    <w:rsid w:val="002F13D3"/>
    <w:rsid w:val="002F2542"/>
    <w:rsid w:val="002F31E3"/>
    <w:rsid w:val="002F325B"/>
    <w:rsid w:val="002F7F21"/>
    <w:rsid w:val="003015D8"/>
    <w:rsid w:val="00301716"/>
    <w:rsid w:val="00301AF6"/>
    <w:rsid w:val="003029A1"/>
    <w:rsid w:val="00302F08"/>
    <w:rsid w:val="003032A9"/>
    <w:rsid w:val="00303D5F"/>
    <w:rsid w:val="00303E03"/>
    <w:rsid w:val="00304E75"/>
    <w:rsid w:val="00305B03"/>
    <w:rsid w:val="00306360"/>
    <w:rsid w:val="00307E6B"/>
    <w:rsid w:val="00310651"/>
    <w:rsid w:val="00310C76"/>
    <w:rsid w:val="003114EB"/>
    <w:rsid w:val="00312343"/>
    <w:rsid w:val="0031796A"/>
    <w:rsid w:val="00325B50"/>
    <w:rsid w:val="00327F32"/>
    <w:rsid w:val="00335C30"/>
    <w:rsid w:val="0033624F"/>
    <w:rsid w:val="003378E9"/>
    <w:rsid w:val="00340CE8"/>
    <w:rsid w:val="00343361"/>
    <w:rsid w:val="00343D34"/>
    <w:rsid w:val="0034554E"/>
    <w:rsid w:val="00346E56"/>
    <w:rsid w:val="00347FE4"/>
    <w:rsid w:val="003502BF"/>
    <w:rsid w:val="00353A29"/>
    <w:rsid w:val="00354720"/>
    <w:rsid w:val="003601F6"/>
    <w:rsid w:val="003606F4"/>
    <w:rsid w:val="003625D6"/>
    <w:rsid w:val="00364C86"/>
    <w:rsid w:val="003652D2"/>
    <w:rsid w:val="00366E81"/>
    <w:rsid w:val="0037003E"/>
    <w:rsid w:val="00370095"/>
    <w:rsid w:val="00371791"/>
    <w:rsid w:val="0037372D"/>
    <w:rsid w:val="00377332"/>
    <w:rsid w:val="0038049A"/>
    <w:rsid w:val="0038053D"/>
    <w:rsid w:val="00380E46"/>
    <w:rsid w:val="00381F5C"/>
    <w:rsid w:val="003854CE"/>
    <w:rsid w:val="00386038"/>
    <w:rsid w:val="00386369"/>
    <w:rsid w:val="003920E7"/>
    <w:rsid w:val="0039280B"/>
    <w:rsid w:val="00395452"/>
    <w:rsid w:val="00395D8F"/>
    <w:rsid w:val="00396581"/>
    <w:rsid w:val="0039718C"/>
    <w:rsid w:val="003A1050"/>
    <w:rsid w:val="003A2940"/>
    <w:rsid w:val="003A2F91"/>
    <w:rsid w:val="003A30C9"/>
    <w:rsid w:val="003A4D20"/>
    <w:rsid w:val="003A4E52"/>
    <w:rsid w:val="003B4385"/>
    <w:rsid w:val="003B4F6C"/>
    <w:rsid w:val="003C0C9C"/>
    <w:rsid w:val="003C2020"/>
    <w:rsid w:val="003C22BF"/>
    <w:rsid w:val="003C3423"/>
    <w:rsid w:val="003C3AC0"/>
    <w:rsid w:val="003C3E04"/>
    <w:rsid w:val="003D41D5"/>
    <w:rsid w:val="003D42E6"/>
    <w:rsid w:val="003D5E93"/>
    <w:rsid w:val="003E3079"/>
    <w:rsid w:val="003E38D4"/>
    <w:rsid w:val="003E5AA6"/>
    <w:rsid w:val="003E5D8A"/>
    <w:rsid w:val="003E7C97"/>
    <w:rsid w:val="003F12E1"/>
    <w:rsid w:val="003F4C3B"/>
    <w:rsid w:val="003F61ED"/>
    <w:rsid w:val="00404510"/>
    <w:rsid w:val="00404CB4"/>
    <w:rsid w:val="00407F2A"/>
    <w:rsid w:val="004132DE"/>
    <w:rsid w:val="00416476"/>
    <w:rsid w:val="004173DD"/>
    <w:rsid w:val="004174C2"/>
    <w:rsid w:val="00417726"/>
    <w:rsid w:val="004201E7"/>
    <w:rsid w:val="00421884"/>
    <w:rsid w:val="00424531"/>
    <w:rsid w:val="004250C8"/>
    <w:rsid w:val="00431D53"/>
    <w:rsid w:val="004328E4"/>
    <w:rsid w:val="0043312F"/>
    <w:rsid w:val="00434EDD"/>
    <w:rsid w:val="00434EE9"/>
    <w:rsid w:val="00435569"/>
    <w:rsid w:val="00440EAF"/>
    <w:rsid w:val="00441F49"/>
    <w:rsid w:val="004429F6"/>
    <w:rsid w:val="00442A4B"/>
    <w:rsid w:val="00442C96"/>
    <w:rsid w:val="0044422D"/>
    <w:rsid w:val="00447916"/>
    <w:rsid w:val="00452B52"/>
    <w:rsid w:val="00455F34"/>
    <w:rsid w:val="0045612B"/>
    <w:rsid w:val="0046612D"/>
    <w:rsid w:val="0046745A"/>
    <w:rsid w:val="00470E82"/>
    <w:rsid w:val="00473BC0"/>
    <w:rsid w:val="004746B7"/>
    <w:rsid w:val="00481085"/>
    <w:rsid w:val="004811E5"/>
    <w:rsid w:val="00482E2F"/>
    <w:rsid w:val="00484DAD"/>
    <w:rsid w:val="00485DC3"/>
    <w:rsid w:val="0048792B"/>
    <w:rsid w:val="00490219"/>
    <w:rsid w:val="00494E3F"/>
    <w:rsid w:val="004953A3"/>
    <w:rsid w:val="00497348"/>
    <w:rsid w:val="004A50DE"/>
    <w:rsid w:val="004A5987"/>
    <w:rsid w:val="004A6BE4"/>
    <w:rsid w:val="004B1BE2"/>
    <w:rsid w:val="004B4466"/>
    <w:rsid w:val="004B626A"/>
    <w:rsid w:val="004C0450"/>
    <w:rsid w:val="004C1741"/>
    <w:rsid w:val="004C2511"/>
    <w:rsid w:val="004C26C7"/>
    <w:rsid w:val="004C3057"/>
    <w:rsid w:val="004C37DD"/>
    <w:rsid w:val="004C486A"/>
    <w:rsid w:val="004C4A72"/>
    <w:rsid w:val="004C5E4A"/>
    <w:rsid w:val="004C7F84"/>
    <w:rsid w:val="004D009D"/>
    <w:rsid w:val="004D10A8"/>
    <w:rsid w:val="004D3BC4"/>
    <w:rsid w:val="004E0D4E"/>
    <w:rsid w:val="004E51AA"/>
    <w:rsid w:val="004F049A"/>
    <w:rsid w:val="004F7B1D"/>
    <w:rsid w:val="00500272"/>
    <w:rsid w:val="0050309A"/>
    <w:rsid w:val="00505267"/>
    <w:rsid w:val="00506277"/>
    <w:rsid w:val="00507119"/>
    <w:rsid w:val="0051237A"/>
    <w:rsid w:val="00513E56"/>
    <w:rsid w:val="00517248"/>
    <w:rsid w:val="00517695"/>
    <w:rsid w:val="00521B42"/>
    <w:rsid w:val="005227CB"/>
    <w:rsid w:val="0052280F"/>
    <w:rsid w:val="00524A56"/>
    <w:rsid w:val="0052769C"/>
    <w:rsid w:val="005301DF"/>
    <w:rsid w:val="0053130C"/>
    <w:rsid w:val="00532532"/>
    <w:rsid w:val="005375FD"/>
    <w:rsid w:val="00541337"/>
    <w:rsid w:val="00544F5C"/>
    <w:rsid w:val="00551FE7"/>
    <w:rsid w:val="0055324C"/>
    <w:rsid w:val="0055363D"/>
    <w:rsid w:val="0055469D"/>
    <w:rsid w:val="00561DB5"/>
    <w:rsid w:val="00563B61"/>
    <w:rsid w:val="00564AA2"/>
    <w:rsid w:val="00573B4A"/>
    <w:rsid w:val="00574DF2"/>
    <w:rsid w:val="00575954"/>
    <w:rsid w:val="005761C5"/>
    <w:rsid w:val="00577671"/>
    <w:rsid w:val="005824D1"/>
    <w:rsid w:val="00590B7F"/>
    <w:rsid w:val="0059152A"/>
    <w:rsid w:val="00591DF1"/>
    <w:rsid w:val="00597183"/>
    <w:rsid w:val="005978EB"/>
    <w:rsid w:val="005A02D6"/>
    <w:rsid w:val="005A05F5"/>
    <w:rsid w:val="005A35D0"/>
    <w:rsid w:val="005A44C7"/>
    <w:rsid w:val="005A6871"/>
    <w:rsid w:val="005A7556"/>
    <w:rsid w:val="005B04F2"/>
    <w:rsid w:val="005B76BF"/>
    <w:rsid w:val="005C012A"/>
    <w:rsid w:val="005C4163"/>
    <w:rsid w:val="005C4F23"/>
    <w:rsid w:val="005C5F21"/>
    <w:rsid w:val="005C66DA"/>
    <w:rsid w:val="005C7C4B"/>
    <w:rsid w:val="005D2B39"/>
    <w:rsid w:val="005D47E0"/>
    <w:rsid w:val="005D5155"/>
    <w:rsid w:val="005D5B85"/>
    <w:rsid w:val="005D7333"/>
    <w:rsid w:val="005E0A86"/>
    <w:rsid w:val="005E3B63"/>
    <w:rsid w:val="005E523E"/>
    <w:rsid w:val="005F1A58"/>
    <w:rsid w:val="005F21B2"/>
    <w:rsid w:val="005F4ECE"/>
    <w:rsid w:val="005F62A8"/>
    <w:rsid w:val="005F72E1"/>
    <w:rsid w:val="00601702"/>
    <w:rsid w:val="0060374B"/>
    <w:rsid w:val="006207A7"/>
    <w:rsid w:val="00624E7E"/>
    <w:rsid w:val="006259D9"/>
    <w:rsid w:val="00626FA0"/>
    <w:rsid w:val="006323F3"/>
    <w:rsid w:val="00635391"/>
    <w:rsid w:val="00637788"/>
    <w:rsid w:val="00640E26"/>
    <w:rsid w:val="00640F97"/>
    <w:rsid w:val="00642B6B"/>
    <w:rsid w:val="00643FFF"/>
    <w:rsid w:val="00645636"/>
    <w:rsid w:val="006509C0"/>
    <w:rsid w:val="006555B4"/>
    <w:rsid w:val="006558DC"/>
    <w:rsid w:val="006561E9"/>
    <w:rsid w:val="00661057"/>
    <w:rsid w:val="00661288"/>
    <w:rsid w:val="0066276A"/>
    <w:rsid w:val="0066490F"/>
    <w:rsid w:val="0066557D"/>
    <w:rsid w:val="00665A76"/>
    <w:rsid w:val="0067215F"/>
    <w:rsid w:val="00677282"/>
    <w:rsid w:val="0068007F"/>
    <w:rsid w:val="00680FC8"/>
    <w:rsid w:val="0068230A"/>
    <w:rsid w:val="006906D0"/>
    <w:rsid w:val="00692F17"/>
    <w:rsid w:val="006931AD"/>
    <w:rsid w:val="00694078"/>
    <w:rsid w:val="006A1A15"/>
    <w:rsid w:val="006A2799"/>
    <w:rsid w:val="006A4D0B"/>
    <w:rsid w:val="006B2AC1"/>
    <w:rsid w:val="006B33B3"/>
    <w:rsid w:val="006B3C0C"/>
    <w:rsid w:val="006B5FF9"/>
    <w:rsid w:val="006B6B66"/>
    <w:rsid w:val="006B6D9D"/>
    <w:rsid w:val="006B6F79"/>
    <w:rsid w:val="006B781B"/>
    <w:rsid w:val="006C1CF6"/>
    <w:rsid w:val="006C3511"/>
    <w:rsid w:val="006C4BE5"/>
    <w:rsid w:val="006C59FD"/>
    <w:rsid w:val="006C73F3"/>
    <w:rsid w:val="006D0031"/>
    <w:rsid w:val="006D0238"/>
    <w:rsid w:val="006D12D9"/>
    <w:rsid w:val="006D306A"/>
    <w:rsid w:val="006D642B"/>
    <w:rsid w:val="006E72E1"/>
    <w:rsid w:val="006F42A8"/>
    <w:rsid w:val="006F68E8"/>
    <w:rsid w:val="006F7158"/>
    <w:rsid w:val="006F71A1"/>
    <w:rsid w:val="0071296D"/>
    <w:rsid w:val="00712F83"/>
    <w:rsid w:val="00713AFA"/>
    <w:rsid w:val="00716ABF"/>
    <w:rsid w:val="007178FE"/>
    <w:rsid w:val="0072230F"/>
    <w:rsid w:val="0072315E"/>
    <w:rsid w:val="00724FCD"/>
    <w:rsid w:val="0072690D"/>
    <w:rsid w:val="00726B01"/>
    <w:rsid w:val="00727D6C"/>
    <w:rsid w:val="0074283E"/>
    <w:rsid w:val="00743FB6"/>
    <w:rsid w:val="007450C8"/>
    <w:rsid w:val="00747B10"/>
    <w:rsid w:val="00747CF7"/>
    <w:rsid w:val="0075125C"/>
    <w:rsid w:val="00751B81"/>
    <w:rsid w:val="007526EF"/>
    <w:rsid w:val="00752C67"/>
    <w:rsid w:val="0075318B"/>
    <w:rsid w:val="007538E2"/>
    <w:rsid w:val="00766CA4"/>
    <w:rsid w:val="00774788"/>
    <w:rsid w:val="00777FE2"/>
    <w:rsid w:val="00781ADF"/>
    <w:rsid w:val="007823FB"/>
    <w:rsid w:val="00783F5D"/>
    <w:rsid w:val="00785B49"/>
    <w:rsid w:val="007902F2"/>
    <w:rsid w:val="007903CE"/>
    <w:rsid w:val="007907B0"/>
    <w:rsid w:val="00792CEC"/>
    <w:rsid w:val="00793670"/>
    <w:rsid w:val="00794FE4"/>
    <w:rsid w:val="00797298"/>
    <w:rsid w:val="007A0119"/>
    <w:rsid w:val="007A7BE7"/>
    <w:rsid w:val="007B1DDE"/>
    <w:rsid w:val="007B44E9"/>
    <w:rsid w:val="007C0D74"/>
    <w:rsid w:val="007C4186"/>
    <w:rsid w:val="007C6BFA"/>
    <w:rsid w:val="007D1524"/>
    <w:rsid w:val="007D330F"/>
    <w:rsid w:val="007D6711"/>
    <w:rsid w:val="007E060D"/>
    <w:rsid w:val="007E0E3D"/>
    <w:rsid w:val="007E1792"/>
    <w:rsid w:val="007E45F9"/>
    <w:rsid w:val="007E53D9"/>
    <w:rsid w:val="007F3223"/>
    <w:rsid w:val="007F3E5B"/>
    <w:rsid w:val="007F5AC1"/>
    <w:rsid w:val="007F68E4"/>
    <w:rsid w:val="007F7F99"/>
    <w:rsid w:val="008044CD"/>
    <w:rsid w:val="008059C4"/>
    <w:rsid w:val="0080636D"/>
    <w:rsid w:val="008104FF"/>
    <w:rsid w:val="00811D5D"/>
    <w:rsid w:val="0081378A"/>
    <w:rsid w:val="00813AEF"/>
    <w:rsid w:val="00814D5C"/>
    <w:rsid w:val="0081535C"/>
    <w:rsid w:val="008202A4"/>
    <w:rsid w:val="0082377A"/>
    <w:rsid w:val="008249E6"/>
    <w:rsid w:val="0082624D"/>
    <w:rsid w:val="00831798"/>
    <w:rsid w:val="008329B3"/>
    <w:rsid w:val="008333E7"/>
    <w:rsid w:val="00840466"/>
    <w:rsid w:val="00843D4E"/>
    <w:rsid w:val="00846996"/>
    <w:rsid w:val="00847680"/>
    <w:rsid w:val="008509FA"/>
    <w:rsid w:val="00852259"/>
    <w:rsid w:val="0085265F"/>
    <w:rsid w:val="00855D04"/>
    <w:rsid w:val="008579FB"/>
    <w:rsid w:val="00860004"/>
    <w:rsid w:val="00862FEA"/>
    <w:rsid w:val="008712EC"/>
    <w:rsid w:val="00871A31"/>
    <w:rsid w:val="00871FA6"/>
    <w:rsid w:val="0087558E"/>
    <w:rsid w:val="008763E8"/>
    <w:rsid w:val="00876531"/>
    <w:rsid w:val="0087761D"/>
    <w:rsid w:val="008831E6"/>
    <w:rsid w:val="0088345C"/>
    <w:rsid w:val="008846A5"/>
    <w:rsid w:val="00890929"/>
    <w:rsid w:val="008915CA"/>
    <w:rsid w:val="008924A7"/>
    <w:rsid w:val="00895AEA"/>
    <w:rsid w:val="008A3968"/>
    <w:rsid w:val="008A759E"/>
    <w:rsid w:val="008B0066"/>
    <w:rsid w:val="008B3126"/>
    <w:rsid w:val="008B59A6"/>
    <w:rsid w:val="008B5DD2"/>
    <w:rsid w:val="008C47D7"/>
    <w:rsid w:val="008C56E0"/>
    <w:rsid w:val="008D2D00"/>
    <w:rsid w:val="008D4908"/>
    <w:rsid w:val="008D6478"/>
    <w:rsid w:val="008D7880"/>
    <w:rsid w:val="008E38A0"/>
    <w:rsid w:val="008E518B"/>
    <w:rsid w:val="008E5E84"/>
    <w:rsid w:val="008E63BA"/>
    <w:rsid w:val="008E6474"/>
    <w:rsid w:val="008F0212"/>
    <w:rsid w:val="008F062C"/>
    <w:rsid w:val="008F417A"/>
    <w:rsid w:val="008F5986"/>
    <w:rsid w:val="008F7880"/>
    <w:rsid w:val="008F7F01"/>
    <w:rsid w:val="009040D7"/>
    <w:rsid w:val="009042B8"/>
    <w:rsid w:val="009044BA"/>
    <w:rsid w:val="009061EE"/>
    <w:rsid w:val="009103B4"/>
    <w:rsid w:val="00910630"/>
    <w:rsid w:val="009125D4"/>
    <w:rsid w:val="0091269A"/>
    <w:rsid w:val="00912ED4"/>
    <w:rsid w:val="00913830"/>
    <w:rsid w:val="00913E98"/>
    <w:rsid w:val="0091439A"/>
    <w:rsid w:val="0091604F"/>
    <w:rsid w:val="009168F7"/>
    <w:rsid w:val="00917024"/>
    <w:rsid w:val="00934AD2"/>
    <w:rsid w:val="00935816"/>
    <w:rsid w:val="009363BB"/>
    <w:rsid w:val="00941CE3"/>
    <w:rsid w:val="00942EA7"/>
    <w:rsid w:val="00943AB8"/>
    <w:rsid w:val="00945D38"/>
    <w:rsid w:val="009464F4"/>
    <w:rsid w:val="0095347B"/>
    <w:rsid w:val="00953572"/>
    <w:rsid w:val="00955B84"/>
    <w:rsid w:val="00956A62"/>
    <w:rsid w:val="00957262"/>
    <w:rsid w:val="0096153F"/>
    <w:rsid w:val="00966E5A"/>
    <w:rsid w:val="00967C9C"/>
    <w:rsid w:val="00972F03"/>
    <w:rsid w:val="00973FF8"/>
    <w:rsid w:val="009746A8"/>
    <w:rsid w:val="00975304"/>
    <w:rsid w:val="00976240"/>
    <w:rsid w:val="00976765"/>
    <w:rsid w:val="00977C36"/>
    <w:rsid w:val="00985716"/>
    <w:rsid w:val="009866A6"/>
    <w:rsid w:val="009907EE"/>
    <w:rsid w:val="00990F30"/>
    <w:rsid w:val="00992019"/>
    <w:rsid w:val="00992B1B"/>
    <w:rsid w:val="00995D33"/>
    <w:rsid w:val="00996F7E"/>
    <w:rsid w:val="009A2000"/>
    <w:rsid w:val="009A6126"/>
    <w:rsid w:val="009B53D1"/>
    <w:rsid w:val="009B59E9"/>
    <w:rsid w:val="009C0604"/>
    <w:rsid w:val="009C1629"/>
    <w:rsid w:val="009C263C"/>
    <w:rsid w:val="009C2C2E"/>
    <w:rsid w:val="009C4845"/>
    <w:rsid w:val="009C4DCE"/>
    <w:rsid w:val="009C7DE4"/>
    <w:rsid w:val="009D402B"/>
    <w:rsid w:val="009D7E69"/>
    <w:rsid w:val="009E011C"/>
    <w:rsid w:val="009E0EBE"/>
    <w:rsid w:val="009E109E"/>
    <w:rsid w:val="009E204A"/>
    <w:rsid w:val="009E4267"/>
    <w:rsid w:val="009E6A2C"/>
    <w:rsid w:val="009E768A"/>
    <w:rsid w:val="009E79DC"/>
    <w:rsid w:val="009F1CA8"/>
    <w:rsid w:val="009F2B47"/>
    <w:rsid w:val="009F6318"/>
    <w:rsid w:val="009F6C5E"/>
    <w:rsid w:val="00A0203A"/>
    <w:rsid w:val="00A041D2"/>
    <w:rsid w:val="00A061D0"/>
    <w:rsid w:val="00A06C54"/>
    <w:rsid w:val="00A103A0"/>
    <w:rsid w:val="00A13B7B"/>
    <w:rsid w:val="00A14FF7"/>
    <w:rsid w:val="00A1624B"/>
    <w:rsid w:val="00A207D3"/>
    <w:rsid w:val="00A25B3A"/>
    <w:rsid w:val="00A25CC2"/>
    <w:rsid w:val="00A275B7"/>
    <w:rsid w:val="00A30389"/>
    <w:rsid w:val="00A308A4"/>
    <w:rsid w:val="00A3179C"/>
    <w:rsid w:val="00A31C1E"/>
    <w:rsid w:val="00A31FA7"/>
    <w:rsid w:val="00A414FB"/>
    <w:rsid w:val="00A4192E"/>
    <w:rsid w:val="00A452B5"/>
    <w:rsid w:val="00A46147"/>
    <w:rsid w:val="00A4688B"/>
    <w:rsid w:val="00A46980"/>
    <w:rsid w:val="00A47262"/>
    <w:rsid w:val="00A5087F"/>
    <w:rsid w:val="00A513B9"/>
    <w:rsid w:val="00A53416"/>
    <w:rsid w:val="00A55754"/>
    <w:rsid w:val="00A572E8"/>
    <w:rsid w:val="00A606D4"/>
    <w:rsid w:val="00A6224E"/>
    <w:rsid w:val="00A644C7"/>
    <w:rsid w:val="00A67012"/>
    <w:rsid w:val="00A709F4"/>
    <w:rsid w:val="00A720BB"/>
    <w:rsid w:val="00A720CE"/>
    <w:rsid w:val="00A72BE4"/>
    <w:rsid w:val="00A74304"/>
    <w:rsid w:val="00A748B6"/>
    <w:rsid w:val="00A8117E"/>
    <w:rsid w:val="00A86391"/>
    <w:rsid w:val="00A905D7"/>
    <w:rsid w:val="00A9066D"/>
    <w:rsid w:val="00A90D9B"/>
    <w:rsid w:val="00A91945"/>
    <w:rsid w:val="00A91ADD"/>
    <w:rsid w:val="00A952B7"/>
    <w:rsid w:val="00A95CDF"/>
    <w:rsid w:val="00A96557"/>
    <w:rsid w:val="00A96AAB"/>
    <w:rsid w:val="00AA02EB"/>
    <w:rsid w:val="00AA1003"/>
    <w:rsid w:val="00AA4469"/>
    <w:rsid w:val="00AA684D"/>
    <w:rsid w:val="00AB2338"/>
    <w:rsid w:val="00AB2391"/>
    <w:rsid w:val="00AB2E94"/>
    <w:rsid w:val="00AB63B5"/>
    <w:rsid w:val="00AB65E0"/>
    <w:rsid w:val="00AC02F2"/>
    <w:rsid w:val="00AC0D86"/>
    <w:rsid w:val="00AC3016"/>
    <w:rsid w:val="00AC41C7"/>
    <w:rsid w:val="00AE03EE"/>
    <w:rsid w:val="00AE0785"/>
    <w:rsid w:val="00AE11DC"/>
    <w:rsid w:val="00AE2608"/>
    <w:rsid w:val="00AE266D"/>
    <w:rsid w:val="00AE44A0"/>
    <w:rsid w:val="00AE4B56"/>
    <w:rsid w:val="00AE4CBB"/>
    <w:rsid w:val="00AF00D2"/>
    <w:rsid w:val="00AF0432"/>
    <w:rsid w:val="00AF2BEC"/>
    <w:rsid w:val="00AF55D3"/>
    <w:rsid w:val="00AF57C9"/>
    <w:rsid w:val="00B002BF"/>
    <w:rsid w:val="00B02787"/>
    <w:rsid w:val="00B03444"/>
    <w:rsid w:val="00B046A6"/>
    <w:rsid w:val="00B0599C"/>
    <w:rsid w:val="00B0648F"/>
    <w:rsid w:val="00B1013E"/>
    <w:rsid w:val="00B15920"/>
    <w:rsid w:val="00B15D0A"/>
    <w:rsid w:val="00B171B2"/>
    <w:rsid w:val="00B22231"/>
    <w:rsid w:val="00B22276"/>
    <w:rsid w:val="00B238F1"/>
    <w:rsid w:val="00B23EF4"/>
    <w:rsid w:val="00B23F0C"/>
    <w:rsid w:val="00B26714"/>
    <w:rsid w:val="00B30797"/>
    <w:rsid w:val="00B31477"/>
    <w:rsid w:val="00B34DE0"/>
    <w:rsid w:val="00B35AF0"/>
    <w:rsid w:val="00B35E24"/>
    <w:rsid w:val="00B4022E"/>
    <w:rsid w:val="00B43992"/>
    <w:rsid w:val="00B44166"/>
    <w:rsid w:val="00B44768"/>
    <w:rsid w:val="00B4638E"/>
    <w:rsid w:val="00B4767C"/>
    <w:rsid w:val="00B5638F"/>
    <w:rsid w:val="00B6027A"/>
    <w:rsid w:val="00B60A6B"/>
    <w:rsid w:val="00B60CF3"/>
    <w:rsid w:val="00B62C18"/>
    <w:rsid w:val="00B65922"/>
    <w:rsid w:val="00B6615D"/>
    <w:rsid w:val="00B66CC2"/>
    <w:rsid w:val="00B7062A"/>
    <w:rsid w:val="00B70CD7"/>
    <w:rsid w:val="00B70D46"/>
    <w:rsid w:val="00B72DC8"/>
    <w:rsid w:val="00B73A16"/>
    <w:rsid w:val="00B74640"/>
    <w:rsid w:val="00B75592"/>
    <w:rsid w:val="00B80671"/>
    <w:rsid w:val="00B8226A"/>
    <w:rsid w:val="00B841DD"/>
    <w:rsid w:val="00B848DC"/>
    <w:rsid w:val="00B84E27"/>
    <w:rsid w:val="00B8712D"/>
    <w:rsid w:val="00B90096"/>
    <w:rsid w:val="00B906BE"/>
    <w:rsid w:val="00B907D8"/>
    <w:rsid w:val="00B976F1"/>
    <w:rsid w:val="00BA355D"/>
    <w:rsid w:val="00BA3E3D"/>
    <w:rsid w:val="00BA462C"/>
    <w:rsid w:val="00BA65EE"/>
    <w:rsid w:val="00BB03E3"/>
    <w:rsid w:val="00BB0AA4"/>
    <w:rsid w:val="00BB0F26"/>
    <w:rsid w:val="00BB25CA"/>
    <w:rsid w:val="00BB3300"/>
    <w:rsid w:val="00BB59FC"/>
    <w:rsid w:val="00BB693A"/>
    <w:rsid w:val="00BD1F9F"/>
    <w:rsid w:val="00BD2926"/>
    <w:rsid w:val="00BE05CF"/>
    <w:rsid w:val="00BE0603"/>
    <w:rsid w:val="00BE17A5"/>
    <w:rsid w:val="00BE208E"/>
    <w:rsid w:val="00BE5B7E"/>
    <w:rsid w:val="00BE5C78"/>
    <w:rsid w:val="00BE65F5"/>
    <w:rsid w:val="00BF08E7"/>
    <w:rsid w:val="00BF40F7"/>
    <w:rsid w:val="00BF42E6"/>
    <w:rsid w:val="00BF486A"/>
    <w:rsid w:val="00BF6478"/>
    <w:rsid w:val="00BF7E6A"/>
    <w:rsid w:val="00C01718"/>
    <w:rsid w:val="00C02FEC"/>
    <w:rsid w:val="00C04369"/>
    <w:rsid w:val="00C04CAE"/>
    <w:rsid w:val="00C04D7D"/>
    <w:rsid w:val="00C061DB"/>
    <w:rsid w:val="00C06924"/>
    <w:rsid w:val="00C07B2B"/>
    <w:rsid w:val="00C1073E"/>
    <w:rsid w:val="00C10AC5"/>
    <w:rsid w:val="00C116C8"/>
    <w:rsid w:val="00C11771"/>
    <w:rsid w:val="00C1248D"/>
    <w:rsid w:val="00C13C72"/>
    <w:rsid w:val="00C151F9"/>
    <w:rsid w:val="00C173AF"/>
    <w:rsid w:val="00C2225A"/>
    <w:rsid w:val="00C2468F"/>
    <w:rsid w:val="00C278A5"/>
    <w:rsid w:val="00C32243"/>
    <w:rsid w:val="00C34A91"/>
    <w:rsid w:val="00C36200"/>
    <w:rsid w:val="00C362F8"/>
    <w:rsid w:val="00C4034F"/>
    <w:rsid w:val="00C40405"/>
    <w:rsid w:val="00C422DE"/>
    <w:rsid w:val="00C46032"/>
    <w:rsid w:val="00C501FF"/>
    <w:rsid w:val="00C50777"/>
    <w:rsid w:val="00C5133E"/>
    <w:rsid w:val="00C519D4"/>
    <w:rsid w:val="00C51B32"/>
    <w:rsid w:val="00C53E45"/>
    <w:rsid w:val="00C54317"/>
    <w:rsid w:val="00C54DC3"/>
    <w:rsid w:val="00C614D0"/>
    <w:rsid w:val="00C63931"/>
    <w:rsid w:val="00C65AB2"/>
    <w:rsid w:val="00C66FD3"/>
    <w:rsid w:val="00C674FF"/>
    <w:rsid w:val="00C70714"/>
    <w:rsid w:val="00C76004"/>
    <w:rsid w:val="00C82F22"/>
    <w:rsid w:val="00C84297"/>
    <w:rsid w:val="00C8471B"/>
    <w:rsid w:val="00C85726"/>
    <w:rsid w:val="00C85C13"/>
    <w:rsid w:val="00C86143"/>
    <w:rsid w:val="00C86259"/>
    <w:rsid w:val="00C86CC8"/>
    <w:rsid w:val="00C87832"/>
    <w:rsid w:val="00C90924"/>
    <w:rsid w:val="00C918CA"/>
    <w:rsid w:val="00C91F96"/>
    <w:rsid w:val="00C955F9"/>
    <w:rsid w:val="00C96A15"/>
    <w:rsid w:val="00CA012D"/>
    <w:rsid w:val="00CA3A66"/>
    <w:rsid w:val="00CA54D3"/>
    <w:rsid w:val="00CB137E"/>
    <w:rsid w:val="00CB1A2D"/>
    <w:rsid w:val="00CB27D7"/>
    <w:rsid w:val="00CB4C1D"/>
    <w:rsid w:val="00CC12EF"/>
    <w:rsid w:val="00CC5CAC"/>
    <w:rsid w:val="00CC704D"/>
    <w:rsid w:val="00CC737C"/>
    <w:rsid w:val="00CD188A"/>
    <w:rsid w:val="00CD1E33"/>
    <w:rsid w:val="00CD2BE9"/>
    <w:rsid w:val="00CD4757"/>
    <w:rsid w:val="00CD5746"/>
    <w:rsid w:val="00CD6F4C"/>
    <w:rsid w:val="00CE0A78"/>
    <w:rsid w:val="00CE194E"/>
    <w:rsid w:val="00CE1B8A"/>
    <w:rsid w:val="00CE3AF2"/>
    <w:rsid w:val="00CE57E0"/>
    <w:rsid w:val="00CE6F29"/>
    <w:rsid w:val="00CE77D0"/>
    <w:rsid w:val="00CF0792"/>
    <w:rsid w:val="00CF0ACD"/>
    <w:rsid w:val="00CF22DB"/>
    <w:rsid w:val="00CF5C19"/>
    <w:rsid w:val="00CF788F"/>
    <w:rsid w:val="00D02A23"/>
    <w:rsid w:val="00D0339E"/>
    <w:rsid w:val="00D051A9"/>
    <w:rsid w:val="00D05283"/>
    <w:rsid w:val="00D054B1"/>
    <w:rsid w:val="00D07A9E"/>
    <w:rsid w:val="00D1019C"/>
    <w:rsid w:val="00D12E9B"/>
    <w:rsid w:val="00D13CE2"/>
    <w:rsid w:val="00D14660"/>
    <w:rsid w:val="00D157AF"/>
    <w:rsid w:val="00D15D37"/>
    <w:rsid w:val="00D1642D"/>
    <w:rsid w:val="00D20008"/>
    <w:rsid w:val="00D202B8"/>
    <w:rsid w:val="00D217CE"/>
    <w:rsid w:val="00D21DCB"/>
    <w:rsid w:val="00D23322"/>
    <w:rsid w:val="00D24343"/>
    <w:rsid w:val="00D24ECB"/>
    <w:rsid w:val="00D3012E"/>
    <w:rsid w:val="00D32CC6"/>
    <w:rsid w:val="00D3429E"/>
    <w:rsid w:val="00D351A7"/>
    <w:rsid w:val="00D37A26"/>
    <w:rsid w:val="00D40058"/>
    <w:rsid w:val="00D41AFC"/>
    <w:rsid w:val="00D42233"/>
    <w:rsid w:val="00D42400"/>
    <w:rsid w:val="00D43049"/>
    <w:rsid w:val="00D43397"/>
    <w:rsid w:val="00D448F7"/>
    <w:rsid w:val="00D4596D"/>
    <w:rsid w:val="00D47E28"/>
    <w:rsid w:val="00D5017C"/>
    <w:rsid w:val="00D51DE0"/>
    <w:rsid w:val="00D53374"/>
    <w:rsid w:val="00D56DD6"/>
    <w:rsid w:val="00D57A11"/>
    <w:rsid w:val="00D601C6"/>
    <w:rsid w:val="00D60FC2"/>
    <w:rsid w:val="00D61712"/>
    <w:rsid w:val="00D61993"/>
    <w:rsid w:val="00D6261E"/>
    <w:rsid w:val="00D65EA1"/>
    <w:rsid w:val="00D66446"/>
    <w:rsid w:val="00D70D16"/>
    <w:rsid w:val="00D7101A"/>
    <w:rsid w:val="00D730F8"/>
    <w:rsid w:val="00D7729E"/>
    <w:rsid w:val="00D77B0C"/>
    <w:rsid w:val="00D84142"/>
    <w:rsid w:val="00D843DA"/>
    <w:rsid w:val="00D84E8D"/>
    <w:rsid w:val="00D84F79"/>
    <w:rsid w:val="00D8540E"/>
    <w:rsid w:val="00D85EDA"/>
    <w:rsid w:val="00D86CD2"/>
    <w:rsid w:val="00D96687"/>
    <w:rsid w:val="00D97390"/>
    <w:rsid w:val="00DA0BF0"/>
    <w:rsid w:val="00DA5BCC"/>
    <w:rsid w:val="00DA7142"/>
    <w:rsid w:val="00DB0A45"/>
    <w:rsid w:val="00DB7E83"/>
    <w:rsid w:val="00DC0184"/>
    <w:rsid w:val="00DC2003"/>
    <w:rsid w:val="00DC3A1F"/>
    <w:rsid w:val="00DC48BE"/>
    <w:rsid w:val="00DC6BE4"/>
    <w:rsid w:val="00DD15F6"/>
    <w:rsid w:val="00DE2D95"/>
    <w:rsid w:val="00DE6548"/>
    <w:rsid w:val="00DF0992"/>
    <w:rsid w:val="00DF2687"/>
    <w:rsid w:val="00DF6D0A"/>
    <w:rsid w:val="00E00EFC"/>
    <w:rsid w:val="00E04516"/>
    <w:rsid w:val="00E04D1D"/>
    <w:rsid w:val="00E05F3A"/>
    <w:rsid w:val="00E05FE5"/>
    <w:rsid w:val="00E06041"/>
    <w:rsid w:val="00E079F9"/>
    <w:rsid w:val="00E11346"/>
    <w:rsid w:val="00E13569"/>
    <w:rsid w:val="00E178BD"/>
    <w:rsid w:val="00E227AD"/>
    <w:rsid w:val="00E23F54"/>
    <w:rsid w:val="00E246DD"/>
    <w:rsid w:val="00E2684D"/>
    <w:rsid w:val="00E269B8"/>
    <w:rsid w:val="00E330F1"/>
    <w:rsid w:val="00E33B46"/>
    <w:rsid w:val="00E37FB1"/>
    <w:rsid w:val="00E4010D"/>
    <w:rsid w:val="00E47059"/>
    <w:rsid w:val="00E50CE9"/>
    <w:rsid w:val="00E532C6"/>
    <w:rsid w:val="00E539BD"/>
    <w:rsid w:val="00E56741"/>
    <w:rsid w:val="00E719AC"/>
    <w:rsid w:val="00E744B0"/>
    <w:rsid w:val="00E752B7"/>
    <w:rsid w:val="00E76319"/>
    <w:rsid w:val="00E77FBD"/>
    <w:rsid w:val="00E826C9"/>
    <w:rsid w:val="00E841EB"/>
    <w:rsid w:val="00E84C77"/>
    <w:rsid w:val="00E87E19"/>
    <w:rsid w:val="00E9041F"/>
    <w:rsid w:val="00E90B5E"/>
    <w:rsid w:val="00E94BD5"/>
    <w:rsid w:val="00E9502B"/>
    <w:rsid w:val="00EA16E8"/>
    <w:rsid w:val="00EA16F9"/>
    <w:rsid w:val="00EA32EF"/>
    <w:rsid w:val="00EA4324"/>
    <w:rsid w:val="00EB012E"/>
    <w:rsid w:val="00EB02C3"/>
    <w:rsid w:val="00EB28F9"/>
    <w:rsid w:val="00EB35C3"/>
    <w:rsid w:val="00EB6195"/>
    <w:rsid w:val="00EC1382"/>
    <w:rsid w:val="00EC1D63"/>
    <w:rsid w:val="00EC2367"/>
    <w:rsid w:val="00EC4041"/>
    <w:rsid w:val="00EC73A6"/>
    <w:rsid w:val="00EC7CBE"/>
    <w:rsid w:val="00ED153D"/>
    <w:rsid w:val="00ED6ACB"/>
    <w:rsid w:val="00ED6EF6"/>
    <w:rsid w:val="00ED7AA6"/>
    <w:rsid w:val="00EE3AA7"/>
    <w:rsid w:val="00EE4FCF"/>
    <w:rsid w:val="00EE5FF0"/>
    <w:rsid w:val="00EE6235"/>
    <w:rsid w:val="00EF447D"/>
    <w:rsid w:val="00EF4B50"/>
    <w:rsid w:val="00EF5DA5"/>
    <w:rsid w:val="00EF72FF"/>
    <w:rsid w:val="00F00CA5"/>
    <w:rsid w:val="00F01F08"/>
    <w:rsid w:val="00F0264B"/>
    <w:rsid w:val="00F032A8"/>
    <w:rsid w:val="00F04803"/>
    <w:rsid w:val="00F051F8"/>
    <w:rsid w:val="00F064CE"/>
    <w:rsid w:val="00F07D83"/>
    <w:rsid w:val="00F17AFF"/>
    <w:rsid w:val="00F22538"/>
    <w:rsid w:val="00F24D75"/>
    <w:rsid w:val="00F25493"/>
    <w:rsid w:val="00F2621D"/>
    <w:rsid w:val="00F263F3"/>
    <w:rsid w:val="00F30DD5"/>
    <w:rsid w:val="00F31A47"/>
    <w:rsid w:val="00F320E3"/>
    <w:rsid w:val="00F40240"/>
    <w:rsid w:val="00F416C2"/>
    <w:rsid w:val="00F5341C"/>
    <w:rsid w:val="00F54A55"/>
    <w:rsid w:val="00F54BB9"/>
    <w:rsid w:val="00F54EC4"/>
    <w:rsid w:val="00F55003"/>
    <w:rsid w:val="00F576C4"/>
    <w:rsid w:val="00F57C36"/>
    <w:rsid w:val="00F60A1E"/>
    <w:rsid w:val="00F611F5"/>
    <w:rsid w:val="00F61DE7"/>
    <w:rsid w:val="00F624C0"/>
    <w:rsid w:val="00F65704"/>
    <w:rsid w:val="00F67BBD"/>
    <w:rsid w:val="00F708C3"/>
    <w:rsid w:val="00F73404"/>
    <w:rsid w:val="00F73AC3"/>
    <w:rsid w:val="00F73C16"/>
    <w:rsid w:val="00F73FEC"/>
    <w:rsid w:val="00F75B3D"/>
    <w:rsid w:val="00F75B8F"/>
    <w:rsid w:val="00F7618F"/>
    <w:rsid w:val="00F77BE3"/>
    <w:rsid w:val="00F81CBE"/>
    <w:rsid w:val="00F8291C"/>
    <w:rsid w:val="00F82FB7"/>
    <w:rsid w:val="00F840B1"/>
    <w:rsid w:val="00F90968"/>
    <w:rsid w:val="00F9118C"/>
    <w:rsid w:val="00F911B3"/>
    <w:rsid w:val="00F94187"/>
    <w:rsid w:val="00F94FE7"/>
    <w:rsid w:val="00F973E5"/>
    <w:rsid w:val="00FA010C"/>
    <w:rsid w:val="00FA2BCA"/>
    <w:rsid w:val="00FA3A53"/>
    <w:rsid w:val="00FA5689"/>
    <w:rsid w:val="00FA5929"/>
    <w:rsid w:val="00FB2C9E"/>
    <w:rsid w:val="00FB4E98"/>
    <w:rsid w:val="00FB66CB"/>
    <w:rsid w:val="00FC38A2"/>
    <w:rsid w:val="00FC3A6B"/>
    <w:rsid w:val="00FC77B3"/>
    <w:rsid w:val="00FD044E"/>
    <w:rsid w:val="00FD3B3A"/>
    <w:rsid w:val="00FD3FF0"/>
    <w:rsid w:val="00FD4D14"/>
    <w:rsid w:val="00FD6F9F"/>
    <w:rsid w:val="00FE27D0"/>
    <w:rsid w:val="00FE4892"/>
    <w:rsid w:val="00FF2575"/>
    <w:rsid w:val="00FF5079"/>
    <w:rsid w:val="00FF7A9E"/>
    <w:rsid w:val="0245490A"/>
    <w:rsid w:val="042F1EAF"/>
    <w:rsid w:val="049B1EC1"/>
    <w:rsid w:val="07236937"/>
    <w:rsid w:val="07784881"/>
    <w:rsid w:val="0C43590B"/>
    <w:rsid w:val="132604E8"/>
    <w:rsid w:val="163B2B04"/>
    <w:rsid w:val="1D2A41D3"/>
    <w:rsid w:val="205E4B52"/>
    <w:rsid w:val="25B37894"/>
    <w:rsid w:val="27715DC1"/>
    <w:rsid w:val="27D3565C"/>
    <w:rsid w:val="30FC0255"/>
    <w:rsid w:val="324C2AFB"/>
    <w:rsid w:val="32B6338F"/>
    <w:rsid w:val="34197AFD"/>
    <w:rsid w:val="36BA1C8E"/>
    <w:rsid w:val="3DD944A2"/>
    <w:rsid w:val="4C10295B"/>
    <w:rsid w:val="5272452C"/>
    <w:rsid w:val="535F11F0"/>
    <w:rsid w:val="539F481D"/>
    <w:rsid w:val="58C57678"/>
    <w:rsid w:val="60A74553"/>
    <w:rsid w:val="65326295"/>
    <w:rsid w:val="6C002365"/>
    <w:rsid w:val="6DEA4299"/>
    <w:rsid w:val="6EF83F0B"/>
    <w:rsid w:val="6F6D465A"/>
    <w:rsid w:val="728261E7"/>
    <w:rsid w:val="74E90EB9"/>
    <w:rsid w:val="7F252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99"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semiHidden="0" w:name="Title"/>
    <w:lsdException w:unhideWhenUsed="0" w:uiPriority="99" w:name="Closing"/>
    <w:lsdException w:unhideWhenUsed="0" w:uiPriority="99" w:name="Signature"/>
    <w:lsdException w:qFormat="1" w:uiPriority="1" w:name="Default Paragraph Font"/>
    <w:lsdException w:unhideWhenUsed="0" w:uiPriority="99"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semiHidden="0"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nhideWhenUsed="0" w:uiPriority="99" w:name="Document Map"/>
    <w:lsdException w:unhideWhenUsed="0" w:uiPriority="99" w:name="Plain Text"/>
    <w:lsdException w:unhideWhenUsed="0" w:uiPriority="99" w:name="E-mail Signature"/>
    <w:lsdException w:unhideWhenUsed="0" w:uiPriority="99"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9"/>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3">
    <w:name w:val="heading 2"/>
    <w:basedOn w:val="1"/>
    <w:next w:val="1"/>
    <w:link w:val="20"/>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4">
    <w:name w:val="heading 3"/>
    <w:basedOn w:val="1"/>
    <w:next w:val="1"/>
    <w:link w:val="21"/>
    <w:semiHidden/>
    <w:qFormat/>
    <w:uiPriority w:val="9"/>
    <w:pPr>
      <w:keepNext/>
      <w:keepLines/>
      <w:spacing w:before="260" w:after="260"/>
      <w:ind w:firstLine="0" w:firstLineChars="0"/>
      <w:outlineLvl w:val="2"/>
    </w:pPr>
    <w:rPr>
      <w:b/>
      <w:bCs/>
      <w:sz w:val="30"/>
      <w:szCs w:val="32"/>
    </w:rPr>
  </w:style>
  <w:style w:type="paragraph" w:styleId="5">
    <w:name w:val="heading 4"/>
    <w:basedOn w:val="1"/>
    <w:next w:val="1"/>
    <w:link w:val="23"/>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qFormat/>
    <w:uiPriority w:val="9"/>
    <w:pPr>
      <w:keepNext/>
      <w:keepLines/>
      <w:spacing w:before="280" w:after="290" w:line="480" w:lineRule="auto"/>
      <w:ind w:firstLine="0" w:firstLineChars="0"/>
      <w:outlineLvl w:val="4"/>
    </w:pPr>
    <w:rPr>
      <w:b/>
      <w:bCs/>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4"/>
    <w:semiHidden/>
    <w:qFormat/>
    <w:uiPriority w:val="99"/>
  </w:style>
  <w:style w:type="paragraph" w:styleId="8">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9">
    <w:name w:val="Balloon Text"/>
    <w:basedOn w:val="1"/>
    <w:link w:val="41"/>
    <w:semiHidden/>
    <w:qFormat/>
    <w:uiPriority w:val="99"/>
    <w:pPr>
      <w:spacing w:line="240" w:lineRule="auto"/>
    </w:pPr>
    <w:rPr>
      <w:sz w:val="18"/>
      <w:szCs w:val="18"/>
    </w:rPr>
  </w:style>
  <w:style w:type="paragraph" w:styleId="10">
    <w:name w:val="footer"/>
    <w:basedOn w:val="1"/>
    <w:link w:val="40"/>
    <w:qFormat/>
    <w:uiPriority w:val="99"/>
    <w:pPr>
      <w:tabs>
        <w:tab w:val="center" w:pos="4153"/>
        <w:tab w:val="right" w:pos="8306"/>
      </w:tabs>
      <w:snapToGrid w:val="0"/>
      <w:spacing w:line="240" w:lineRule="auto"/>
    </w:pPr>
    <w:rPr>
      <w:sz w:val="18"/>
      <w:szCs w:val="18"/>
    </w:rPr>
  </w:style>
  <w:style w:type="paragraph" w:styleId="11">
    <w:name w:val="toc 1"/>
    <w:basedOn w:val="1"/>
    <w:next w:val="1"/>
    <w:qFormat/>
    <w:uiPriority w:val="39"/>
  </w:style>
  <w:style w:type="paragraph" w:styleId="12">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3">
    <w:name w:val="annotation subject"/>
    <w:basedOn w:val="7"/>
    <w:next w:val="7"/>
    <w:link w:val="45"/>
    <w:semiHidden/>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qFormat/>
    <w:uiPriority w:val="99"/>
    <w:rPr>
      <w:sz w:val="21"/>
      <w:szCs w:val="21"/>
    </w:rPr>
  </w:style>
  <w:style w:type="character" w:customStyle="1" w:styleId="19">
    <w:name w:val="标题 1 字符"/>
    <w:basedOn w:val="16"/>
    <w:link w:val="2"/>
    <w:semiHidden/>
    <w:qFormat/>
    <w:uiPriority w:val="9"/>
    <w:rPr>
      <w:b/>
      <w:bCs/>
      <w:kern w:val="44"/>
      <w:sz w:val="44"/>
      <w:szCs w:val="44"/>
    </w:rPr>
  </w:style>
  <w:style w:type="character" w:customStyle="1" w:styleId="20">
    <w:name w:val="标题 2 字符"/>
    <w:basedOn w:val="16"/>
    <w:link w:val="3"/>
    <w:semiHidden/>
    <w:qFormat/>
    <w:uiPriority w:val="9"/>
    <w:rPr>
      <w:rFonts w:asciiTheme="majorHAnsi" w:hAnsiTheme="majorHAnsi" w:cstheme="majorBidi"/>
      <w:b/>
      <w:bCs/>
      <w:sz w:val="32"/>
      <w:szCs w:val="32"/>
    </w:rPr>
  </w:style>
  <w:style w:type="character" w:customStyle="1" w:styleId="21">
    <w:name w:val="标题 3 字符"/>
    <w:basedOn w:val="16"/>
    <w:link w:val="4"/>
    <w:semiHidden/>
    <w:qFormat/>
    <w:uiPriority w:val="9"/>
    <w:rPr>
      <w:b/>
      <w:bCs/>
      <w:sz w:val="30"/>
      <w:szCs w:val="32"/>
    </w:rPr>
  </w:style>
  <w:style w:type="character" w:customStyle="1" w:styleId="22">
    <w:name w:val="标题 5 字符"/>
    <w:basedOn w:val="16"/>
    <w:link w:val="6"/>
    <w:semiHidden/>
    <w:qFormat/>
    <w:uiPriority w:val="9"/>
    <w:rPr>
      <w:b/>
      <w:bCs/>
      <w:szCs w:val="28"/>
    </w:rPr>
  </w:style>
  <w:style w:type="character" w:customStyle="1" w:styleId="23">
    <w:name w:val="标题 4 字符"/>
    <w:basedOn w:val="16"/>
    <w:link w:val="5"/>
    <w:semiHidden/>
    <w:qFormat/>
    <w:uiPriority w:val="9"/>
    <w:rPr>
      <w:rFonts w:asciiTheme="majorHAnsi" w:hAnsiTheme="majorHAnsi" w:eastAsiaTheme="majorEastAsia" w:cstheme="majorBidi"/>
      <w:b/>
      <w:bCs/>
      <w:sz w:val="28"/>
      <w:szCs w:val="28"/>
    </w:rPr>
  </w:style>
  <w:style w:type="paragraph" w:customStyle="1" w:styleId="24">
    <w:name w:val="市局绩效-标题"/>
    <w:basedOn w:val="2"/>
    <w:link w:val="26"/>
    <w:qFormat/>
    <w:uiPriority w:val="0"/>
    <w:pPr>
      <w:spacing w:before="0" w:after="0" w:line="600" w:lineRule="exact"/>
      <w:outlineLvl w:val="9"/>
    </w:pPr>
    <w:rPr>
      <w:rFonts w:ascii="方正小标宋简体" w:hAnsi="方正小标宋简体" w:eastAsia="方正小标宋简体"/>
      <w:b w:val="0"/>
    </w:rPr>
  </w:style>
  <w:style w:type="paragraph" w:customStyle="1" w:styleId="25">
    <w:name w:val="市局绩效-正文"/>
    <w:basedOn w:val="1"/>
    <w:link w:val="28"/>
    <w:qFormat/>
    <w:uiPriority w:val="0"/>
    <w:pPr>
      <w:spacing w:line="600" w:lineRule="exact"/>
      <w:jc w:val="both"/>
    </w:pPr>
    <w:rPr>
      <w:rFonts w:ascii="Times New Roman" w:hAnsi="Times New Roman" w:eastAsia="仿宋_GB2312"/>
      <w:sz w:val="32"/>
    </w:rPr>
  </w:style>
  <w:style w:type="character" w:customStyle="1" w:styleId="26">
    <w:name w:val="市局绩效-标题 字符"/>
    <w:basedOn w:val="19"/>
    <w:link w:val="24"/>
    <w:qFormat/>
    <w:uiPriority w:val="0"/>
    <w:rPr>
      <w:rFonts w:ascii="方正小标宋简体" w:hAnsi="方正小标宋简体" w:eastAsia="方正小标宋简体"/>
      <w:b w:val="0"/>
      <w:kern w:val="44"/>
      <w:sz w:val="44"/>
      <w:szCs w:val="44"/>
    </w:rPr>
  </w:style>
  <w:style w:type="paragraph" w:customStyle="1" w:styleId="27">
    <w:name w:val="市局绩效-一级标题"/>
    <w:basedOn w:val="3"/>
    <w:link w:val="30"/>
    <w:qFormat/>
    <w:uiPriority w:val="0"/>
    <w:pPr>
      <w:spacing w:before="0" w:after="0" w:line="600" w:lineRule="exact"/>
      <w:ind w:firstLine="641"/>
      <w:jc w:val="both"/>
    </w:pPr>
    <w:rPr>
      <w:rFonts w:ascii="Times New Roman" w:hAnsi="Times New Roman" w:eastAsia="黑体"/>
      <w:b w:val="0"/>
    </w:rPr>
  </w:style>
  <w:style w:type="character" w:customStyle="1" w:styleId="28">
    <w:name w:val="市局绩效-正文 字符"/>
    <w:basedOn w:val="16"/>
    <w:link w:val="25"/>
    <w:qFormat/>
    <w:uiPriority w:val="0"/>
    <w:rPr>
      <w:rFonts w:ascii="Times New Roman" w:hAnsi="Times New Roman" w:eastAsia="仿宋_GB2312"/>
      <w:sz w:val="32"/>
    </w:rPr>
  </w:style>
  <w:style w:type="paragraph" w:customStyle="1" w:styleId="29">
    <w:name w:val="市局绩效-二级标题"/>
    <w:basedOn w:val="4"/>
    <w:link w:val="31"/>
    <w:qFormat/>
    <w:uiPriority w:val="0"/>
    <w:pPr>
      <w:spacing w:before="0" w:after="0" w:line="600" w:lineRule="exact"/>
      <w:ind w:firstLine="200" w:firstLineChars="200"/>
      <w:jc w:val="both"/>
    </w:pPr>
    <w:rPr>
      <w:rFonts w:eastAsia="楷体_GB2312"/>
      <w:b w:val="0"/>
      <w:sz w:val="32"/>
    </w:rPr>
  </w:style>
  <w:style w:type="character" w:customStyle="1" w:styleId="30">
    <w:name w:val="市局绩效-一级标题 字符"/>
    <w:basedOn w:val="20"/>
    <w:link w:val="27"/>
    <w:qFormat/>
    <w:uiPriority w:val="0"/>
    <w:rPr>
      <w:rFonts w:ascii="Times New Roman" w:hAnsi="Times New Roman" w:eastAsia="黑体" w:cstheme="majorBidi"/>
      <w:b w:val="0"/>
      <w:sz w:val="32"/>
      <w:szCs w:val="32"/>
    </w:rPr>
  </w:style>
  <w:style w:type="character" w:customStyle="1" w:styleId="31">
    <w:name w:val="市局绩效-二级标题 字符"/>
    <w:basedOn w:val="21"/>
    <w:link w:val="29"/>
    <w:qFormat/>
    <w:uiPriority w:val="0"/>
    <w:rPr>
      <w:rFonts w:eastAsia="楷体_GB2312"/>
      <w:b w:val="0"/>
      <w:sz w:val="32"/>
      <w:szCs w:val="32"/>
    </w:rPr>
  </w:style>
  <w:style w:type="paragraph" w:customStyle="1" w:styleId="32">
    <w:name w:val="市局绩效-表格标题"/>
    <w:basedOn w:val="1"/>
    <w:link w:val="34"/>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3">
    <w:name w:val="市局绩效-表格单位"/>
    <w:basedOn w:val="1"/>
    <w:link w:val="36"/>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4">
    <w:name w:val="市局绩效-表格标题 字符"/>
    <w:basedOn w:val="16"/>
    <w:link w:val="32"/>
    <w:qFormat/>
    <w:uiPriority w:val="0"/>
    <w:rPr>
      <w:rFonts w:ascii="Times New Roman" w:hAnsi="Times New Roman" w:eastAsia="黑体" w:cs="Times New Roman"/>
      <w:bCs/>
      <w:sz w:val="28"/>
      <w:szCs w:val="24"/>
    </w:rPr>
  </w:style>
  <w:style w:type="paragraph" w:customStyle="1" w:styleId="35">
    <w:name w:val="市局绩效-表格表头"/>
    <w:basedOn w:val="25"/>
    <w:link w:val="38"/>
    <w:qFormat/>
    <w:uiPriority w:val="0"/>
    <w:pPr>
      <w:spacing w:line="240" w:lineRule="auto"/>
      <w:ind w:firstLine="0" w:firstLineChars="0"/>
      <w:jc w:val="center"/>
    </w:pPr>
    <w:rPr>
      <w:rFonts w:eastAsia="黑体"/>
      <w:b/>
      <w:sz w:val="21"/>
    </w:rPr>
  </w:style>
  <w:style w:type="character" w:customStyle="1" w:styleId="36">
    <w:name w:val="市局绩效-表格单位 字符"/>
    <w:basedOn w:val="16"/>
    <w:link w:val="33"/>
    <w:qFormat/>
    <w:uiPriority w:val="0"/>
    <w:rPr>
      <w:rFonts w:ascii="Times New Roman" w:hAnsi="Times New Roman" w:eastAsia="宋体"/>
      <w:bCs/>
      <w:szCs w:val="18"/>
    </w:rPr>
  </w:style>
  <w:style w:type="paragraph" w:customStyle="1" w:styleId="37">
    <w:name w:val="市局绩效-表格内容"/>
    <w:basedOn w:val="25"/>
    <w:link w:val="39"/>
    <w:qFormat/>
    <w:uiPriority w:val="0"/>
    <w:pPr>
      <w:spacing w:line="360" w:lineRule="auto"/>
      <w:ind w:firstLine="0" w:firstLineChars="0"/>
      <w:jc w:val="center"/>
    </w:pPr>
    <w:rPr>
      <w:rFonts w:eastAsia="宋体"/>
      <w:sz w:val="21"/>
    </w:rPr>
  </w:style>
  <w:style w:type="character" w:customStyle="1" w:styleId="38">
    <w:name w:val="市局绩效-表格表头 字符"/>
    <w:basedOn w:val="28"/>
    <w:link w:val="35"/>
    <w:qFormat/>
    <w:uiPriority w:val="0"/>
    <w:rPr>
      <w:rFonts w:ascii="Times New Roman" w:hAnsi="Times New Roman" w:eastAsia="黑体"/>
      <w:b/>
      <w:sz w:val="32"/>
    </w:rPr>
  </w:style>
  <w:style w:type="character" w:customStyle="1" w:styleId="39">
    <w:name w:val="市局绩效-表格内容 字符"/>
    <w:basedOn w:val="28"/>
    <w:link w:val="37"/>
    <w:qFormat/>
    <w:uiPriority w:val="0"/>
    <w:rPr>
      <w:rFonts w:ascii="Times New Roman" w:hAnsi="Times New Roman" w:eastAsia="宋体"/>
      <w:kern w:val="2"/>
      <w:sz w:val="21"/>
      <w:szCs w:val="21"/>
    </w:rPr>
  </w:style>
  <w:style w:type="character" w:customStyle="1" w:styleId="40">
    <w:name w:val="页脚 字符"/>
    <w:basedOn w:val="16"/>
    <w:link w:val="10"/>
    <w:qFormat/>
    <w:uiPriority w:val="99"/>
    <w:rPr>
      <w:sz w:val="18"/>
      <w:szCs w:val="18"/>
    </w:rPr>
  </w:style>
  <w:style w:type="character" w:customStyle="1" w:styleId="41">
    <w:name w:val="批注框文本 字符"/>
    <w:basedOn w:val="16"/>
    <w:link w:val="9"/>
    <w:semiHidden/>
    <w:qFormat/>
    <w:uiPriority w:val="99"/>
    <w:rPr>
      <w:sz w:val="18"/>
      <w:szCs w:val="18"/>
    </w:rPr>
  </w:style>
  <w:style w:type="paragraph" w:customStyle="1" w:styleId="42">
    <w:name w:val="市局绩效-注"/>
    <w:basedOn w:val="25"/>
    <w:link w:val="43"/>
    <w:qFormat/>
    <w:uiPriority w:val="0"/>
    <w:pPr>
      <w:ind w:firstLine="0" w:firstLineChars="0"/>
    </w:pPr>
    <w:rPr>
      <w:rFonts w:eastAsia="宋体"/>
      <w:bCs/>
      <w:sz w:val="21"/>
    </w:rPr>
  </w:style>
  <w:style w:type="character" w:customStyle="1" w:styleId="43">
    <w:name w:val="市局绩效-注 字符"/>
    <w:basedOn w:val="28"/>
    <w:link w:val="42"/>
    <w:qFormat/>
    <w:uiPriority w:val="0"/>
    <w:rPr>
      <w:rFonts w:ascii="Times New Roman" w:hAnsi="Times New Roman" w:eastAsia="宋体"/>
      <w:bCs/>
      <w:sz w:val="32"/>
    </w:rPr>
  </w:style>
  <w:style w:type="character" w:customStyle="1" w:styleId="44">
    <w:name w:val="批注文字 字符"/>
    <w:basedOn w:val="16"/>
    <w:link w:val="7"/>
    <w:semiHidden/>
    <w:qFormat/>
    <w:uiPriority w:val="99"/>
  </w:style>
  <w:style w:type="character" w:customStyle="1" w:styleId="45">
    <w:name w:val="批注主题 字符"/>
    <w:basedOn w:val="44"/>
    <w:link w:val="13"/>
    <w:semiHidden/>
    <w:qFormat/>
    <w:uiPriority w:val="99"/>
    <w:rPr>
      <w:b/>
      <w:bCs/>
    </w:rPr>
  </w:style>
  <w:style w:type="paragraph" w:customStyle="1" w:styleId="4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7">
    <w:name w:val="container-oiuikk"/>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245D-F4B0-4028-B037-639F74AD7BDD}">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35</Pages>
  <Words>16333</Words>
  <Characters>17208</Characters>
  <Lines>135</Lines>
  <Paragraphs>38</Paragraphs>
  <TotalTime>2</TotalTime>
  <ScaleCrop>false</ScaleCrop>
  <LinksUpToDate>false</LinksUpToDate>
  <CharactersWithSpaces>17723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Admin</cp:lastModifiedBy>
  <cp:lastPrinted>2024-09-18T06:26:00Z</cp:lastPrinted>
  <dcterms:modified xsi:type="dcterms:W3CDTF">2024-10-23T02:29:05Z</dcterms:modified>
  <cp:revision>2042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84E705509C904F8B8384729E7ABA4951_12</vt:lpwstr>
  </property>
</Properties>
</file>