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ind w:firstLine="0" w:firstLineChars="0"/>
        <w:jc w:val="center"/>
        <w:rPr>
          <w:rFonts w:ascii="Times New Roman" w:hAnsi="Times New Roman" w:eastAsia="方正小标宋简体"/>
          <w:sz w:val="52"/>
          <w:szCs w:val="52"/>
        </w:rPr>
      </w:pPr>
      <w:r>
        <w:rPr>
          <w:rFonts w:hint="eastAsia" w:ascii="Times New Roman" w:hAnsi="Times New Roman" w:eastAsia="方正小标宋简体"/>
          <w:sz w:val="52"/>
          <w:szCs w:val="52"/>
          <w:lang w:eastAsia="zh-Hans"/>
        </w:rPr>
        <w:t>项目</w:t>
      </w:r>
      <w:r>
        <w:rPr>
          <w:rFonts w:ascii="Times New Roman" w:hAnsi="Times New Roman" w:eastAsia="方正小标宋简体"/>
          <w:sz w:val="52"/>
          <w:szCs w:val="52"/>
        </w:rPr>
        <w:t>支出</w:t>
      </w:r>
      <w:r>
        <w:rPr>
          <w:rFonts w:hint="eastAsia" w:ascii="Times New Roman" w:hAnsi="Times New Roman" w:eastAsia="方正小标宋简体"/>
          <w:sz w:val="52"/>
          <w:szCs w:val="52"/>
        </w:rPr>
        <w:t>绩效评价</w:t>
      </w:r>
      <w:r>
        <w:rPr>
          <w:rFonts w:ascii="Times New Roman" w:hAnsi="Times New Roman" w:eastAsia="方正小标宋简体"/>
          <w:sz w:val="52"/>
          <w:szCs w:val="52"/>
        </w:rPr>
        <w:t>报告</w:t>
      </w:r>
    </w:p>
    <w:p>
      <w:pPr>
        <w:spacing w:line="800" w:lineRule="exact"/>
        <w:ind w:firstLine="0" w:firstLineChars="0"/>
        <w:jc w:val="center"/>
        <w:rPr>
          <w:rFonts w:ascii="Times New Roman" w:hAnsi="Times New Roman" w:eastAsia="方正小标宋简体"/>
          <w:sz w:val="48"/>
          <w:szCs w:val="44"/>
        </w:rPr>
      </w:pPr>
      <w:r>
        <w:rPr>
          <w:rFonts w:ascii="Times New Roman" w:hAnsi="Times New Roman" w:eastAsia="方正小标宋简体"/>
          <w:sz w:val="40"/>
          <w:szCs w:val="36"/>
        </w:rPr>
        <w:t>（</w:t>
      </w:r>
      <w:r>
        <w:rPr>
          <w:rFonts w:ascii="Times New Roman" w:hAnsi="Times New Roman" w:eastAsia="方正小标宋简体" w:cs="Times New Roman"/>
          <w:sz w:val="40"/>
          <w:szCs w:val="40"/>
        </w:rPr>
        <w:t>202</w:t>
      </w:r>
      <w:r>
        <w:rPr>
          <w:rFonts w:hint="eastAsia" w:ascii="Times New Roman" w:hAnsi="Times New Roman" w:eastAsia="方正小标宋简体" w:cs="Times New Roman"/>
          <w:sz w:val="40"/>
          <w:szCs w:val="40"/>
        </w:rPr>
        <w:t>3</w:t>
      </w:r>
      <w:r>
        <w:rPr>
          <w:rFonts w:ascii="Times New Roman" w:hAnsi="Times New Roman" w:eastAsia="方正小标宋简体"/>
          <w:sz w:val="40"/>
          <w:szCs w:val="36"/>
        </w:rPr>
        <w:t>年度）</w:t>
      </w: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600" w:lineRule="exact"/>
        <w:ind w:firstLine="0" w:firstLineChars="0"/>
        <w:rPr>
          <w:rFonts w:ascii="Times New Roman" w:hAnsi="Times New Roman" w:eastAsia="黑体"/>
          <w:sz w:val="32"/>
          <w:szCs w:val="32"/>
        </w:rPr>
      </w:pPr>
    </w:p>
    <w:p>
      <w:pPr>
        <w:spacing w:line="900" w:lineRule="exact"/>
        <w:ind w:firstLine="0" w:firstLineChars="0"/>
        <w:rPr>
          <w:rFonts w:ascii="Times New Roman" w:hAnsi="Times New Roman" w:eastAsia="仿宋_GB2312"/>
          <w:sz w:val="32"/>
          <w:szCs w:val="32"/>
        </w:rPr>
      </w:pPr>
      <w:r>
        <w:rPr>
          <w:rFonts w:hint="eastAsia" w:ascii="Times New Roman" w:hAnsi="Times New Roman" w:eastAsia="仿宋_GB2312"/>
          <w:sz w:val="32"/>
          <w:szCs w:val="32"/>
        </w:rPr>
        <w:t>项 目 名 称：</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和平区全民健身中心改造项目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p>
    <w:p>
      <w:pPr>
        <w:spacing w:line="900" w:lineRule="exact"/>
        <w:ind w:firstLine="0" w:firstLineChars="0"/>
        <w:rPr>
          <w:rFonts w:ascii="Times New Roman" w:hAnsi="Times New Roman" w:eastAsia="仿宋_GB2312" w:cs="Times New Roman"/>
          <w:spacing w:val="-20"/>
          <w:sz w:val="32"/>
          <w:szCs w:val="32"/>
          <w:u w:val="single"/>
        </w:rPr>
      </w:pPr>
      <w:r>
        <w:rPr>
          <w:rFonts w:hint="eastAsia" w:ascii="Times New Roman" w:hAnsi="Times New Roman" w:eastAsia="仿宋_GB2312"/>
          <w:sz w:val="32"/>
          <w:szCs w:val="32"/>
        </w:rPr>
        <w:t>项 目 单 位</w:t>
      </w:r>
      <w:r>
        <w:rPr>
          <w:rFonts w:ascii="Times New Roman" w:hAnsi="Times New Roman" w:eastAsia="仿宋_GB2312"/>
          <w:sz w:val="32"/>
          <w:szCs w:val="32"/>
        </w:rPr>
        <w:t>：</w:t>
      </w:r>
      <w:r>
        <w:rPr>
          <w:rFonts w:ascii="Times New Roman" w:hAnsi="Times New Roman" w:eastAsia="仿宋_GB2312"/>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     </w:t>
      </w:r>
      <w:r>
        <w:rPr>
          <w:rFonts w:ascii="Times New Roman" w:hAnsi="Times New Roman" w:eastAsia="仿宋_GB2312" w:cs="Times New Roman"/>
          <w:spacing w:val="-20"/>
          <w:sz w:val="32"/>
          <w:szCs w:val="32"/>
          <w:u w:val="single"/>
        </w:rPr>
        <w:t xml:space="preserve">  </w:t>
      </w:r>
      <w:r>
        <w:rPr>
          <w:rFonts w:hint="eastAsia" w:ascii="Times New Roman" w:hAnsi="Times New Roman" w:eastAsia="仿宋_GB2312" w:cs="Times New Roman"/>
          <w:spacing w:val="-20"/>
          <w:sz w:val="32"/>
          <w:szCs w:val="32"/>
          <w:u w:val="single"/>
        </w:rPr>
        <w:t xml:space="preserve">天津市和平区全民健身活动中心                                         </w:t>
      </w:r>
      <w:r>
        <w:rPr>
          <w:rFonts w:ascii="Times New Roman" w:hAnsi="Times New Roman" w:eastAsia="仿宋_GB2312" w:cs="Times New Roman"/>
          <w:spacing w:val="-20"/>
          <w:sz w:val="32"/>
          <w:szCs w:val="32"/>
          <w:u w:val="single"/>
        </w:rPr>
        <w:t xml:space="preserve">     </w:t>
      </w:r>
    </w:p>
    <w:p>
      <w:pPr>
        <w:spacing w:line="900" w:lineRule="exact"/>
        <w:ind w:left="2240" w:hanging="2240" w:hangingChars="700"/>
        <w:rPr>
          <w:rFonts w:ascii="Times New Roman" w:hAnsi="Times New Roman" w:eastAsia="仿宋_GB2312"/>
          <w:sz w:val="32"/>
          <w:szCs w:val="32"/>
          <w:u w:val="single"/>
        </w:rPr>
      </w:pPr>
      <w:r>
        <w:rPr>
          <w:rFonts w:hint="eastAsia" w:ascii="Times New Roman" w:hAnsi="Times New Roman" w:eastAsia="仿宋_GB2312"/>
          <w:sz w:val="32"/>
          <w:szCs w:val="32"/>
        </w:rPr>
        <w:t>主 管 部 门：</w:t>
      </w:r>
      <w:r>
        <w:rPr>
          <w:rFonts w:hint="eastAsia" w:ascii="Times New Roman" w:hAnsi="Times New Roman" w:eastAsia="仿宋_GB2312"/>
          <w:sz w:val="32"/>
          <w:szCs w:val="32"/>
          <w:u w:val="single"/>
        </w:rPr>
        <w:t xml:space="preserve">            天津市和平区体育局                             </w:t>
      </w:r>
    </w:p>
    <w:p>
      <w:pPr>
        <w:spacing w:line="900" w:lineRule="exact"/>
        <w:ind w:firstLine="0" w:firstLineChars="0"/>
        <w:rPr>
          <w:rFonts w:ascii="Times New Roman" w:hAnsi="Times New Roman" w:eastAsia="仿宋_GB2312"/>
          <w:sz w:val="32"/>
          <w:szCs w:val="32"/>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 xml:space="preserve">价 </w:t>
      </w:r>
      <w:r>
        <w:rPr>
          <w:rFonts w:ascii="Times New Roman" w:hAnsi="Times New Roman" w:eastAsia="仿宋_GB2312"/>
          <w:sz w:val="32"/>
          <w:szCs w:val="32"/>
        </w:rPr>
        <w:t>机 构</w:t>
      </w:r>
      <w:r>
        <w:rPr>
          <w:rFonts w:hint="eastAsia" w:ascii="Times New Roman" w:hAnsi="Times New Roman" w:eastAsia="仿宋_GB2312"/>
          <w:sz w:val="32"/>
          <w:szCs w:val="32"/>
        </w:rPr>
        <w:t>：</w:t>
      </w:r>
      <w:r>
        <w:rPr>
          <w:rFonts w:ascii="Times New Roman" w:hAnsi="Times New Roman" w:eastAsia="仿宋_GB2312"/>
          <w:sz w:val="32"/>
          <w:szCs w:val="32"/>
          <w:u w:val="single"/>
        </w:rPr>
        <w:t xml:space="preserve">         天津</w:t>
      </w:r>
      <w:r>
        <w:rPr>
          <w:rFonts w:hint="eastAsia" w:ascii="Times New Roman" w:hAnsi="Times New Roman" w:eastAsia="仿宋_GB2312"/>
          <w:sz w:val="32"/>
          <w:szCs w:val="32"/>
          <w:u w:val="single"/>
        </w:rPr>
        <w:t>安信管理咨询</w:t>
      </w:r>
      <w:r>
        <w:rPr>
          <w:rFonts w:ascii="Times New Roman" w:hAnsi="Times New Roman" w:eastAsia="仿宋_GB2312"/>
          <w:sz w:val="32"/>
          <w:szCs w:val="32"/>
          <w:u w:val="single"/>
        </w:rPr>
        <w:t>有限公司</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spacing w:line="900" w:lineRule="exact"/>
        <w:ind w:firstLine="0" w:firstLineChars="0"/>
        <w:rPr>
          <w:rFonts w:ascii="Times New Roman" w:hAnsi="Times New Roman" w:eastAsia="仿宋_GB2312"/>
          <w:sz w:val="32"/>
          <w:szCs w:val="32"/>
          <w:u w:val="single"/>
        </w:rPr>
      </w:pPr>
      <w:r>
        <w:rPr>
          <w:rFonts w:ascii="Times New Roman" w:hAnsi="Times New Roman" w:eastAsia="仿宋_GB2312"/>
          <w:sz w:val="32"/>
          <w:szCs w:val="32"/>
        </w:rPr>
        <w:t xml:space="preserve">评 </w:t>
      </w:r>
      <w:r>
        <w:rPr>
          <w:rFonts w:hint="eastAsia" w:ascii="Times New Roman" w:hAnsi="Times New Roman" w:eastAsia="仿宋_GB2312"/>
          <w:sz w:val="32"/>
          <w:szCs w:val="32"/>
        </w:rPr>
        <w:t>价</w:t>
      </w:r>
      <w:r>
        <w:rPr>
          <w:rFonts w:ascii="Times New Roman" w:hAnsi="Times New Roman" w:eastAsia="仿宋_GB2312"/>
          <w:sz w:val="32"/>
          <w:szCs w:val="32"/>
        </w:rPr>
        <w:t xml:space="preserve"> 日 期：</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cs="Times New Roman"/>
          <w:sz w:val="32"/>
          <w:szCs w:val="32"/>
          <w:u w:val="single"/>
        </w:rPr>
        <w:t>202</w:t>
      </w:r>
      <w:r>
        <w:rPr>
          <w:rFonts w:hint="eastAsia" w:ascii="Times New Roman" w:hAnsi="Times New Roman" w:eastAsia="仿宋_GB2312" w:cs="Times New Roman"/>
          <w:sz w:val="32"/>
          <w:szCs w:val="32"/>
          <w:u w:val="single"/>
        </w:rPr>
        <w:t>4</w:t>
      </w:r>
      <w:r>
        <w:rPr>
          <w:rFonts w:hint="eastAsia" w:ascii="Times New Roman" w:hAnsi="Times New Roman" w:eastAsia="仿宋_GB2312"/>
          <w:sz w:val="32"/>
          <w:szCs w:val="32"/>
          <w:u w:val="single"/>
        </w:rPr>
        <w:t>年</w:t>
      </w:r>
      <w:r>
        <w:rPr>
          <w:rFonts w:hint="eastAsia" w:ascii="Times New Roman" w:hAnsi="Times New Roman" w:eastAsia="仿宋_GB2312" w:cs="Times New Roman"/>
          <w:sz w:val="32"/>
          <w:szCs w:val="32"/>
          <w:u w:val="single"/>
        </w:rPr>
        <w:t>8</w:t>
      </w:r>
      <w:r>
        <w:rPr>
          <w:rFonts w:hint="eastAsia" w:ascii="Times New Roman" w:hAnsi="Times New Roman" w:eastAsia="仿宋_GB2312"/>
          <w:sz w:val="32"/>
          <w:szCs w:val="32"/>
          <w:u w:val="single"/>
        </w:rPr>
        <w:t xml:space="preserve">月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r>
        <w:rPr>
          <w:rFonts w:hint="eastAsia" w:ascii="Times New Roman" w:hAnsi="Times New Roman" w:eastAsia="仿宋_GB2312"/>
          <w:sz w:val="32"/>
          <w:szCs w:val="32"/>
          <w:u w:val="single"/>
        </w:rPr>
        <w:t xml:space="preserve">       </w:t>
      </w:r>
      <w:r>
        <w:rPr>
          <w:rFonts w:ascii="Times New Roman" w:hAnsi="Times New Roman" w:eastAsia="仿宋_GB2312"/>
          <w:sz w:val="32"/>
          <w:szCs w:val="32"/>
          <w:u w:val="single"/>
        </w:rPr>
        <w:t xml:space="preserve">  </w:t>
      </w:r>
    </w:p>
    <w:p>
      <w:pPr>
        <w:widowControl/>
        <w:spacing w:line="240" w:lineRule="auto"/>
        <w:ind w:firstLine="0" w:firstLineChars="0"/>
        <w:rPr>
          <w:rFonts w:ascii="Times New Roman" w:hAnsi="Times New Roman" w:eastAsia="方正小标宋简体"/>
          <w:bCs/>
          <w:color w:val="000000" w:themeColor="text1"/>
          <w:kern w:val="44"/>
          <w:sz w:val="44"/>
          <w:szCs w:val="44"/>
          <w14:textFill>
            <w14:solidFill>
              <w14:schemeClr w14:val="tx1"/>
            </w14:solidFill>
          </w14:textFill>
        </w:rPr>
      </w:pPr>
      <w:r>
        <w:rPr>
          <w:rFonts w:ascii="Times New Roman" w:hAnsi="Times New Roman" w:eastAsia="方正小标宋简体"/>
          <w:bCs/>
          <w:color w:val="000000" w:themeColor="text1"/>
          <w:kern w:val="44"/>
          <w:sz w:val="44"/>
          <w:szCs w:val="44"/>
          <w14:textFill>
            <w14:solidFill>
              <w14:schemeClr w14:val="tx1"/>
            </w14:solidFill>
          </w14:textFill>
        </w:rPr>
        <w:br w:type="page"/>
      </w:r>
      <w:bookmarkStart w:id="56" w:name="_GoBack"/>
      <w:bookmarkEnd w:id="56"/>
    </w:p>
    <w:sdt>
      <w:sdtPr>
        <w:rPr>
          <w:rFonts w:ascii="Times New Roman" w:hAnsi="Times New Roman"/>
          <w:lang w:val="zh-CN"/>
        </w:rPr>
        <w:id w:val="-505280812"/>
        <w:docPartObj>
          <w:docPartGallery w:val="Table of Contents"/>
          <w:docPartUnique/>
        </w:docPartObj>
      </w:sdtPr>
      <w:sdtEndPr>
        <w:rPr>
          <w:rFonts w:ascii="Times New Roman" w:hAnsi="Times New Roman"/>
          <w:b/>
          <w:bCs/>
          <w:lang w:val="zh-CN"/>
        </w:rPr>
      </w:sdtEndPr>
      <w:sdtContent>
        <w:p>
          <w:pPr>
            <w:pStyle w:val="50"/>
            <w:spacing w:before="0" w:line="560" w:lineRule="exact"/>
            <w:ind w:firstLine="420"/>
            <w:jc w:val="center"/>
            <w:rPr>
              <w:rFonts w:ascii="Times New Roman" w:hAnsi="Times New Roman"/>
            </w:rPr>
          </w:pPr>
          <w:r>
            <w:rPr>
              <w:rFonts w:hint="eastAsia" w:ascii="黑体" w:hAnsi="黑体" w:eastAsia="黑体" w:cs="黑体"/>
              <w:color w:val="auto"/>
              <w:sz w:val="36"/>
              <w:szCs w:val="36"/>
            </w:rPr>
            <w:t>目  录</w:t>
          </w:r>
          <w:r>
            <w:rPr>
              <w:rFonts w:ascii="Times New Roman" w:hAnsi="Times New Roman" w:eastAsia="仿宋_GB2312" w:cs="黑体"/>
              <w:color w:val="auto"/>
            </w:rPr>
            <w:fldChar w:fldCharType="begin"/>
          </w:r>
          <w:r>
            <w:rPr>
              <w:rFonts w:ascii="Times New Roman" w:hAnsi="Times New Roman" w:eastAsia="仿宋_GB2312" w:cs="黑体"/>
              <w:color w:val="auto"/>
            </w:rPr>
            <w:instrText xml:space="preserve"> </w:instrText>
          </w:r>
          <w:r>
            <w:rPr>
              <w:rFonts w:hint="eastAsia" w:ascii="Times New Roman" w:hAnsi="Times New Roman" w:eastAsia="仿宋_GB2312" w:cs="黑体"/>
              <w:color w:val="auto"/>
            </w:rPr>
            <w:instrText xml:space="preserve">TOC \o "1-3" \h \z \u</w:instrText>
          </w:r>
          <w:r>
            <w:rPr>
              <w:rFonts w:ascii="Times New Roman" w:hAnsi="Times New Roman" w:eastAsia="仿宋_GB2312" w:cs="黑体"/>
              <w:color w:val="auto"/>
            </w:rPr>
            <w:instrText xml:space="preserve"> </w:instrText>
          </w:r>
          <w:r>
            <w:rPr>
              <w:rFonts w:ascii="Times New Roman" w:hAnsi="Times New Roman" w:eastAsia="仿宋_GB2312" w:cs="黑体"/>
              <w:color w:val="auto"/>
            </w:rPr>
            <w:fldChar w:fldCharType="separate"/>
          </w:r>
        </w:p>
        <w:p>
          <w:pPr>
            <w:pStyle w:val="13"/>
            <w:ind w:left="643" w:hanging="643"/>
            <w:rPr>
              <w:rFonts w:eastAsiaTheme="minorEastAsia"/>
              <w:b w:val="0"/>
              <w:sz w:val="21"/>
              <w:szCs w:val="22"/>
            </w:rPr>
          </w:pPr>
          <w:r>
            <w:fldChar w:fldCharType="begin"/>
          </w:r>
          <w:r>
            <w:instrText xml:space="preserve"> HYPERLINK \l "_Toc181369910" </w:instrText>
          </w:r>
          <w:r>
            <w:fldChar w:fldCharType="separate"/>
          </w:r>
          <w:r>
            <w:rPr>
              <w:rStyle w:val="21"/>
            </w:rPr>
            <w:t>一、项目基本情况</w:t>
          </w:r>
          <w:r>
            <w:tab/>
          </w:r>
          <w:r>
            <w:fldChar w:fldCharType="begin"/>
          </w:r>
          <w:r>
            <w:instrText xml:space="preserve"> PAGEREF _Toc181369910 \h </w:instrText>
          </w:r>
          <w:r>
            <w:fldChar w:fldCharType="separate"/>
          </w:r>
          <w:r>
            <w:t>- 1 -</w:t>
          </w:r>
          <w:r>
            <w:fldChar w:fldCharType="end"/>
          </w:r>
          <w: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"_Toc181369911" </w:instrText>
          </w:r>
          <w:r>
            <w:fldChar w:fldCharType="separate"/>
          </w:r>
          <w:r>
            <w:rPr>
              <w:rStyle w:val="21"/>
              <w:rFonts w:ascii="Times New Roman" w:hAnsi="Times New Roman"/>
            </w:rPr>
            <w:t>（一）项目概况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_Toc181369911 \h </w:instrText>
          </w:r>
          <w:r>
            <w:rPr>
              <w:rFonts w:ascii="Times New Roman" w:hAnsi="Times New Roman"/>
            </w:rPr>
            <w:fldChar w:fldCharType="separate"/>
          </w:r>
          <w:r>
            <w:rPr>
              <w:rFonts w:ascii="Times New Roman" w:hAnsi="Times New Roman"/>
            </w:rPr>
            <w:t>- 1 -</w:t>
          </w:r>
          <w:r>
            <w:rPr>
              <w:rFonts w:ascii="Times New Roman" w:hAnsi="Times New Roman"/>
            </w:rPr>
            <w:fldChar w:fldCharType="end"/>
          </w:r>
          <w:r>
            <w:rPr>
              <w:rFonts w:ascii="Times New Roman" w:hAnsi="Times New Roman"/>
            </w:rP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"_Toc181369912" </w:instrText>
          </w:r>
          <w:r>
            <w:fldChar w:fldCharType="separate"/>
          </w:r>
          <w:r>
            <w:rPr>
              <w:rStyle w:val="21"/>
              <w:rFonts w:ascii="Times New Roman" w:hAnsi="Times New Roman"/>
            </w:rPr>
            <w:t>（二）项目绩效目标</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_Toc181369912 \h </w:instrText>
          </w:r>
          <w:r>
            <w:rPr>
              <w:rFonts w:ascii="Times New Roman" w:hAnsi="Times New Roman"/>
            </w:rPr>
            <w:fldChar w:fldCharType="separate"/>
          </w:r>
          <w:r>
            <w:rPr>
              <w:rFonts w:ascii="Times New Roman" w:hAnsi="Times New Roman"/>
            </w:rPr>
            <w:t>- 3 -</w:t>
          </w:r>
          <w:r>
            <w:rPr>
              <w:rFonts w:ascii="Times New Roman" w:hAnsi="Times New Roman"/>
            </w:rPr>
            <w:fldChar w:fldCharType="end"/>
          </w:r>
          <w:r>
            <w:rPr>
              <w:rFonts w:ascii="Times New Roman" w:hAnsi="Times New Roman"/>
            </w:rPr>
            <w:fldChar w:fldCharType="end"/>
          </w:r>
        </w:p>
        <w:p>
          <w:pPr>
            <w:pStyle w:val="13"/>
            <w:ind w:left="643" w:hanging="643"/>
            <w:rPr>
              <w:rFonts w:eastAsiaTheme="minorEastAsia"/>
              <w:b w:val="0"/>
              <w:sz w:val="21"/>
              <w:szCs w:val="22"/>
            </w:rPr>
          </w:pPr>
          <w:r>
            <w:fldChar w:fldCharType="begin"/>
          </w:r>
          <w:r>
            <w:instrText xml:space="preserve"> HYPERLINK \l "_Toc181369913" </w:instrText>
          </w:r>
          <w:r>
            <w:fldChar w:fldCharType="separate"/>
          </w:r>
          <w:r>
            <w:rPr>
              <w:rStyle w:val="21"/>
            </w:rPr>
            <w:t>二、绩效评价工作开展情况</w:t>
          </w:r>
          <w:r>
            <w:tab/>
          </w:r>
          <w:r>
            <w:fldChar w:fldCharType="begin"/>
          </w:r>
          <w:r>
            <w:instrText xml:space="preserve"> PAGEREF _Toc181369913 \h </w:instrText>
          </w:r>
          <w:r>
            <w:fldChar w:fldCharType="separate"/>
          </w:r>
          <w:r>
            <w:t>- 4 -</w:t>
          </w:r>
          <w:r>
            <w:fldChar w:fldCharType="end"/>
          </w:r>
          <w: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"_Toc181369914" </w:instrText>
          </w:r>
          <w:r>
            <w:fldChar w:fldCharType="separate"/>
          </w:r>
          <w:r>
            <w:rPr>
              <w:rStyle w:val="21"/>
              <w:rFonts w:ascii="Times New Roman" w:hAnsi="Times New Roman"/>
            </w:rPr>
            <w:t>（一）绩效评价的目的、对象和范围</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_Toc181369914 \h </w:instrText>
          </w:r>
          <w:r>
            <w:rPr>
              <w:rFonts w:ascii="Times New Roman" w:hAnsi="Times New Roman"/>
            </w:rPr>
            <w:fldChar w:fldCharType="separate"/>
          </w:r>
          <w:r>
            <w:rPr>
              <w:rFonts w:ascii="Times New Roman" w:hAnsi="Times New Roman"/>
            </w:rPr>
            <w:t>- 4 -</w:t>
          </w:r>
          <w:r>
            <w:rPr>
              <w:rFonts w:ascii="Times New Roman" w:hAnsi="Times New Roman"/>
            </w:rPr>
            <w:fldChar w:fldCharType="end"/>
          </w:r>
          <w:r>
            <w:rPr>
              <w:rFonts w:ascii="Times New Roman" w:hAnsi="Times New Roman"/>
            </w:rP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"_Toc181369915" </w:instrText>
          </w:r>
          <w:r>
            <w:fldChar w:fldCharType="separate"/>
          </w:r>
          <w:r>
            <w:rPr>
              <w:rStyle w:val="21"/>
              <w:rFonts w:ascii="Times New Roman" w:hAnsi="Times New Roman"/>
            </w:rPr>
            <w:t>（二）</w:t>
          </w:r>
          <w:r>
            <w:rPr>
              <w:rStyle w:val="21"/>
              <w:rFonts w:ascii="Times New Roman" w:hAnsi="Times New Roman" w:cs="楷体_GB2312"/>
            </w:rPr>
            <w:t>绩效评价原则、评价指标体系、评价方法</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_Toc181369915 \h </w:instrText>
          </w:r>
          <w:r>
            <w:rPr>
              <w:rFonts w:ascii="Times New Roman" w:hAnsi="Times New Roman"/>
            </w:rPr>
            <w:fldChar w:fldCharType="separate"/>
          </w:r>
          <w:r>
            <w:rPr>
              <w:rFonts w:ascii="Times New Roman" w:hAnsi="Times New Roman"/>
            </w:rPr>
            <w:t>- 5 -</w:t>
          </w:r>
          <w:r>
            <w:rPr>
              <w:rFonts w:ascii="Times New Roman" w:hAnsi="Times New Roman"/>
            </w:rPr>
            <w:fldChar w:fldCharType="end"/>
          </w:r>
          <w:r>
            <w:rPr>
              <w:rFonts w:ascii="Times New Roman" w:hAnsi="Times New Roman"/>
            </w:rP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"_Toc181369916" </w:instrText>
          </w:r>
          <w:r>
            <w:fldChar w:fldCharType="separate"/>
          </w:r>
          <w:r>
            <w:rPr>
              <w:rStyle w:val="21"/>
              <w:rFonts w:ascii="Times New Roman" w:hAnsi="Times New Roman"/>
            </w:rPr>
            <w:t>（三）绩效评价工作过程</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_Toc181369916 \h </w:instrText>
          </w:r>
          <w:r>
            <w:rPr>
              <w:rFonts w:ascii="Times New Roman" w:hAnsi="Times New Roman"/>
            </w:rPr>
            <w:fldChar w:fldCharType="separate"/>
          </w:r>
          <w:r>
            <w:rPr>
              <w:rFonts w:ascii="Times New Roman" w:hAnsi="Times New Roman"/>
            </w:rPr>
            <w:t>- 12 -</w:t>
          </w:r>
          <w:r>
            <w:rPr>
              <w:rFonts w:ascii="Times New Roman" w:hAnsi="Times New Roman"/>
            </w:rPr>
            <w:fldChar w:fldCharType="end"/>
          </w:r>
          <w:r>
            <w:rPr>
              <w:rFonts w:ascii="Times New Roman" w:hAnsi="Times New Roman"/>
            </w:rPr>
            <w:fldChar w:fldCharType="end"/>
          </w:r>
        </w:p>
        <w:p>
          <w:pPr>
            <w:pStyle w:val="13"/>
            <w:ind w:left="643" w:hanging="643"/>
            <w:rPr>
              <w:rFonts w:eastAsiaTheme="minorEastAsia"/>
              <w:b w:val="0"/>
              <w:sz w:val="21"/>
              <w:szCs w:val="22"/>
            </w:rPr>
          </w:pPr>
          <w:r>
            <w:fldChar w:fldCharType="begin"/>
          </w:r>
          <w:r>
            <w:instrText xml:space="preserve"> HYPERLINK \l "_Toc181369917" </w:instrText>
          </w:r>
          <w:r>
            <w:fldChar w:fldCharType="separate"/>
          </w:r>
          <w:r>
            <w:rPr>
              <w:rStyle w:val="21"/>
            </w:rPr>
            <w:t>三、综合评价情况及评价结论</w:t>
          </w:r>
          <w:r>
            <w:tab/>
          </w:r>
          <w:r>
            <w:fldChar w:fldCharType="begin"/>
          </w:r>
          <w:r>
            <w:instrText xml:space="preserve"> PAGEREF _Toc181369917 \h </w:instrText>
          </w:r>
          <w:r>
            <w:fldChar w:fldCharType="separate"/>
          </w:r>
          <w:r>
            <w:t>- 14 -</w:t>
          </w:r>
          <w:r>
            <w:fldChar w:fldCharType="end"/>
          </w:r>
          <w:r>
            <w:fldChar w:fldCharType="end"/>
          </w:r>
        </w:p>
        <w:p>
          <w:pPr>
            <w:pStyle w:val="13"/>
            <w:ind w:left="643" w:hanging="643"/>
            <w:rPr>
              <w:rFonts w:eastAsiaTheme="minorEastAsia"/>
              <w:b w:val="0"/>
              <w:sz w:val="21"/>
              <w:szCs w:val="22"/>
            </w:rPr>
          </w:pPr>
          <w:r>
            <w:fldChar w:fldCharType="begin"/>
          </w:r>
          <w:r>
            <w:instrText xml:space="preserve"> HYPERLINK \l "_Toc181369918" </w:instrText>
          </w:r>
          <w:r>
            <w:fldChar w:fldCharType="separate"/>
          </w:r>
          <w:r>
            <w:rPr>
              <w:rStyle w:val="21"/>
            </w:rPr>
            <w:t>四、绩效评价指标分析</w:t>
          </w:r>
          <w:r>
            <w:tab/>
          </w:r>
          <w:r>
            <w:fldChar w:fldCharType="begin"/>
          </w:r>
          <w:r>
            <w:instrText xml:space="preserve"> PAGEREF _Toc181369918 \h </w:instrText>
          </w:r>
          <w:r>
            <w:fldChar w:fldCharType="separate"/>
          </w:r>
          <w:r>
            <w:t>- 15 -</w:t>
          </w:r>
          <w:r>
            <w:fldChar w:fldCharType="end"/>
          </w:r>
          <w: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"_Toc181369919" </w:instrText>
          </w:r>
          <w:r>
            <w:fldChar w:fldCharType="separate"/>
          </w:r>
          <w:r>
            <w:rPr>
              <w:rStyle w:val="21"/>
              <w:rFonts w:ascii="Times New Roman" w:hAnsi="Times New Roman"/>
            </w:rPr>
            <w:t>（一）项目决策情况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_Toc181369919 \h </w:instrText>
          </w:r>
          <w:r>
            <w:rPr>
              <w:rFonts w:ascii="Times New Roman" w:hAnsi="Times New Roman"/>
            </w:rPr>
            <w:fldChar w:fldCharType="separate"/>
          </w:r>
          <w:r>
            <w:rPr>
              <w:rFonts w:ascii="Times New Roman" w:hAnsi="Times New Roman"/>
            </w:rPr>
            <w:t>- 15 -</w:t>
          </w:r>
          <w:r>
            <w:rPr>
              <w:rFonts w:ascii="Times New Roman" w:hAnsi="Times New Roman"/>
            </w:rPr>
            <w:fldChar w:fldCharType="end"/>
          </w:r>
          <w:r>
            <w:rPr>
              <w:rFonts w:ascii="Times New Roman" w:hAnsi="Times New Roman"/>
            </w:rP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"_Toc181369920" </w:instrText>
          </w:r>
          <w:r>
            <w:fldChar w:fldCharType="separate"/>
          </w:r>
          <w:r>
            <w:rPr>
              <w:rStyle w:val="21"/>
              <w:rFonts w:ascii="Times New Roman" w:hAnsi="Times New Roman"/>
            </w:rPr>
            <w:t>（二）项目过程情况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_Toc181369920 \h </w:instrText>
          </w:r>
          <w:r>
            <w:rPr>
              <w:rFonts w:ascii="Times New Roman" w:hAnsi="Times New Roman"/>
            </w:rPr>
            <w:fldChar w:fldCharType="separate"/>
          </w:r>
          <w:r>
            <w:rPr>
              <w:rFonts w:ascii="Times New Roman" w:hAnsi="Times New Roman"/>
            </w:rPr>
            <w:t>- 18 -</w:t>
          </w:r>
          <w:r>
            <w:rPr>
              <w:rFonts w:ascii="Times New Roman" w:hAnsi="Times New Roman"/>
            </w:rPr>
            <w:fldChar w:fldCharType="end"/>
          </w:r>
          <w:r>
            <w:rPr>
              <w:rFonts w:ascii="Times New Roman" w:hAnsi="Times New Roman"/>
            </w:rP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"_Toc181369921" </w:instrText>
          </w:r>
          <w:r>
            <w:fldChar w:fldCharType="separate"/>
          </w:r>
          <w:r>
            <w:rPr>
              <w:rStyle w:val="21"/>
              <w:rFonts w:ascii="Times New Roman" w:hAnsi="Times New Roman"/>
            </w:rPr>
            <w:t>（三）项目产出情况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_Toc181369921 \h </w:instrText>
          </w:r>
          <w:r>
            <w:rPr>
              <w:rFonts w:ascii="Times New Roman" w:hAnsi="Times New Roman"/>
            </w:rPr>
            <w:fldChar w:fldCharType="separate"/>
          </w:r>
          <w:r>
            <w:rPr>
              <w:rFonts w:ascii="Times New Roman" w:hAnsi="Times New Roman"/>
            </w:rPr>
            <w:t>- 24 -</w:t>
          </w:r>
          <w:r>
            <w:rPr>
              <w:rFonts w:ascii="Times New Roman" w:hAnsi="Times New Roman"/>
            </w:rPr>
            <w:fldChar w:fldCharType="end"/>
          </w:r>
          <w:r>
            <w:rPr>
              <w:rFonts w:ascii="Times New Roman" w:hAnsi="Times New Roman"/>
            </w:rPr>
            <w:fldChar w:fldCharType="end"/>
          </w:r>
        </w:p>
        <w:p>
          <w:pPr>
            <w:pStyle w:val="9"/>
            <w:ind w:left="1131" w:hanging="845"/>
            <w:rPr>
              <w:rFonts w:ascii="Times New Roman" w:hAnsi="Times New Roman" w:eastAsiaTheme="minorEastAsia"/>
              <w:sz w:val="21"/>
              <w:szCs w:val="22"/>
            </w:rPr>
          </w:pPr>
          <w:r>
            <w:fldChar w:fldCharType="begin"/>
          </w:r>
          <w:r>
            <w:instrText xml:space="preserve"> HYPERLINK \l "_Toc181369922" </w:instrText>
          </w:r>
          <w:r>
            <w:fldChar w:fldCharType="separate"/>
          </w:r>
          <w:r>
            <w:rPr>
              <w:rStyle w:val="21"/>
              <w:rFonts w:ascii="Times New Roman" w:hAnsi="Times New Roman"/>
            </w:rPr>
            <w:t>（四）项目效益情况</w:t>
          </w:r>
          <w:r>
            <w:rPr>
              <w:rFonts w:ascii="Times New Roman" w:hAnsi="Times New Roman"/>
            </w:rPr>
            <w:tab/>
          </w:r>
          <w:r>
            <w:rPr>
              <w:rFonts w:ascii="Times New Roman" w:hAnsi="Times New Roman"/>
            </w:rPr>
            <w:fldChar w:fldCharType="begin"/>
          </w:r>
          <w:r>
            <w:rPr>
              <w:rFonts w:ascii="Times New Roman" w:hAnsi="Times New Roman"/>
            </w:rPr>
            <w:instrText xml:space="preserve"> PAGEREF _Toc181369922 \h </w:instrText>
          </w:r>
          <w:r>
            <w:rPr>
              <w:rFonts w:ascii="Times New Roman" w:hAnsi="Times New Roman"/>
            </w:rPr>
            <w:fldChar w:fldCharType="separate"/>
          </w:r>
          <w:r>
            <w:rPr>
              <w:rFonts w:ascii="Times New Roman" w:hAnsi="Times New Roman"/>
            </w:rPr>
            <w:t>- 28 -</w:t>
          </w:r>
          <w:r>
            <w:rPr>
              <w:rFonts w:ascii="Times New Roman" w:hAnsi="Times New Roman"/>
            </w:rPr>
            <w:fldChar w:fldCharType="end"/>
          </w:r>
          <w:r>
            <w:rPr>
              <w:rFonts w:ascii="Times New Roman" w:hAnsi="Times New Roman"/>
            </w:rPr>
            <w:fldChar w:fldCharType="end"/>
          </w:r>
        </w:p>
        <w:p>
          <w:pPr>
            <w:pStyle w:val="13"/>
            <w:ind w:left="643" w:hanging="643"/>
            <w:rPr>
              <w:rFonts w:eastAsiaTheme="minorEastAsia"/>
              <w:b w:val="0"/>
              <w:sz w:val="21"/>
              <w:szCs w:val="22"/>
            </w:rPr>
          </w:pPr>
          <w:r>
            <w:fldChar w:fldCharType="begin"/>
          </w:r>
          <w:r>
            <w:instrText xml:space="preserve"> HYPERLINK \l "_Toc181369923" </w:instrText>
          </w:r>
          <w:r>
            <w:fldChar w:fldCharType="separate"/>
          </w:r>
          <w:r>
            <w:rPr>
              <w:rStyle w:val="21"/>
            </w:rPr>
            <w:t>五、存在的主要问题</w:t>
          </w:r>
          <w:r>
            <w:tab/>
          </w:r>
          <w:r>
            <w:fldChar w:fldCharType="begin"/>
          </w:r>
          <w:r>
            <w:instrText xml:space="preserve"> PAGEREF _Toc181369923 \h </w:instrText>
          </w:r>
          <w:r>
            <w:fldChar w:fldCharType="separate"/>
          </w:r>
          <w:r>
            <w:t>- 31 -</w:t>
          </w:r>
          <w:r>
            <w:fldChar w:fldCharType="end"/>
          </w:r>
          <w:r>
            <w:fldChar w:fldCharType="end"/>
          </w:r>
        </w:p>
        <w:p>
          <w:pPr>
            <w:pStyle w:val="9"/>
            <w:ind w:left="1131" w:hanging="845"/>
            <w:rPr>
              <w:rFonts w:ascii="Times New Roman" w:hAnsi="Times New Roman" w:eastAsiaTheme="minorEastAsia"/>
              <w:sz w:val="21"/>
              <w:szCs w:val="22"/>
              <w:highlight w:val="none"/>
            </w:rPr>
          </w:pPr>
          <w:r>
            <w:rPr>
              <w:highlight w:val="none"/>
            </w:rPr>
            <w:fldChar w:fldCharType="begin"/>
          </w:r>
          <w:r>
            <w:rPr>
              <w:highlight w:val="none"/>
            </w:rPr>
            <w:instrText xml:space="preserve"> HYPERLINK \l "_Toc181369924" </w:instrText>
          </w:r>
          <w:r>
            <w:rPr>
              <w:highlight w:val="none"/>
            </w:rPr>
            <w:fldChar w:fldCharType="separate"/>
          </w:r>
          <w:r>
            <w:rPr>
              <w:rStyle w:val="21"/>
              <w:rFonts w:ascii="Times New Roman" w:hAnsi="Times New Roman"/>
              <w:highlight w:val="none"/>
            </w:rPr>
            <w:t>（一）绩效目标设置质量不高</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_Toc181369924 \h </w:instrText>
          </w:r>
          <w:r>
            <w:rPr>
              <w:rFonts w:ascii="Times New Roman" w:hAnsi="Times New Roman"/>
              <w:highlight w:val="none"/>
            </w:rPr>
            <w:fldChar w:fldCharType="separate"/>
          </w:r>
          <w:r>
            <w:rPr>
              <w:rFonts w:ascii="Times New Roman" w:hAnsi="Times New Roman"/>
              <w:highlight w:val="none"/>
            </w:rPr>
            <w:t>- 31 -</w:t>
          </w:r>
          <w:r>
            <w:rPr>
              <w:rFonts w:ascii="Times New Roman" w:hAnsi="Times New Roman"/>
              <w:highlight w:val="none"/>
            </w:rPr>
            <w:fldChar w:fldCharType="end"/>
          </w:r>
          <w:r>
            <w:rPr>
              <w:rFonts w:ascii="Times New Roman" w:hAnsi="Times New Roman"/>
              <w:highlight w:val="none"/>
            </w:rPr>
            <w:fldChar w:fldCharType="end"/>
          </w:r>
        </w:p>
        <w:p>
          <w:pPr>
            <w:pStyle w:val="9"/>
            <w:ind w:left="1131" w:hanging="845"/>
            <w:rPr>
              <w:rFonts w:ascii="Times New Roman" w:hAnsi="Times New Roman" w:eastAsiaTheme="minorEastAsia"/>
              <w:sz w:val="21"/>
              <w:szCs w:val="22"/>
              <w:highlight w:val="none"/>
            </w:rPr>
          </w:pPr>
          <w:r>
            <w:rPr>
              <w:highlight w:val="none"/>
            </w:rPr>
            <w:fldChar w:fldCharType="begin"/>
          </w:r>
          <w:r>
            <w:rPr>
              <w:highlight w:val="none"/>
            </w:rPr>
            <w:instrText xml:space="preserve"> HYPERLINK \l "_Toc181369925" </w:instrText>
          </w:r>
          <w:r>
            <w:rPr>
              <w:highlight w:val="none"/>
            </w:rPr>
            <w:fldChar w:fldCharType="separate"/>
          </w:r>
          <w:r>
            <w:rPr>
              <w:rStyle w:val="21"/>
              <w:rFonts w:ascii="Times New Roman" w:hAnsi="Times New Roman"/>
              <w:highlight w:val="none"/>
            </w:rPr>
            <w:t>（二）项目测算依据不明确，预算执行不到位</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_Toc181369925 \h </w:instrText>
          </w:r>
          <w:r>
            <w:rPr>
              <w:rFonts w:ascii="Times New Roman" w:hAnsi="Times New Roman"/>
              <w:highlight w:val="none"/>
            </w:rPr>
            <w:fldChar w:fldCharType="separate"/>
          </w:r>
          <w:r>
            <w:rPr>
              <w:rFonts w:ascii="Times New Roman" w:hAnsi="Times New Roman"/>
              <w:highlight w:val="none"/>
            </w:rPr>
            <w:t>- 31 -</w:t>
          </w:r>
          <w:r>
            <w:rPr>
              <w:rFonts w:ascii="Times New Roman" w:hAnsi="Times New Roman"/>
              <w:highlight w:val="none"/>
            </w:rPr>
            <w:fldChar w:fldCharType="end"/>
          </w:r>
          <w:r>
            <w:rPr>
              <w:rFonts w:ascii="Times New Roman" w:hAnsi="Times New Roman"/>
              <w:highlight w:val="none"/>
            </w:rPr>
            <w:fldChar w:fldCharType="end"/>
          </w:r>
        </w:p>
        <w:p>
          <w:pPr>
            <w:pStyle w:val="9"/>
            <w:ind w:left="1131" w:hanging="845"/>
            <w:rPr>
              <w:rFonts w:ascii="Times New Roman" w:hAnsi="Times New Roman" w:eastAsiaTheme="minorEastAsia"/>
              <w:sz w:val="21"/>
              <w:szCs w:val="22"/>
              <w:highlight w:val="none"/>
            </w:rPr>
          </w:pPr>
          <w:r>
            <w:rPr>
              <w:highlight w:val="none"/>
            </w:rPr>
            <w:fldChar w:fldCharType="begin"/>
          </w:r>
          <w:r>
            <w:rPr>
              <w:highlight w:val="none"/>
            </w:rPr>
            <w:instrText xml:space="preserve"> HYPERLINK \l "_Toc181369926" </w:instrText>
          </w:r>
          <w:r>
            <w:rPr>
              <w:highlight w:val="none"/>
            </w:rPr>
            <w:fldChar w:fldCharType="separate"/>
          </w:r>
          <w:r>
            <w:rPr>
              <w:rStyle w:val="21"/>
              <w:rFonts w:ascii="Times New Roman" w:hAnsi="Times New Roman"/>
              <w:highlight w:val="none"/>
            </w:rPr>
            <w:t>（三）</w:t>
          </w:r>
          <w:r>
            <w:rPr>
              <w:rStyle w:val="21"/>
              <w:rFonts w:ascii="Times New Roman" w:hAnsi="Times New Roman" w:cs="Segoe UI"/>
              <w:highlight w:val="none"/>
              <w:shd w:val="clear" w:color="auto" w:fill="FFFFFF"/>
            </w:rPr>
            <w:t>未编制施工进度计划，无法衡量施工进度</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_Toc181369926 \h </w:instrText>
          </w:r>
          <w:r>
            <w:rPr>
              <w:rFonts w:ascii="Times New Roman" w:hAnsi="Times New Roman"/>
              <w:highlight w:val="none"/>
            </w:rPr>
            <w:fldChar w:fldCharType="separate"/>
          </w:r>
          <w:r>
            <w:rPr>
              <w:rFonts w:ascii="Times New Roman" w:hAnsi="Times New Roman"/>
              <w:highlight w:val="none"/>
            </w:rPr>
            <w:t>- 32 -</w:t>
          </w:r>
          <w:r>
            <w:rPr>
              <w:rFonts w:ascii="Times New Roman" w:hAnsi="Times New Roman"/>
              <w:highlight w:val="none"/>
            </w:rPr>
            <w:fldChar w:fldCharType="end"/>
          </w:r>
          <w:r>
            <w:rPr>
              <w:rFonts w:ascii="Times New Roman" w:hAnsi="Times New Roman"/>
              <w:highlight w:val="none"/>
            </w:rPr>
            <w:fldChar w:fldCharType="end"/>
          </w:r>
        </w:p>
        <w:p>
          <w:pPr>
            <w:pStyle w:val="9"/>
            <w:ind w:left="1131" w:hanging="845"/>
            <w:rPr>
              <w:rFonts w:ascii="Times New Roman" w:hAnsi="Times New Roman" w:eastAsiaTheme="minorEastAsia"/>
              <w:sz w:val="21"/>
              <w:szCs w:val="22"/>
              <w:highlight w:val="none"/>
            </w:rPr>
          </w:pPr>
          <w:r>
            <w:rPr>
              <w:highlight w:val="none"/>
            </w:rPr>
            <w:fldChar w:fldCharType="begin"/>
          </w:r>
          <w:r>
            <w:rPr>
              <w:highlight w:val="none"/>
            </w:rPr>
            <w:instrText xml:space="preserve"> HYPERLINK \l "_Toc181369927" </w:instrText>
          </w:r>
          <w:r>
            <w:rPr>
              <w:highlight w:val="none"/>
            </w:rPr>
            <w:fldChar w:fldCharType="separate"/>
          </w:r>
          <w:r>
            <w:rPr>
              <w:rStyle w:val="21"/>
              <w:rFonts w:ascii="Times New Roman" w:hAnsi="Times New Roman"/>
              <w:highlight w:val="none"/>
            </w:rPr>
            <w:t>（四）部分工程进度较慢，未按规定时间完成</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_Toc181369927 \h </w:instrText>
          </w:r>
          <w:r>
            <w:rPr>
              <w:rFonts w:ascii="Times New Roman" w:hAnsi="Times New Roman"/>
              <w:highlight w:val="none"/>
            </w:rPr>
            <w:fldChar w:fldCharType="separate"/>
          </w:r>
          <w:r>
            <w:rPr>
              <w:rFonts w:ascii="Times New Roman" w:hAnsi="Times New Roman"/>
              <w:highlight w:val="none"/>
            </w:rPr>
            <w:t>- 32 -</w:t>
          </w:r>
          <w:r>
            <w:rPr>
              <w:rFonts w:ascii="Times New Roman" w:hAnsi="Times New Roman"/>
              <w:highlight w:val="none"/>
            </w:rPr>
            <w:fldChar w:fldCharType="end"/>
          </w:r>
          <w:r>
            <w:rPr>
              <w:rFonts w:ascii="Times New Roman" w:hAnsi="Times New Roman"/>
              <w:highlight w:val="none"/>
            </w:rPr>
            <w:fldChar w:fldCharType="end"/>
          </w:r>
        </w:p>
        <w:p>
          <w:pPr>
            <w:pStyle w:val="13"/>
            <w:ind w:left="643" w:hanging="643"/>
            <w:rPr>
              <w:rFonts w:eastAsiaTheme="minorEastAsia"/>
              <w:b w:val="0"/>
              <w:sz w:val="21"/>
              <w:szCs w:val="22"/>
              <w:highlight w:val="none"/>
            </w:rPr>
          </w:pPr>
          <w:r>
            <w:rPr>
              <w:highlight w:val="none"/>
            </w:rPr>
            <w:fldChar w:fldCharType="begin"/>
          </w:r>
          <w:r>
            <w:rPr>
              <w:highlight w:val="none"/>
            </w:rPr>
            <w:instrText xml:space="preserve"> HYPERLINK \l "_Toc181369928" </w:instrText>
          </w:r>
          <w:r>
            <w:rPr>
              <w:highlight w:val="none"/>
            </w:rPr>
            <w:fldChar w:fldCharType="separate"/>
          </w:r>
          <w:r>
            <w:rPr>
              <w:rStyle w:val="21"/>
              <w:highlight w:val="none"/>
            </w:rPr>
            <w:t>六、相关建议</w:t>
          </w:r>
          <w:r>
            <w:rPr>
              <w:highlight w:val="none"/>
            </w:rPr>
            <w:tab/>
          </w:r>
          <w:r>
            <w:rPr>
              <w:highlight w:val="none"/>
            </w:rPr>
            <w:fldChar w:fldCharType="begin"/>
          </w:r>
          <w:r>
            <w:rPr>
              <w:highlight w:val="none"/>
            </w:rPr>
            <w:instrText xml:space="preserve"> PAGEREF _Toc181369928 \h </w:instrText>
          </w:r>
          <w:r>
            <w:rPr>
              <w:highlight w:val="none"/>
            </w:rPr>
            <w:fldChar w:fldCharType="separate"/>
          </w:r>
          <w:r>
            <w:rPr>
              <w:highlight w:val="none"/>
            </w:rPr>
            <w:t>- 33 -</w:t>
          </w:r>
          <w:r>
            <w:rPr>
              <w:highlight w:val="none"/>
            </w:rPr>
            <w:fldChar w:fldCharType="end"/>
          </w:r>
          <w:r>
            <w:rPr>
              <w:highlight w:val="none"/>
            </w:rPr>
            <w:fldChar w:fldCharType="end"/>
          </w:r>
        </w:p>
        <w:p>
          <w:pPr>
            <w:pStyle w:val="9"/>
            <w:ind w:left="1131" w:hanging="845"/>
            <w:rPr>
              <w:rFonts w:ascii="Times New Roman" w:hAnsi="Times New Roman" w:eastAsiaTheme="minorEastAsia"/>
              <w:sz w:val="21"/>
              <w:szCs w:val="22"/>
              <w:highlight w:val="none"/>
            </w:rPr>
          </w:pPr>
          <w:r>
            <w:rPr>
              <w:highlight w:val="none"/>
            </w:rPr>
            <w:fldChar w:fldCharType="begin"/>
          </w:r>
          <w:r>
            <w:rPr>
              <w:highlight w:val="none"/>
            </w:rPr>
            <w:instrText xml:space="preserve"> HYPERLINK \l "_Toc181369929" </w:instrText>
          </w:r>
          <w:r>
            <w:rPr>
              <w:highlight w:val="none"/>
            </w:rPr>
            <w:fldChar w:fldCharType="separate"/>
          </w:r>
          <w:r>
            <w:rPr>
              <w:rStyle w:val="21"/>
              <w:rFonts w:ascii="Times New Roman" w:hAnsi="Times New Roman"/>
              <w:highlight w:val="none"/>
            </w:rPr>
            <w:t>（一）完善绩效目标管理，提升绩效管理水平</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_Toc181369929 \h </w:instrText>
          </w:r>
          <w:r>
            <w:rPr>
              <w:rFonts w:ascii="Times New Roman" w:hAnsi="Times New Roman"/>
              <w:highlight w:val="none"/>
            </w:rPr>
            <w:fldChar w:fldCharType="separate"/>
          </w:r>
          <w:r>
            <w:rPr>
              <w:rFonts w:ascii="Times New Roman" w:hAnsi="Times New Roman"/>
              <w:highlight w:val="none"/>
            </w:rPr>
            <w:t>- 33 -</w:t>
          </w:r>
          <w:r>
            <w:rPr>
              <w:rFonts w:ascii="Times New Roman" w:hAnsi="Times New Roman"/>
              <w:highlight w:val="none"/>
            </w:rPr>
            <w:fldChar w:fldCharType="end"/>
          </w:r>
          <w:r>
            <w:rPr>
              <w:rFonts w:ascii="Times New Roman" w:hAnsi="Times New Roman"/>
              <w:highlight w:val="none"/>
            </w:rPr>
            <w:fldChar w:fldCharType="end"/>
          </w:r>
        </w:p>
        <w:p>
          <w:pPr>
            <w:pStyle w:val="9"/>
            <w:ind w:left="1131" w:hanging="845"/>
            <w:rPr>
              <w:rFonts w:ascii="Times New Roman" w:hAnsi="Times New Roman" w:eastAsiaTheme="minorEastAsia"/>
              <w:sz w:val="21"/>
              <w:szCs w:val="22"/>
              <w:highlight w:val="none"/>
            </w:rPr>
          </w:pPr>
          <w:r>
            <w:rPr>
              <w:highlight w:val="none"/>
            </w:rPr>
            <w:fldChar w:fldCharType="begin"/>
          </w:r>
          <w:r>
            <w:rPr>
              <w:highlight w:val="none"/>
            </w:rPr>
            <w:instrText xml:space="preserve"> HYPERLINK \l "_Toc181369930" </w:instrText>
          </w:r>
          <w:r>
            <w:rPr>
              <w:highlight w:val="none"/>
            </w:rPr>
            <w:fldChar w:fldCharType="separate"/>
          </w:r>
          <w:r>
            <w:rPr>
              <w:rStyle w:val="21"/>
              <w:rFonts w:ascii="Times New Roman" w:hAnsi="Times New Roman"/>
              <w:highlight w:val="none"/>
            </w:rPr>
            <w:t>（二）</w:t>
          </w:r>
          <w:r>
            <w:rPr>
              <w:rStyle w:val="21"/>
              <w:rFonts w:ascii="Times New Roman" w:hAnsi="Times New Roman" w:cs="Segoe UI"/>
              <w:highlight w:val="none"/>
              <w:shd w:val="clear" w:color="auto" w:fill="FFFFFF"/>
            </w:rPr>
            <w:t>细化项目测算</w:t>
          </w:r>
          <w:r>
            <w:rPr>
              <w:rStyle w:val="21"/>
              <w:rFonts w:ascii="Times New Roman" w:hAnsi="Times New Roman"/>
              <w:highlight w:val="none"/>
            </w:rPr>
            <w:t>，落实预算执行监管力度</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_Toc181369930 \h </w:instrText>
          </w:r>
          <w:r>
            <w:rPr>
              <w:rFonts w:ascii="Times New Roman" w:hAnsi="Times New Roman"/>
              <w:highlight w:val="none"/>
            </w:rPr>
            <w:fldChar w:fldCharType="separate"/>
          </w:r>
          <w:r>
            <w:rPr>
              <w:rFonts w:ascii="Times New Roman" w:hAnsi="Times New Roman"/>
              <w:highlight w:val="none"/>
            </w:rPr>
            <w:t>- 33 -</w:t>
          </w:r>
          <w:r>
            <w:rPr>
              <w:rFonts w:ascii="Times New Roman" w:hAnsi="Times New Roman"/>
              <w:highlight w:val="none"/>
            </w:rPr>
            <w:fldChar w:fldCharType="end"/>
          </w:r>
          <w:r>
            <w:rPr>
              <w:rFonts w:ascii="Times New Roman" w:hAnsi="Times New Roman"/>
              <w:highlight w:val="none"/>
            </w:rPr>
            <w:fldChar w:fldCharType="end"/>
          </w:r>
        </w:p>
        <w:p>
          <w:pPr>
            <w:pStyle w:val="9"/>
            <w:ind w:left="1131" w:hanging="845"/>
            <w:rPr>
              <w:rFonts w:ascii="Times New Roman" w:hAnsi="Times New Roman" w:eastAsiaTheme="minorEastAsia"/>
              <w:sz w:val="21"/>
              <w:szCs w:val="22"/>
              <w:highlight w:val="none"/>
            </w:rPr>
          </w:pPr>
          <w:r>
            <w:rPr>
              <w:highlight w:val="none"/>
            </w:rPr>
            <w:fldChar w:fldCharType="begin"/>
          </w:r>
          <w:r>
            <w:rPr>
              <w:highlight w:val="none"/>
            </w:rPr>
            <w:instrText xml:space="preserve"> HYPERLINK \l "_Toc181369931" </w:instrText>
          </w:r>
          <w:r>
            <w:rPr>
              <w:highlight w:val="none"/>
            </w:rPr>
            <w:fldChar w:fldCharType="separate"/>
          </w:r>
          <w:r>
            <w:rPr>
              <w:rStyle w:val="21"/>
              <w:rFonts w:ascii="Times New Roman" w:hAnsi="Times New Roman"/>
              <w:highlight w:val="none"/>
            </w:rPr>
            <w:t>（三）制定详细的施工进度计划，及时</w:t>
          </w:r>
          <w:r>
            <w:rPr>
              <w:rStyle w:val="21"/>
              <w:rFonts w:ascii="Times New Roman" w:hAnsi="Times New Roman" w:cs="Segoe UI"/>
              <w:highlight w:val="none"/>
              <w:shd w:val="clear" w:color="auto" w:fill="FFFFFF"/>
            </w:rPr>
            <w:t>调整工期计划</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_Toc181369931 \h </w:instrText>
          </w:r>
          <w:r>
            <w:rPr>
              <w:rFonts w:ascii="Times New Roman" w:hAnsi="Times New Roman"/>
              <w:highlight w:val="none"/>
            </w:rPr>
            <w:fldChar w:fldCharType="separate"/>
          </w:r>
          <w:r>
            <w:rPr>
              <w:rFonts w:ascii="Times New Roman" w:hAnsi="Times New Roman"/>
              <w:highlight w:val="none"/>
            </w:rPr>
            <w:t>- 33 -</w:t>
          </w:r>
          <w:r>
            <w:rPr>
              <w:rFonts w:ascii="Times New Roman" w:hAnsi="Times New Roman"/>
              <w:highlight w:val="none"/>
            </w:rPr>
            <w:fldChar w:fldCharType="end"/>
          </w:r>
          <w:r>
            <w:rPr>
              <w:rFonts w:ascii="Times New Roman" w:hAnsi="Times New Roman"/>
              <w:highlight w:val="none"/>
            </w:rPr>
            <w:fldChar w:fldCharType="end"/>
          </w:r>
        </w:p>
        <w:p>
          <w:pPr>
            <w:pStyle w:val="9"/>
            <w:ind w:left="1131" w:hanging="845"/>
            <w:rPr>
              <w:rFonts w:ascii="Times New Roman" w:hAnsi="Times New Roman" w:eastAsiaTheme="minorEastAsia"/>
              <w:sz w:val="21"/>
              <w:szCs w:val="22"/>
            </w:rPr>
          </w:pPr>
          <w:r>
            <w:rPr>
              <w:highlight w:val="none"/>
            </w:rPr>
            <w:fldChar w:fldCharType="begin"/>
          </w:r>
          <w:r>
            <w:rPr>
              <w:highlight w:val="none"/>
            </w:rPr>
            <w:instrText xml:space="preserve"> HYPERLINK \l "_Toc181369932" </w:instrText>
          </w:r>
          <w:r>
            <w:rPr>
              <w:highlight w:val="none"/>
            </w:rPr>
            <w:fldChar w:fldCharType="separate"/>
          </w:r>
          <w:r>
            <w:rPr>
              <w:rStyle w:val="21"/>
              <w:rFonts w:ascii="Times New Roman" w:hAnsi="Times New Roman"/>
              <w:highlight w:val="none"/>
            </w:rPr>
            <w:t>（四）健全沟通协调机制，优化施工方案</w:t>
          </w:r>
          <w:r>
            <w:rPr>
              <w:rFonts w:ascii="Times New Roman" w:hAnsi="Times New Roman"/>
              <w:highlight w:val="none"/>
            </w:rPr>
            <w:tab/>
          </w:r>
          <w:r>
            <w:rPr>
              <w:rFonts w:ascii="Times New Roman" w:hAnsi="Times New Roman"/>
              <w:highlight w:val="none"/>
            </w:rPr>
            <w:fldChar w:fldCharType="begin"/>
          </w:r>
          <w:r>
            <w:rPr>
              <w:rFonts w:ascii="Times New Roman" w:hAnsi="Times New Roman"/>
              <w:highlight w:val="none"/>
            </w:rPr>
            <w:instrText xml:space="preserve"> PAGEREF _Toc181369932 \h </w:instrText>
          </w:r>
          <w:r>
            <w:rPr>
              <w:rFonts w:ascii="Times New Roman" w:hAnsi="Times New Roman"/>
              <w:highlight w:val="none"/>
            </w:rPr>
            <w:fldChar w:fldCharType="separate"/>
          </w:r>
          <w:r>
            <w:rPr>
              <w:rFonts w:ascii="Times New Roman" w:hAnsi="Times New Roman"/>
              <w:highlight w:val="none"/>
            </w:rPr>
            <w:t>- 34 -</w:t>
          </w:r>
          <w:r>
            <w:rPr>
              <w:rFonts w:ascii="Times New Roman" w:hAnsi="Times New Roman"/>
              <w:highlight w:val="none"/>
            </w:rPr>
            <w:fldChar w:fldCharType="end"/>
          </w:r>
          <w:r>
            <w:rPr>
              <w:rFonts w:ascii="Times New Roman" w:hAnsi="Times New Roman"/>
              <w:highlight w:val="none"/>
            </w:rPr>
            <w:fldChar w:fldCharType="end"/>
          </w:r>
        </w:p>
        <w:p>
          <w:pPr>
            <w:pStyle w:val="13"/>
            <w:ind w:left="643" w:hanging="643"/>
            <w:rPr>
              <w:rFonts w:eastAsiaTheme="minorEastAsia"/>
              <w:b w:val="0"/>
              <w:sz w:val="21"/>
              <w:szCs w:val="22"/>
            </w:rPr>
          </w:pPr>
          <w:r>
            <w:fldChar w:fldCharType="begin"/>
          </w:r>
          <w:r>
            <w:instrText xml:space="preserve"> HYPERLINK \l "_Toc181369933" </w:instrText>
          </w:r>
          <w:r>
            <w:fldChar w:fldCharType="separate"/>
          </w:r>
          <w:r>
            <w:rPr>
              <w:rStyle w:val="21"/>
              <w:rFonts w:cs="黑体"/>
            </w:rPr>
            <w:t>七、</w:t>
          </w:r>
          <w:r>
            <w:rPr>
              <w:rStyle w:val="21"/>
            </w:rPr>
            <w:t xml:space="preserve"> 其他需要说明的问题</w:t>
          </w:r>
          <w:r>
            <w:tab/>
          </w:r>
          <w:r>
            <w:fldChar w:fldCharType="begin"/>
          </w:r>
          <w:r>
            <w:instrText xml:space="preserve"> PAGEREF _Toc181369933 \h </w:instrText>
          </w:r>
          <w:r>
            <w:fldChar w:fldCharType="separate"/>
          </w:r>
          <w:r>
            <w:t>- 35 -</w:t>
          </w:r>
          <w:r>
            <w:fldChar w:fldCharType="end"/>
          </w:r>
          <w:r>
            <w:fldChar w:fldCharType="end"/>
          </w:r>
        </w:p>
        <w:p>
          <w:pPr>
            <w:pStyle w:val="13"/>
            <w:ind w:left="643" w:hanging="643"/>
            <w:rPr>
              <w:rFonts w:asciiTheme="minorHAnsi" w:hAnsiTheme="minorHAnsi" w:eastAsiaTheme="minorEastAsia"/>
              <w:b w:val="0"/>
              <w:sz w:val="21"/>
              <w:szCs w:val="22"/>
            </w:rPr>
          </w:pPr>
          <w:r>
            <w:fldChar w:fldCharType="begin"/>
          </w:r>
          <w:r>
            <w:instrText xml:space="preserve"> HYPERLINK \l "_Toc181369934" </w:instrText>
          </w:r>
          <w:r>
            <w:fldChar w:fldCharType="separate"/>
          </w:r>
          <w:r>
            <w:rPr>
              <w:rStyle w:val="21"/>
              <w:rFonts w:cs="黑体"/>
            </w:rPr>
            <w:t>八、</w:t>
          </w:r>
          <w:r>
            <w:rPr>
              <w:rStyle w:val="21"/>
            </w:rPr>
            <w:t xml:space="preserve"> 相关附件</w:t>
          </w:r>
          <w:r>
            <w:tab/>
          </w:r>
          <w:r>
            <w:fldChar w:fldCharType="begin"/>
          </w:r>
          <w:r>
            <w:instrText xml:space="preserve"> PAGEREF _Toc181369934 \h </w:instrText>
          </w:r>
          <w:r>
            <w:fldChar w:fldCharType="separate"/>
          </w:r>
          <w:r>
            <w:t>- 35 -</w:t>
          </w:r>
          <w:r>
            <w:fldChar w:fldCharType="end"/>
          </w:r>
          <w:r>
            <w:fldChar w:fldCharType="end"/>
          </w:r>
        </w:p>
        <w:p>
          <w:pPr>
            <w:spacing w:line="560" w:lineRule="exact"/>
            <w:ind w:firstLine="420"/>
            <w:jc w:val="center"/>
            <w:rPr>
              <w:rFonts w:ascii="Times New Roman" w:hAnsi="Times New Roman"/>
              <w:b/>
              <w:bCs/>
              <w:lang w:val="zh-CN"/>
            </w:rPr>
          </w:pPr>
          <w:r>
            <w:rPr>
              <w:rFonts w:ascii="Times New Roman" w:hAnsi="Times New Roman" w:eastAsia="仿宋_GB2312" w:cs="黑体"/>
            </w:rPr>
            <w:fldChar w:fldCharType="end"/>
          </w:r>
        </w:p>
      </w:sdtContent>
    </w:sdt>
    <w:p>
      <w:pPr>
        <w:spacing w:line="560" w:lineRule="exact"/>
        <w:ind w:firstLine="0" w:firstLineChars="0"/>
        <w:rPr>
          <w:rFonts w:ascii="Times New Roman" w:hAnsi="Times New Roman"/>
          <w:color w:val="000000" w:themeColor="text1"/>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2041" w:right="1531" w:bottom="2041" w:left="1531" w:header="851" w:footer="992" w:gutter="0"/>
          <w:pgNumType w:fmt="numberInDash" w:start="1"/>
          <w:cols w:space="425" w:num="1"/>
          <w:docGrid w:type="lines" w:linePitch="312" w:charSpace="0"/>
        </w:sectPr>
      </w:pPr>
    </w:p>
    <w:p>
      <w:pPr>
        <w:pStyle w:val="28"/>
        <w:rPr>
          <w:rFonts w:ascii="Times New Roman" w:hAnsi="Times New Roman"/>
        </w:rPr>
      </w:pPr>
      <w:bookmarkStart w:id="0" w:name="_Toc173496797"/>
      <w:r>
        <w:rPr>
          <w:rFonts w:hint="eastAsia" w:ascii="Times New Roman" w:hAnsi="Times New Roman"/>
        </w:rPr>
        <w:t>和平区全民健身中心改造项目绩效评价报告</w:t>
      </w:r>
      <w:bookmarkEnd w:id="0"/>
    </w:p>
    <w:p>
      <w:pPr>
        <w:pStyle w:val="29"/>
        <w:ind w:firstLine="640"/>
      </w:pPr>
    </w:p>
    <w:p>
      <w:pPr>
        <w:pStyle w:val="29"/>
        <w:spacing w:line="560" w:lineRule="exact"/>
        <w:ind w:firstLine="640"/>
        <w:rPr>
          <w:color w:val="000000" w:themeColor="text1"/>
          <w14:textFill>
            <w14:solidFill>
              <w14:schemeClr w14:val="tx1"/>
            </w14:solidFill>
          </w14:textFill>
        </w:rPr>
      </w:pPr>
      <w:r>
        <w:rPr>
          <w:color w:val="000000" w:themeColor="text1"/>
          <w14:textFill>
            <w14:solidFill>
              <w14:schemeClr w14:val="tx1"/>
            </w14:solidFill>
          </w14:textFill>
        </w:rPr>
        <w:t>为提高财政资金使用效益，合理配置公共财政资源，根据市委、市政府关于全面推进预算绩效管理的实施方案和《天津市市级财政项目支出绩效评价管理办法》（津财绩效〔2020〕12号）等文件要求，天津市</w:t>
      </w:r>
      <w:r>
        <w:rPr>
          <w:rFonts w:hint="eastAsia"/>
          <w:color w:val="000000" w:themeColor="text1"/>
          <w14:textFill>
            <w14:solidFill>
              <w14:schemeClr w14:val="tx1"/>
            </w14:solidFill>
          </w14:textFill>
        </w:rPr>
        <w:t>和平区</w:t>
      </w:r>
      <w:r>
        <w:rPr>
          <w:color w:val="000000" w:themeColor="text1"/>
          <w14:textFill>
            <w14:solidFill>
              <w14:schemeClr w14:val="tx1"/>
            </w14:solidFill>
          </w14:textFill>
        </w:rPr>
        <w:t>财政局引入第三方专业机构成立了绩效评价组，于2024年7月-8月，对</w:t>
      </w:r>
      <w:r>
        <w:rPr>
          <w:rFonts w:hint="eastAsia"/>
          <w:color w:val="000000" w:themeColor="text1"/>
          <w14:textFill>
            <w14:solidFill>
              <w14:schemeClr w14:val="tx1"/>
            </w14:solidFill>
          </w14:textFill>
        </w:rPr>
        <w:t>天津市和平区全民健身活动中心</w:t>
      </w:r>
      <w:r>
        <w:rPr>
          <w:color w:val="000000" w:themeColor="text1"/>
          <w14:textFill>
            <w14:solidFill>
              <w14:schemeClr w14:val="tx1"/>
            </w14:solidFill>
          </w14:textFill>
        </w:rPr>
        <w:t>的</w:t>
      </w:r>
      <w:r>
        <w:rPr>
          <w:rFonts w:hint="eastAsia"/>
          <w:color w:val="000000" w:themeColor="text1"/>
          <w14:textFill>
            <w14:solidFill>
              <w14:schemeClr w14:val="tx1"/>
            </w14:solidFill>
          </w14:textFill>
        </w:rPr>
        <w:t>“和平区全民健身中心改造项目”</w:t>
      </w:r>
      <w:r>
        <w:rPr>
          <w:color w:val="000000" w:themeColor="text1"/>
          <w14:textFill>
            <w14:solidFill>
              <w14:schemeClr w14:val="tx1"/>
            </w14:solidFill>
          </w14:textFill>
        </w:rPr>
        <w:t>开展了绩效评价。该项目评价</w:t>
      </w:r>
      <w:r>
        <w:rPr>
          <w:color w:val="000000" w:themeColor="text1"/>
          <w:highlight w:val="none"/>
          <w14:textFill>
            <w14:solidFill>
              <w14:schemeClr w14:val="tx1"/>
            </w14:solidFill>
          </w14:textFill>
        </w:rPr>
        <w:t>结果为83.25分，评</w:t>
      </w:r>
      <w:r>
        <w:rPr>
          <w:color w:val="000000" w:themeColor="text1"/>
          <w14:textFill>
            <w14:solidFill>
              <w14:schemeClr w14:val="tx1"/>
            </w14:solidFill>
          </w14:textFill>
        </w:rPr>
        <w:t>价等级为</w:t>
      </w:r>
      <w:r>
        <w:rPr>
          <w:rFonts w:hint="eastAsia"/>
          <w:color w:val="000000" w:themeColor="text1"/>
          <w14:textFill>
            <w14:solidFill>
              <w14:schemeClr w14:val="tx1"/>
            </w14:solidFill>
          </w14:textFill>
        </w:rPr>
        <w:t>“良”</w:t>
      </w:r>
      <w:r>
        <w:rPr>
          <w:color w:val="000000" w:themeColor="text1"/>
          <w14:textFill>
            <w14:solidFill>
              <w14:schemeClr w14:val="tx1"/>
            </w14:solidFill>
          </w14:textFill>
        </w:rPr>
        <w:t>，有关情况如下。</w:t>
      </w:r>
    </w:p>
    <w:p>
      <w:pPr>
        <w:pStyle w:val="31"/>
        <w:spacing w:line="560" w:lineRule="exact"/>
      </w:pPr>
      <w:bookmarkStart w:id="1" w:name="_Toc181369910"/>
      <w:bookmarkStart w:id="2" w:name="_Hlk91875033"/>
      <w:r>
        <w:rPr>
          <w:rFonts w:hint="eastAsia"/>
        </w:rPr>
        <w:t>一、项目基本情况</w:t>
      </w:r>
      <w:bookmarkEnd w:id="1"/>
    </w:p>
    <w:p>
      <w:pPr>
        <w:pStyle w:val="33"/>
        <w:spacing w:line="560" w:lineRule="exact"/>
        <w:ind w:firstLine="640"/>
        <w:rPr>
          <w:rFonts w:ascii="Times New Roman" w:hAnsi="Times New Roman"/>
        </w:rPr>
      </w:pPr>
      <w:bookmarkStart w:id="3" w:name="_Toc181369911"/>
      <w:r>
        <w:rPr>
          <w:rFonts w:hint="eastAsia" w:ascii="Times New Roman" w:hAnsi="Times New Roman"/>
        </w:rPr>
        <w:t>（一）项目概况</w:t>
      </w:r>
      <w:bookmarkEnd w:id="3"/>
    </w:p>
    <w:p>
      <w:pPr>
        <w:pStyle w:val="29"/>
        <w:spacing w:line="560" w:lineRule="exact"/>
        <w:ind w:firstLine="640"/>
      </w:pPr>
      <w:r>
        <w:rPr>
          <w:rFonts w:hint="eastAsia"/>
        </w:rPr>
        <w:t>1.项目背景</w:t>
      </w:r>
    </w:p>
    <w:p>
      <w:pPr>
        <w:pStyle w:val="29"/>
        <w:spacing w:line="560" w:lineRule="exact"/>
        <w:ind w:firstLine="640"/>
      </w:pPr>
      <w:r>
        <w:rPr>
          <w:rFonts w:hint="eastAsia"/>
        </w:rPr>
        <w:t>在城市不断发展的进程中，人民物质与文化生活水平持续提升，然而体育设施却显得相对落后，两者之间的矛盾日益凸显。和平区全民健身活动中心场馆于</w:t>
      </w:r>
      <w:r>
        <w:t>1991年建成，历经多年使用，出现外檐破损脱落、地面开裂、屋顶裂缝漏雨以及消防、电力等设施设备年久老化的状况，存在诸多安全隐患，达不到现代体育场馆的要求。为深度推行全民健身的国家战略，构建高水平的全民健身公共服务体系，进而提高市民的身体素质，根据《国务院关于印发全民健身计划（2021—2025年）的通知》（国发〔2021〕11号）、《国务院办公厅关于促进全民</w:t>
      </w:r>
      <w:r>
        <w:rPr>
          <w:rFonts w:hint="eastAsia"/>
        </w:rPr>
        <w:t>健身和体育消费推动产业高质量发展的意见》（国办发</w:t>
      </w:r>
      <w:r>
        <w:t>〔2019〕43号）、《国家体育总局关于进一步加强产业基地建设工作的通知》等文件规定，天津市和平区全民健身活动中心组织实施了和平区全民健身中心改造项目。</w:t>
      </w:r>
    </w:p>
    <w:p>
      <w:pPr>
        <w:pStyle w:val="29"/>
        <w:spacing w:line="560" w:lineRule="exact"/>
        <w:ind w:firstLine="640"/>
      </w:pPr>
      <w:r>
        <w:rPr>
          <w:rFonts w:hint="eastAsia"/>
        </w:rPr>
        <w:t>2.主要内容</w:t>
      </w:r>
    </w:p>
    <w:p>
      <w:pPr>
        <w:pStyle w:val="29"/>
        <w:spacing w:line="560" w:lineRule="exact"/>
        <w:ind w:firstLine="640"/>
      </w:pPr>
      <w:r>
        <w:rPr>
          <w:rFonts w:hint="eastAsia"/>
        </w:rPr>
        <w:t>和平区全民健身中心改造项目</w:t>
      </w:r>
      <w:r>
        <w:t>2023</w:t>
      </w:r>
      <w:r>
        <w:rPr>
          <w:rFonts w:hint="eastAsia"/>
        </w:rPr>
        <w:t>年度</w:t>
      </w:r>
      <w:r>
        <w:t>主要内容为：开展立面及平面测绘、核定用地、地形测绘、地籍测绘及物探测量，完成项目初步设计；实施拆除羽毛球馆、写字楼、网球馆及电力设施迁改工作；聘请项目监理，签订项目审计、风险评估咨询和法律咨询等服务，为项目的顺利推进提供前期准备。旨在吸引更多人来此运动和休闲，从而提高区域的活力和吸引力，促进当地经济发展，提升城市形象</w:t>
      </w:r>
      <w:r>
        <w:rPr>
          <w:rFonts w:hint="eastAsia"/>
        </w:rPr>
        <w:t>。</w:t>
      </w:r>
    </w:p>
    <w:p>
      <w:pPr>
        <w:pStyle w:val="29"/>
        <w:spacing w:line="560" w:lineRule="exact"/>
        <w:ind w:firstLine="640"/>
      </w:pPr>
      <w:r>
        <w:rPr>
          <w:rFonts w:hint="eastAsia"/>
        </w:rPr>
        <w:t>3.项目组织管理</w:t>
      </w:r>
    </w:p>
    <w:p>
      <w:pPr>
        <w:pStyle w:val="29"/>
        <w:spacing w:line="560" w:lineRule="exact"/>
        <w:ind w:firstLine="640"/>
      </w:pPr>
      <w:r>
        <w:rPr>
          <w:rFonts w:hint="eastAsia"/>
        </w:rPr>
        <w:t>项目主管单位为天津市和平区体育局（以下简称“区体育局”），负责统筹监督管理和平区全民健身中心改造项目的开展情况；项目实施单位为天津市和平区全民健身活动中心（以下简称“区全民健身中心”），负责项目全过程各阶段进度推进、政采招标、签订合同、组织验收等工作，制定项目业务制度，完成并审核项目资金的使用，保障项目顺利实施。</w:t>
      </w:r>
    </w:p>
    <w:p>
      <w:pPr>
        <w:pStyle w:val="29"/>
        <w:spacing w:line="560" w:lineRule="exact"/>
        <w:ind w:firstLine="640"/>
      </w:pPr>
      <w:r>
        <w:rPr>
          <w:rFonts w:hint="eastAsia"/>
        </w:rPr>
        <w:t>4.资金投入和使用情况</w:t>
      </w:r>
    </w:p>
    <w:p>
      <w:pPr>
        <w:pStyle w:val="29"/>
        <w:spacing w:line="560" w:lineRule="exact"/>
        <w:ind w:firstLine="640"/>
      </w:pPr>
      <w:r>
        <w:rPr>
          <w:rFonts w:hint="eastAsia"/>
        </w:rPr>
        <w:t>和平区全民健身中心改造项目计划投资总额为</w:t>
      </w:r>
      <w:r>
        <w:t>82450万元</w:t>
      </w:r>
      <w:r>
        <w:rPr>
          <w:rFonts w:hint="eastAsia"/>
        </w:rPr>
        <w:t>，其中：工程费</w:t>
      </w:r>
      <w:r>
        <w:t>67354</w:t>
      </w:r>
      <w:r>
        <w:rPr>
          <w:rFonts w:hint="eastAsia"/>
        </w:rPr>
        <w:t>万元，工程建设其他费用</w:t>
      </w:r>
      <w:r>
        <w:t>6307</w:t>
      </w:r>
      <w:r>
        <w:rPr>
          <w:rFonts w:hint="eastAsia"/>
        </w:rPr>
        <w:t>万元，基本预备费</w:t>
      </w:r>
      <w:r>
        <w:t>4157</w:t>
      </w:r>
      <w:r>
        <w:rPr>
          <w:rFonts w:hint="eastAsia"/>
        </w:rPr>
        <w:t>万元，建设期利息</w:t>
      </w:r>
      <w:r>
        <w:t>6432</w:t>
      </w:r>
      <w:r>
        <w:rPr>
          <w:rFonts w:hint="eastAsia"/>
        </w:rPr>
        <w:t>万元。本项目资本金</w:t>
      </w:r>
      <w:r>
        <w:t>17250</w:t>
      </w:r>
      <w:r>
        <w:rPr>
          <w:rFonts w:hint="eastAsia"/>
        </w:rPr>
        <w:t>万元由天津市和平区财政局使用区级财力安排，其余6</w:t>
      </w:r>
      <w:r>
        <w:t>7000</w:t>
      </w:r>
      <w:r>
        <w:rPr>
          <w:rFonts w:hint="eastAsia"/>
        </w:rPr>
        <w:t>万元资金通过采取发行政府专项债券方式进行融资，202</w:t>
      </w:r>
      <w:r>
        <w:t>2</w:t>
      </w:r>
      <w:r>
        <w:rPr>
          <w:rFonts w:hint="eastAsia"/>
        </w:rPr>
        <w:t>年发行</w:t>
      </w:r>
      <w:r>
        <w:t>10000</w:t>
      </w:r>
      <w:r>
        <w:rPr>
          <w:rFonts w:hint="eastAsia"/>
        </w:rPr>
        <w:t>万元，202</w:t>
      </w:r>
      <w:r>
        <w:t>3</w:t>
      </w:r>
      <w:r>
        <w:rPr>
          <w:rFonts w:hint="eastAsia"/>
        </w:rPr>
        <w:t>年发行</w:t>
      </w:r>
      <w:r>
        <w:t>20000</w:t>
      </w:r>
      <w:r>
        <w:rPr>
          <w:rFonts w:hint="eastAsia"/>
        </w:rPr>
        <w:t>万元，202</w:t>
      </w:r>
      <w:r>
        <w:t>4</w:t>
      </w:r>
      <w:r>
        <w:rPr>
          <w:rFonts w:hint="eastAsia"/>
        </w:rPr>
        <w:t>年发行</w:t>
      </w:r>
      <w:r>
        <w:t>37000</w:t>
      </w:r>
      <w:r>
        <w:rPr>
          <w:rFonts w:hint="eastAsia"/>
        </w:rPr>
        <w:t>万元。</w:t>
      </w:r>
    </w:p>
    <w:p>
      <w:pPr>
        <w:pStyle w:val="29"/>
        <w:spacing w:line="560" w:lineRule="exact"/>
        <w:ind w:firstLine="640"/>
      </w:pPr>
      <w:r>
        <w:rPr>
          <w:rFonts w:hint="eastAsia"/>
        </w:rPr>
        <w:t>本项目202</w:t>
      </w:r>
      <w:r>
        <w:t>3</w:t>
      </w:r>
      <w:r>
        <w:rPr>
          <w:rFonts w:hint="eastAsia"/>
        </w:rPr>
        <w:t>年度资金计划下达金额为</w:t>
      </w:r>
      <w:r>
        <w:t>20000</w:t>
      </w:r>
      <w:r>
        <w:rPr>
          <w:rFonts w:hint="eastAsia"/>
        </w:rPr>
        <w:t>万元。截至202</w:t>
      </w:r>
      <w:r>
        <w:t>3</w:t>
      </w:r>
      <w:r>
        <w:rPr>
          <w:rFonts w:hint="eastAsia"/>
        </w:rPr>
        <w:t>年1</w:t>
      </w:r>
      <w:r>
        <w:t>2</w:t>
      </w:r>
      <w:r>
        <w:rPr>
          <w:rFonts w:hint="eastAsia"/>
        </w:rPr>
        <w:t>月底，实际到位资金为</w:t>
      </w:r>
      <w:r>
        <w:t>20000</w:t>
      </w:r>
      <w:r>
        <w:rPr>
          <w:rFonts w:hint="eastAsia"/>
        </w:rPr>
        <w:t>万元，资金到位率为100%。项目资金主要用于施工准备、土建工程施工、装修装饰工程施工、设备安装调试等工作。截至202</w:t>
      </w:r>
      <w:r>
        <w:t>3</w:t>
      </w:r>
      <w:r>
        <w:rPr>
          <w:rFonts w:hint="eastAsia"/>
        </w:rPr>
        <w:t>年12月底，项目实际支付</w:t>
      </w:r>
      <w:r>
        <w:t>5000</w:t>
      </w:r>
      <w:r>
        <w:rPr>
          <w:rFonts w:hint="eastAsia"/>
        </w:rPr>
        <w:t>万元，预算执行率为</w:t>
      </w:r>
      <w:r>
        <w:t>25</w:t>
      </w:r>
      <w:r>
        <w:rPr>
          <w:rFonts w:hint="eastAsia"/>
        </w:rPr>
        <w:t>%。资金具体情况见表1。</w:t>
      </w:r>
    </w:p>
    <w:p>
      <w:pPr>
        <w:pStyle w:val="36"/>
        <w:spacing w:line="560" w:lineRule="exact"/>
      </w:pPr>
      <w:r>
        <w:t xml:space="preserve">表1 </w:t>
      </w:r>
      <w:r>
        <w:rPr>
          <w:rFonts w:hint="eastAsia"/>
        </w:rPr>
        <w:t xml:space="preserve"> </w:t>
      </w:r>
      <w:r>
        <w:t>资金预算执行率情况表</w:t>
      </w:r>
    </w:p>
    <w:p>
      <w:pPr>
        <w:pStyle w:val="37"/>
        <w:spacing w:line="560" w:lineRule="exact"/>
      </w:pPr>
      <w:r>
        <w:rPr>
          <w:rFonts w:hint="eastAsia"/>
        </w:rPr>
        <w:t>单位：万元</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0"/>
        <w:gridCol w:w="1511"/>
        <w:gridCol w:w="1510"/>
        <w:gridCol w:w="1510"/>
        <w:gridCol w:w="1510"/>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834" w:type="pct"/>
            <w:vAlign w:val="center"/>
          </w:tcPr>
          <w:p>
            <w:pPr>
              <w:pStyle w:val="39"/>
              <w:jc w:val="center"/>
              <w:rPr>
                <w:rFonts w:ascii="宋体" w:hAnsi="宋体" w:eastAsia="宋体" w:cs="宋体"/>
              </w:rPr>
            </w:pPr>
            <w:r>
              <w:rPr>
                <w:rFonts w:hint="eastAsia" w:ascii="宋体" w:hAnsi="宋体" w:eastAsia="宋体" w:cs="宋体"/>
              </w:rPr>
              <w:t>资金计划</w:t>
            </w:r>
          </w:p>
          <w:p>
            <w:pPr>
              <w:pStyle w:val="39"/>
              <w:jc w:val="center"/>
              <w:rPr>
                <w:rFonts w:ascii="宋体" w:hAnsi="宋体" w:eastAsia="宋体" w:cs="宋体"/>
              </w:rPr>
            </w:pPr>
            <w:r>
              <w:rPr>
                <w:rFonts w:hint="eastAsia" w:ascii="宋体" w:hAnsi="宋体" w:eastAsia="宋体" w:cs="宋体"/>
              </w:rPr>
              <w:t>下达时间</w:t>
            </w:r>
          </w:p>
        </w:tc>
        <w:tc>
          <w:tcPr>
            <w:tcW w:w="834" w:type="pct"/>
            <w:vAlign w:val="center"/>
          </w:tcPr>
          <w:p>
            <w:pPr>
              <w:pStyle w:val="39"/>
              <w:jc w:val="center"/>
              <w:rPr>
                <w:rFonts w:ascii="宋体" w:hAnsi="宋体" w:eastAsia="宋体" w:cs="宋体"/>
              </w:rPr>
            </w:pPr>
            <w:r>
              <w:rPr>
                <w:rFonts w:hint="eastAsia" w:ascii="宋体" w:hAnsi="宋体" w:eastAsia="宋体" w:cs="宋体"/>
              </w:rPr>
              <w:t>资金计划</w:t>
            </w:r>
          </w:p>
          <w:p>
            <w:pPr>
              <w:pStyle w:val="39"/>
              <w:jc w:val="center"/>
              <w:rPr>
                <w:rFonts w:ascii="宋体" w:hAnsi="宋体" w:eastAsia="宋体" w:cs="宋体"/>
              </w:rPr>
            </w:pPr>
            <w:r>
              <w:rPr>
                <w:rFonts w:hint="eastAsia" w:ascii="宋体" w:hAnsi="宋体" w:eastAsia="宋体" w:cs="宋体"/>
              </w:rPr>
              <w:t>下达金额</w:t>
            </w:r>
          </w:p>
        </w:tc>
        <w:tc>
          <w:tcPr>
            <w:tcW w:w="833" w:type="pct"/>
            <w:vAlign w:val="center"/>
          </w:tcPr>
          <w:p>
            <w:pPr>
              <w:pStyle w:val="39"/>
              <w:jc w:val="center"/>
              <w:rPr>
                <w:rFonts w:ascii="宋体" w:hAnsi="宋体" w:eastAsia="宋体" w:cs="宋体"/>
              </w:rPr>
            </w:pPr>
            <w:r>
              <w:rPr>
                <w:rFonts w:hint="eastAsia" w:ascii="宋体" w:hAnsi="宋体" w:eastAsia="宋体" w:cs="宋体"/>
              </w:rPr>
              <w:t>实际到位资金</w:t>
            </w:r>
          </w:p>
        </w:tc>
        <w:tc>
          <w:tcPr>
            <w:tcW w:w="833" w:type="pct"/>
            <w:vAlign w:val="center"/>
          </w:tcPr>
          <w:p>
            <w:pPr>
              <w:pStyle w:val="39"/>
              <w:jc w:val="center"/>
              <w:rPr>
                <w:rFonts w:ascii="宋体" w:hAnsi="宋体" w:eastAsia="宋体" w:cs="宋体"/>
              </w:rPr>
            </w:pPr>
            <w:r>
              <w:rPr>
                <w:rFonts w:hint="eastAsia" w:ascii="宋体" w:hAnsi="宋体" w:eastAsia="宋体" w:cs="宋体"/>
              </w:rPr>
              <w:t>资金到位率</w:t>
            </w:r>
          </w:p>
        </w:tc>
        <w:tc>
          <w:tcPr>
            <w:tcW w:w="833" w:type="pct"/>
            <w:vAlign w:val="center"/>
          </w:tcPr>
          <w:p>
            <w:pPr>
              <w:pStyle w:val="39"/>
              <w:jc w:val="center"/>
              <w:rPr>
                <w:rFonts w:ascii="宋体" w:hAnsi="宋体" w:eastAsia="宋体" w:cs="宋体"/>
              </w:rPr>
            </w:pPr>
            <w:r>
              <w:rPr>
                <w:rFonts w:hint="eastAsia" w:ascii="宋体" w:hAnsi="宋体" w:eastAsia="宋体" w:cs="宋体"/>
              </w:rPr>
              <w:t>实际支付资金</w:t>
            </w:r>
          </w:p>
        </w:tc>
        <w:tc>
          <w:tcPr>
            <w:tcW w:w="833" w:type="pct"/>
            <w:vAlign w:val="center"/>
          </w:tcPr>
          <w:p>
            <w:pPr>
              <w:pStyle w:val="39"/>
              <w:jc w:val="center"/>
              <w:rPr>
                <w:rFonts w:ascii="宋体" w:hAnsi="宋体" w:eastAsia="宋体" w:cs="宋体"/>
              </w:rPr>
            </w:pPr>
            <w:r>
              <w:rPr>
                <w:rFonts w:hint="eastAsia" w:ascii="宋体" w:hAnsi="宋体" w:eastAsia="宋体" w:cs="宋体"/>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34" w:type="pct"/>
            <w:vAlign w:val="center"/>
          </w:tcPr>
          <w:p>
            <w:pPr>
              <w:pStyle w:val="41"/>
            </w:pPr>
            <w:r>
              <w:rPr>
                <w:rFonts w:hint="eastAsia"/>
              </w:rPr>
              <w:t>202</w:t>
            </w:r>
            <w:r>
              <w:t>3</w:t>
            </w:r>
            <w:r>
              <w:rPr>
                <w:rFonts w:hint="eastAsia"/>
              </w:rPr>
              <w:t>年</w:t>
            </w:r>
          </w:p>
        </w:tc>
        <w:tc>
          <w:tcPr>
            <w:tcW w:w="834" w:type="pct"/>
            <w:vAlign w:val="center"/>
          </w:tcPr>
          <w:p>
            <w:pPr>
              <w:pStyle w:val="41"/>
            </w:pPr>
            <w:r>
              <w:t>20000</w:t>
            </w:r>
          </w:p>
        </w:tc>
        <w:tc>
          <w:tcPr>
            <w:tcW w:w="833" w:type="pct"/>
            <w:vAlign w:val="center"/>
          </w:tcPr>
          <w:p>
            <w:pPr>
              <w:pStyle w:val="41"/>
            </w:pPr>
            <w:r>
              <w:t>20000</w:t>
            </w:r>
          </w:p>
        </w:tc>
        <w:tc>
          <w:tcPr>
            <w:tcW w:w="833" w:type="pct"/>
            <w:vAlign w:val="center"/>
          </w:tcPr>
          <w:p>
            <w:pPr>
              <w:pStyle w:val="41"/>
            </w:pPr>
            <w:r>
              <w:rPr>
                <w:rFonts w:hint="eastAsia"/>
              </w:rPr>
              <w:t>100%</w:t>
            </w:r>
          </w:p>
        </w:tc>
        <w:tc>
          <w:tcPr>
            <w:tcW w:w="833" w:type="pct"/>
            <w:vAlign w:val="center"/>
          </w:tcPr>
          <w:p>
            <w:pPr>
              <w:pStyle w:val="41"/>
            </w:pPr>
            <w:r>
              <w:t>5000</w:t>
            </w:r>
          </w:p>
        </w:tc>
        <w:tc>
          <w:tcPr>
            <w:tcW w:w="833" w:type="pct"/>
            <w:vAlign w:val="center"/>
          </w:tcPr>
          <w:p>
            <w:pPr>
              <w:pStyle w:val="41"/>
            </w:pPr>
            <w:r>
              <w:t>25</w:t>
            </w:r>
            <w:r>
              <w:rPr>
                <w:rFonts w:hint="eastAsia"/>
              </w:rPr>
              <w:t>%</w:t>
            </w:r>
          </w:p>
        </w:tc>
      </w:tr>
    </w:tbl>
    <w:p>
      <w:pPr>
        <w:pStyle w:val="33"/>
        <w:spacing w:line="560" w:lineRule="exact"/>
        <w:ind w:firstLine="640"/>
        <w:rPr>
          <w:rFonts w:ascii="Times New Roman" w:hAnsi="Times New Roman"/>
        </w:rPr>
      </w:pPr>
      <w:bookmarkStart w:id="4" w:name="_Toc181369912"/>
      <w:r>
        <w:rPr>
          <w:rFonts w:hint="eastAsia" w:ascii="Times New Roman" w:hAnsi="Times New Roman"/>
        </w:rPr>
        <w:t>（二）项目绩效目标</w:t>
      </w:r>
      <w:bookmarkEnd w:id="4"/>
    </w:p>
    <w:p>
      <w:pPr>
        <w:pStyle w:val="29"/>
        <w:spacing w:line="560" w:lineRule="exact"/>
        <w:ind w:firstLine="640"/>
      </w:pPr>
      <w:r>
        <w:rPr>
          <w:rFonts w:hint="eastAsia"/>
        </w:rPr>
        <w:t>和平区全民健身中心改造项目总体绩效目标为“完成工程招投标等前期准备工作、完成项目拆除工程，实现主体动工，为项目按期投入使用奠定基础。”绩效指标中产出指标从“拆除建筑情况”、“分项工程验收情况”、“工程进度达标情况”、“全民健身中心改造项目专项债成本”等方面设置；效益指标从“非在建场馆设施功能正常运转率”、“非在建场馆体育设施综合利用率”等方面设置。</w:t>
      </w:r>
      <w:bookmarkEnd w:id="2"/>
    </w:p>
    <w:p>
      <w:pPr>
        <w:pStyle w:val="31"/>
        <w:spacing w:line="560" w:lineRule="exact"/>
      </w:pPr>
      <w:bookmarkStart w:id="5" w:name="_Toc181369913"/>
      <w:r>
        <w:rPr>
          <w:rFonts w:hint="eastAsia"/>
        </w:rPr>
        <w:t>二、绩效评价工作开展情况</w:t>
      </w:r>
      <w:bookmarkEnd w:id="5"/>
    </w:p>
    <w:p>
      <w:pPr>
        <w:pStyle w:val="33"/>
        <w:spacing w:line="560" w:lineRule="exact"/>
        <w:ind w:firstLine="640"/>
        <w:rPr>
          <w:rFonts w:ascii="Times New Roman" w:hAnsi="Times New Roman"/>
        </w:rPr>
      </w:pPr>
      <w:bookmarkStart w:id="6" w:name="_Toc181369914"/>
      <w:r>
        <w:rPr>
          <w:rFonts w:hint="eastAsia" w:ascii="Times New Roman" w:hAnsi="Times New Roman"/>
        </w:rPr>
        <w:t>（一）绩效评价的目的、对象和范围</w:t>
      </w:r>
      <w:bookmarkEnd w:id="6"/>
    </w:p>
    <w:p>
      <w:pPr>
        <w:pStyle w:val="29"/>
        <w:spacing w:line="560" w:lineRule="exact"/>
        <w:ind w:firstLine="640"/>
      </w:pPr>
      <w:r>
        <w:rPr>
          <w:rFonts w:hint="eastAsia"/>
        </w:rPr>
        <w:t>1.绩效评价目的</w:t>
      </w:r>
    </w:p>
    <w:p>
      <w:pPr>
        <w:pStyle w:val="29"/>
        <w:spacing w:line="560" w:lineRule="exact"/>
        <w:ind w:firstLine="640"/>
      </w:pPr>
      <w:r>
        <w:rPr>
          <w:rFonts w:hint="eastAsia"/>
        </w:rPr>
        <w:t>本次评价以《国务院关于印发全民健身计划（</w:t>
      </w:r>
      <w:r>
        <w:t>2021—2025年）的通知》（国发〔2021〕11号）、《国务院办公厅关于促进全民健身和体育消费推动产业高质量发展的意见》（国办发〔2019〕43号）、《国家体育总局关于进一步加强产业基地建设工作的通知》《财政部关于印发〈项目支出绩效评价管理办法〉的通知》（财预〔2020〕10号）、《财政部关于加快地方政府专项债券发行使用有关工作的通知》（财预〔2020〕94号）、天津市委市政府关于全面推进预算绩效管理的实施方案、《天津市人民政府办公厅关于转发市财政局拟定的天津市市</w:t>
      </w:r>
      <w:r>
        <w:rPr>
          <w:rFonts w:hint="eastAsia"/>
        </w:rPr>
        <w:t>级财政专项资金管理暂行办法的通知》（津政办发〔</w:t>
      </w:r>
      <w:r>
        <w:t>2015〕63号）、《天津市市级财政项目支出绩效评价管理办法》（津财绩效〔2020〕12号）、《和平区财政局关于印发&lt;和平区预算绩效管理办法&gt;的通知》（津和财〔2020〕62号）等文件为依据，对和平区全民健身中心改造项目专项资金使用绩效情况进行评价。开展此次评价工作的目的在于：</w:t>
      </w:r>
    </w:p>
    <w:p>
      <w:pPr>
        <w:pStyle w:val="29"/>
        <w:spacing w:line="560" w:lineRule="exact"/>
        <w:ind w:firstLine="640"/>
      </w:pPr>
      <w:r>
        <w:rPr>
          <w:rFonts w:hint="eastAsia"/>
        </w:rPr>
        <w:t>（</w:t>
      </w:r>
      <w:r>
        <w:t>1）通过本项目的实施情况进行核实评价，了解掌握项目的实施情况。</w:t>
      </w:r>
    </w:p>
    <w:p>
      <w:pPr>
        <w:pStyle w:val="29"/>
        <w:spacing w:line="560" w:lineRule="exact"/>
        <w:ind w:firstLine="640"/>
      </w:pPr>
      <w:r>
        <w:rPr>
          <w:rFonts w:hint="eastAsia"/>
        </w:rPr>
        <w:t>（</w:t>
      </w:r>
      <w:r>
        <w:t>2）根据项目实施的具体情况，评价其项目资金安排的科学性、合理性、规范性，完善项目管理办法，提高项目管理水平和资金的使用效率。</w:t>
      </w:r>
    </w:p>
    <w:p>
      <w:pPr>
        <w:pStyle w:val="29"/>
        <w:spacing w:line="560" w:lineRule="exact"/>
        <w:ind w:firstLine="640"/>
      </w:pPr>
      <w:r>
        <w:rPr>
          <w:rFonts w:hint="eastAsia"/>
        </w:rPr>
        <w:t>（</w:t>
      </w:r>
      <w:r>
        <w:t>3）按照天津市和平区财政局《和平区预算绩效管理办法》及绩效评价指标体系的要求，从决策、过程、产出、效益四个方面对本项目进行客观、公正的评价；总结项目管理与执行经验，发现项目管理和预算管理中存在的问题，提出改进意见和建议，为相关部门决策、管理提供参考依据。</w:t>
      </w:r>
    </w:p>
    <w:p>
      <w:pPr>
        <w:pStyle w:val="29"/>
        <w:spacing w:line="560" w:lineRule="exact"/>
        <w:ind w:firstLine="640"/>
      </w:pPr>
      <w:r>
        <w:rPr>
          <w:rFonts w:hint="eastAsia"/>
        </w:rPr>
        <w:t>（</w:t>
      </w:r>
      <w:r>
        <w:t>4）进一步丰富和完善本项目绩效评价方法体系，推动建立以绩效评价结果为导向的财政资金分配与管理制度，提升财政资金科学化、精细化管理水平，为和平区全民健身中心改造项目专项资金的安排提供重要依据。</w:t>
      </w:r>
    </w:p>
    <w:p>
      <w:pPr>
        <w:pStyle w:val="29"/>
        <w:spacing w:line="560" w:lineRule="exact"/>
        <w:ind w:firstLine="640"/>
      </w:pPr>
      <w:r>
        <w:rPr>
          <w:rFonts w:hint="eastAsia"/>
        </w:rPr>
        <w:t>2.绩效评价对象和范围</w:t>
      </w:r>
    </w:p>
    <w:p>
      <w:pPr>
        <w:pStyle w:val="29"/>
        <w:spacing w:line="560" w:lineRule="exact"/>
        <w:ind w:firstLine="640"/>
      </w:pPr>
      <w:r>
        <w:rPr>
          <w:rFonts w:hint="eastAsia"/>
        </w:rPr>
        <w:t>本次绩效评价针对和平区全民健身中心改造项目展开，评价对象为区全民健身中心。绩效评价范围如下：</w:t>
      </w:r>
    </w:p>
    <w:p>
      <w:pPr>
        <w:pStyle w:val="29"/>
        <w:spacing w:line="560" w:lineRule="exact"/>
        <w:ind w:firstLine="640"/>
      </w:pPr>
      <w:r>
        <w:rPr>
          <w:rFonts w:hint="eastAsia"/>
        </w:rPr>
        <w:t>（</w:t>
      </w:r>
      <w:r>
        <w:t>1）立项依据和立项程序情况；</w:t>
      </w:r>
    </w:p>
    <w:p>
      <w:pPr>
        <w:pStyle w:val="29"/>
        <w:spacing w:line="560" w:lineRule="exact"/>
        <w:ind w:firstLine="640"/>
      </w:pPr>
      <w:r>
        <w:rPr>
          <w:rFonts w:hint="eastAsia"/>
        </w:rPr>
        <w:t>（</w:t>
      </w:r>
      <w:r>
        <w:t>2）绩效目标和指标设定情况；</w:t>
      </w:r>
    </w:p>
    <w:p>
      <w:pPr>
        <w:pStyle w:val="29"/>
        <w:spacing w:line="560" w:lineRule="exact"/>
        <w:ind w:firstLine="640"/>
      </w:pPr>
      <w:r>
        <w:rPr>
          <w:rFonts w:hint="eastAsia"/>
        </w:rPr>
        <w:t>（</w:t>
      </w:r>
      <w:r>
        <w:t>3）预算编制和资金分配情况；</w:t>
      </w:r>
    </w:p>
    <w:p>
      <w:pPr>
        <w:pStyle w:val="29"/>
        <w:spacing w:line="560" w:lineRule="exact"/>
        <w:ind w:firstLine="640"/>
      </w:pPr>
      <w:r>
        <w:rPr>
          <w:rFonts w:hint="eastAsia"/>
        </w:rPr>
        <w:t>（</w:t>
      </w:r>
      <w:r>
        <w:t>4）资金管理和使用情况；</w:t>
      </w:r>
    </w:p>
    <w:p>
      <w:pPr>
        <w:pStyle w:val="29"/>
        <w:spacing w:line="560" w:lineRule="exact"/>
        <w:ind w:firstLine="640"/>
      </w:pPr>
      <w:r>
        <w:rPr>
          <w:rFonts w:hint="eastAsia"/>
        </w:rPr>
        <w:t>（</w:t>
      </w:r>
      <w:r>
        <w:t>5）相关制度办法的健全性及执行情况；</w:t>
      </w:r>
    </w:p>
    <w:p>
      <w:pPr>
        <w:pStyle w:val="29"/>
        <w:spacing w:line="560" w:lineRule="exact"/>
        <w:ind w:firstLine="640"/>
      </w:pPr>
      <w:r>
        <w:rPr>
          <w:rFonts w:hint="eastAsia"/>
        </w:rPr>
        <w:t>（</w:t>
      </w:r>
      <w:r>
        <w:t>6）实现的产出情况；</w:t>
      </w:r>
    </w:p>
    <w:p>
      <w:pPr>
        <w:pStyle w:val="29"/>
        <w:spacing w:line="560" w:lineRule="exact"/>
        <w:ind w:firstLine="640"/>
      </w:pPr>
      <w:r>
        <w:rPr>
          <w:rFonts w:hint="eastAsia"/>
        </w:rPr>
        <w:t>（</w:t>
      </w:r>
      <w:r>
        <w:t>7）取得的效益情况；</w:t>
      </w:r>
    </w:p>
    <w:p>
      <w:pPr>
        <w:pStyle w:val="29"/>
        <w:spacing w:line="560" w:lineRule="exact"/>
        <w:ind w:firstLine="640"/>
      </w:pPr>
      <w:r>
        <w:rPr>
          <w:rFonts w:hint="eastAsia"/>
        </w:rPr>
        <w:t>（</w:t>
      </w:r>
      <w:r>
        <w:t>8）其他相关内容。</w:t>
      </w:r>
    </w:p>
    <w:p>
      <w:pPr>
        <w:pStyle w:val="33"/>
        <w:spacing w:line="560" w:lineRule="exact"/>
        <w:ind w:firstLine="640"/>
        <w:rPr>
          <w:rFonts w:ascii="Times New Roman" w:hAnsi="Times New Roman"/>
        </w:rPr>
      </w:pPr>
      <w:bookmarkStart w:id="7" w:name="_Toc181369915"/>
      <w:r>
        <w:rPr>
          <w:rFonts w:hint="eastAsia" w:ascii="Times New Roman" w:hAnsi="Times New Roman"/>
        </w:rPr>
        <w:t>（二）</w:t>
      </w:r>
      <w:r>
        <w:rPr>
          <w:rFonts w:hint="eastAsia" w:ascii="Times New Roman" w:hAnsi="Times New Roman" w:cs="楷体_GB2312"/>
          <w:bCs w:val="0"/>
        </w:rPr>
        <w:t>绩效评价原则、评价指标体系、评价方法</w:t>
      </w:r>
      <w:bookmarkEnd w:id="7"/>
    </w:p>
    <w:p>
      <w:pPr>
        <w:pStyle w:val="29"/>
        <w:spacing w:line="560" w:lineRule="exact"/>
        <w:ind w:firstLine="640"/>
      </w:pPr>
      <w:r>
        <w:t>1.</w:t>
      </w:r>
      <w:r>
        <w:rPr>
          <w:rFonts w:hint="eastAsia"/>
        </w:rPr>
        <w:t>绩效评价原则</w:t>
      </w:r>
    </w:p>
    <w:p>
      <w:pPr>
        <w:pStyle w:val="29"/>
        <w:spacing w:line="560" w:lineRule="exact"/>
        <w:ind w:firstLine="640"/>
      </w:pPr>
      <w:r>
        <w:rPr>
          <w:rFonts w:hint="eastAsia"/>
        </w:rPr>
        <w:t>（</w:t>
      </w:r>
      <w:r>
        <w:t>1</w:t>
      </w:r>
      <w:r>
        <w:rPr>
          <w:rFonts w:hint="eastAsia"/>
        </w:rPr>
        <w:t>）坚持科学规范的原则。此次绩效评价运用科学合理的评价指标体系和方法，按照规范的程序，对支出绩效进行客观、公正的反映。</w:t>
      </w:r>
    </w:p>
    <w:p>
      <w:pPr>
        <w:pStyle w:val="29"/>
        <w:spacing w:line="560" w:lineRule="exact"/>
        <w:ind w:firstLine="640"/>
      </w:pPr>
      <w:r>
        <w:rPr>
          <w:rFonts w:hint="eastAsia"/>
        </w:rPr>
        <w:t>（</w:t>
      </w:r>
      <w:r>
        <w:t>2</w:t>
      </w:r>
      <w:r>
        <w:rPr>
          <w:rFonts w:hint="eastAsia"/>
        </w:rPr>
        <w:t>）坚持统筹兼顾的原则。此次评价委托第三方机构在单位自评的基础上开展。</w:t>
      </w:r>
    </w:p>
    <w:p>
      <w:pPr>
        <w:pStyle w:val="29"/>
        <w:spacing w:line="560" w:lineRule="exact"/>
        <w:ind w:firstLine="640"/>
      </w:pPr>
      <w:bookmarkStart w:id="8" w:name="_Hlk91689355"/>
      <w:r>
        <w:rPr>
          <w:rFonts w:hint="eastAsia"/>
        </w:rPr>
        <w:t>（</w:t>
      </w:r>
      <w:r>
        <w:t>3</w:t>
      </w:r>
      <w:r>
        <w:rPr>
          <w:rFonts w:hint="eastAsia"/>
        </w:rPr>
        <w:t>）坚持激励约束的原则。本次绩效评价结果可以作为预算安排、政策调整、改进管理的参考，绩效评价工作将体现奖优罚劣和激励相容导向，有效要安排、低效要压减、无效要问责。</w:t>
      </w:r>
    </w:p>
    <w:p>
      <w:pPr>
        <w:pStyle w:val="29"/>
        <w:spacing w:line="560" w:lineRule="exact"/>
        <w:ind w:firstLine="640"/>
      </w:pPr>
      <w:r>
        <w:rPr>
          <w:rFonts w:hint="eastAsia"/>
        </w:rPr>
        <w:t>（</w:t>
      </w:r>
      <w:r>
        <w:t>4</w:t>
      </w:r>
      <w:r>
        <w:rPr>
          <w:rFonts w:hint="eastAsia"/>
        </w:rPr>
        <w:t>）坚持公开透明的原则。承诺绩效评价结果依法依规公开，自觉接受有关机构和社会监督。</w:t>
      </w:r>
    </w:p>
    <w:p>
      <w:pPr>
        <w:pStyle w:val="29"/>
        <w:spacing w:line="560" w:lineRule="exact"/>
        <w:ind w:firstLine="640"/>
      </w:pPr>
      <w:r>
        <w:rPr>
          <w:rFonts w:hint="eastAsia"/>
        </w:rPr>
        <w:t>（</w:t>
      </w:r>
      <w:r>
        <w:t>5</w:t>
      </w:r>
      <w:r>
        <w:rPr>
          <w:rFonts w:hint="eastAsia"/>
        </w:rPr>
        <w:t>）坚持综合绩效评价，定量分析与定性分析相结合的原则。</w:t>
      </w:r>
    </w:p>
    <w:p>
      <w:pPr>
        <w:pStyle w:val="29"/>
        <w:spacing w:line="560" w:lineRule="exact"/>
        <w:ind w:firstLine="640"/>
      </w:pPr>
      <w:r>
        <w:rPr>
          <w:rFonts w:hint="eastAsia"/>
        </w:rPr>
        <w:t>（</w:t>
      </w:r>
      <w:r>
        <w:t>6</w:t>
      </w:r>
      <w:r>
        <w:rPr>
          <w:rFonts w:hint="eastAsia"/>
        </w:rPr>
        <w:t>）坚持绩效相关性原则。此次绩效评价将针对具体支出及其产出绩效进行，评价结果将清晰反映支出和产出绩效之间的紧密对应关系。</w:t>
      </w:r>
      <w:bookmarkEnd w:id="8"/>
    </w:p>
    <w:p>
      <w:pPr>
        <w:pStyle w:val="29"/>
        <w:spacing w:line="560" w:lineRule="exact"/>
        <w:ind w:firstLine="640"/>
      </w:pPr>
      <w:r>
        <w:t>2.</w:t>
      </w:r>
      <w:r>
        <w:rPr>
          <w:rFonts w:hint="eastAsia"/>
        </w:rPr>
        <w:t>评价指标体系</w:t>
      </w:r>
    </w:p>
    <w:p>
      <w:pPr>
        <w:pStyle w:val="29"/>
        <w:spacing w:line="560" w:lineRule="exact"/>
        <w:ind w:firstLine="640"/>
      </w:pPr>
      <w:r>
        <w:rPr>
          <w:rFonts w:hint="eastAsia"/>
        </w:rPr>
        <w:t>针对项目情况，从决策、过程、产出及效益四大方面拟定绩效评价指标，其中：</w:t>
      </w:r>
    </w:p>
    <w:p>
      <w:pPr>
        <w:pStyle w:val="29"/>
        <w:spacing w:line="560" w:lineRule="exact"/>
        <w:ind w:firstLine="640"/>
        <w:rPr>
          <w:rFonts w:cs="仿宋_GB2312"/>
        </w:rPr>
      </w:pPr>
      <w:r>
        <w:rPr>
          <w:rFonts w:hint="eastAsia"/>
        </w:rPr>
        <w:t>（1）</w:t>
      </w:r>
      <w:r>
        <w:rPr>
          <w:rFonts w:hint="eastAsia" w:cs="仿宋_GB2312"/>
        </w:rPr>
        <w:t>项目决策指标</w:t>
      </w:r>
    </w:p>
    <w:p>
      <w:pPr>
        <w:pStyle w:val="29"/>
        <w:spacing w:line="560" w:lineRule="exact"/>
        <w:ind w:firstLine="640"/>
      </w:pPr>
      <w:r>
        <w:rPr>
          <w:rFonts w:hint="eastAsia"/>
        </w:rPr>
        <w:t>①项目立项</w:t>
      </w:r>
    </w:p>
    <w:p>
      <w:pPr>
        <w:pStyle w:val="29"/>
        <w:spacing w:line="560" w:lineRule="exact"/>
        <w:ind w:firstLine="640"/>
      </w:pPr>
      <w:r>
        <w:t>a.</w:t>
      </w:r>
      <w:r>
        <w:rPr>
          <w:rFonts w:hint="eastAsia"/>
        </w:rPr>
        <w:t>举债机制健全性。债务项目申请、设立是否符合法律法规、相关政策和发展规划等，用以反映和考核政府债务举债机制的健全情况。</w:t>
      </w:r>
    </w:p>
    <w:p>
      <w:pPr>
        <w:pStyle w:val="29"/>
        <w:spacing w:line="560" w:lineRule="exact"/>
        <w:ind w:firstLine="640"/>
      </w:pPr>
      <w:r>
        <w:t>b.</w:t>
      </w:r>
      <w:r>
        <w:rPr>
          <w:rFonts w:hint="eastAsia"/>
        </w:rPr>
        <w:t>项目成熟度。项目前期勘察、设计、用地、环评、开工许可等实施准备程序的合法合规和充分情况，用以反映和考核债务项目实施前的成熟度情况。</w:t>
      </w:r>
    </w:p>
    <w:p>
      <w:pPr>
        <w:pStyle w:val="29"/>
        <w:spacing w:line="560" w:lineRule="exact"/>
        <w:ind w:firstLine="640"/>
      </w:pPr>
      <w:r>
        <w:rPr>
          <w:rFonts w:hint="eastAsia"/>
        </w:rPr>
        <w:t>②绩效目标</w:t>
      </w:r>
    </w:p>
    <w:p>
      <w:pPr>
        <w:pStyle w:val="29"/>
        <w:spacing w:line="560" w:lineRule="exact"/>
        <w:ind w:firstLine="640"/>
      </w:pPr>
      <w:r>
        <w:rPr>
          <w:rFonts w:hint="eastAsia"/>
        </w:rPr>
        <w:t>a</w:t>
      </w:r>
      <w:r>
        <w:t>.</w:t>
      </w:r>
      <w:r>
        <w:rPr>
          <w:rFonts w:hint="eastAsia"/>
        </w:rPr>
        <w:t>绩效目标明确性。依据绩效目标设定的绩效指标是否清晰、细化、可衡量等，用以反映和考核项目绩效目标的明细化情况。</w:t>
      </w:r>
    </w:p>
    <w:p>
      <w:pPr>
        <w:pStyle w:val="29"/>
        <w:spacing w:line="560" w:lineRule="exact"/>
        <w:ind w:firstLine="640"/>
      </w:pPr>
      <w:r>
        <w:t>b.</w:t>
      </w:r>
      <w:r>
        <w:rPr>
          <w:rFonts w:hint="eastAsia"/>
        </w:rPr>
        <w:t>绩效目标合理性。项目所设定的绩效目标是否依据充分，是否符合客观实际，用以反映和考核项目绩效目标与项目实施的相符情况。</w:t>
      </w:r>
    </w:p>
    <w:p>
      <w:pPr>
        <w:pStyle w:val="29"/>
        <w:spacing w:line="560" w:lineRule="exact"/>
        <w:ind w:firstLine="640"/>
      </w:pPr>
      <w:r>
        <w:rPr>
          <w:rFonts w:hint="eastAsia"/>
        </w:rPr>
        <w:t>③资金投入</w:t>
      </w:r>
    </w:p>
    <w:p>
      <w:pPr>
        <w:pStyle w:val="29"/>
        <w:spacing w:line="560" w:lineRule="exact"/>
        <w:ind w:firstLine="640"/>
      </w:pPr>
      <w:r>
        <w:rPr>
          <w:rFonts w:hint="eastAsia"/>
        </w:rPr>
        <w:t>a</w:t>
      </w:r>
      <w:r>
        <w:t>.</w:t>
      </w:r>
      <w:r>
        <w:rPr>
          <w:rFonts w:hint="eastAsia"/>
        </w:rPr>
        <w:t>预算编制科学性。项目预算编制是否经过科学论证、有明确标准，资金额度与年度目标是否相适应，用以反映和考核项目预算编制的科学性、合理性情况。</w:t>
      </w:r>
    </w:p>
    <w:p>
      <w:pPr>
        <w:pStyle w:val="29"/>
        <w:spacing w:line="560" w:lineRule="exact"/>
        <w:ind w:firstLine="640"/>
      </w:pPr>
      <w:r>
        <w:rPr>
          <w:rFonts w:hint="eastAsia"/>
        </w:rPr>
        <w:t>b</w:t>
      </w:r>
      <w:r>
        <w:t>.</w:t>
      </w:r>
      <w:r>
        <w:rPr>
          <w:rFonts w:hint="eastAsia"/>
        </w:rPr>
        <w:t>债务规模合理性。项目申请债券额度与实际需要匹配情况，用以反映或考核债务资金规模的合理性。</w:t>
      </w:r>
    </w:p>
    <w:p>
      <w:pPr>
        <w:pStyle w:val="29"/>
        <w:spacing w:line="560" w:lineRule="exact"/>
        <w:ind w:firstLine="640"/>
      </w:pPr>
      <w:r>
        <w:rPr>
          <w:rFonts w:hint="eastAsia"/>
        </w:rPr>
        <w:t>（2）项目过程指标</w:t>
      </w:r>
    </w:p>
    <w:p>
      <w:pPr>
        <w:pStyle w:val="29"/>
        <w:spacing w:line="560" w:lineRule="exact"/>
        <w:ind w:firstLine="640"/>
      </w:pPr>
      <w:r>
        <w:rPr>
          <w:rFonts w:hint="eastAsia"/>
        </w:rPr>
        <w:t>①资金管理</w:t>
      </w:r>
    </w:p>
    <w:p>
      <w:pPr>
        <w:pStyle w:val="29"/>
        <w:spacing w:line="560" w:lineRule="exact"/>
        <w:ind w:firstLine="640"/>
      </w:pPr>
      <w:r>
        <w:rPr>
          <w:rFonts w:hint="eastAsia"/>
        </w:rPr>
        <w:t>a</w:t>
      </w:r>
      <w:r>
        <w:t>.</w:t>
      </w:r>
      <w:r>
        <w:rPr>
          <w:rFonts w:hint="eastAsia"/>
        </w:rPr>
        <w:t>资金到位率。项目实际到位资金与预算资金的比率，用以反映和考核资金落实情况对项目总体保障程度。</w:t>
      </w:r>
    </w:p>
    <w:p>
      <w:pPr>
        <w:pStyle w:val="29"/>
        <w:spacing w:line="560" w:lineRule="exact"/>
        <w:ind w:firstLine="640"/>
      </w:pPr>
      <w:r>
        <w:rPr>
          <w:rFonts w:hint="eastAsia"/>
        </w:rPr>
        <w:t>b</w:t>
      </w:r>
      <w:r>
        <w:t>.</w:t>
      </w:r>
      <w:r>
        <w:rPr>
          <w:rFonts w:hint="eastAsia"/>
        </w:rPr>
        <w:t>预算执行率。项目预算资金是否按照计划执行，用以反映和考核项目预算执行情况。</w:t>
      </w:r>
    </w:p>
    <w:p>
      <w:pPr>
        <w:pStyle w:val="29"/>
        <w:spacing w:line="560" w:lineRule="exact"/>
        <w:ind w:firstLine="640"/>
      </w:pPr>
      <w:r>
        <w:rPr>
          <w:rFonts w:hint="eastAsia"/>
        </w:rPr>
        <w:t>c</w:t>
      </w:r>
      <w:r>
        <w:t>.</w:t>
      </w:r>
      <w:r>
        <w:rPr>
          <w:rFonts w:hint="eastAsia"/>
        </w:rPr>
        <w:t>资金使用合规性。债务资金使用是否符合相关的财务管理制度规定，用以反映和考核项目债务资金的规范运行情况。</w:t>
      </w:r>
    </w:p>
    <w:p>
      <w:pPr>
        <w:pStyle w:val="29"/>
        <w:spacing w:line="560" w:lineRule="exact"/>
        <w:ind w:firstLine="640"/>
      </w:pPr>
      <w:r>
        <w:rPr>
          <w:rFonts w:hint="eastAsia"/>
        </w:rPr>
        <w:t>d</w:t>
      </w:r>
      <w:r>
        <w:t>.</w:t>
      </w:r>
      <w:r>
        <w:rPr>
          <w:rFonts w:hint="eastAsia"/>
        </w:rPr>
        <w:t>财务监控有效性。项目单位是否为保障债务资金的安全、规范运行等而采取了必要的监控、管理措施，用以反映和考核项目实施单位对资金运行的控制情况。</w:t>
      </w:r>
    </w:p>
    <w:p>
      <w:pPr>
        <w:pStyle w:val="29"/>
        <w:spacing w:line="560" w:lineRule="exact"/>
        <w:ind w:firstLine="640"/>
      </w:pPr>
      <w:r>
        <w:rPr>
          <w:rFonts w:hint="eastAsia"/>
        </w:rPr>
        <w:t>②组织实施</w:t>
      </w:r>
    </w:p>
    <w:p>
      <w:pPr>
        <w:pStyle w:val="29"/>
        <w:spacing w:line="560" w:lineRule="exact"/>
        <w:ind w:firstLine="640"/>
      </w:pPr>
      <w:r>
        <w:rPr>
          <w:rFonts w:hint="eastAsia"/>
        </w:rPr>
        <w:t>a</w:t>
      </w:r>
      <w:r>
        <w:t>.</w:t>
      </w:r>
      <w:r>
        <w:rPr>
          <w:rFonts w:hint="eastAsia"/>
        </w:rPr>
        <w:t>业务管理制度健全性。项目实施单位的业务制度是否健全，用以反映和考核业务管理制度对项目顺利实施的保障情况。</w:t>
      </w:r>
    </w:p>
    <w:p>
      <w:pPr>
        <w:pStyle w:val="29"/>
        <w:spacing w:line="560" w:lineRule="exact"/>
        <w:ind w:firstLine="640"/>
      </w:pPr>
      <w:r>
        <w:rPr>
          <w:rFonts w:hint="eastAsia"/>
        </w:rPr>
        <w:t>b</w:t>
      </w:r>
      <w:r>
        <w:t>.</w:t>
      </w:r>
      <w:r>
        <w:rPr>
          <w:rFonts w:hint="eastAsia"/>
        </w:rPr>
        <w:t>组织管理合理性。项目相关建设管理主体的资质是否符合相应的要求；项目组织形式和机构设置是否合理；勘察设计、咨询、强审等建设参与方的引入方式及程序是否合法合规，用以反映和考核项目组织管理的合理情况。</w:t>
      </w:r>
    </w:p>
    <w:p>
      <w:pPr>
        <w:pStyle w:val="29"/>
        <w:spacing w:line="560" w:lineRule="exact"/>
        <w:ind w:firstLine="640"/>
      </w:pPr>
      <w:r>
        <w:t>c.</w:t>
      </w:r>
      <w:r>
        <w:rPr>
          <w:rFonts w:hint="eastAsia"/>
        </w:rPr>
        <w:t>政府采购规范性。工程、设备、原材料等采购需求是否合理；项目管理主体、工程承包、分包商的采购程序是否规范，采购是否通过充分地遴选等，用以反映和考核项目单位采购实施地规范情况</w:t>
      </w:r>
    </w:p>
    <w:p>
      <w:pPr>
        <w:pStyle w:val="29"/>
        <w:spacing w:line="560" w:lineRule="exact"/>
        <w:ind w:firstLine="640"/>
      </w:pPr>
      <w:r>
        <w:t>d.</w:t>
      </w:r>
      <w:r>
        <w:rPr>
          <w:rFonts w:hint="eastAsia"/>
        </w:rPr>
        <w:t>合同管理完备性。合同管理是否符合基本建设项目管理需求，是否严格按照约定履行合同，不发生合同违约，项目合同的变更、终止及其风险控制措施是否符合约定且合法合规，用以反映和考核合同管理情况能否对保障项目的有效实施形成约束。</w:t>
      </w:r>
    </w:p>
    <w:p>
      <w:pPr>
        <w:pStyle w:val="29"/>
        <w:spacing w:line="560" w:lineRule="exact"/>
        <w:ind w:firstLine="640"/>
      </w:pPr>
      <w:r>
        <w:rPr>
          <w:rFonts w:hint="eastAsia"/>
        </w:rPr>
        <w:t>e</w:t>
      </w:r>
      <w:r>
        <w:t>.</w:t>
      </w:r>
      <w:r>
        <w:rPr>
          <w:rFonts w:hint="eastAsia"/>
        </w:rPr>
        <w:t>安全管理完备性。是否加强项目实施中的安全生产和风险控制，用以反映和考核项目安全管理的完备性。</w:t>
      </w:r>
    </w:p>
    <w:p>
      <w:pPr>
        <w:pStyle w:val="29"/>
        <w:spacing w:line="560" w:lineRule="exact"/>
        <w:ind w:firstLine="640"/>
      </w:pPr>
      <w:r>
        <w:t>f.</w:t>
      </w:r>
      <w:r>
        <w:rPr>
          <w:rFonts w:hint="eastAsia"/>
        </w:rPr>
        <w:t>工程变更规范性。是否建立完善的授权签证制度（含重大变更报批制度），各类工程变更手续是否齐全，用以反映和考核工程变更的规范性</w:t>
      </w:r>
    </w:p>
    <w:p>
      <w:pPr>
        <w:pStyle w:val="29"/>
        <w:spacing w:line="560" w:lineRule="exact"/>
        <w:ind w:firstLine="640"/>
      </w:pPr>
      <w:r>
        <w:rPr>
          <w:rFonts w:hint="eastAsia"/>
        </w:rPr>
        <w:t>g</w:t>
      </w:r>
      <w:r>
        <w:t>.</w:t>
      </w:r>
      <w:r>
        <w:rPr>
          <w:rFonts w:hint="eastAsia"/>
        </w:rPr>
        <w:t>监理规范性。财务监理和工程监理工作的规范性，用以反映和考核工程监理在项目时间管理、质量管理、风险管理的工作完成情况。</w:t>
      </w:r>
    </w:p>
    <w:p>
      <w:pPr>
        <w:pStyle w:val="29"/>
        <w:spacing w:line="560" w:lineRule="exact"/>
        <w:ind w:firstLine="640"/>
      </w:pPr>
      <w:r>
        <w:rPr>
          <w:rFonts w:hint="eastAsia"/>
        </w:rPr>
        <w:t>h</w:t>
      </w:r>
      <w:r>
        <w:t>.</w:t>
      </w:r>
      <w:r>
        <w:rPr>
          <w:rFonts w:hint="eastAsia"/>
        </w:rPr>
        <w:t>配套措施执行有效性。项目实施的人员条件、沟通协调、信息支撑等是否落实到位，用以反映和考核项目配套措施执行有效情况。</w:t>
      </w:r>
    </w:p>
    <w:p>
      <w:pPr>
        <w:pStyle w:val="29"/>
        <w:spacing w:line="560" w:lineRule="exact"/>
        <w:ind w:firstLine="640"/>
      </w:pPr>
      <w:r>
        <w:t>i.</w:t>
      </w:r>
      <w:r>
        <w:rPr>
          <w:rFonts w:hint="eastAsia"/>
        </w:rPr>
        <w:t>监理规范性。财务监理和工程监理工作的规范性，用以反映和考核工程监理在项目时间管理、质量管理、风险管理的工作完成情况。</w:t>
      </w:r>
    </w:p>
    <w:p>
      <w:pPr>
        <w:pStyle w:val="29"/>
        <w:spacing w:line="560" w:lineRule="exact"/>
        <w:ind w:firstLine="640"/>
      </w:pPr>
      <w:r>
        <w:t>j.</w:t>
      </w:r>
      <w:r>
        <w:rPr>
          <w:rFonts w:hint="eastAsia"/>
        </w:rPr>
        <w:t>项目验收规范性。是否按照基本建设行业规范或管理制度要求对债券项目工程采购进行验收，用以反映和考核验收机制对采购数量、质量的保障情况。</w:t>
      </w:r>
    </w:p>
    <w:p>
      <w:pPr>
        <w:pStyle w:val="29"/>
        <w:spacing w:line="560" w:lineRule="exact"/>
        <w:ind w:firstLine="640"/>
      </w:pPr>
      <w:r>
        <w:t>k.</w:t>
      </w:r>
      <w:r>
        <w:rPr>
          <w:rFonts w:hint="eastAsia"/>
        </w:rPr>
        <w:t>债务信息公开完备性。是否公开债务项目信息，公开内容是否完整、规范。</w:t>
      </w:r>
    </w:p>
    <w:p>
      <w:pPr>
        <w:pStyle w:val="29"/>
        <w:spacing w:line="560" w:lineRule="exact"/>
        <w:ind w:firstLine="640"/>
      </w:pPr>
      <w:r>
        <w:rPr>
          <w:rFonts w:hint="eastAsia"/>
        </w:rPr>
        <w:t>l</w:t>
      </w:r>
      <w:r>
        <w:t>.</w:t>
      </w:r>
      <w:r>
        <w:rPr>
          <w:rFonts w:hint="eastAsia"/>
        </w:rPr>
        <w:t>债务偿还率。是否公开债务项目信息，公开内容是否完整、规范。</w:t>
      </w:r>
    </w:p>
    <w:p>
      <w:pPr>
        <w:pStyle w:val="29"/>
        <w:spacing w:line="560" w:lineRule="exact"/>
        <w:ind w:firstLine="640"/>
      </w:pPr>
      <w:r>
        <w:rPr>
          <w:rFonts w:hint="eastAsia"/>
        </w:rPr>
        <w:t>（3）项目产出指标</w:t>
      </w:r>
    </w:p>
    <w:p>
      <w:pPr>
        <w:pStyle w:val="29"/>
        <w:spacing w:line="560" w:lineRule="exact"/>
        <w:ind w:firstLine="640"/>
      </w:pPr>
      <w:r>
        <w:rPr>
          <w:rFonts w:hint="eastAsia"/>
        </w:rPr>
        <w:t>①产出数量</w:t>
      </w:r>
    </w:p>
    <w:p>
      <w:pPr>
        <w:pStyle w:val="29"/>
        <w:spacing w:line="560" w:lineRule="exact"/>
        <w:ind w:firstLine="640"/>
      </w:pPr>
      <w:r>
        <w:rPr>
          <w:rFonts w:hint="eastAsia"/>
        </w:rPr>
        <w:t>a</w:t>
      </w:r>
      <w:r>
        <w:t>.</w:t>
      </w:r>
      <w:r>
        <w:rPr>
          <w:rFonts w:hint="eastAsia"/>
        </w:rPr>
        <w:t>建筑工程测量完成率。项目实施期间实际完成建筑工程测量工作数量与计划完成的建筑工程测量工作数量的对比，用以反映建筑工程测量工作的完成情况。</w:t>
      </w:r>
    </w:p>
    <w:p>
      <w:pPr>
        <w:pStyle w:val="29"/>
        <w:spacing w:line="560" w:lineRule="exact"/>
        <w:ind w:firstLine="640"/>
      </w:pPr>
      <w:r>
        <w:rPr>
          <w:rFonts w:hint="eastAsia"/>
        </w:rPr>
        <w:t>b</w:t>
      </w:r>
      <w:r>
        <w:t>.</w:t>
      </w:r>
      <w:r>
        <w:rPr>
          <w:rFonts w:hint="eastAsia"/>
        </w:rPr>
        <w:t>社会稳定风险评估报告完成率。项目实施期间实际出具社会稳定风险评估报告数量与计划出具社会稳定风险评估报告数量的对比，用以反映社会稳定风险评估报告编制工作的完成情况。</w:t>
      </w:r>
    </w:p>
    <w:p>
      <w:pPr>
        <w:pStyle w:val="29"/>
        <w:spacing w:line="560" w:lineRule="exact"/>
        <w:ind w:firstLine="640"/>
      </w:pPr>
      <w:r>
        <w:rPr>
          <w:rFonts w:hint="eastAsia"/>
        </w:rPr>
        <w:t>c</w:t>
      </w:r>
      <w:r>
        <w:t>.</w:t>
      </w:r>
      <w:r>
        <w:rPr>
          <w:rFonts w:hint="eastAsia"/>
        </w:rPr>
        <w:t>拆除工程完成率。项目实施期间实际完成的拆除工程产值与拆除工程总产值的对比，用以反映拆除工程的完成情况。</w:t>
      </w:r>
    </w:p>
    <w:p>
      <w:pPr>
        <w:pStyle w:val="29"/>
        <w:spacing w:line="560" w:lineRule="exact"/>
        <w:ind w:firstLine="640"/>
      </w:pPr>
      <w:r>
        <w:rPr>
          <w:rFonts w:hint="eastAsia"/>
        </w:rPr>
        <w:t>②产出质量</w:t>
      </w:r>
    </w:p>
    <w:p>
      <w:pPr>
        <w:pStyle w:val="29"/>
        <w:spacing w:line="560" w:lineRule="exact"/>
        <w:ind w:firstLine="640"/>
      </w:pPr>
      <w:r>
        <w:rPr>
          <w:rFonts w:hint="eastAsia"/>
        </w:rPr>
        <w:t>a</w:t>
      </w:r>
      <w:r>
        <w:t>.</w:t>
      </w:r>
      <w:r>
        <w:rPr>
          <w:rFonts w:hint="eastAsia"/>
        </w:rPr>
        <w:t>建筑工程测量成果合规率。项目实施期间合规的建筑工程测量成果数量与建筑工程测量成果总数的对比，用以反映建筑工程测量成果的合规情况。</w:t>
      </w:r>
    </w:p>
    <w:p>
      <w:pPr>
        <w:pStyle w:val="29"/>
        <w:spacing w:line="560" w:lineRule="exact"/>
        <w:ind w:firstLine="640"/>
      </w:pPr>
      <w:r>
        <w:rPr>
          <w:rFonts w:hint="eastAsia"/>
        </w:rPr>
        <w:t>b</w:t>
      </w:r>
      <w:r>
        <w:t>.</w:t>
      </w:r>
      <w:r>
        <w:rPr>
          <w:rFonts w:hint="eastAsia"/>
        </w:rPr>
        <w:t>社会稳定风险评估报告合规率。项目实施期间合规的社会稳定风险评估报告数量与社会稳定风险评估报告总数的对比，用以反映社会稳定风险评估报告的合规情况。</w:t>
      </w:r>
    </w:p>
    <w:p>
      <w:pPr>
        <w:pStyle w:val="29"/>
        <w:spacing w:line="560" w:lineRule="exact"/>
        <w:ind w:firstLine="640"/>
      </w:pPr>
      <w:r>
        <w:rPr>
          <w:rFonts w:hint="eastAsia"/>
        </w:rPr>
        <w:t>c</w:t>
      </w:r>
      <w:r>
        <w:t>.</w:t>
      </w:r>
      <w:r>
        <w:rPr>
          <w:rFonts w:hint="eastAsia"/>
        </w:rPr>
        <w:t>拆除工程质量达标率。项目实施期间审核通过的拆除工程产值与实际拆除工程产值的对比，用以反映拆除工程的质量达标情况。</w:t>
      </w:r>
    </w:p>
    <w:p>
      <w:pPr>
        <w:pStyle w:val="29"/>
        <w:spacing w:line="560" w:lineRule="exact"/>
        <w:ind w:firstLine="640"/>
      </w:pPr>
      <w:r>
        <w:rPr>
          <w:rFonts w:hint="eastAsia"/>
        </w:rPr>
        <w:t>③产出时效</w:t>
      </w:r>
    </w:p>
    <w:p>
      <w:pPr>
        <w:pStyle w:val="29"/>
        <w:spacing w:line="560" w:lineRule="exact"/>
        <w:ind w:firstLine="640"/>
      </w:pPr>
      <w:r>
        <w:rPr>
          <w:rFonts w:hint="eastAsia"/>
        </w:rPr>
        <w:t>a</w:t>
      </w:r>
      <w:r>
        <w:t>.</w:t>
      </w:r>
      <w:r>
        <w:rPr>
          <w:rFonts w:hint="eastAsia"/>
        </w:rPr>
        <w:t>建筑工程测量完成及时率。项目实施期间及时完成的建筑工程测量工作数量与建筑工程测量工作总数，用以反映建筑工程测量报告的合规情况。</w:t>
      </w:r>
    </w:p>
    <w:p>
      <w:pPr>
        <w:pStyle w:val="29"/>
        <w:spacing w:line="560" w:lineRule="exact"/>
        <w:ind w:firstLine="640"/>
      </w:pPr>
      <w:r>
        <w:rPr>
          <w:rFonts w:hint="eastAsia"/>
        </w:rPr>
        <w:t>b</w:t>
      </w:r>
      <w:r>
        <w:t>.</w:t>
      </w:r>
      <w:r>
        <w:rPr>
          <w:rFonts w:hint="eastAsia"/>
        </w:rPr>
        <w:t>社会稳定风险评估报告编制及时率。项目实施期间及时编制社会稳定风险评估报告的数量与社会稳定风险评估报告总数的对比，用以反映社会稳定风险评估报告的合规情况。</w:t>
      </w:r>
    </w:p>
    <w:p>
      <w:pPr>
        <w:pStyle w:val="29"/>
        <w:spacing w:line="560" w:lineRule="exact"/>
        <w:ind w:firstLine="640"/>
      </w:pPr>
      <w:r>
        <w:rPr>
          <w:rFonts w:hint="eastAsia"/>
        </w:rPr>
        <w:t>c</w:t>
      </w:r>
      <w:r>
        <w:t>.</w:t>
      </w:r>
      <w:r>
        <w:rPr>
          <w:rFonts w:hint="eastAsia"/>
        </w:rPr>
        <w:t>拆除工程完成及时率。项目实施期间及时拆除的工程产值与拆除工程总产值的对比，用以反映拆除工程的完成及时情况。</w:t>
      </w:r>
    </w:p>
    <w:p>
      <w:pPr>
        <w:pStyle w:val="29"/>
        <w:spacing w:line="560" w:lineRule="exact"/>
        <w:ind w:firstLine="640"/>
      </w:pPr>
      <w:r>
        <w:rPr>
          <w:rFonts w:hint="eastAsia"/>
        </w:rPr>
        <w:t>④产出成本</w:t>
      </w:r>
    </w:p>
    <w:p>
      <w:pPr>
        <w:pStyle w:val="29"/>
        <w:spacing w:line="560" w:lineRule="exact"/>
        <w:ind w:firstLine="640"/>
      </w:pPr>
      <w:r>
        <w:rPr>
          <w:rFonts w:hint="eastAsia"/>
        </w:rPr>
        <w:t>项目建设成本节约率。项目实施期间实际支出项目建设费用与计划支出项目建设费用的对比，反映项目建设费用成本控制情况。</w:t>
      </w:r>
    </w:p>
    <w:p>
      <w:pPr>
        <w:pStyle w:val="29"/>
        <w:spacing w:line="560" w:lineRule="exact"/>
        <w:ind w:firstLine="640"/>
      </w:pPr>
      <w:r>
        <w:rPr>
          <w:rFonts w:hint="eastAsia"/>
        </w:rPr>
        <w:t>（</w:t>
      </w:r>
      <w:r>
        <w:t>4</w:t>
      </w:r>
      <w:r>
        <w:rPr>
          <w:rFonts w:hint="eastAsia"/>
        </w:rPr>
        <w:t>）项目效益指标</w:t>
      </w:r>
    </w:p>
    <w:p>
      <w:pPr>
        <w:pStyle w:val="29"/>
        <w:spacing w:line="560" w:lineRule="exact"/>
        <w:ind w:firstLine="640"/>
      </w:pPr>
      <w:r>
        <w:rPr>
          <w:rFonts w:hint="eastAsia"/>
        </w:rPr>
        <w:t>①社会效益</w:t>
      </w:r>
    </w:p>
    <w:p>
      <w:pPr>
        <w:pStyle w:val="29"/>
        <w:spacing w:line="560" w:lineRule="exact"/>
        <w:ind w:firstLine="640"/>
      </w:pPr>
      <w:r>
        <w:rPr>
          <w:rFonts w:hint="eastAsia"/>
        </w:rPr>
        <w:t>a</w:t>
      </w:r>
      <w:r>
        <w:t>.</w:t>
      </w:r>
      <w:r>
        <w:rPr>
          <w:rFonts w:hint="eastAsia"/>
        </w:rPr>
        <w:t>工程前期测量准备工作保障情况。通过工程前期测量准备工作是否执行有效，反映施工期间测量工作对项目顺利实施的促进情况。</w:t>
      </w:r>
    </w:p>
    <w:p>
      <w:pPr>
        <w:pStyle w:val="29"/>
        <w:spacing w:line="560" w:lineRule="exact"/>
        <w:ind w:firstLine="640"/>
      </w:pPr>
      <w:r>
        <w:t>b.</w:t>
      </w:r>
      <w:r>
        <w:rPr>
          <w:rFonts w:hint="eastAsia"/>
        </w:rPr>
        <w:t>社会稳定风险降低的保障情况。通过风险评估工作是否执行有效，反映社会稳定风险评估对社会稳定的保障情况。</w:t>
      </w:r>
    </w:p>
    <w:p>
      <w:pPr>
        <w:pStyle w:val="29"/>
        <w:spacing w:line="560" w:lineRule="exact"/>
        <w:ind w:firstLine="640"/>
      </w:pPr>
      <w:r>
        <w:t>c.</w:t>
      </w:r>
      <w:r>
        <w:rPr>
          <w:rFonts w:hint="eastAsia"/>
        </w:rPr>
        <w:t>拆除工程安全性。通过拆除工程施工期间实际发生安全事故次数情况，反映项目施工期间的安全保障效果。</w:t>
      </w:r>
    </w:p>
    <w:p>
      <w:pPr>
        <w:pStyle w:val="29"/>
        <w:spacing w:line="560" w:lineRule="exact"/>
        <w:ind w:firstLine="640"/>
      </w:pPr>
      <w:r>
        <w:t>②</w:t>
      </w:r>
      <w:r>
        <w:rPr>
          <w:rFonts w:hint="eastAsia"/>
        </w:rPr>
        <w:t>可持续影响</w:t>
      </w:r>
    </w:p>
    <w:p>
      <w:pPr>
        <w:pStyle w:val="29"/>
        <w:spacing w:line="560" w:lineRule="exact"/>
        <w:ind w:firstLine="640"/>
      </w:pPr>
      <w:r>
        <w:rPr>
          <w:rFonts w:hint="eastAsia"/>
        </w:rPr>
        <w:t>施工计划可持续性。通过施工进度是否按进度完成，反映当前施工进度是否影响后续施工工作。</w:t>
      </w:r>
    </w:p>
    <w:p>
      <w:pPr>
        <w:pStyle w:val="29"/>
        <w:spacing w:line="560" w:lineRule="exact"/>
        <w:ind w:firstLine="640"/>
      </w:pPr>
      <w:r>
        <w:t>③</w:t>
      </w:r>
      <w:r>
        <w:rPr>
          <w:rFonts w:hint="eastAsia"/>
        </w:rPr>
        <w:t>服务对象满意度</w:t>
      </w:r>
    </w:p>
    <w:p>
      <w:pPr>
        <w:pStyle w:val="29"/>
        <w:spacing w:line="560" w:lineRule="exact"/>
        <w:ind w:firstLine="640"/>
      </w:pPr>
      <w:r>
        <w:rPr>
          <w:rFonts w:hint="eastAsia"/>
        </w:rPr>
        <w:t>周边群众满意度。通过调查问卷中周边群众满意人数与调查周边群众总人数的比率，反映被调查周边群众对本项目的满意程度。</w:t>
      </w:r>
    </w:p>
    <w:p>
      <w:pPr>
        <w:pStyle w:val="29"/>
        <w:spacing w:line="560" w:lineRule="exact"/>
        <w:ind w:firstLine="640"/>
      </w:pPr>
      <w:r>
        <w:t>3</w:t>
      </w:r>
      <w:r>
        <w:rPr>
          <w:rFonts w:hint="eastAsia"/>
        </w:rPr>
        <w:t>.绩效评价方法</w:t>
      </w:r>
    </w:p>
    <w:p>
      <w:pPr>
        <w:pStyle w:val="29"/>
        <w:spacing w:line="560" w:lineRule="exact"/>
        <w:ind w:firstLine="640"/>
      </w:pPr>
      <w:r>
        <w:rPr>
          <w:rFonts w:hint="eastAsia"/>
        </w:rPr>
        <w:t>结合项目具体情况，本次绩效评价主要运用指标分析法结合比较法等方法进行评价。坚持定量指标优先、定量指标与定性指标相结合的方式，同时通过文献法进行资料搜索以及多因素分析来支撑评价内容的逻辑紧密性与客观性。从项目决策、项目过程、项目产出以及项目效益四个方面开展评价，并对项目资金使用情况</w:t>
      </w:r>
      <w:r>
        <w:t>进行了现场评价</w:t>
      </w:r>
      <w:r>
        <w:rPr>
          <w:rFonts w:hint="eastAsia"/>
        </w:rPr>
        <w:t>，</w:t>
      </w:r>
      <w:r>
        <w:t>绩效评价指标体系详见附件。</w:t>
      </w:r>
    </w:p>
    <w:p>
      <w:pPr>
        <w:pStyle w:val="33"/>
        <w:spacing w:line="560" w:lineRule="exact"/>
        <w:ind w:firstLine="640"/>
        <w:rPr>
          <w:rFonts w:ascii="Times New Roman" w:hAnsi="Times New Roman"/>
        </w:rPr>
      </w:pPr>
      <w:bookmarkStart w:id="9" w:name="_Toc181369916"/>
      <w:r>
        <w:rPr>
          <w:rFonts w:hint="eastAsia" w:ascii="Times New Roman" w:hAnsi="Times New Roman"/>
        </w:rPr>
        <w:t>（三）绩效评价工作过程</w:t>
      </w:r>
      <w:bookmarkEnd w:id="9"/>
    </w:p>
    <w:p>
      <w:pPr>
        <w:pStyle w:val="29"/>
        <w:spacing w:line="560" w:lineRule="exact"/>
        <w:ind w:firstLine="640"/>
      </w:pPr>
      <w:bookmarkStart w:id="10" w:name="_Toc57967893"/>
      <w:r>
        <w:t>1.</w:t>
      </w:r>
      <w:r>
        <w:rPr>
          <w:rFonts w:hint="eastAsia"/>
        </w:rPr>
        <w:t>前期准备阶段</w:t>
      </w:r>
      <w:bookmarkEnd w:id="10"/>
    </w:p>
    <w:p>
      <w:pPr>
        <w:pStyle w:val="29"/>
        <w:spacing w:line="560" w:lineRule="exact"/>
        <w:ind w:firstLine="640"/>
      </w:pPr>
      <w:r>
        <w:rPr>
          <w:rFonts w:hint="eastAsia"/>
        </w:rPr>
        <w:t>（</w:t>
      </w:r>
      <w:r>
        <w:t>1</w:t>
      </w:r>
      <w:r>
        <w:rPr>
          <w:rFonts w:hint="eastAsia"/>
        </w:rPr>
        <w:t>）成立绩效评价项目组</w:t>
      </w:r>
    </w:p>
    <w:p>
      <w:pPr>
        <w:pStyle w:val="29"/>
        <w:spacing w:line="560" w:lineRule="exact"/>
        <w:ind w:firstLine="640"/>
      </w:pPr>
      <w:r>
        <w:rPr>
          <w:rFonts w:hint="eastAsia"/>
        </w:rPr>
        <w:t>天津市和平区财政局委托我司（天津安信管理咨询有限公司）对和平区全民健身中心改造项目进行绩效评价工作。</w:t>
      </w:r>
    </w:p>
    <w:p>
      <w:pPr>
        <w:pStyle w:val="29"/>
        <w:spacing w:line="560" w:lineRule="exact"/>
        <w:ind w:firstLine="640"/>
      </w:pPr>
      <w:r>
        <w:t>2024</w:t>
      </w:r>
      <w:r>
        <w:rPr>
          <w:rFonts w:hint="eastAsia"/>
        </w:rPr>
        <w:t>年7月</w:t>
      </w:r>
      <w:r>
        <w:t>18</w:t>
      </w:r>
      <w:r>
        <w:rPr>
          <w:rFonts w:hint="eastAsia"/>
        </w:rPr>
        <w:t>日，绩效评价项目组（以下简称“评价组”）赴区全民健身中心参加了项目见面会，听取了该单位对和平区全民健身中心改造项目的项目背景、申请立项、资金落实、业务管理、财务管理、项目产出、项目效益等方面的情况介绍，并对项目后续评价工作的基本原则及所需的各类资料文件提出了要求。</w:t>
      </w:r>
    </w:p>
    <w:p>
      <w:pPr>
        <w:pStyle w:val="29"/>
        <w:spacing w:line="560" w:lineRule="exact"/>
        <w:ind w:firstLine="640"/>
      </w:pPr>
      <w:r>
        <w:rPr>
          <w:rFonts w:hint="eastAsia"/>
        </w:rPr>
        <w:t>（</w:t>
      </w:r>
      <w:r>
        <w:t>2</w:t>
      </w:r>
      <w:r>
        <w:rPr>
          <w:rFonts w:hint="eastAsia"/>
        </w:rPr>
        <w:t>）制定绩效评价方案</w:t>
      </w:r>
    </w:p>
    <w:p>
      <w:pPr>
        <w:pStyle w:val="29"/>
        <w:spacing w:line="560" w:lineRule="exact"/>
        <w:ind w:firstLine="640"/>
      </w:pPr>
      <w:r>
        <w:rPr>
          <w:rFonts w:hint="eastAsia"/>
        </w:rPr>
        <w:t>根据</w:t>
      </w:r>
      <w:r>
        <w:rPr>
          <w:rFonts w:hint="eastAsia"/>
          <w:szCs w:val="32"/>
        </w:rPr>
        <w:t>《中共天津市委 天津市人民政府印发&lt;关于全面推进预算绩效管理的实施方案&gt;的通知》（津党发〔2019〕25号）</w:t>
      </w:r>
      <w:r>
        <w:rPr>
          <w:rFonts w:hint="eastAsia"/>
        </w:rPr>
        <w:t>要求，评价项目组制定了《和平区全民健身中心改造项目</w:t>
      </w:r>
      <w:r>
        <w:t>绩效评价工作实施方案</w:t>
      </w:r>
      <w:r>
        <w:rPr>
          <w:rFonts w:hint="eastAsia"/>
        </w:rPr>
        <w:t>》，并根据评价方案组织开展项目评价工作。</w:t>
      </w:r>
    </w:p>
    <w:p>
      <w:pPr>
        <w:pStyle w:val="29"/>
        <w:spacing w:line="560" w:lineRule="exact"/>
        <w:ind w:firstLine="640"/>
      </w:pPr>
      <w:r>
        <w:rPr>
          <w:rFonts w:hint="eastAsia"/>
        </w:rPr>
        <w:t>（</w:t>
      </w:r>
      <w:r>
        <w:t>3</w:t>
      </w:r>
      <w:r>
        <w:rPr>
          <w:rFonts w:hint="eastAsia"/>
        </w:rPr>
        <w:t>）指标体系设计</w:t>
      </w:r>
    </w:p>
    <w:p>
      <w:pPr>
        <w:pStyle w:val="29"/>
        <w:spacing w:line="560" w:lineRule="exact"/>
        <w:ind w:firstLine="640"/>
      </w:pPr>
      <w:r>
        <w:rPr>
          <w:rFonts w:hint="eastAsia"/>
        </w:rPr>
        <w:t>根据和平区全民健身中心改造项目绩效目标及实际工作需要，从决策、过程、产出、效益四个维度出发，设立项目立项、绩效目标、资金投入、资金管理、组织实施、产出数量、产出质量、产出时效、产出成本、社会效益、可持续影响、服务对象满意度</w:t>
      </w:r>
      <w:r>
        <w:t>12</w:t>
      </w:r>
      <w:r>
        <w:rPr>
          <w:rFonts w:hint="eastAsia"/>
        </w:rPr>
        <w:t>项二级指标和</w:t>
      </w:r>
      <w:r>
        <w:t>37</w:t>
      </w:r>
      <w:r>
        <w:rPr>
          <w:rFonts w:hint="eastAsia"/>
        </w:rPr>
        <w:t>项三级指标，采取指标分值百分制，将</w:t>
      </w:r>
      <w:r>
        <w:t>37</w:t>
      </w:r>
      <w:r>
        <w:rPr>
          <w:rFonts w:hint="eastAsia"/>
        </w:rPr>
        <w:t>项指标量化为</w:t>
      </w:r>
      <w:r>
        <w:t>100</w:t>
      </w:r>
      <w:r>
        <w:rPr>
          <w:rFonts w:hint="eastAsia"/>
        </w:rPr>
        <w:t>分，分值权重在征求被评单位意见的基础上确定，详见附件。</w:t>
      </w:r>
    </w:p>
    <w:p>
      <w:pPr>
        <w:pStyle w:val="29"/>
        <w:spacing w:line="560" w:lineRule="exact"/>
        <w:ind w:firstLine="640"/>
      </w:pPr>
      <w:bookmarkStart w:id="11" w:name="_Toc57967894"/>
      <w:r>
        <w:t>2.</w:t>
      </w:r>
      <w:r>
        <w:rPr>
          <w:rFonts w:hint="eastAsia"/>
        </w:rPr>
        <w:t>评价实施阶段</w:t>
      </w:r>
      <w:bookmarkEnd w:id="11"/>
    </w:p>
    <w:p>
      <w:pPr>
        <w:pStyle w:val="29"/>
        <w:spacing w:line="560" w:lineRule="exact"/>
        <w:ind w:firstLine="640"/>
      </w:pPr>
      <w:r>
        <w:rPr>
          <w:rFonts w:hint="eastAsia"/>
        </w:rPr>
        <w:t>（</w:t>
      </w:r>
      <w:r>
        <w:t>1</w:t>
      </w:r>
      <w:r>
        <w:rPr>
          <w:rFonts w:hint="eastAsia"/>
        </w:rPr>
        <w:t>）正式进驻。评价组</w:t>
      </w:r>
      <w:r>
        <w:t>2024</w:t>
      </w:r>
      <w:r>
        <w:rPr>
          <w:rFonts w:hint="eastAsia"/>
        </w:rPr>
        <w:t>年7月</w:t>
      </w:r>
      <w:r>
        <w:t>18</w:t>
      </w:r>
      <w:r>
        <w:rPr>
          <w:rFonts w:hint="eastAsia"/>
        </w:rPr>
        <w:t>日正式进驻区全民健身中心实施评价工作。</w:t>
      </w:r>
    </w:p>
    <w:p>
      <w:pPr>
        <w:pStyle w:val="29"/>
        <w:spacing w:line="560" w:lineRule="exact"/>
        <w:ind w:firstLine="640"/>
      </w:pPr>
      <w:r>
        <w:rPr>
          <w:rFonts w:hint="eastAsia"/>
        </w:rPr>
        <w:t>（</w:t>
      </w:r>
      <w:r>
        <w:t>2</w:t>
      </w:r>
      <w:r>
        <w:rPr>
          <w:rFonts w:hint="eastAsia"/>
        </w:rPr>
        <w:t>）全面审查。评价过程中，评价组对和平区全民健身中心改造项目的文件依据、预算编制、制度执行、资金拨付、资金使用情况、产生效益等方面进行了全面梳理。评价组根据《国务院关于印发全民健身计划（</w:t>
      </w:r>
      <w:r>
        <w:t>2021—2025年）的通知》</w:t>
      </w:r>
      <w:r>
        <w:rPr>
          <w:rFonts w:hint="eastAsia"/>
        </w:rPr>
        <w:t>（国发〔2021〕</w:t>
      </w:r>
      <w:r>
        <w:t>11</w:t>
      </w:r>
      <w:r>
        <w:rPr>
          <w:rFonts w:hint="eastAsia"/>
        </w:rPr>
        <w:t>号）、《国务院办公厅关于促进全民健身和体育消费推动产业高质量发展的意见》（国办发〔2019〕43号）、《国家体育总局关于进一步加强产业基地建设工作的通知》等文件，对专项经费的到位情况、预算编制、资金拨付、资金使用等相关业务文件进行了核查。</w:t>
      </w:r>
    </w:p>
    <w:p>
      <w:pPr>
        <w:pStyle w:val="29"/>
        <w:spacing w:line="560" w:lineRule="exact"/>
        <w:ind w:firstLine="640"/>
      </w:pPr>
      <w:r>
        <w:rPr>
          <w:rFonts w:hint="eastAsia"/>
        </w:rPr>
        <w:t>（</w:t>
      </w:r>
      <w:r>
        <w:t>3</w:t>
      </w:r>
      <w:r>
        <w:rPr>
          <w:rFonts w:hint="eastAsia"/>
        </w:rPr>
        <w:t>）实地核查。对区全民健身中心开展现场评价，针对全民健身中心改造完成情况进行一一核查，根据上述核查内容形成评价清单。</w:t>
      </w:r>
      <w:r>
        <w:t xml:space="preserve"> </w:t>
      </w:r>
    </w:p>
    <w:p>
      <w:pPr>
        <w:pStyle w:val="29"/>
        <w:spacing w:line="560" w:lineRule="exact"/>
        <w:ind w:firstLine="640"/>
      </w:pPr>
      <w:r>
        <w:rPr>
          <w:rFonts w:hint="eastAsia"/>
        </w:rPr>
        <w:t>（</w:t>
      </w:r>
      <w:r>
        <w:t>4</w:t>
      </w:r>
      <w:r>
        <w:rPr>
          <w:rFonts w:hint="eastAsia"/>
        </w:rPr>
        <w:t>）评价打分。按照绩效评价指标体系编制了工作底稿，并对各绩效评价指标进行了评分。</w:t>
      </w:r>
    </w:p>
    <w:p>
      <w:pPr>
        <w:pStyle w:val="29"/>
        <w:spacing w:line="560" w:lineRule="exact"/>
        <w:ind w:firstLine="640"/>
      </w:pPr>
      <w:r>
        <w:rPr>
          <w:rFonts w:hint="eastAsia"/>
        </w:rPr>
        <w:t>（</w:t>
      </w:r>
      <w:r>
        <w:t>5</w:t>
      </w:r>
      <w:r>
        <w:rPr>
          <w:rFonts w:hint="eastAsia"/>
        </w:rPr>
        <w:t>）编制报告。评价组根据现场评价打分，编制绩效评价报告，全面梳理本项目在决策依据、过程管理、产出情况、取得效益等方面存在的问题及工作建议。</w:t>
      </w:r>
    </w:p>
    <w:p>
      <w:pPr>
        <w:pStyle w:val="31"/>
        <w:spacing w:line="560" w:lineRule="exact"/>
      </w:pPr>
      <w:bookmarkStart w:id="12" w:name="_Toc181369917"/>
      <w:r>
        <w:rPr>
          <w:rFonts w:hint="eastAsia"/>
        </w:rPr>
        <w:t>三、综合评价情况及评价结论</w:t>
      </w:r>
      <w:bookmarkEnd w:id="12"/>
    </w:p>
    <w:p>
      <w:pPr>
        <w:pStyle w:val="29"/>
        <w:spacing w:line="560" w:lineRule="exact"/>
        <w:ind w:firstLine="640"/>
        <w:rPr>
          <w:highlight w:val="none"/>
        </w:rPr>
      </w:pPr>
      <w:bookmarkStart w:id="13" w:name="_Hlk91875381"/>
      <w:r>
        <w:rPr>
          <w:rFonts w:hint="eastAsia"/>
        </w:rPr>
        <w:t>经过综合评价，和平区全民健身中心</w:t>
      </w:r>
      <w:r>
        <w:rPr>
          <w:rFonts w:hint="eastAsia"/>
          <w:highlight w:val="none"/>
        </w:rPr>
        <w:t>改造项目得分</w:t>
      </w:r>
      <w:r>
        <w:rPr>
          <w:highlight w:val="none"/>
        </w:rPr>
        <w:t>83.25</w:t>
      </w:r>
      <w:r>
        <w:rPr>
          <w:rFonts w:hint="eastAsia"/>
          <w:highlight w:val="none"/>
        </w:rPr>
        <w:t>分，评价等级为“良”。其中，项目决策6</w:t>
      </w:r>
      <w:r>
        <w:rPr>
          <w:highlight w:val="none"/>
        </w:rPr>
        <w:t>.5</w:t>
      </w:r>
      <w:r>
        <w:rPr>
          <w:rFonts w:hint="eastAsia"/>
          <w:highlight w:val="none"/>
        </w:rPr>
        <w:t>分，项目过程</w:t>
      </w:r>
      <w:r>
        <w:rPr>
          <w:highlight w:val="none"/>
        </w:rPr>
        <w:t>28</w:t>
      </w:r>
      <w:r>
        <w:rPr>
          <w:rFonts w:hint="eastAsia"/>
          <w:highlight w:val="none"/>
        </w:rPr>
        <w:t>分，项目产出</w:t>
      </w:r>
      <w:r>
        <w:rPr>
          <w:highlight w:val="none"/>
        </w:rPr>
        <w:t>31</w:t>
      </w:r>
      <w:r>
        <w:rPr>
          <w:rFonts w:hint="eastAsia"/>
          <w:highlight w:val="none"/>
        </w:rPr>
        <w:t>分，项目效益</w:t>
      </w:r>
      <w:r>
        <w:rPr>
          <w:highlight w:val="none"/>
        </w:rPr>
        <w:t>17.75</w:t>
      </w:r>
      <w:r>
        <w:rPr>
          <w:rFonts w:hint="eastAsia"/>
          <w:highlight w:val="none"/>
        </w:rPr>
        <w:t>分。</w:t>
      </w:r>
      <w:bookmarkEnd w:id="13"/>
      <w:bookmarkStart w:id="14" w:name="_Hlk91875395"/>
      <w:r>
        <w:rPr>
          <w:rFonts w:hint="eastAsia"/>
          <w:highlight w:val="none"/>
        </w:rPr>
        <w:t>具体情况见表2。</w:t>
      </w:r>
    </w:p>
    <w:p>
      <w:pPr>
        <w:pStyle w:val="36"/>
        <w:spacing w:line="560" w:lineRule="exact"/>
        <w:rPr>
          <w:highlight w:val="none"/>
        </w:rPr>
      </w:pPr>
      <w:r>
        <w:rPr>
          <w:highlight w:val="none"/>
        </w:rPr>
        <w:t xml:space="preserve">表2 </w:t>
      </w:r>
      <w:r>
        <w:rPr>
          <w:rFonts w:hint="eastAsia"/>
          <w:highlight w:val="none"/>
        </w:rPr>
        <w:t xml:space="preserve"> 和平区全民健身中心改造项目绩效得分情况表</w:t>
      </w:r>
    </w:p>
    <w:tbl>
      <w:tblPr>
        <w:tblStyle w:val="17"/>
        <w:tblW w:w="43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1304"/>
        <w:gridCol w:w="1305"/>
        <w:gridCol w:w="1332"/>
        <w:gridCol w:w="1305"/>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9" w:type="pct"/>
            <w:vAlign w:val="center"/>
          </w:tcPr>
          <w:p>
            <w:pPr>
              <w:pStyle w:val="39"/>
              <w:jc w:val="center"/>
              <w:rPr>
                <w:rFonts w:ascii="宋体" w:hAnsi="宋体" w:eastAsia="宋体" w:cs="宋体"/>
                <w:highlight w:val="none"/>
              </w:rPr>
            </w:pPr>
            <w:r>
              <w:rPr>
                <w:rFonts w:hint="eastAsia" w:ascii="宋体" w:hAnsi="宋体" w:eastAsia="宋体" w:cs="宋体"/>
                <w:highlight w:val="none"/>
              </w:rPr>
              <w:t>指标</w:t>
            </w:r>
          </w:p>
        </w:tc>
        <w:tc>
          <w:tcPr>
            <w:tcW w:w="828" w:type="pct"/>
            <w:vAlign w:val="center"/>
          </w:tcPr>
          <w:p>
            <w:pPr>
              <w:pStyle w:val="39"/>
              <w:jc w:val="center"/>
              <w:rPr>
                <w:rFonts w:ascii="宋体" w:hAnsi="宋体" w:eastAsia="宋体" w:cs="宋体"/>
                <w:highlight w:val="none"/>
              </w:rPr>
            </w:pPr>
            <w:r>
              <w:rPr>
                <w:rFonts w:hint="eastAsia" w:ascii="宋体" w:hAnsi="宋体" w:eastAsia="宋体" w:cs="宋体"/>
                <w:highlight w:val="none"/>
              </w:rPr>
              <w:t>项目决策</w:t>
            </w:r>
          </w:p>
        </w:tc>
        <w:tc>
          <w:tcPr>
            <w:tcW w:w="829" w:type="pct"/>
            <w:vAlign w:val="center"/>
          </w:tcPr>
          <w:p>
            <w:pPr>
              <w:pStyle w:val="39"/>
              <w:jc w:val="center"/>
              <w:rPr>
                <w:rFonts w:ascii="宋体" w:hAnsi="宋体" w:eastAsia="宋体" w:cs="宋体"/>
                <w:highlight w:val="none"/>
              </w:rPr>
            </w:pPr>
            <w:r>
              <w:rPr>
                <w:rFonts w:hint="eastAsia" w:ascii="宋体" w:hAnsi="宋体" w:eastAsia="宋体" w:cs="宋体"/>
                <w:highlight w:val="none"/>
              </w:rPr>
              <w:t>项目过程</w:t>
            </w:r>
          </w:p>
        </w:tc>
        <w:tc>
          <w:tcPr>
            <w:tcW w:w="846" w:type="pct"/>
            <w:vAlign w:val="center"/>
          </w:tcPr>
          <w:p>
            <w:pPr>
              <w:pStyle w:val="39"/>
              <w:jc w:val="center"/>
              <w:rPr>
                <w:rFonts w:ascii="宋体" w:hAnsi="宋体" w:eastAsia="宋体" w:cs="宋体"/>
                <w:highlight w:val="none"/>
              </w:rPr>
            </w:pPr>
            <w:r>
              <w:rPr>
                <w:rFonts w:hint="eastAsia" w:ascii="宋体" w:hAnsi="宋体" w:eastAsia="宋体" w:cs="宋体"/>
                <w:highlight w:val="none"/>
              </w:rPr>
              <w:t>项目产出</w:t>
            </w:r>
          </w:p>
        </w:tc>
        <w:tc>
          <w:tcPr>
            <w:tcW w:w="829" w:type="pct"/>
            <w:vAlign w:val="center"/>
          </w:tcPr>
          <w:p>
            <w:pPr>
              <w:pStyle w:val="39"/>
              <w:jc w:val="center"/>
              <w:rPr>
                <w:rFonts w:ascii="宋体" w:hAnsi="宋体" w:eastAsia="宋体" w:cs="宋体"/>
                <w:highlight w:val="none"/>
              </w:rPr>
            </w:pPr>
            <w:r>
              <w:rPr>
                <w:rFonts w:hint="eastAsia" w:ascii="宋体" w:hAnsi="宋体" w:eastAsia="宋体" w:cs="宋体"/>
                <w:highlight w:val="none"/>
              </w:rPr>
              <w:t>项目效益</w:t>
            </w:r>
          </w:p>
        </w:tc>
        <w:tc>
          <w:tcPr>
            <w:tcW w:w="839" w:type="pct"/>
            <w:vAlign w:val="center"/>
          </w:tcPr>
          <w:p>
            <w:pPr>
              <w:pStyle w:val="39"/>
              <w:jc w:val="center"/>
              <w:rPr>
                <w:rFonts w:ascii="宋体" w:hAnsi="宋体" w:eastAsia="宋体" w:cs="宋体"/>
                <w:highlight w:val="none"/>
              </w:rPr>
            </w:pPr>
            <w:r>
              <w:rPr>
                <w:rFonts w:hint="eastAsia" w:ascii="宋体" w:hAnsi="宋体" w:eastAsia="宋体" w:cs="宋体"/>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9" w:type="pct"/>
            <w:vAlign w:val="center"/>
          </w:tcPr>
          <w:p>
            <w:pPr>
              <w:pStyle w:val="41"/>
              <w:rPr>
                <w:highlight w:val="none"/>
              </w:rPr>
            </w:pPr>
            <w:r>
              <w:rPr>
                <w:rFonts w:hint="eastAsia"/>
                <w:highlight w:val="none"/>
              </w:rPr>
              <w:t>分值</w:t>
            </w:r>
          </w:p>
        </w:tc>
        <w:tc>
          <w:tcPr>
            <w:tcW w:w="828" w:type="pct"/>
            <w:vAlign w:val="center"/>
          </w:tcPr>
          <w:p>
            <w:pPr>
              <w:pStyle w:val="41"/>
              <w:rPr>
                <w:highlight w:val="none"/>
              </w:rPr>
            </w:pPr>
            <w:r>
              <w:rPr>
                <w:highlight w:val="none"/>
              </w:rPr>
              <w:t>9</w:t>
            </w:r>
          </w:p>
        </w:tc>
        <w:tc>
          <w:tcPr>
            <w:tcW w:w="829" w:type="pct"/>
            <w:vAlign w:val="center"/>
          </w:tcPr>
          <w:p>
            <w:pPr>
              <w:pStyle w:val="41"/>
              <w:rPr>
                <w:highlight w:val="none"/>
              </w:rPr>
            </w:pPr>
            <w:r>
              <w:rPr>
                <w:highlight w:val="none"/>
              </w:rPr>
              <w:t>31</w:t>
            </w:r>
          </w:p>
        </w:tc>
        <w:tc>
          <w:tcPr>
            <w:tcW w:w="846" w:type="pct"/>
            <w:vAlign w:val="center"/>
          </w:tcPr>
          <w:p>
            <w:pPr>
              <w:pStyle w:val="41"/>
              <w:rPr>
                <w:highlight w:val="none"/>
              </w:rPr>
            </w:pPr>
            <w:r>
              <w:rPr>
                <w:highlight w:val="none"/>
              </w:rPr>
              <w:t>38</w:t>
            </w:r>
          </w:p>
        </w:tc>
        <w:tc>
          <w:tcPr>
            <w:tcW w:w="829" w:type="pct"/>
            <w:vAlign w:val="center"/>
          </w:tcPr>
          <w:p>
            <w:pPr>
              <w:pStyle w:val="41"/>
              <w:rPr>
                <w:highlight w:val="none"/>
              </w:rPr>
            </w:pPr>
            <w:r>
              <w:rPr>
                <w:highlight w:val="none"/>
              </w:rPr>
              <w:t>22</w:t>
            </w:r>
          </w:p>
        </w:tc>
        <w:tc>
          <w:tcPr>
            <w:tcW w:w="839" w:type="pct"/>
            <w:vAlign w:val="center"/>
          </w:tcPr>
          <w:p>
            <w:pPr>
              <w:pStyle w:val="41"/>
              <w:rPr>
                <w:highlight w:val="none"/>
              </w:rPr>
            </w:pPr>
            <w:r>
              <w:rPr>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9" w:type="pct"/>
            <w:vAlign w:val="center"/>
          </w:tcPr>
          <w:p>
            <w:pPr>
              <w:pStyle w:val="41"/>
              <w:rPr>
                <w:highlight w:val="none"/>
              </w:rPr>
            </w:pPr>
            <w:r>
              <w:rPr>
                <w:rFonts w:hint="eastAsia"/>
                <w:highlight w:val="none"/>
              </w:rPr>
              <w:t>得分</w:t>
            </w:r>
          </w:p>
        </w:tc>
        <w:tc>
          <w:tcPr>
            <w:tcW w:w="828" w:type="pct"/>
            <w:vAlign w:val="center"/>
          </w:tcPr>
          <w:p>
            <w:pPr>
              <w:pStyle w:val="41"/>
              <w:rPr>
                <w:highlight w:val="none"/>
              </w:rPr>
            </w:pPr>
            <w:r>
              <w:rPr>
                <w:rFonts w:hint="eastAsia"/>
                <w:highlight w:val="none"/>
              </w:rPr>
              <w:t>6</w:t>
            </w:r>
            <w:r>
              <w:rPr>
                <w:highlight w:val="none"/>
              </w:rPr>
              <w:t>.5</w:t>
            </w:r>
          </w:p>
        </w:tc>
        <w:tc>
          <w:tcPr>
            <w:tcW w:w="829" w:type="pct"/>
            <w:vAlign w:val="center"/>
          </w:tcPr>
          <w:p>
            <w:pPr>
              <w:pStyle w:val="41"/>
              <w:rPr>
                <w:highlight w:val="none"/>
              </w:rPr>
            </w:pPr>
            <w:r>
              <w:rPr>
                <w:highlight w:val="none"/>
              </w:rPr>
              <w:t>28</w:t>
            </w:r>
          </w:p>
        </w:tc>
        <w:tc>
          <w:tcPr>
            <w:tcW w:w="846" w:type="pct"/>
            <w:vAlign w:val="center"/>
          </w:tcPr>
          <w:p>
            <w:pPr>
              <w:pStyle w:val="41"/>
              <w:rPr>
                <w:highlight w:val="none"/>
              </w:rPr>
            </w:pPr>
            <w:r>
              <w:rPr>
                <w:highlight w:val="none"/>
              </w:rPr>
              <w:t>31</w:t>
            </w:r>
          </w:p>
        </w:tc>
        <w:tc>
          <w:tcPr>
            <w:tcW w:w="829" w:type="pct"/>
            <w:vAlign w:val="center"/>
          </w:tcPr>
          <w:p>
            <w:pPr>
              <w:pStyle w:val="41"/>
              <w:rPr>
                <w:highlight w:val="none"/>
              </w:rPr>
            </w:pPr>
            <w:r>
              <w:rPr>
                <w:highlight w:val="none"/>
              </w:rPr>
              <w:t>17.75</w:t>
            </w:r>
          </w:p>
        </w:tc>
        <w:tc>
          <w:tcPr>
            <w:tcW w:w="839" w:type="pct"/>
            <w:vAlign w:val="center"/>
          </w:tcPr>
          <w:p>
            <w:pPr>
              <w:pStyle w:val="41"/>
              <w:rPr>
                <w:highlight w:val="none"/>
              </w:rPr>
            </w:pPr>
            <w:r>
              <w:rPr>
                <w:highlight w:val="none"/>
              </w:rPr>
              <w:t>83.25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9" w:type="pct"/>
            <w:vAlign w:val="center"/>
          </w:tcPr>
          <w:p>
            <w:pPr>
              <w:pStyle w:val="41"/>
              <w:rPr>
                <w:highlight w:val="none"/>
              </w:rPr>
            </w:pPr>
            <w:r>
              <w:rPr>
                <w:rFonts w:hint="eastAsia"/>
                <w:highlight w:val="none"/>
              </w:rPr>
              <w:t>得分率</w:t>
            </w:r>
          </w:p>
        </w:tc>
        <w:tc>
          <w:tcPr>
            <w:tcW w:w="828" w:type="pct"/>
            <w:vAlign w:val="center"/>
          </w:tcPr>
          <w:p>
            <w:pPr>
              <w:pStyle w:val="41"/>
              <w:rPr>
                <w:highlight w:val="none"/>
              </w:rPr>
            </w:pPr>
            <w:r>
              <w:rPr>
                <w:rFonts w:hint="eastAsia"/>
                <w:highlight w:val="none"/>
              </w:rPr>
              <w:t>7</w:t>
            </w:r>
            <w:r>
              <w:rPr>
                <w:highlight w:val="none"/>
              </w:rPr>
              <w:t>2.22%</w:t>
            </w:r>
          </w:p>
        </w:tc>
        <w:tc>
          <w:tcPr>
            <w:tcW w:w="829" w:type="pct"/>
            <w:vAlign w:val="center"/>
          </w:tcPr>
          <w:p>
            <w:pPr>
              <w:pStyle w:val="41"/>
              <w:rPr>
                <w:highlight w:val="none"/>
              </w:rPr>
            </w:pPr>
            <w:r>
              <w:rPr>
                <w:highlight w:val="none"/>
              </w:rPr>
              <w:t>90.32%</w:t>
            </w:r>
          </w:p>
        </w:tc>
        <w:tc>
          <w:tcPr>
            <w:tcW w:w="846" w:type="pct"/>
            <w:vAlign w:val="center"/>
          </w:tcPr>
          <w:p>
            <w:pPr>
              <w:pStyle w:val="41"/>
              <w:rPr>
                <w:highlight w:val="none"/>
              </w:rPr>
            </w:pPr>
            <w:r>
              <w:rPr>
                <w:highlight w:val="none"/>
              </w:rPr>
              <w:t>81.58%</w:t>
            </w:r>
          </w:p>
        </w:tc>
        <w:tc>
          <w:tcPr>
            <w:tcW w:w="829" w:type="pct"/>
            <w:vAlign w:val="center"/>
          </w:tcPr>
          <w:p>
            <w:pPr>
              <w:pStyle w:val="41"/>
              <w:rPr>
                <w:highlight w:val="none"/>
              </w:rPr>
            </w:pPr>
            <w:r>
              <w:rPr>
                <w:highlight w:val="none"/>
              </w:rPr>
              <w:t>80.68%</w:t>
            </w:r>
          </w:p>
        </w:tc>
        <w:tc>
          <w:tcPr>
            <w:tcW w:w="839" w:type="pct"/>
            <w:vAlign w:val="center"/>
          </w:tcPr>
          <w:p>
            <w:pPr>
              <w:pStyle w:val="41"/>
              <w:rPr>
                <w:highlight w:val="none"/>
              </w:rPr>
            </w:pPr>
            <w:r>
              <w:rPr>
                <w:highlight w:val="none"/>
              </w:rPr>
              <w:t>83.25%</w:t>
            </w:r>
          </w:p>
        </w:tc>
      </w:tr>
      <w:bookmarkEnd w:id="14"/>
    </w:tbl>
    <w:p>
      <w:pPr>
        <w:pStyle w:val="29"/>
        <w:spacing w:line="560" w:lineRule="exact"/>
        <w:ind w:firstLine="640"/>
      </w:pPr>
      <w:bookmarkStart w:id="15" w:name="_Hlk91875411"/>
      <w:r>
        <w:rPr>
          <w:rFonts w:hint="eastAsia"/>
        </w:rPr>
        <w:t>评价结论：</w:t>
      </w:r>
      <w:bookmarkEnd w:id="15"/>
      <w:r>
        <w:rPr>
          <w:rFonts w:hint="eastAsia"/>
        </w:rPr>
        <w:t>一是项目决策方面，和平区全民健身中心改造项目举债机制健全，项目成熟度较高，绩效目标设置合理，债务规模合理。二是项目过程方面，本项目资金到位及时，资金管理合规有效，各项业务管理制度健全，组织管理合理，政府采购、工程变更、监理、合同管理、安全</w:t>
      </w:r>
      <w:r>
        <w:rPr>
          <w:rFonts w:hint="eastAsia"/>
          <w:highlight w:val="none"/>
        </w:rPr>
        <w:t>管理、项目验收规范性良好，</w:t>
      </w:r>
      <w:r>
        <w:rPr>
          <w:rFonts w:hint="eastAsia"/>
        </w:rPr>
        <w:t>债务公开内容完备，成本控制、质量管理、配套措施执行有效。三是项目产出方面，产出数量、产出质量、产出时效和产出成本部分达到预期目标。四是项目效益方面，工程前期测量准备工作执行有效、社会稳定风险降低的保障情况良好、拆除工程安全性较高。但存在项目绩效指标细化分解程度不足、绩效指标与项目目标任务数或计划数不对应、预算额度测算依据不明确、项目预算执行不到位、未编制施工进度计划、部分工程进度较慢、周边群众满意度不足的情况。</w:t>
      </w:r>
    </w:p>
    <w:p>
      <w:pPr>
        <w:pStyle w:val="31"/>
        <w:spacing w:line="560" w:lineRule="exact"/>
      </w:pPr>
      <w:bookmarkStart w:id="16" w:name="_Toc181369918"/>
      <w:r>
        <w:rPr>
          <w:rFonts w:hint="eastAsia"/>
        </w:rPr>
        <w:t>四、绩效评价指标分析</w:t>
      </w:r>
      <w:bookmarkEnd w:id="16"/>
    </w:p>
    <w:p>
      <w:pPr>
        <w:pStyle w:val="33"/>
        <w:spacing w:line="560" w:lineRule="exact"/>
        <w:ind w:firstLine="640"/>
        <w:rPr>
          <w:rFonts w:ascii="Times New Roman" w:hAnsi="Times New Roman"/>
        </w:rPr>
      </w:pPr>
      <w:bookmarkStart w:id="17" w:name="_Toc181369919"/>
      <w:r>
        <w:rPr>
          <w:rFonts w:hint="eastAsia" w:ascii="Times New Roman" w:hAnsi="Times New Roman"/>
        </w:rPr>
        <w:t>（一）项目决策情况</w:t>
      </w:r>
      <w:bookmarkEnd w:id="17"/>
    </w:p>
    <w:p>
      <w:pPr>
        <w:pStyle w:val="29"/>
        <w:spacing w:line="560" w:lineRule="exact"/>
        <w:ind w:firstLine="640"/>
      </w:pPr>
      <w:r>
        <w:rPr>
          <w:rFonts w:hint="eastAsia"/>
        </w:rPr>
        <w:t>决策指标主要包括项目立项、绩效目标、资金投入</w:t>
      </w:r>
      <w:r>
        <w:t>3项二级指标，6项三级指标，基础总分9分，合计得6.5分。</w:t>
      </w:r>
    </w:p>
    <w:p>
      <w:pPr>
        <w:pStyle w:val="29"/>
        <w:spacing w:line="560" w:lineRule="exact"/>
        <w:ind w:firstLine="640"/>
      </w:pPr>
      <w:r>
        <w:t>1.项目立项</w:t>
      </w:r>
    </w:p>
    <w:p>
      <w:pPr>
        <w:pStyle w:val="29"/>
        <w:spacing w:line="560" w:lineRule="exact"/>
        <w:ind w:firstLine="640"/>
        <w:rPr>
          <w:bCs/>
        </w:rPr>
      </w:pPr>
      <w:r>
        <w:rPr>
          <w:rFonts w:hint="eastAsia"/>
        </w:rPr>
        <w:t>（1）举债机制健全性（总分</w:t>
      </w:r>
      <w:r>
        <w:t>1</w:t>
      </w:r>
      <w:r>
        <w:rPr>
          <w:rFonts w:hint="eastAsia"/>
        </w:rPr>
        <w:t>分，得分</w:t>
      </w:r>
      <w:r>
        <w:t>1</w:t>
      </w:r>
      <w:r>
        <w:rPr>
          <w:rFonts w:hint="eastAsia"/>
        </w:rPr>
        <w:t>分）。和平区全民健身中心改造项目主要内容为对和平区原全民健身活动中心及周边场馆进行拆除重建并提升改造，属于《</w:t>
      </w:r>
      <w:r>
        <w:t>国家发展改革委办公厅关于印发</w:t>
      </w:r>
      <w:r>
        <w:rPr>
          <w:rFonts w:hint="eastAsia"/>
        </w:rPr>
        <w:t>&lt;</w:t>
      </w:r>
      <w:r>
        <w:t>社会领域产业专项债券发行指引</w:t>
      </w:r>
      <w:r>
        <w:rPr>
          <w:rFonts w:hint="eastAsia"/>
        </w:rPr>
        <w:t>&gt;</w:t>
      </w:r>
      <w:r>
        <w:t>的通知</w:t>
      </w:r>
      <w:r>
        <w:rPr>
          <w:rFonts w:hint="eastAsia"/>
        </w:rPr>
        <w:t>》（</w:t>
      </w:r>
      <w:r>
        <w:t>发改办财金规〔2017〕1341号</w:t>
      </w:r>
      <w:r>
        <w:rPr>
          <w:rFonts w:hint="eastAsia"/>
        </w:rPr>
        <w:t>）中</w:t>
      </w:r>
      <w:r>
        <w:t>体育产业专项债券</w:t>
      </w:r>
      <w:r>
        <w:rPr>
          <w:rFonts w:hint="eastAsia"/>
        </w:rPr>
        <w:t>用途范围，依据《国务院关于印发全民健身计划（</w:t>
      </w:r>
      <w:r>
        <w:t>2021—2025年）的通知》</w:t>
      </w:r>
      <w:r>
        <w:rPr>
          <w:rFonts w:hint="eastAsia"/>
        </w:rPr>
        <w:t>（国发〔2021〕</w:t>
      </w:r>
      <w:r>
        <w:t>11</w:t>
      </w:r>
      <w:r>
        <w:rPr>
          <w:rFonts w:hint="eastAsia"/>
        </w:rPr>
        <w:t>号）</w:t>
      </w:r>
      <w:r>
        <w:t>中</w:t>
      </w:r>
      <w:r>
        <w:rPr>
          <w:rFonts w:hint="eastAsia"/>
        </w:rPr>
        <w:t>“</w:t>
      </w:r>
      <w:r>
        <w:t>开展公共体育场馆开放服务提升行动，控制大型场馆数量，建立健全场馆运营管理机制，改造完善场馆硬件设施，做好场馆应急避难（险）功能转换预案，提升场馆使用效益</w:t>
      </w:r>
      <w:r>
        <w:rPr>
          <w:rFonts w:hint="eastAsia"/>
        </w:rPr>
        <w:t>”的要求设立，符合国家法律法规、国民经济发展规划和相关政策；事前已获得项目建议书、可行性研究报告和初步设计的批复，</w:t>
      </w:r>
      <w:r>
        <w:t>项目立项审批文件、材料齐全，立项程序规范。</w:t>
      </w:r>
    </w:p>
    <w:p>
      <w:pPr>
        <w:pStyle w:val="29"/>
        <w:spacing w:line="560" w:lineRule="exact"/>
        <w:ind w:firstLine="640"/>
      </w:pPr>
      <w:r>
        <w:rPr>
          <w:rFonts w:hint="eastAsia"/>
        </w:rPr>
        <w:t>（2）项目成熟度（总分</w:t>
      </w:r>
      <w:r>
        <w:t>1</w:t>
      </w:r>
      <w:r>
        <w:rPr>
          <w:rFonts w:hint="eastAsia"/>
        </w:rPr>
        <w:t>分，得分</w:t>
      </w:r>
      <w:r>
        <w:t>1</w:t>
      </w:r>
      <w:r>
        <w:rPr>
          <w:rFonts w:hint="eastAsia"/>
        </w:rPr>
        <w:t>分）。</w:t>
      </w:r>
      <w:r>
        <w:t>和平</w:t>
      </w:r>
      <w:r>
        <w:rPr>
          <w:rFonts w:cs="Segoe UI"/>
          <w:shd w:val="clear" w:color="auto" w:fill="FFFFFF"/>
        </w:rPr>
        <w:t>区全民健身中心改造项目</w:t>
      </w:r>
      <w:r>
        <w:rPr>
          <w:rFonts w:hint="eastAsia" w:cs="Segoe UI"/>
          <w:shd w:val="clear" w:color="auto" w:fill="FFFFFF"/>
        </w:rPr>
        <w:t>开展了</w:t>
      </w:r>
      <w:r>
        <w:rPr>
          <w:rFonts w:hint="eastAsia"/>
        </w:rPr>
        <w:t>勘察、设计、开工许可等程序，程序履行完整，项目建议书、可行性研究报告、初步设计以及对应批复等材料完备，各项开工程序及审批流程均在开工前完成，项目成熟度较高。</w:t>
      </w:r>
    </w:p>
    <w:p>
      <w:pPr>
        <w:pStyle w:val="29"/>
        <w:spacing w:line="560" w:lineRule="exact"/>
        <w:ind w:firstLine="640"/>
      </w:pPr>
      <w:r>
        <w:rPr>
          <w:rFonts w:hint="eastAsia"/>
        </w:rPr>
        <w:t>2.绩效目标</w:t>
      </w:r>
    </w:p>
    <w:p>
      <w:pPr>
        <w:pStyle w:val="29"/>
        <w:spacing w:line="560" w:lineRule="exact"/>
        <w:ind w:firstLine="640"/>
        <w:rPr>
          <w:bCs/>
        </w:rPr>
      </w:pPr>
      <w:r>
        <w:rPr>
          <w:rFonts w:hint="eastAsia"/>
        </w:rPr>
        <w:t>（1）绩效目标明确性（总分2分，得分</w:t>
      </w:r>
      <w:r>
        <w:t>0</w:t>
      </w:r>
      <w:r>
        <w:rPr>
          <w:rFonts w:hint="eastAsia"/>
        </w:rPr>
        <w:t>分）。根据《天津市财政局关于印发&lt;天津市市级部门预算绩效目标管理办法&gt;的通知》（津财绩效〔</w:t>
      </w:r>
      <w:r>
        <w:t>2020〕16号）文件要求</w:t>
      </w:r>
      <w:r>
        <w:rPr>
          <w:rFonts w:hint="eastAsia"/>
        </w:rPr>
        <w:t>，</w:t>
      </w:r>
      <w:r>
        <w:rPr>
          <w:rFonts w:hint="eastAsia"/>
          <w:szCs w:val="32"/>
        </w:rPr>
        <w:t>绩效目标要指向明确、细化量化、合理可行、相应匹配。依据</w:t>
      </w:r>
      <w:r>
        <w:rPr>
          <w:rFonts w:hint="eastAsia"/>
          <w:bCs/>
        </w:rPr>
        <w:t>区全民健身中心提供的项目绩效目标申报表，项目绩效指标设置清晰、可衡量，但存在项目绩效指标细化分解程度不足、与项目目标任务数或计划数不对应的情况，单位</w:t>
      </w:r>
      <w:r>
        <w:rPr>
          <w:rFonts w:hint="eastAsia"/>
        </w:rPr>
        <w:t>仅围绕拆除工程内容设定绩效指标，未设定工程测</w:t>
      </w:r>
      <w:r>
        <w:rPr>
          <w:rFonts w:hint="eastAsia"/>
          <w:bCs/>
        </w:rPr>
        <w:t>绘、聘请监理、聘请法律顾问等前期准备工作相关绩效指标，绩效目标明确性不足。</w:t>
      </w:r>
    </w:p>
    <w:p>
      <w:pPr>
        <w:pStyle w:val="29"/>
        <w:spacing w:line="560" w:lineRule="exact"/>
        <w:ind w:firstLine="640"/>
        <w:rPr>
          <w:bCs/>
        </w:rPr>
      </w:pPr>
      <w:r>
        <w:rPr>
          <w:rFonts w:hint="eastAsia"/>
          <w:bCs/>
        </w:rPr>
        <w:t>（2）绩效目标合理性（总分</w:t>
      </w:r>
      <w:r>
        <w:rPr>
          <w:bCs/>
        </w:rPr>
        <w:t>2</w:t>
      </w:r>
      <w:r>
        <w:rPr>
          <w:rFonts w:hint="eastAsia"/>
          <w:bCs/>
        </w:rPr>
        <w:t>分，得分</w:t>
      </w:r>
      <w:r>
        <w:rPr>
          <w:bCs/>
        </w:rPr>
        <w:t>2</w:t>
      </w:r>
      <w:r>
        <w:rPr>
          <w:rFonts w:hint="eastAsia"/>
          <w:bCs/>
        </w:rPr>
        <w:t>分）。和平区全民健身中心改造项目</w:t>
      </w:r>
      <w:r>
        <w:rPr>
          <w:rFonts w:hint="eastAsia"/>
        </w:rPr>
        <w:t>绩效目标设置为“完成工程招投标等前期准备工作、完成项目拆除工程，实现主体动工，为项目按期投入使用奠定基础”，体现了2</w:t>
      </w:r>
      <w:r>
        <w:t>023</w:t>
      </w:r>
      <w:r>
        <w:rPr>
          <w:rFonts w:hint="eastAsia"/>
        </w:rPr>
        <w:t>年度项目的实际工作内容，</w:t>
      </w:r>
      <w:r>
        <w:rPr>
          <w:rFonts w:hint="eastAsia"/>
          <w:bCs/>
        </w:rPr>
        <w:t>项目预期产出效益和效果符合正常的业绩水平，与预算确定的项目投资额或资金量相匹配。</w:t>
      </w:r>
    </w:p>
    <w:p>
      <w:pPr>
        <w:pStyle w:val="29"/>
        <w:spacing w:line="560" w:lineRule="exact"/>
        <w:ind w:firstLine="640"/>
        <w:rPr>
          <w:bCs/>
        </w:rPr>
      </w:pPr>
      <w:r>
        <w:rPr>
          <w:rFonts w:hint="eastAsia"/>
          <w:bCs/>
        </w:rPr>
        <w:t>3.资金投入</w:t>
      </w:r>
    </w:p>
    <w:p>
      <w:pPr>
        <w:pStyle w:val="29"/>
        <w:spacing w:line="560" w:lineRule="exact"/>
        <w:ind w:firstLine="640"/>
        <w:rPr>
          <w:bCs/>
        </w:rPr>
      </w:pPr>
      <w:r>
        <w:rPr>
          <w:rFonts w:hint="eastAsia"/>
          <w:bCs/>
        </w:rPr>
        <w:t>（1）预算编制科学性（总分2分，得分</w:t>
      </w:r>
      <w:r>
        <w:rPr>
          <w:bCs/>
        </w:rPr>
        <w:t>1.5</w:t>
      </w:r>
      <w:r>
        <w:rPr>
          <w:rFonts w:hint="eastAsia"/>
          <w:bCs/>
        </w:rPr>
        <w:t>分）。和平区全民健身中心改造项目预算编制经过了科学论证，通过招标形式确认天津中兴财咨询有限公司开展造价咨询，该公司具备工程造价咨询服务资质，围绕项目内容开展了造价服务，预算内容与项目内容相匹配，根据“一案两书”确认计划投资总额为</w:t>
      </w:r>
      <w:r>
        <w:rPr>
          <w:bCs/>
        </w:rPr>
        <w:t>82450万元</w:t>
      </w:r>
      <w:r>
        <w:rPr>
          <w:rFonts w:hint="eastAsia"/>
          <w:bCs/>
        </w:rPr>
        <w:t>，其中：工程费</w:t>
      </w:r>
      <w:r>
        <w:rPr>
          <w:bCs/>
        </w:rPr>
        <w:t>67354</w:t>
      </w:r>
      <w:r>
        <w:rPr>
          <w:rFonts w:hint="eastAsia"/>
          <w:bCs/>
        </w:rPr>
        <w:t>万元，工程建设其他费用</w:t>
      </w:r>
      <w:r>
        <w:rPr>
          <w:bCs/>
        </w:rPr>
        <w:t>6307</w:t>
      </w:r>
      <w:r>
        <w:rPr>
          <w:rFonts w:hint="eastAsia"/>
          <w:bCs/>
        </w:rPr>
        <w:t>万元，基本预备费</w:t>
      </w:r>
      <w:r>
        <w:rPr>
          <w:bCs/>
        </w:rPr>
        <w:t>4157</w:t>
      </w:r>
      <w:r>
        <w:rPr>
          <w:rFonts w:hint="eastAsia"/>
          <w:bCs/>
        </w:rPr>
        <w:t>万元，建设期利息</w:t>
      </w:r>
      <w:r>
        <w:rPr>
          <w:bCs/>
        </w:rPr>
        <w:t>6432</w:t>
      </w:r>
      <w:r>
        <w:rPr>
          <w:rFonts w:hint="eastAsia"/>
          <w:bCs/>
        </w:rPr>
        <w:t>万元。资金来源为财政资金</w:t>
      </w:r>
      <w:r>
        <w:rPr>
          <w:bCs/>
        </w:rPr>
        <w:t>17250</w:t>
      </w:r>
      <w:r>
        <w:rPr>
          <w:rFonts w:hint="eastAsia"/>
          <w:bCs/>
        </w:rPr>
        <w:t>万元，地方政府专项债6</w:t>
      </w:r>
      <w:r>
        <w:rPr>
          <w:bCs/>
        </w:rPr>
        <w:t>7000</w:t>
      </w:r>
      <w:r>
        <w:rPr>
          <w:rFonts w:hint="eastAsia"/>
          <w:bCs/>
        </w:rPr>
        <w:t>万元。专项债券以经营收益为还本付息基础，考虑项目建成后的达产情况，预测项目的收入成本，项目资金稳定性较可靠，通过了压力测试及财务评估，预算确定的项目资金量与工作任务相匹配。依据专项债项目测算表，项目存在预算测算依据不明确的情况，未细化具体任务明细、支出标准名称、测算依据等内容，预算测算编制不规范。</w:t>
      </w:r>
    </w:p>
    <w:p>
      <w:pPr>
        <w:pStyle w:val="29"/>
        <w:spacing w:line="560" w:lineRule="exact"/>
        <w:ind w:firstLine="640"/>
        <w:rPr>
          <w:sz w:val="28"/>
          <w:szCs w:val="28"/>
        </w:rPr>
      </w:pPr>
      <w:r>
        <w:rPr>
          <w:rFonts w:hint="eastAsia"/>
        </w:rPr>
        <w:t>（2）债务规模合理性（总分1分，得分</w:t>
      </w:r>
      <w:r>
        <w:t>1</w:t>
      </w:r>
      <w:r>
        <w:rPr>
          <w:rFonts w:hint="eastAsia"/>
        </w:rPr>
        <w:t>分）。和平区全民健身中心改造项目总投资为</w:t>
      </w:r>
      <w:r>
        <w:t>84250</w:t>
      </w:r>
      <w:r>
        <w:rPr>
          <w:rFonts w:hint="eastAsia"/>
        </w:rPr>
        <w:t>万元。其中，项目资本金</w:t>
      </w:r>
      <w:r>
        <w:t>17250</w:t>
      </w:r>
      <w:r>
        <w:rPr>
          <w:rFonts w:hint="eastAsia"/>
        </w:rPr>
        <w:t>万元，占总投资比例2</w:t>
      </w:r>
      <w:r>
        <w:t>0.5</w:t>
      </w:r>
      <w:r>
        <w:rPr>
          <w:rFonts w:hint="eastAsia"/>
        </w:rPr>
        <w:t>%，由区财政部门担负，符合《国务院关于加强固定资产投资项目资本金管理的通知》要求的资本金比例；计划使用专项债券融资</w:t>
      </w:r>
      <w:r>
        <w:t>67000</w:t>
      </w:r>
      <w:r>
        <w:rPr>
          <w:rFonts w:hint="eastAsia"/>
        </w:rPr>
        <w:t>万元，拟于202</w:t>
      </w:r>
      <w:r>
        <w:t>2</w:t>
      </w:r>
      <w:r>
        <w:rPr>
          <w:rFonts w:hint="eastAsia"/>
        </w:rPr>
        <w:t>年至2024年分期申请发行，202</w:t>
      </w:r>
      <w:r>
        <w:t>2</w:t>
      </w:r>
      <w:r>
        <w:rPr>
          <w:rFonts w:hint="eastAsia"/>
        </w:rPr>
        <w:t>年申请地方政府专项债券资金</w:t>
      </w:r>
      <w:r>
        <w:t>10000</w:t>
      </w:r>
      <w:r>
        <w:rPr>
          <w:rFonts w:hint="eastAsia"/>
        </w:rPr>
        <w:t>万元，202</w:t>
      </w:r>
      <w:r>
        <w:t>3</w:t>
      </w:r>
      <w:r>
        <w:rPr>
          <w:rFonts w:hint="eastAsia"/>
        </w:rPr>
        <w:t>年申请地方政府专项债券资金</w:t>
      </w:r>
      <w:r>
        <w:t>20000</w:t>
      </w:r>
      <w:r>
        <w:rPr>
          <w:rFonts w:hint="eastAsia"/>
        </w:rPr>
        <w:t>万元，202</w:t>
      </w:r>
      <w:r>
        <w:t>4</w:t>
      </w:r>
      <w:r>
        <w:rPr>
          <w:rFonts w:hint="eastAsia"/>
        </w:rPr>
        <w:t>年申请地方政府专项债券资金</w:t>
      </w:r>
      <w:r>
        <w:t>37000</w:t>
      </w:r>
      <w:r>
        <w:rPr>
          <w:rFonts w:hint="eastAsia"/>
        </w:rPr>
        <w:t>万元，举债总额与造价确定投资概算相匹配。2023年债券发行批次和债券项目分年投资计划相匹配，发行规模能够满足项目当期实际资金需求。</w:t>
      </w:r>
    </w:p>
    <w:p>
      <w:pPr>
        <w:pStyle w:val="33"/>
        <w:spacing w:line="560" w:lineRule="exact"/>
        <w:ind w:firstLine="640"/>
        <w:rPr>
          <w:rFonts w:ascii="Times New Roman" w:hAnsi="Times New Roman"/>
        </w:rPr>
      </w:pPr>
      <w:bookmarkStart w:id="18" w:name="_Toc174625976"/>
      <w:bookmarkStart w:id="19" w:name="_Toc181369920"/>
      <w:r>
        <w:rPr>
          <w:rFonts w:hint="eastAsia" w:ascii="Times New Roman" w:hAnsi="Times New Roman"/>
        </w:rPr>
        <w:t>（二）项目过程情况</w:t>
      </w:r>
      <w:bookmarkEnd w:id="18"/>
      <w:bookmarkEnd w:id="19"/>
    </w:p>
    <w:p>
      <w:pPr>
        <w:pStyle w:val="29"/>
        <w:spacing w:line="560" w:lineRule="exact"/>
        <w:ind w:firstLine="640"/>
      </w:pPr>
      <w:r>
        <w:rPr>
          <w:rFonts w:hint="eastAsia"/>
        </w:rPr>
        <w:t>过程指标主要包括资金管理、</w:t>
      </w:r>
      <w:r>
        <w:rPr>
          <w:rFonts w:hint="eastAsia"/>
          <w:bCs/>
        </w:rPr>
        <w:t>组织实施</w:t>
      </w:r>
      <w:r>
        <w:rPr>
          <w:bCs/>
        </w:rPr>
        <w:t>2</w:t>
      </w:r>
      <w:r>
        <w:rPr>
          <w:rFonts w:hint="eastAsia"/>
          <w:bCs/>
        </w:rPr>
        <w:t>项二级指标，</w:t>
      </w:r>
      <w:r>
        <w:rPr>
          <w:bCs/>
        </w:rPr>
        <w:t>16</w:t>
      </w:r>
      <w:r>
        <w:rPr>
          <w:rFonts w:hint="eastAsia"/>
          <w:bCs/>
        </w:rPr>
        <w:t>项三级指标，基础总分</w:t>
      </w:r>
      <w:r>
        <w:rPr>
          <w:bCs/>
        </w:rPr>
        <w:t>31</w:t>
      </w:r>
      <w:r>
        <w:rPr>
          <w:rFonts w:hint="eastAsia"/>
          <w:bCs/>
        </w:rPr>
        <w:t>分</w:t>
      </w:r>
      <w:r>
        <w:rPr>
          <w:rFonts w:hint="eastAsia"/>
          <w:bCs/>
          <w:highlight w:val="none"/>
        </w:rPr>
        <w:t>，合计得分</w:t>
      </w:r>
      <w:r>
        <w:rPr>
          <w:bCs/>
          <w:highlight w:val="none"/>
        </w:rPr>
        <w:t>28</w:t>
      </w:r>
      <w:r>
        <w:rPr>
          <w:rFonts w:hint="eastAsia"/>
          <w:bCs/>
          <w:highlight w:val="none"/>
        </w:rPr>
        <w:t>分</w:t>
      </w:r>
      <w:r>
        <w:rPr>
          <w:rFonts w:hint="eastAsia"/>
          <w:bCs/>
        </w:rPr>
        <w:t>。</w:t>
      </w:r>
    </w:p>
    <w:p>
      <w:pPr>
        <w:pStyle w:val="29"/>
        <w:spacing w:line="560" w:lineRule="exact"/>
        <w:ind w:firstLine="640"/>
      </w:pPr>
      <w:r>
        <w:rPr>
          <w:rFonts w:hint="eastAsia"/>
        </w:rPr>
        <w:t>1.资金管理</w:t>
      </w:r>
    </w:p>
    <w:p>
      <w:pPr>
        <w:pStyle w:val="29"/>
        <w:spacing w:line="560" w:lineRule="exact"/>
        <w:ind w:firstLine="640"/>
      </w:pPr>
      <w:r>
        <w:rPr>
          <w:rFonts w:hint="eastAsia"/>
        </w:rPr>
        <w:t>（1）资金到位率（总分</w:t>
      </w:r>
      <w:r>
        <w:t>1</w:t>
      </w:r>
      <w:r>
        <w:rPr>
          <w:rFonts w:hint="eastAsia"/>
        </w:rPr>
        <w:t>分，得分</w:t>
      </w:r>
      <w:r>
        <w:t>1</w:t>
      </w:r>
      <w:r>
        <w:rPr>
          <w:rFonts w:hint="eastAsia"/>
        </w:rPr>
        <w:t>分）。和平区全民健身中心改造项目2023年度申请预算资金共计</w:t>
      </w:r>
      <w:r>
        <w:t>20</w:t>
      </w:r>
      <w:r>
        <w:rPr>
          <w:rFonts w:hint="eastAsia"/>
        </w:rPr>
        <w:t>000万元，截至2023年底，项目实际到位资金</w:t>
      </w:r>
      <w:r>
        <w:t>20</w:t>
      </w:r>
      <w:r>
        <w:rPr>
          <w:rFonts w:hint="eastAsia"/>
        </w:rPr>
        <w:t>000万元，资金到位率为100%。</w:t>
      </w:r>
    </w:p>
    <w:p>
      <w:pPr>
        <w:pStyle w:val="29"/>
        <w:spacing w:line="560" w:lineRule="exact"/>
        <w:ind w:firstLine="640"/>
      </w:pPr>
      <w:r>
        <w:rPr>
          <w:rFonts w:hint="eastAsia"/>
        </w:rPr>
        <w:t>（</w:t>
      </w:r>
      <w:r>
        <w:t>2</w:t>
      </w:r>
      <w:r>
        <w:rPr>
          <w:rFonts w:hint="eastAsia"/>
        </w:rPr>
        <w:t>）预算执行率（总分</w:t>
      </w:r>
      <w:r>
        <w:t>1</w:t>
      </w:r>
      <w:r>
        <w:rPr>
          <w:rFonts w:hint="eastAsia"/>
        </w:rPr>
        <w:t>分，得分</w:t>
      </w:r>
      <w:r>
        <w:t>0</w:t>
      </w:r>
      <w:r>
        <w:rPr>
          <w:rFonts w:hint="eastAsia"/>
        </w:rPr>
        <w:t>分）。依据资金支付系统及单位提供的明细账得出，截至</w:t>
      </w:r>
      <w:r>
        <w:t>2023年底</w:t>
      </w:r>
      <w:r>
        <w:rPr>
          <w:rFonts w:hint="eastAsia"/>
        </w:rPr>
        <w:t>，和平区全民健身中心改造项目</w:t>
      </w:r>
      <w:r>
        <w:t>实际到位债券资金共计20000万元，实际支出债券资金5000万元，预算执行率为25%。</w:t>
      </w:r>
    </w:p>
    <w:p>
      <w:pPr>
        <w:pStyle w:val="29"/>
        <w:spacing w:line="560" w:lineRule="exact"/>
        <w:ind w:firstLine="640"/>
      </w:pPr>
      <w:r>
        <w:rPr>
          <w:rFonts w:hint="eastAsia"/>
          <w:bCs/>
        </w:rPr>
        <w:t>（</w:t>
      </w:r>
      <w:r>
        <w:rPr>
          <w:bCs/>
        </w:rPr>
        <w:t>3</w:t>
      </w:r>
      <w:r>
        <w:rPr>
          <w:rFonts w:hint="eastAsia"/>
          <w:bCs/>
        </w:rPr>
        <w:t>）资金使用合规性（总分</w:t>
      </w:r>
      <w:r>
        <w:rPr>
          <w:bCs/>
        </w:rPr>
        <w:t>3</w:t>
      </w:r>
      <w:r>
        <w:rPr>
          <w:rFonts w:hint="eastAsia"/>
          <w:bCs/>
        </w:rPr>
        <w:t>分，得分</w:t>
      </w:r>
      <w:r>
        <w:rPr>
          <w:bCs/>
        </w:rPr>
        <w:t>3</w:t>
      </w:r>
      <w:r>
        <w:rPr>
          <w:rFonts w:hint="eastAsia"/>
          <w:bCs/>
        </w:rPr>
        <w:t>分）。</w:t>
      </w:r>
      <w:r>
        <w:rPr>
          <w:rFonts w:hint="eastAsia"/>
        </w:rPr>
        <w:t>和平区全民健身中心改造项目资金使用符合国家财经法规和财务管理制度以及《地方政府专项债券项目资金绩效管理办法》（财预〔2021〕61号）、天津市财政局关于印发《天津市地方政府专项债券项目资金绩效管理暂行办法》的通知（津财债务〔2022〕15号）等债务资金管理的规定，</w:t>
      </w:r>
      <w:r>
        <w:rPr>
          <w:rFonts w:cs="Segoe UI"/>
          <w:shd w:val="clear" w:color="auto" w:fill="FFFFFF"/>
        </w:rPr>
        <w:t>本项目资金</w:t>
      </w:r>
      <w:r>
        <w:rPr>
          <w:rFonts w:hint="eastAsia" w:cs="Segoe UI"/>
          <w:shd w:val="clear" w:color="auto" w:fill="FFFFFF"/>
        </w:rPr>
        <w:t>仅用于</w:t>
      </w:r>
      <w:r>
        <w:rPr>
          <w:rFonts w:cs="Segoe UI"/>
          <w:shd w:val="clear" w:color="auto" w:fill="FFFFFF"/>
        </w:rPr>
        <w:t>和平区全民健身中心改造项目，涵盖支付项目建设工程预付款、项目建设工程款以及与项目建设相关的资本性支出。</w:t>
      </w:r>
      <w:r>
        <w:rPr>
          <w:rFonts w:hint="eastAsia" w:cs="Segoe UI"/>
          <w:shd w:val="clear" w:color="auto" w:fill="FFFFFF"/>
        </w:rPr>
        <w:t>全民健身中心改造项目重大支出事项由</w:t>
      </w:r>
      <w:r>
        <w:rPr>
          <w:rFonts w:cs="Segoe UI"/>
          <w:shd w:val="clear" w:color="auto" w:fill="FFFFFF"/>
        </w:rPr>
        <w:t>天津市和平区城市投资建设有限责任公司</w:t>
      </w:r>
      <w:r>
        <w:rPr>
          <w:rFonts w:hint="eastAsia" w:cs="Segoe UI"/>
          <w:shd w:val="clear" w:color="auto" w:fill="FFFFFF"/>
        </w:rPr>
        <w:t>履行“三重一大”程序后报送区全民健身中心，经区全民健身中心党组会审议通过后支付，</w:t>
      </w:r>
      <w:r>
        <w:rPr>
          <w:rFonts w:hint="eastAsia"/>
        </w:rPr>
        <w:t>项目的重大开支经过了评估认证，具有完整的资金申请、批复手续及会议纪要。本项目未发现有截留、挤占、挪用、虚列支出等情况，资金使用方面无违纪行为，资金使用合规性良好。</w:t>
      </w:r>
    </w:p>
    <w:p>
      <w:pPr>
        <w:pStyle w:val="29"/>
        <w:spacing w:line="560" w:lineRule="exact"/>
        <w:ind w:firstLine="640"/>
      </w:pPr>
      <w:r>
        <w:rPr>
          <w:rFonts w:hint="eastAsia"/>
          <w:bCs/>
        </w:rPr>
        <w:t>（4）财务监控有效性（总分</w:t>
      </w:r>
      <w:r>
        <w:rPr>
          <w:bCs/>
        </w:rPr>
        <w:t>1</w:t>
      </w:r>
      <w:r>
        <w:rPr>
          <w:rFonts w:hint="eastAsia"/>
          <w:bCs/>
        </w:rPr>
        <w:t>分，得分</w:t>
      </w:r>
      <w:r>
        <w:rPr>
          <w:bCs/>
        </w:rPr>
        <w:t>1</w:t>
      </w:r>
      <w:r>
        <w:rPr>
          <w:rFonts w:hint="eastAsia"/>
          <w:bCs/>
        </w:rPr>
        <w:t>分）。</w:t>
      </w:r>
      <w:r>
        <w:rPr>
          <w:rFonts w:hint="eastAsia"/>
        </w:rPr>
        <w:t>为保障和平区全民健身中心改造项目债务资金的安全、规范运行，单位采取审核报销款项、定期与银行进行对账、盘点库存现金等必要的监控措施，债券收入纳入了单位部门预算收入，债券支出、还本付息纳入部门决算支出，财务监控有效。</w:t>
      </w:r>
    </w:p>
    <w:p>
      <w:pPr>
        <w:pStyle w:val="29"/>
        <w:spacing w:line="560" w:lineRule="exact"/>
        <w:ind w:firstLine="640"/>
        <w:rPr>
          <w:bCs/>
        </w:rPr>
      </w:pPr>
      <w:r>
        <w:rPr>
          <w:rFonts w:hint="eastAsia"/>
          <w:bCs/>
        </w:rPr>
        <w:t>2.组织实施</w:t>
      </w:r>
    </w:p>
    <w:p>
      <w:pPr>
        <w:pStyle w:val="29"/>
        <w:spacing w:line="560" w:lineRule="exact"/>
        <w:ind w:firstLine="640"/>
        <w:rPr>
          <w:rFonts w:cs="仿宋_GB2312"/>
          <w:kern w:val="0"/>
          <w:szCs w:val="32"/>
          <w:shd w:val="clear" w:color="auto" w:fill="FFFFFF"/>
        </w:rPr>
      </w:pPr>
      <w:r>
        <w:rPr>
          <w:rFonts w:hint="eastAsia" w:cs="仿宋_GB2312"/>
          <w:kern w:val="0"/>
          <w:szCs w:val="32"/>
          <w:shd w:val="clear" w:color="auto" w:fill="FFFFFF"/>
        </w:rPr>
        <w:t>（</w:t>
      </w:r>
      <w:r>
        <w:rPr>
          <w:rFonts w:cs="仿宋_GB2312"/>
          <w:kern w:val="0"/>
          <w:szCs w:val="32"/>
          <w:shd w:val="clear" w:color="auto" w:fill="FFFFFF"/>
        </w:rPr>
        <w:t>1</w:t>
      </w:r>
      <w:r>
        <w:rPr>
          <w:rFonts w:hint="eastAsia" w:cs="仿宋_GB2312"/>
          <w:kern w:val="0"/>
          <w:szCs w:val="32"/>
          <w:shd w:val="clear" w:color="auto" w:fill="FFFFFF"/>
        </w:rPr>
        <w:t>）业务管理制度健全性（总分</w:t>
      </w:r>
      <w:r>
        <w:rPr>
          <w:rFonts w:cs="仿宋_GB2312"/>
          <w:kern w:val="0"/>
          <w:szCs w:val="32"/>
          <w:shd w:val="clear" w:color="auto" w:fill="FFFFFF"/>
        </w:rPr>
        <w:t>2</w:t>
      </w:r>
      <w:r>
        <w:rPr>
          <w:rFonts w:hint="eastAsia" w:cs="仿宋_GB2312"/>
          <w:kern w:val="0"/>
          <w:szCs w:val="32"/>
          <w:shd w:val="clear" w:color="auto" w:fill="FFFFFF"/>
        </w:rPr>
        <w:t>分，得分</w:t>
      </w:r>
      <w:r>
        <w:rPr>
          <w:rFonts w:cs="仿宋_GB2312"/>
          <w:kern w:val="0"/>
          <w:szCs w:val="32"/>
          <w:shd w:val="clear" w:color="auto" w:fill="FFFFFF"/>
        </w:rPr>
        <w:t>2</w:t>
      </w:r>
      <w:r>
        <w:rPr>
          <w:rFonts w:hint="eastAsia" w:cs="仿宋_GB2312"/>
          <w:kern w:val="0"/>
          <w:szCs w:val="32"/>
          <w:shd w:val="clear" w:color="auto" w:fill="FFFFFF"/>
        </w:rPr>
        <w:t>分）。经核实，区全民健身中心制定了单位财务管理制度，并针对本项目</w:t>
      </w:r>
      <w:r>
        <w:rPr>
          <w:rFonts w:cs="仿宋_GB2312"/>
          <w:kern w:val="0"/>
          <w:szCs w:val="32"/>
          <w:shd w:val="clear" w:color="auto" w:fill="FFFFFF"/>
        </w:rPr>
        <w:t>出台了</w:t>
      </w:r>
      <w:r>
        <w:rPr>
          <w:rFonts w:hint="eastAsia" w:cs="仿宋_GB2312"/>
          <w:kern w:val="0"/>
          <w:szCs w:val="32"/>
          <w:shd w:val="clear" w:color="auto" w:fill="FFFFFF"/>
        </w:rPr>
        <w:t>《和平区全民健身中心改造项目资金使用管理规定》、成本管理手册、</w:t>
      </w:r>
      <w:r>
        <w:rPr>
          <w:rFonts w:hint="eastAsia"/>
          <w:szCs w:val="32"/>
        </w:rPr>
        <w:t>安全卫生管理措施、项目管理与建设进度管理措施。</w:t>
      </w:r>
      <w:r>
        <w:rPr>
          <w:rFonts w:cs="仿宋_GB2312"/>
          <w:kern w:val="0"/>
          <w:szCs w:val="32"/>
          <w:shd w:val="clear" w:color="auto" w:fill="FFFFFF"/>
        </w:rPr>
        <w:t>单位</w:t>
      </w:r>
      <w:r>
        <w:rPr>
          <w:rFonts w:hint="eastAsia" w:cs="仿宋_GB2312"/>
          <w:kern w:val="0"/>
          <w:szCs w:val="32"/>
          <w:shd w:val="clear" w:color="auto" w:fill="FFFFFF"/>
        </w:rPr>
        <w:t>财务管理</w:t>
      </w:r>
      <w:r>
        <w:rPr>
          <w:rFonts w:cs="仿宋_GB2312"/>
          <w:kern w:val="0"/>
          <w:szCs w:val="32"/>
          <w:shd w:val="clear" w:color="auto" w:fill="FFFFFF"/>
        </w:rPr>
        <w:t>制度涉及预决算管理</w:t>
      </w:r>
      <w:r>
        <w:rPr>
          <w:rFonts w:hint="eastAsia" w:cs="仿宋_GB2312"/>
          <w:kern w:val="0"/>
          <w:szCs w:val="32"/>
          <w:shd w:val="clear" w:color="auto" w:fill="FFFFFF"/>
        </w:rPr>
        <w:t>、收支管理、采购管理、资金管理、资产管理、支票、发票、印鉴及财务报销程序</w:t>
      </w:r>
      <w:r>
        <w:rPr>
          <w:rFonts w:cs="仿宋_GB2312"/>
          <w:kern w:val="0"/>
          <w:szCs w:val="32"/>
          <w:shd w:val="clear" w:color="auto" w:fill="FFFFFF"/>
        </w:rPr>
        <w:t>等诸多方面</w:t>
      </w:r>
      <w:r>
        <w:rPr>
          <w:rFonts w:hint="eastAsia" w:cs="仿宋_GB2312"/>
          <w:kern w:val="0"/>
          <w:szCs w:val="32"/>
          <w:shd w:val="clear" w:color="auto" w:fill="FFFFFF"/>
        </w:rPr>
        <w:t>；《和平区全民健身中心改造项目资金使用管理规定》涵盖了</w:t>
      </w:r>
      <w:r>
        <w:rPr>
          <w:rFonts w:cs="仿宋_GB2312"/>
          <w:kern w:val="0"/>
          <w:szCs w:val="32"/>
          <w:shd w:val="clear" w:color="auto" w:fill="FFFFFF"/>
        </w:rPr>
        <w:t>预算</w:t>
      </w:r>
      <w:r>
        <w:rPr>
          <w:rFonts w:cs="Segoe UI"/>
          <w:shd w:val="clear" w:color="auto" w:fill="FFFFFF"/>
        </w:rPr>
        <w:t>价的确</w:t>
      </w:r>
      <w:r>
        <w:rPr>
          <w:rFonts w:cs="仿宋_GB2312"/>
          <w:kern w:val="0"/>
          <w:szCs w:val="32"/>
          <w:shd w:val="clear" w:color="auto" w:fill="FFFFFF"/>
        </w:rPr>
        <w:t>定、采购流程以及签证变更等关键环节</w:t>
      </w:r>
      <w:r>
        <w:rPr>
          <w:rFonts w:hint="eastAsia" w:cs="仿宋_GB2312"/>
          <w:kern w:val="0"/>
          <w:szCs w:val="32"/>
          <w:shd w:val="clear" w:color="auto" w:fill="FFFFFF"/>
        </w:rPr>
        <w:t>。各项管理制度明确了工作流程、职责分工、管理要求等内容，具备可操作性；成本管理手册包含项目商务（法务）策划、项目成本策划、资金计划、项目收入、成本分析、竣工结算、成本锁定等内容；</w:t>
      </w:r>
      <w:r>
        <w:rPr>
          <w:rFonts w:hint="eastAsia"/>
          <w:szCs w:val="32"/>
        </w:rPr>
        <w:t>安全卫生管理措施包含</w:t>
      </w:r>
      <w:r>
        <w:t>危害因素及危害性分析</w:t>
      </w:r>
      <w:r>
        <w:rPr>
          <w:rFonts w:hint="eastAsia"/>
        </w:rPr>
        <w:t>、</w:t>
      </w:r>
      <w:r>
        <w:t>安全卫生防范措施</w:t>
      </w:r>
      <w:r>
        <w:rPr>
          <w:rFonts w:hint="eastAsia"/>
        </w:rPr>
        <w:t>等内容；</w:t>
      </w:r>
      <w:r>
        <w:rPr>
          <w:rFonts w:hint="eastAsia"/>
          <w:szCs w:val="32"/>
        </w:rPr>
        <w:t>项目管理与建设进度管理措施包含</w:t>
      </w:r>
      <w:r>
        <w:t>项目组织与管理</w:t>
      </w:r>
      <w:r>
        <w:rPr>
          <w:rFonts w:hint="eastAsia"/>
        </w:rPr>
        <w:t>、</w:t>
      </w:r>
      <w:r>
        <w:rPr>
          <w:rFonts w:hint="eastAsia"/>
          <w:sz w:val="30"/>
          <w:szCs w:val="30"/>
        </w:rPr>
        <w:t>项目实施进度等内容。</w:t>
      </w:r>
    </w:p>
    <w:p>
      <w:pPr>
        <w:pStyle w:val="29"/>
        <w:spacing w:line="560" w:lineRule="exact"/>
        <w:ind w:firstLine="640"/>
        <w:rPr>
          <w:rFonts w:cs="Segoe UI"/>
          <w:shd w:val="clear" w:color="auto" w:fill="FFFFFF"/>
        </w:rPr>
      </w:pPr>
      <w:r>
        <w:rPr>
          <w:rFonts w:hint="eastAsia" w:cs="仿宋_GB2312"/>
          <w:kern w:val="0"/>
          <w:szCs w:val="32"/>
          <w:shd w:val="clear" w:color="auto" w:fill="FFFFFF"/>
        </w:rPr>
        <w:t>（</w:t>
      </w:r>
      <w:r>
        <w:rPr>
          <w:rFonts w:cs="仿宋_GB2312"/>
          <w:kern w:val="0"/>
          <w:szCs w:val="32"/>
          <w:shd w:val="clear" w:color="auto" w:fill="FFFFFF"/>
        </w:rPr>
        <w:t>2</w:t>
      </w:r>
      <w:r>
        <w:rPr>
          <w:rFonts w:hint="eastAsia" w:cs="仿宋_GB2312"/>
          <w:kern w:val="0"/>
          <w:szCs w:val="32"/>
          <w:shd w:val="clear" w:color="auto" w:fill="FFFFFF"/>
        </w:rPr>
        <w:t>）实施计划合理性（总分</w:t>
      </w:r>
      <w:r>
        <w:rPr>
          <w:rFonts w:cs="仿宋_GB2312"/>
          <w:kern w:val="0"/>
          <w:szCs w:val="32"/>
          <w:shd w:val="clear" w:color="auto" w:fill="FFFFFF"/>
        </w:rPr>
        <w:t>2</w:t>
      </w:r>
      <w:r>
        <w:rPr>
          <w:rFonts w:hint="eastAsia" w:cs="仿宋_GB2312"/>
          <w:kern w:val="0"/>
          <w:szCs w:val="32"/>
          <w:shd w:val="clear" w:color="auto" w:fill="FFFFFF"/>
        </w:rPr>
        <w:t>分，得分</w:t>
      </w:r>
      <w:r>
        <w:rPr>
          <w:rFonts w:cs="仿宋_GB2312"/>
          <w:kern w:val="0"/>
          <w:szCs w:val="32"/>
          <w:shd w:val="clear" w:color="auto" w:fill="FFFFFF"/>
        </w:rPr>
        <w:t>0</w:t>
      </w:r>
      <w:r>
        <w:rPr>
          <w:rFonts w:hint="eastAsia" w:cs="仿宋_GB2312"/>
          <w:kern w:val="0"/>
          <w:szCs w:val="32"/>
          <w:shd w:val="clear" w:color="auto" w:fill="FFFFFF"/>
        </w:rPr>
        <w:t>分）。</w:t>
      </w:r>
      <w:r>
        <w:rPr>
          <w:rFonts w:cs="Segoe UI"/>
          <w:shd w:val="clear" w:color="auto" w:fill="FFFFFF"/>
        </w:rPr>
        <w:t>项目实施单位未编制合理、科学的施工总进度计划，亦未制定月度、季度及年度计划，同时未规划相应的资金开支计划。在此情况下，无法对施工计划与开支计划的客观性进行衡量，也难以判定资金拨付、支出进度与项目建设进度之间的匹配程度。</w:t>
      </w:r>
      <w:r>
        <w:rPr>
          <w:rFonts w:hint="eastAsia" w:cs="Segoe UI"/>
          <w:shd w:val="clear" w:color="auto" w:fill="FFFFFF"/>
        </w:rPr>
        <w:t>项目进度方面可能导致</w:t>
      </w:r>
      <w:r>
        <w:rPr>
          <w:rFonts w:cs="Segoe UI"/>
          <w:shd w:val="clear" w:color="auto" w:fill="FFFFFF"/>
        </w:rPr>
        <w:t>项目整体进度难以把控，易出现工期延误，且无法进行阶段性评估和调整，增加了进度失控风险；资金使用</w:t>
      </w:r>
      <w:r>
        <w:rPr>
          <w:rFonts w:hint="eastAsia" w:cs="Segoe UI"/>
          <w:shd w:val="clear" w:color="auto" w:fill="FFFFFF"/>
        </w:rPr>
        <w:t>方面可能导致</w:t>
      </w:r>
      <w:r>
        <w:rPr>
          <w:rFonts w:cs="Segoe UI"/>
          <w:shd w:val="clear" w:color="auto" w:fill="FFFFFF"/>
        </w:rPr>
        <w:t>无法合理安排资金流入流出</w:t>
      </w:r>
      <w:r>
        <w:rPr>
          <w:rFonts w:hint="eastAsia" w:cs="Segoe UI"/>
          <w:shd w:val="clear" w:color="auto" w:fill="FFFFFF"/>
        </w:rPr>
        <w:t>，</w:t>
      </w:r>
      <w:r>
        <w:rPr>
          <w:rFonts w:cs="Segoe UI"/>
          <w:shd w:val="clear" w:color="auto" w:fill="FFFFFF"/>
        </w:rPr>
        <w:t>易</w:t>
      </w:r>
      <w:r>
        <w:rPr>
          <w:rFonts w:hint="eastAsia" w:cs="Segoe UI"/>
          <w:shd w:val="clear" w:color="auto" w:fill="FFFFFF"/>
        </w:rPr>
        <w:t>造成</w:t>
      </w:r>
      <w:r>
        <w:rPr>
          <w:rFonts w:cs="Segoe UI"/>
          <w:shd w:val="clear" w:color="auto" w:fill="FFFFFF"/>
        </w:rPr>
        <w:t>资金拨付不及时或支出过快，造成资金浪费和财务风险。</w:t>
      </w:r>
    </w:p>
    <w:p>
      <w:pPr>
        <w:pStyle w:val="29"/>
        <w:spacing w:line="560" w:lineRule="exact"/>
        <w:ind w:firstLine="640"/>
        <w:rPr>
          <w:rFonts w:cs="仿宋_GB2312"/>
          <w:kern w:val="0"/>
          <w:szCs w:val="32"/>
          <w:shd w:val="clear" w:color="auto" w:fill="FFFFFF"/>
        </w:rPr>
      </w:pPr>
      <w:r>
        <w:rPr>
          <w:rFonts w:hint="eastAsia" w:cs="仿宋_GB2312"/>
          <w:kern w:val="0"/>
          <w:szCs w:val="32"/>
          <w:shd w:val="clear" w:color="auto" w:fill="FFFFFF"/>
        </w:rPr>
        <w:t>（</w:t>
      </w:r>
      <w:r>
        <w:rPr>
          <w:rFonts w:cs="仿宋_GB2312"/>
          <w:kern w:val="0"/>
          <w:szCs w:val="32"/>
          <w:shd w:val="clear" w:color="auto" w:fill="FFFFFF"/>
        </w:rPr>
        <w:t>3</w:t>
      </w:r>
      <w:r>
        <w:rPr>
          <w:rFonts w:hint="eastAsia" w:cs="仿宋_GB2312"/>
          <w:kern w:val="0"/>
          <w:szCs w:val="32"/>
          <w:shd w:val="clear" w:color="auto" w:fill="FFFFFF"/>
        </w:rPr>
        <w:t>）组织管理合理性（总分</w:t>
      </w:r>
      <w:r>
        <w:rPr>
          <w:rFonts w:cs="仿宋_GB2312"/>
          <w:kern w:val="0"/>
          <w:szCs w:val="32"/>
          <w:shd w:val="clear" w:color="auto" w:fill="FFFFFF"/>
        </w:rPr>
        <w:t>3</w:t>
      </w:r>
      <w:r>
        <w:rPr>
          <w:rFonts w:hint="eastAsia" w:cs="仿宋_GB2312"/>
          <w:kern w:val="0"/>
          <w:szCs w:val="32"/>
          <w:shd w:val="clear" w:color="auto" w:fill="FFFFFF"/>
        </w:rPr>
        <w:t>分，得分</w:t>
      </w:r>
      <w:r>
        <w:rPr>
          <w:rFonts w:cs="仿宋_GB2312"/>
          <w:kern w:val="0"/>
          <w:szCs w:val="32"/>
          <w:shd w:val="clear" w:color="auto" w:fill="FFFFFF"/>
        </w:rPr>
        <w:t>3</w:t>
      </w:r>
      <w:r>
        <w:rPr>
          <w:rFonts w:hint="eastAsia" w:cs="仿宋_GB2312"/>
          <w:kern w:val="0"/>
          <w:szCs w:val="32"/>
          <w:shd w:val="clear" w:color="auto" w:fill="FFFFFF"/>
        </w:rPr>
        <w:t>分）。根据天津市和平区第十八届人民政府第</w:t>
      </w:r>
      <w:r>
        <w:rPr>
          <w:rFonts w:cs="仿宋_GB2312"/>
          <w:kern w:val="0"/>
          <w:szCs w:val="32"/>
          <w:shd w:val="clear" w:color="auto" w:fill="FFFFFF"/>
        </w:rPr>
        <w:t>31次区长办公会</w:t>
      </w:r>
      <w:r>
        <w:rPr>
          <w:rFonts w:hint="eastAsia" w:cs="仿宋_GB2312"/>
          <w:kern w:val="0"/>
          <w:szCs w:val="32"/>
          <w:shd w:val="clear" w:color="auto" w:fill="FFFFFF"/>
        </w:rPr>
        <w:t>决议，</w:t>
      </w:r>
      <w:r>
        <w:rPr>
          <w:rFonts w:cs="Segoe UI"/>
          <w:shd w:val="clear" w:color="auto" w:fill="FFFFFF"/>
        </w:rPr>
        <w:t>天津市和平区城市投资建设有限责任公司被确立为和平区全民健身中心改造项目的建设管理主体。</w:t>
      </w:r>
      <w:r>
        <w:rPr>
          <w:rFonts w:hint="eastAsia" w:cs="Segoe UI"/>
          <w:shd w:val="clear" w:color="auto" w:fill="FFFFFF"/>
        </w:rPr>
        <w:t>该公司</w:t>
      </w:r>
      <w:r>
        <w:rPr>
          <w:rFonts w:cs="仿宋_GB2312"/>
          <w:kern w:val="0"/>
          <w:szCs w:val="32"/>
          <w:shd w:val="clear" w:color="auto" w:fill="FFFFFF"/>
        </w:rPr>
        <w:t>业务范围涵盖了建设工程施工、房地产开发经营、住宅室内装饰装修等多个领域</w:t>
      </w:r>
      <w:r>
        <w:rPr>
          <w:rFonts w:hint="eastAsia" w:cs="仿宋_GB2312"/>
          <w:kern w:val="0"/>
          <w:szCs w:val="32"/>
          <w:shd w:val="clear" w:color="auto" w:fill="FFFFFF"/>
        </w:rPr>
        <w:t>，</w:t>
      </w:r>
      <w:r>
        <w:rPr>
          <w:rFonts w:cs="Segoe UI"/>
          <w:shd w:val="clear" w:color="auto" w:fill="FFFFFF"/>
        </w:rPr>
        <w:t>具备建设项目管理资质</w:t>
      </w:r>
      <w:r>
        <w:rPr>
          <w:rFonts w:hint="eastAsia" w:cs="仿宋_GB2312"/>
          <w:kern w:val="0"/>
          <w:szCs w:val="32"/>
          <w:shd w:val="clear" w:color="auto" w:fill="FFFFFF"/>
        </w:rPr>
        <w:t>。</w:t>
      </w:r>
      <w:r>
        <w:rPr>
          <w:rFonts w:cs="Segoe UI"/>
          <w:shd w:val="clear" w:color="auto" w:fill="FFFFFF"/>
        </w:rPr>
        <w:t>在该项目中，</w:t>
      </w:r>
      <w:r>
        <w:rPr>
          <w:rFonts w:hint="eastAsia" w:cs="Segoe UI"/>
          <w:shd w:val="clear" w:color="auto" w:fill="FFFFFF"/>
        </w:rPr>
        <w:t>其他</w:t>
      </w:r>
      <w:r>
        <w:rPr>
          <w:rFonts w:cs="Segoe UI"/>
          <w:shd w:val="clear" w:color="auto" w:fill="FFFFFF"/>
        </w:rPr>
        <w:t>建设参与方均具备相关资质</w:t>
      </w:r>
      <w:r>
        <w:rPr>
          <w:rFonts w:hint="eastAsia" w:cs="仿宋_GB2312"/>
          <w:kern w:val="0"/>
          <w:szCs w:val="32"/>
          <w:shd w:val="clear" w:color="auto" w:fill="FFFFFF"/>
        </w:rPr>
        <w:t>，供应的</w:t>
      </w:r>
      <w:r>
        <w:rPr>
          <w:rFonts w:cs="Segoe UI"/>
          <w:shd w:val="clear" w:color="auto" w:fill="FFFFFF"/>
        </w:rPr>
        <w:t>材料、设备、产品、服务等符合相关技术参数标准</w:t>
      </w:r>
      <w:r>
        <w:rPr>
          <w:rFonts w:hint="eastAsia" w:cs="Segoe UI"/>
          <w:shd w:val="clear" w:color="auto" w:fill="FFFFFF"/>
        </w:rPr>
        <w:t>。</w:t>
      </w:r>
      <w:r>
        <w:rPr>
          <w:rFonts w:hint="eastAsia" w:cs="仿宋_GB2312"/>
          <w:kern w:val="0"/>
          <w:szCs w:val="32"/>
          <w:shd w:val="clear" w:color="auto" w:fill="FFFFFF"/>
        </w:rPr>
        <w:t>项目的组织形式和机构设置科学合理，勘察设计、咨询、强审、建筑工程、工程监理等建设参与方通过采购招标的方式引入，采购程序符合《中华人民共和国政府采购法》文件的要求。具体资质情况详见表</w:t>
      </w:r>
      <w:r>
        <w:rPr>
          <w:rFonts w:cs="仿宋_GB2312"/>
          <w:kern w:val="0"/>
          <w:szCs w:val="32"/>
          <w:shd w:val="clear" w:color="auto" w:fill="FFFFFF"/>
        </w:rPr>
        <w:t>3</w:t>
      </w:r>
      <w:r>
        <w:rPr>
          <w:rFonts w:hint="eastAsia" w:cs="仿宋_GB2312"/>
          <w:kern w:val="0"/>
          <w:szCs w:val="32"/>
          <w:shd w:val="clear" w:color="auto" w:fill="FFFFFF"/>
        </w:rPr>
        <w:t>。</w:t>
      </w:r>
    </w:p>
    <w:p>
      <w:pPr>
        <w:spacing w:line="560" w:lineRule="exact"/>
        <w:ind w:firstLine="560"/>
        <w:jc w:val="center"/>
        <w:rPr>
          <w:rFonts w:ascii="Times New Roman" w:hAnsi="Times New Roman" w:eastAsia="黑体" w:cs="宋体"/>
          <w:sz w:val="28"/>
          <w:szCs w:val="28"/>
        </w:rPr>
      </w:pPr>
      <w:r>
        <w:rPr>
          <w:rFonts w:ascii="Times New Roman" w:hAnsi="Times New Roman" w:eastAsia="黑体" w:cs="宋体"/>
          <w:sz w:val="28"/>
          <w:szCs w:val="28"/>
        </w:rPr>
        <w:t>表</w:t>
      </w:r>
      <w:r>
        <w:rPr>
          <w:rFonts w:ascii="Times New Roman" w:hAnsi="Times New Roman" w:eastAsia="黑体" w:cs="Times New Roman"/>
          <w:sz w:val="28"/>
          <w:szCs w:val="28"/>
        </w:rPr>
        <w:t xml:space="preserve">3 </w:t>
      </w:r>
      <w:r>
        <w:rPr>
          <w:rFonts w:hint="eastAsia" w:ascii="Times New Roman" w:hAnsi="Times New Roman" w:eastAsia="黑体" w:cs="Times New Roman"/>
          <w:sz w:val="28"/>
          <w:szCs w:val="28"/>
        </w:rPr>
        <w:t xml:space="preserve">  </w:t>
      </w:r>
      <w:r>
        <w:rPr>
          <w:rFonts w:ascii="Times New Roman" w:hAnsi="Times New Roman" w:eastAsia="黑体" w:cs="Times New Roman"/>
          <w:sz w:val="28"/>
          <w:szCs w:val="28"/>
        </w:rPr>
        <w:t>2023</w:t>
      </w:r>
      <w:r>
        <w:rPr>
          <w:rFonts w:hint="eastAsia" w:ascii="Times New Roman" w:hAnsi="Times New Roman" w:eastAsia="黑体" w:cs="宋体"/>
          <w:sz w:val="28"/>
          <w:szCs w:val="28"/>
        </w:rPr>
        <w:t>年和平区全民健身中心改造项目建设参与方资质</w:t>
      </w:r>
      <w:r>
        <w:rPr>
          <w:rFonts w:ascii="Times New Roman" w:hAnsi="Times New Roman" w:eastAsia="黑体" w:cs="宋体"/>
          <w:sz w:val="28"/>
          <w:szCs w:val="28"/>
        </w:rPr>
        <w:t xml:space="preserve"> </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3" w:type="dxa"/>
          <w:left w:w="104" w:type="dxa"/>
          <w:bottom w:w="0" w:type="dxa"/>
          <w:right w:w="14" w:type="dxa"/>
        </w:tblCellMar>
      </w:tblPr>
      <w:tblGrid>
        <w:gridCol w:w="1869"/>
        <w:gridCol w:w="3816"/>
        <w:gridCol w:w="3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454" w:hRule="atLeast"/>
          <w:tblHeader/>
          <w:jc w:val="center"/>
        </w:trPr>
        <w:tc>
          <w:tcPr>
            <w:tcW w:w="1043" w:type="pct"/>
            <w:vAlign w:val="center"/>
          </w:tcPr>
          <w:p>
            <w:pPr>
              <w:pStyle w:val="39"/>
              <w:jc w:val="center"/>
              <w:rPr>
                <w:rFonts w:ascii="宋体" w:hAnsi="宋体" w:eastAsia="宋体" w:cs="宋体"/>
                <w:kern w:val="0"/>
                <w:szCs w:val="22"/>
              </w:rPr>
            </w:pPr>
            <w:r>
              <w:rPr>
                <w:rFonts w:hint="eastAsia" w:ascii="宋体" w:hAnsi="宋体" w:eastAsia="宋体" w:cs="宋体"/>
                <w:kern w:val="0"/>
                <w:szCs w:val="22"/>
              </w:rPr>
              <w:t>服务内容</w:t>
            </w:r>
          </w:p>
        </w:tc>
        <w:tc>
          <w:tcPr>
            <w:tcW w:w="2128" w:type="pct"/>
            <w:vAlign w:val="center"/>
          </w:tcPr>
          <w:p>
            <w:pPr>
              <w:pStyle w:val="39"/>
              <w:jc w:val="center"/>
              <w:rPr>
                <w:rFonts w:ascii="宋体" w:hAnsi="宋体" w:eastAsia="宋体" w:cs="宋体"/>
                <w:kern w:val="0"/>
                <w:szCs w:val="22"/>
              </w:rPr>
            </w:pPr>
            <w:r>
              <w:rPr>
                <w:rFonts w:hint="eastAsia" w:ascii="宋体" w:hAnsi="宋体" w:eastAsia="宋体" w:cs="宋体"/>
                <w:kern w:val="0"/>
                <w:szCs w:val="22"/>
              </w:rPr>
              <w:t>服务单位</w:t>
            </w:r>
          </w:p>
        </w:tc>
        <w:tc>
          <w:tcPr>
            <w:tcW w:w="1828" w:type="pct"/>
            <w:vAlign w:val="center"/>
          </w:tcPr>
          <w:p>
            <w:pPr>
              <w:pStyle w:val="39"/>
              <w:jc w:val="center"/>
              <w:rPr>
                <w:rFonts w:ascii="宋体" w:hAnsi="宋体" w:eastAsia="宋体" w:cs="宋体"/>
                <w:kern w:val="0"/>
                <w:szCs w:val="22"/>
              </w:rPr>
            </w:pPr>
            <w:r>
              <w:rPr>
                <w:rFonts w:hint="eastAsia" w:ascii="宋体" w:hAnsi="宋体" w:eastAsia="宋体" w:cs="宋体"/>
                <w:kern w:val="0"/>
                <w:szCs w:val="22"/>
              </w:rPr>
              <w:t>相关资质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shd w:val="clear" w:color="auto" w:fill="FFFFFF"/>
              </w:rPr>
              <w:t>初步设计</w:t>
            </w:r>
          </w:p>
        </w:tc>
        <w:tc>
          <w:tcPr>
            <w:tcW w:w="2128" w:type="pct"/>
            <w:vAlign w:val="center"/>
          </w:tcPr>
          <w:p>
            <w:pPr>
              <w:pStyle w:val="41"/>
              <w:rPr>
                <w:kern w:val="0"/>
                <w:szCs w:val="22"/>
              </w:rPr>
            </w:pPr>
            <w:r>
              <w:rPr>
                <w:rFonts w:hint="eastAsia"/>
                <w:kern w:val="0"/>
                <w:szCs w:val="22"/>
                <w:shd w:val="clear" w:color="auto" w:fill="FFFFFF"/>
              </w:rPr>
              <w:t>北京中体建筑工程设计有限公司</w:t>
            </w:r>
          </w:p>
        </w:tc>
        <w:tc>
          <w:tcPr>
            <w:tcW w:w="1828" w:type="pct"/>
            <w:vAlign w:val="center"/>
          </w:tcPr>
          <w:p>
            <w:pPr>
              <w:pStyle w:val="41"/>
              <w:rPr>
                <w:kern w:val="0"/>
                <w:szCs w:val="22"/>
              </w:rPr>
            </w:pPr>
            <w:r>
              <w:rPr>
                <w:rFonts w:hint="eastAsia"/>
                <w:kern w:val="0"/>
                <w:szCs w:val="22"/>
              </w:rPr>
              <w:t>建筑行业（建筑工程）甲级设计资质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风险评估咨询</w:t>
            </w:r>
          </w:p>
        </w:tc>
        <w:tc>
          <w:tcPr>
            <w:tcW w:w="2128" w:type="pct"/>
            <w:vAlign w:val="center"/>
          </w:tcPr>
          <w:p>
            <w:pPr>
              <w:pStyle w:val="41"/>
              <w:rPr>
                <w:kern w:val="0"/>
                <w:szCs w:val="22"/>
              </w:rPr>
            </w:pPr>
            <w:r>
              <w:rPr>
                <w:rFonts w:hint="eastAsia"/>
                <w:kern w:val="0"/>
                <w:szCs w:val="22"/>
                <w:shd w:val="clear" w:color="auto" w:fill="FFFFFF"/>
              </w:rPr>
              <w:t>天津广正建设项目咨询股份有限公司</w:t>
            </w:r>
          </w:p>
        </w:tc>
        <w:tc>
          <w:tcPr>
            <w:tcW w:w="1828" w:type="pct"/>
            <w:vAlign w:val="center"/>
          </w:tcPr>
          <w:p>
            <w:pPr>
              <w:pStyle w:val="41"/>
              <w:rPr>
                <w:kern w:val="0"/>
                <w:szCs w:val="22"/>
              </w:rPr>
            </w:pPr>
            <w:r>
              <w:rPr>
                <w:kern w:val="0"/>
                <w:szCs w:val="22"/>
                <w:shd w:val="clear" w:color="auto" w:fill="FFFFFF"/>
              </w:rPr>
              <w:t>国家发展和改革委员会工程咨询甲级资质、住房和城乡建设部工程造价咨询甲级资质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法律咨询</w:t>
            </w:r>
          </w:p>
        </w:tc>
        <w:tc>
          <w:tcPr>
            <w:tcW w:w="2128" w:type="pct"/>
            <w:vAlign w:val="center"/>
          </w:tcPr>
          <w:p>
            <w:pPr>
              <w:pStyle w:val="41"/>
              <w:rPr>
                <w:rFonts w:cs="仿宋_GB2312"/>
                <w:kern w:val="0"/>
                <w:szCs w:val="22"/>
                <w:shd w:val="clear" w:color="auto" w:fill="FFFFFF"/>
              </w:rPr>
            </w:pPr>
            <w:r>
              <w:rPr>
                <w:rFonts w:hint="eastAsia"/>
                <w:kern w:val="0"/>
                <w:szCs w:val="22"/>
              </w:rPr>
              <w:t>北京盈科（天津）律师事务所</w:t>
            </w:r>
          </w:p>
        </w:tc>
        <w:tc>
          <w:tcPr>
            <w:tcW w:w="1828" w:type="pct"/>
            <w:vAlign w:val="center"/>
          </w:tcPr>
          <w:p>
            <w:pPr>
              <w:pStyle w:val="41"/>
              <w:rPr>
                <w:rFonts w:cs="Arial"/>
                <w:kern w:val="0"/>
                <w:szCs w:val="22"/>
                <w:shd w:val="clear" w:color="auto" w:fill="FFFFFF"/>
              </w:rPr>
            </w:pPr>
            <w:r>
              <w:rPr>
                <w:rFonts w:hint="eastAsia"/>
                <w:kern w:val="0"/>
                <w:szCs w:val="22"/>
              </w:rPr>
              <w:t>律师事务所职业许可证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工程监理</w:t>
            </w:r>
          </w:p>
        </w:tc>
        <w:tc>
          <w:tcPr>
            <w:tcW w:w="2128" w:type="pct"/>
            <w:vAlign w:val="center"/>
          </w:tcPr>
          <w:p>
            <w:pPr>
              <w:pStyle w:val="41"/>
              <w:rPr>
                <w:rFonts w:cs="仿宋_GB2312"/>
                <w:kern w:val="0"/>
                <w:szCs w:val="22"/>
                <w:shd w:val="clear" w:color="auto" w:fill="FFFFFF"/>
              </w:rPr>
            </w:pPr>
            <w:r>
              <w:rPr>
                <w:rFonts w:hint="eastAsia"/>
                <w:kern w:val="0"/>
                <w:szCs w:val="22"/>
              </w:rPr>
              <w:t>天津国际工程建设监理有限公司</w:t>
            </w:r>
          </w:p>
        </w:tc>
        <w:tc>
          <w:tcPr>
            <w:tcW w:w="1828" w:type="pct"/>
            <w:vAlign w:val="center"/>
          </w:tcPr>
          <w:p>
            <w:pPr>
              <w:pStyle w:val="41"/>
              <w:rPr>
                <w:rFonts w:cs="Arial"/>
                <w:kern w:val="0"/>
                <w:szCs w:val="22"/>
                <w:shd w:val="clear" w:color="auto" w:fill="FFFFFF"/>
              </w:rPr>
            </w:pPr>
            <w:r>
              <w:rPr>
                <w:rFonts w:hint="eastAsia"/>
                <w:kern w:val="0"/>
                <w:szCs w:val="22"/>
              </w:rPr>
              <w:t>甲级监理企业资质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审计服务</w:t>
            </w:r>
          </w:p>
        </w:tc>
        <w:tc>
          <w:tcPr>
            <w:tcW w:w="2128" w:type="pct"/>
            <w:vAlign w:val="center"/>
          </w:tcPr>
          <w:p>
            <w:pPr>
              <w:pStyle w:val="41"/>
              <w:rPr>
                <w:kern w:val="0"/>
                <w:szCs w:val="22"/>
              </w:rPr>
            </w:pPr>
            <w:r>
              <w:rPr>
                <w:rFonts w:hint="eastAsia"/>
                <w:kern w:val="0"/>
                <w:szCs w:val="22"/>
              </w:rPr>
              <w:t>北京泛华国金工程咨询有限公司</w:t>
            </w:r>
          </w:p>
        </w:tc>
        <w:tc>
          <w:tcPr>
            <w:tcW w:w="1828" w:type="pct"/>
            <w:vAlign w:val="center"/>
          </w:tcPr>
          <w:p>
            <w:pPr>
              <w:pStyle w:val="41"/>
              <w:rPr>
                <w:kern w:val="0"/>
                <w:szCs w:val="22"/>
              </w:rPr>
            </w:pPr>
            <w:r>
              <w:rPr>
                <w:rStyle w:val="19"/>
                <w:rFonts w:cs="Arial"/>
                <w:b w:val="0"/>
                <w:kern w:val="0"/>
                <w:szCs w:val="22"/>
              </w:rPr>
              <w:t>工程造价咨询甲级资质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shd w:val="clear" w:color="auto" w:fill="FFFFFF"/>
              </w:rPr>
              <w:t>地形测绘、核定用地、</w:t>
            </w:r>
            <w:r>
              <w:rPr>
                <w:rFonts w:hint="eastAsia"/>
                <w:bCs/>
                <w:kern w:val="0"/>
                <w:szCs w:val="22"/>
              </w:rPr>
              <w:t>地籍测绘服务</w:t>
            </w:r>
          </w:p>
        </w:tc>
        <w:tc>
          <w:tcPr>
            <w:tcW w:w="2128" w:type="pct"/>
            <w:vAlign w:val="center"/>
          </w:tcPr>
          <w:p>
            <w:pPr>
              <w:pStyle w:val="41"/>
              <w:rPr>
                <w:kern w:val="0"/>
                <w:szCs w:val="22"/>
              </w:rPr>
            </w:pPr>
            <w:r>
              <w:rPr>
                <w:rFonts w:hint="eastAsia"/>
                <w:kern w:val="0"/>
                <w:szCs w:val="22"/>
                <w:shd w:val="clear" w:color="auto" w:fill="FFFFFF"/>
              </w:rPr>
              <w:t>天津市勘察设计院集团有限公司</w:t>
            </w:r>
          </w:p>
        </w:tc>
        <w:tc>
          <w:tcPr>
            <w:tcW w:w="1828" w:type="pct"/>
            <w:vAlign w:val="center"/>
          </w:tcPr>
          <w:p>
            <w:pPr>
              <w:pStyle w:val="41"/>
              <w:rPr>
                <w:kern w:val="0"/>
                <w:szCs w:val="22"/>
              </w:rPr>
            </w:pPr>
            <w:r>
              <w:rPr>
                <w:rStyle w:val="20"/>
                <w:rFonts w:cs="Arial"/>
                <w:i w:val="0"/>
                <w:iCs w:val="0"/>
                <w:kern w:val="0"/>
                <w:szCs w:val="22"/>
                <w:shd w:val="clear" w:color="auto" w:fill="FFFFFF"/>
              </w:rPr>
              <w:t>国家甲级测绘资质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物探测量</w:t>
            </w:r>
          </w:p>
        </w:tc>
        <w:tc>
          <w:tcPr>
            <w:tcW w:w="2128" w:type="pct"/>
            <w:vAlign w:val="center"/>
          </w:tcPr>
          <w:p>
            <w:pPr>
              <w:pStyle w:val="41"/>
              <w:rPr>
                <w:kern w:val="0"/>
                <w:szCs w:val="22"/>
              </w:rPr>
            </w:pPr>
            <w:r>
              <w:rPr>
                <w:rFonts w:hint="eastAsia"/>
                <w:kern w:val="0"/>
                <w:szCs w:val="22"/>
              </w:rPr>
              <w:t>天津华北勘测设计院有限公司</w:t>
            </w:r>
          </w:p>
        </w:tc>
        <w:tc>
          <w:tcPr>
            <w:tcW w:w="1828" w:type="pct"/>
            <w:vAlign w:val="center"/>
          </w:tcPr>
          <w:p>
            <w:pPr>
              <w:pStyle w:val="41"/>
              <w:rPr>
                <w:kern w:val="0"/>
                <w:szCs w:val="22"/>
              </w:rPr>
            </w:pPr>
            <w:r>
              <w:rPr>
                <w:kern w:val="0"/>
                <w:szCs w:val="22"/>
                <w:shd w:val="clear" w:color="auto" w:fill="FFFFFF"/>
              </w:rPr>
              <w:t>工程勘察专业类（岩土工程）甲级</w:t>
            </w:r>
            <w:r>
              <w:rPr>
                <w:rFonts w:hint="eastAsia"/>
                <w:kern w:val="0"/>
                <w:szCs w:val="22"/>
                <w:shd w:val="clear" w:color="auto" w:fill="FFFFFF"/>
              </w:rPr>
              <w:t>资质、</w:t>
            </w:r>
            <w:r>
              <w:rPr>
                <w:kern w:val="0"/>
                <w:szCs w:val="22"/>
                <w:shd w:val="clear" w:color="auto" w:fill="FFFFFF"/>
              </w:rPr>
              <w:t>工程勘察（水文地质勘察、工程测量）乙级</w:t>
            </w:r>
            <w:r>
              <w:rPr>
                <w:rFonts w:hint="eastAsia"/>
                <w:kern w:val="0"/>
                <w:szCs w:val="22"/>
                <w:shd w:val="clear" w:color="auto" w:fill="FFFFFF"/>
              </w:rPr>
              <w:t>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立面及平面测量</w:t>
            </w:r>
          </w:p>
        </w:tc>
        <w:tc>
          <w:tcPr>
            <w:tcW w:w="2128" w:type="pct"/>
            <w:vAlign w:val="center"/>
          </w:tcPr>
          <w:p>
            <w:pPr>
              <w:pStyle w:val="41"/>
              <w:rPr>
                <w:kern w:val="0"/>
                <w:szCs w:val="22"/>
              </w:rPr>
            </w:pPr>
            <w:r>
              <w:rPr>
                <w:rFonts w:hint="eastAsia"/>
                <w:kern w:val="0"/>
                <w:szCs w:val="22"/>
              </w:rPr>
              <w:t>天津市测绘院有限公司</w:t>
            </w:r>
          </w:p>
        </w:tc>
        <w:tc>
          <w:tcPr>
            <w:tcW w:w="1828" w:type="pct"/>
            <w:vAlign w:val="center"/>
          </w:tcPr>
          <w:p>
            <w:pPr>
              <w:pStyle w:val="41"/>
              <w:rPr>
                <w:kern w:val="0"/>
                <w:szCs w:val="22"/>
              </w:rPr>
            </w:pPr>
            <w:r>
              <w:rPr>
                <w:rStyle w:val="20"/>
                <w:rFonts w:cs="Arial"/>
                <w:i w:val="0"/>
                <w:iCs w:val="0"/>
                <w:kern w:val="0"/>
                <w:szCs w:val="22"/>
                <w:shd w:val="clear" w:color="auto" w:fill="FFFFFF"/>
              </w:rPr>
              <w:t>国家甲级测绘资质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拆除工程</w:t>
            </w:r>
          </w:p>
        </w:tc>
        <w:tc>
          <w:tcPr>
            <w:tcW w:w="2128" w:type="pct"/>
            <w:vAlign w:val="center"/>
          </w:tcPr>
          <w:p>
            <w:pPr>
              <w:pStyle w:val="41"/>
              <w:rPr>
                <w:kern w:val="0"/>
                <w:szCs w:val="22"/>
              </w:rPr>
            </w:pPr>
            <w:r>
              <w:rPr>
                <w:rFonts w:hint="eastAsia"/>
                <w:kern w:val="0"/>
                <w:szCs w:val="22"/>
              </w:rPr>
              <w:t>天津市驰跃建设工程有限公司</w:t>
            </w:r>
          </w:p>
        </w:tc>
        <w:tc>
          <w:tcPr>
            <w:tcW w:w="1828" w:type="pct"/>
            <w:vAlign w:val="center"/>
          </w:tcPr>
          <w:p>
            <w:pPr>
              <w:pStyle w:val="41"/>
              <w:rPr>
                <w:kern w:val="0"/>
                <w:szCs w:val="22"/>
              </w:rPr>
            </w:pPr>
            <w:r>
              <w:rPr>
                <w:rFonts w:hint="eastAsia"/>
                <w:kern w:val="0"/>
                <w:szCs w:val="22"/>
              </w:rPr>
              <w:t>市政公用工程施工总承包二级资质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3" w:type="pct"/>
            <w:vAlign w:val="center"/>
          </w:tcPr>
          <w:p>
            <w:pPr>
              <w:pStyle w:val="41"/>
              <w:rPr>
                <w:kern w:val="0"/>
                <w:szCs w:val="22"/>
              </w:rPr>
            </w:pPr>
            <w:r>
              <w:rPr>
                <w:rFonts w:hint="eastAsia"/>
                <w:kern w:val="0"/>
                <w:szCs w:val="22"/>
              </w:rPr>
              <w:t>电力设施迁改</w:t>
            </w:r>
          </w:p>
        </w:tc>
        <w:tc>
          <w:tcPr>
            <w:tcW w:w="2128" w:type="pct"/>
            <w:vAlign w:val="center"/>
          </w:tcPr>
          <w:p>
            <w:pPr>
              <w:pStyle w:val="41"/>
              <w:rPr>
                <w:kern w:val="0"/>
                <w:szCs w:val="22"/>
              </w:rPr>
            </w:pPr>
            <w:r>
              <w:rPr>
                <w:rFonts w:hint="eastAsia"/>
                <w:kern w:val="0"/>
                <w:szCs w:val="22"/>
              </w:rPr>
              <w:t>国网天津市电力公司城南供电分公司</w:t>
            </w:r>
          </w:p>
        </w:tc>
        <w:tc>
          <w:tcPr>
            <w:tcW w:w="1828" w:type="pct"/>
            <w:vAlign w:val="center"/>
          </w:tcPr>
          <w:p>
            <w:pPr>
              <w:pStyle w:val="41"/>
              <w:rPr>
                <w:kern w:val="0"/>
                <w:szCs w:val="22"/>
              </w:rPr>
            </w:pPr>
            <w:r>
              <w:rPr>
                <w:rFonts w:hint="eastAsia"/>
                <w:kern w:val="0"/>
                <w:szCs w:val="22"/>
              </w:rPr>
              <w:t>电力业务许可证</w:t>
            </w:r>
          </w:p>
        </w:tc>
      </w:tr>
    </w:tbl>
    <w:p>
      <w:pPr>
        <w:pStyle w:val="29"/>
        <w:spacing w:line="560" w:lineRule="exact"/>
        <w:ind w:firstLine="640"/>
        <w:rPr>
          <w:rFonts w:cs="仿宋_GB2312"/>
          <w:kern w:val="0"/>
          <w:szCs w:val="32"/>
          <w:shd w:val="clear" w:color="auto" w:fill="FFFFFF"/>
        </w:rPr>
      </w:pPr>
      <w:r>
        <w:rPr>
          <w:rFonts w:hint="eastAsia" w:cs="仿宋_GB2312"/>
          <w:kern w:val="0"/>
          <w:szCs w:val="32"/>
          <w:shd w:val="clear" w:color="auto" w:fill="FFFFFF"/>
        </w:rPr>
        <w:t>（</w:t>
      </w:r>
      <w:r>
        <w:rPr>
          <w:rFonts w:cs="仿宋_GB2312"/>
          <w:kern w:val="0"/>
          <w:szCs w:val="32"/>
          <w:shd w:val="clear" w:color="auto" w:fill="FFFFFF"/>
        </w:rPr>
        <w:t>4</w:t>
      </w:r>
      <w:r>
        <w:rPr>
          <w:rFonts w:hint="eastAsia" w:cs="仿宋_GB2312"/>
          <w:kern w:val="0"/>
          <w:szCs w:val="32"/>
          <w:shd w:val="clear" w:color="auto" w:fill="FFFFFF"/>
        </w:rPr>
        <w:t>）政府采购规范性（总分</w:t>
      </w:r>
      <w:r>
        <w:rPr>
          <w:rFonts w:cs="仿宋_GB2312"/>
          <w:kern w:val="0"/>
          <w:szCs w:val="32"/>
          <w:shd w:val="clear" w:color="auto" w:fill="FFFFFF"/>
        </w:rPr>
        <w:t>2</w:t>
      </w:r>
      <w:r>
        <w:rPr>
          <w:rFonts w:hint="eastAsia" w:cs="仿宋_GB2312"/>
          <w:kern w:val="0"/>
          <w:szCs w:val="32"/>
          <w:shd w:val="clear" w:color="auto" w:fill="FFFFFF"/>
        </w:rPr>
        <w:t>分，得分</w:t>
      </w:r>
      <w:r>
        <w:rPr>
          <w:rFonts w:cs="仿宋_GB2312"/>
          <w:kern w:val="0"/>
          <w:szCs w:val="32"/>
          <w:shd w:val="clear" w:color="auto" w:fill="FFFFFF"/>
        </w:rPr>
        <w:t>2</w:t>
      </w:r>
      <w:r>
        <w:rPr>
          <w:rFonts w:hint="eastAsia" w:cs="仿宋_GB2312"/>
          <w:kern w:val="0"/>
          <w:szCs w:val="32"/>
          <w:shd w:val="clear" w:color="auto" w:fill="FFFFFF"/>
        </w:rPr>
        <w:t>分）。</w:t>
      </w:r>
      <w:r>
        <w:rPr>
          <w:rFonts w:hint="eastAsia"/>
        </w:rPr>
        <w:t>和平区全民健身中心改造项目各分工程勘察、设计、施工、监理等采购流程均按照政府采购规定选取了合理的采购方式，政府采购的程序执行规范；</w:t>
      </w:r>
      <w:r>
        <w:rPr>
          <w:rFonts w:hint="eastAsia" w:cs="仿宋_GB2312"/>
          <w:kern w:val="0"/>
          <w:szCs w:val="32"/>
          <w:shd w:val="clear" w:color="auto" w:fill="FFFFFF"/>
        </w:rPr>
        <w:t>采购过程</w:t>
      </w:r>
      <w:r>
        <w:rPr>
          <w:rFonts w:cs="仿宋_GB2312"/>
          <w:kern w:val="0"/>
          <w:szCs w:val="32"/>
          <w:shd w:val="clear" w:color="auto" w:fill="FFFFFF"/>
        </w:rPr>
        <w:t>中不存在重复采购或过量采购的情况。</w:t>
      </w:r>
      <w:r>
        <w:rPr>
          <w:rFonts w:hint="eastAsia"/>
        </w:rPr>
        <w:t>采购标的能够满足项目需求，采购价格在可比情况下处于合理较低水平。</w:t>
      </w:r>
    </w:p>
    <w:p>
      <w:pPr>
        <w:pStyle w:val="29"/>
        <w:spacing w:line="560" w:lineRule="exact"/>
        <w:ind w:firstLine="640"/>
        <w:rPr>
          <w:rFonts w:cs="仿宋_GB2312"/>
          <w:kern w:val="0"/>
          <w:szCs w:val="32"/>
          <w:shd w:val="clear" w:color="auto" w:fill="FFFFFF"/>
        </w:rPr>
      </w:pPr>
      <w:r>
        <w:rPr>
          <w:rFonts w:hint="eastAsia" w:cs="仿宋_GB2312"/>
          <w:kern w:val="0"/>
          <w:szCs w:val="32"/>
          <w:shd w:val="clear" w:color="auto" w:fill="FFFFFF"/>
        </w:rPr>
        <w:t>（</w:t>
      </w:r>
      <w:r>
        <w:rPr>
          <w:rFonts w:cs="仿宋_GB2312"/>
          <w:kern w:val="0"/>
          <w:szCs w:val="32"/>
          <w:shd w:val="clear" w:color="auto" w:fill="FFFFFF"/>
        </w:rPr>
        <w:t>5</w:t>
      </w:r>
      <w:r>
        <w:rPr>
          <w:rFonts w:hint="eastAsia" w:cs="仿宋_GB2312"/>
          <w:kern w:val="0"/>
          <w:szCs w:val="32"/>
          <w:shd w:val="clear" w:color="auto" w:fill="FFFFFF"/>
        </w:rPr>
        <w:t>）合同管理完备性（总分</w:t>
      </w:r>
      <w:r>
        <w:rPr>
          <w:rFonts w:hint="eastAsia"/>
        </w:rPr>
        <w:t>2</w:t>
      </w:r>
      <w:r>
        <w:rPr>
          <w:rFonts w:hint="eastAsia" w:cs="仿宋_GB2312"/>
          <w:kern w:val="0"/>
          <w:szCs w:val="32"/>
          <w:shd w:val="clear" w:color="auto" w:fill="FFFFFF"/>
        </w:rPr>
        <w:t>分，得分</w:t>
      </w:r>
      <w:r>
        <w:rPr>
          <w:rFonts w:hint="eastAsia"/>
        </w:rPr>
        <w:t>2</w:t>
      </w:r>
      <w:r>
        <w:rPr>
          <w:rFonts w:hint="eastAsia" w:cs="仿宋_GB2312"/>
          <w:kern w:val="0"/>
          <w:szCs w:val="32"/>
          <w:shd w:val="clear" w:color="auto" w:fill="FFFFFF"/>
        </w:rPr>
        <w:t>分）。和平区全民健身中心改造项目</w:t>
      </w:r>
      <w:r>
        <w:rPr>
          <w:rFonts w:hint="eastAsia"/>
        </w:rPr>
        <w:t>合同管理符合基本建设项目管理需求，区全民健身中心按照规定签署采购合同、协议，合同标的物及价格明确、清晰，合同中有明确、清晰的质量标准、交付时间、方式、地点、支付方式和支付时间，违约责任界定明确、清晰。</w:t>
      </w:r>
      <w:r>
        <w:rPr>
          <w:rFonts w:hint="eastAsia" w:cs="仿宋_GB2312"/>
          <w:kern w:val="0"/>
          <w:szCs w:val="32"/>
          <w:shd w:val="clear" w:color="auto" w:fill="FFFFFF"/>
        </w:rPr>
        <w:t>项目方案初步设计合同变更程序规范，签订了补充协议，合同管理完备性良好。</w:t>
      </w:r>
    </w:p>
    <w:p>
      <w:pPr>
        <w:pStyle w:val="29"/>
        <w:spacing w:line="560" w:lineRule="exact"/>
        <w:ind w:firstLine="640"/>
      </w:pPr>
      <w:r>
        <w:rPr>
          <w:rFonts w:hint="eastAsia" w:cs="仿宋_GB2312"/>
          <w:kern w:val="0"/>
          <w:szCs w:val="32"/>
          <w:shd w:val="clear" w:color="auto" w:fill="FFFFFF"/>
        </w:rPr>
        <w:t>（</w:t>
      </w:r>
      <w:r>
        <w:rPr>
          <w:rFonts w:cs="仿宋_GB2312"/>
          <w:kern w:val="0"/>
          <w:szCs w:val="32"/>
          <w:shd w:val="clear" w:color="auto" w:fill="FFFFFF"/>
        </w:rPr>
        <w:t>6</w:t>
      </w:r>
      <w:r>
        <w:rPr>
          <w:rFonts w:hint="eastAsia" w:cs="仿宋_GB2312"/>
          <w:kern w:val="0"/>
          <w:szCs w:val="32"/>
          <w:shd w:val="clear" w:color="auto" w:fill="FFFFFF"/>
        </w:rPr>
        <w:t>）安全管理完备性（总分</w:t>
      </w:r>
      <w:r>
        <w:t>2</w:t>
      </w:r>
      <w:r>
        <w:rPr>
          <w:rFonts w:hint="eastAsia" w:cs="仿宋_GB2312"/>
          <w:kern w:val="0"/>
          <w:szCs w:val="32"/>
          <w:shd w:val="clear" w:color="auto" w:fill="FFFFFF"/>
        </w:rPr>
        <w:t>分，得分</w:t>
      </w:r>
      <w:r>
        <w:t>2</w:t>
      </w:r>
      <w:r>
        <w:rPr>
          <w:rFonts w:hint="eastAsia" w:cs="仿宋_GB2312"/>
          <w:kern w:val="0"/>
          <w:szCs w:val="32"/>
          <w:shd w:val="clear" w:color="auto" w:fill="FFFFFF"/>
        </w:rPr>
        <w:t>分）。根据</w:t>
      </w:r>
      <w:r>
        <w:rPr>
          <w:rFonts w:hint="eastAsia"/>
        </w:rPr>
        <w:t>区全民健身中心提供的可行性研究报告，研究</w:t>
      </w:r>
      <w:r>
        <w:rPr>
          <w:rFonts w:cs="Segoe UI"/>
          <w:shd w:val="clear" w:color="auto" w:fill="FFFFFF"/>
        </w:rPr>
        <w:t>分析了项目实施过程中环境保护、消防、机械使用、临时用电、高空作业以及季节性施工等方面可能遭遇的危害因素及其潜在危害性</w:t>
      </w:r>
      <w:r>
        <w:rPr>
          <w:rFonts w:hint="eastAsia"/>
        </w:rPr>
        <w:t>，并制定相应的了防范措施。定期组织项目实施相关人员和监督人员开展了安全培训，项目安全管理完备。</w:t>
      </w:r>
      <w:r>
        <w:rPr>
          <w:rFonts w:hint="eastAsia" w:cs="仿宋_GB2312"/>
          <w:kern w:val="0"/>
          <w:szCs w:val="32"/>
          <w:shd w:val="clear" w:color="auto" w:fill="FFFFFF"/>
        </w:rPr>
        <w:t>安全管理完备性良好。</w:t>
      </w:r>
    </w:p>
    <w:p>
      <w:pPr>
        <w:pStyle w:val="60"/>
        <w:spacing w:line="560" w:lineRule="exact"/>
        <w:ind w:firstLine="640"/>
        <w:jc w:val="both"/>
        <w:rPr>
          <w:rFonts w:ascii="Times New Roman" w:hAnsi="Times New Roman" w:eastAsia="仿宋_GB2312" w:cs="仿宋_GB2312"/>
          <w:color w:val="auto"/>
          <w:sz w:val="32"/>
          <w:szCs w:val="32"/>
          <w:shd w:val="clear" w:color="auto" w:fill="FFFFFF"/>
        </w:rPr>
      </w:pPr>
      <w:r>
        <w:rPr>
          <w:rFonts w:hint="eastAsia" w:ascii="Times New Roman" w:hAnsi="Times New Roman" w:eastAsia="仿宋_GB2312" w:cs="仿宋_GB2312"/>
          <w:color w:val="auto"/>
          <w:sz w:val="32"/>
          <w:szCs w:val="32"/>
          <w:shd w:val="clear" w:color="auto" w:fill="FFFFFF"/>
        </w:rPr>
        <w:t>（</w:t>
      </w:r>
      <w:r>
        <w:rPr>
          <w:rFonts w:ascii="Times New Roman" w:hAnsi="Times New Roman" w:eastAsia="仿宋_GB2312" w:cs="仿宋_GB2312"/>
          <w:color w:val="auto"/>
          <w:sz w:val="32"/>
          <w:szCs w:val="32"/>
          <w:shd w:val="clear" w:color="auto" w:fill="FFFFFF"/>
        </w:rPr>
        <w:t>7</w:t>
      </w:r>
      <w:r>
        <w:rPr>
          <w:rFonts w:hint="eastAsia" w:ascii="Times New Roman" w:hAnsi="Times New Roman" w:eastAsia="仿宋_GB2312" w:cs="仿宋_GB2312"/>
          <w:color w:val="auto"/>
          <w:sz w:val="32"/>
          <w:szCs w:val="32"/>
          <w:shd w:val="clear" w:color="auto" w:fill="FFFFFF"/>
        </w:rPr>
        <w:t>）工程变更规范性（总分</w:t>
      </w:r>
      <w:r>
        <w:rPr>
          <w:rFonts w:ascii="Times New Roman" w:hAnsi="Times New Roman" w:eastAsia="仿宋_GB2312" w:cstheme="minorBidi"/>
          <w:color w:val="auto"/>
          <w:kern w:val="2"/>
          <w:sz w:val="32"/>
          <w:szCs w:val="21"/>
        </w:rPr>
        <w:t>2</w:t>
      </w:r>
      <w:r>
        <w:rPr>
          <w:rFonts w:hint="eastAsia" w:ascii="Times New Roman" w:hAnsi="Times New Roman" w:eastAsia="仿宋_GB2312" w:cs="仿宋_GB2312"/>
          <w:color w:val="auto"/>
          <w:sz w:val="32"/>
          <w:szCs w:val="32"/>
          <w:shd w:val="clear" w:color="auto" w:fill="FFFFFF"/>
        </w:rPr>
        <w:t>分，得分</w:t>
      </w:r>
      <w:r>
        <w:rPr>
          <w:rFonts w:ascii="Times New Roman" w:hAnsi="Times New Roman" w:eastAsia="仿宋_GB2312" w:cstheme="minorBidi"/>
          <w:color w:val="auto"/>
          <w:kern w:val="2"/>
          <w:sz w:val="32"/>
          <w:szCs w:val="21"/>
        </w:rPr>
        <w:t>2</w:t>
      </w:r>
      <w:r>
        <w:rPr>
          <w:rFonts w:hint="eastAsia" w:ascii="Times New Roman" w:hAnsi="Times New Roman" w:eastAsia="仿宋_GB2312" w:cs="仿宋_GB2312"/>
          <w:color w:val="auto"/>
          <w:sz w:val="32"/>
          <w:szCs w:val="32"/>
          <w:shd w:val="clear" w:color="auto" w:fill="FFFFFF"/>
        </w:rPr>
        <w:t>分）。区全民健身中心</w:t>
      </w:r>
      <w:r>
        <w:rPr>
          <w:rFonts w:ascii="Times New Roman" w:hAnsi="Times New Roman" w:eastAsia="仿宋_GB2312" w:cs="仿宋_GB2312"/>
          <w:color w:val="auto"/>
          <w:sz w:val="32"/>
          <w:szCs w:val="32"/>
          <w:shd w:val="clear" w:color="auto" w:fill="FFFFFF"/>
        </w:rPr>
        <w:t>根据</w:t>
      </w:r>
      <w:r>
        <w:rPr>
          <w:rFonts w:hint="eastAsia" w:ascii="Times New Roman" w:hAnsi="Times New Roman" w:eastAsia="仿宋_GB2312" w:cs="仿宋_GB2312"/>
          <w:color w:val="auto"/>
          <w:sz w:val="32"/>
          <w:szCs w:val="32"/>
          <w:shd w:val="clear" w:color="auto" w:fill="FFFFFF"/>
        </w:rPr>
        <w:t>项目规划调整了本项目建筑内容及规模。</w:t>
      </w:r>
      <w:r>
        <w:rPr>
          <w:rFonts w:ascii="Times New Roman" w:hAnsi="Times New Roman" w:eastAsia="仿宋_GB2312" w:cs="仿宋_GB2312"/>
          <w:color w:val="auto"/>
          <w:sz w:val="32"/>
          <w:szCs w:val="32"/>
          <w:shd w:val="clear" w:color="auto" w:fill="FFFFFF"/>
        </w:rPr>
        <w:t>在建设内容调整方面</w:t>
      </w:r>
      <w:r>
        <w:rPr>
          <w:rFonts w:hint="eastAsia" w:ascii="Times New Roman" w:hAnsi="Times New Roman" w:eastAsia="仿宋_GB2312" w:cs="仿宋_GB2312"/>
          <w:color w:val="auto"/>
          <w:sz w:val="32"/>
          <w:szCs w:val="32"/>
          <w:shd w:val="clear" w:color="auto" w:fill="FFFFFF"/>
        </w:rPr>
        <w:t>：一是原方案拟建设</w:t>
      </w:r>
      <w:r>
        <w:rPr>
          <w:rFonts w:ascii="Times New Roman" w:hAnsi="Times New Roman" w:eastAsia="仿宋_GB2312" w:cs="仿宋_GB2312"/>
          <w:color w:val="auto"/>
          <w:sz w:val="32"/>
          <w:szCs w:val="32"/>
          <w:shd w:val="clear" w:color="auto" w:fill="FFFFFF"/>
        </w:rPr>
        <w:t>的</w:t>
      </w:r>
      <w:r>
        <w:rPr>
          <w:rFonts w:hint="eastAsia" w:ascii="Times New Roman" w:hAnsi="Times New Roman" w:eastAsia="仿宋_GB2312" w:cs="仿宋_GB2312"/>
          <w:color w:val="auto"/>
          <w:sz w:val="32"/>
          <w:szCs w:val="32"/>
          <w:shd w:val="clear" w:color="auto" w:fill="FFFFFF"/>
        </w:rPr>
        <w:t>复合运动馆和综合运动馆，现调整为全民健身中</w:t>
      </w:r>
      <w:r>
        <w:rPr>
          <w:rFonts w:ascii="Times New Roman" w:hAnsi="Times New Roman" w:eastAsia="仿宋_GB2312" w:cs="仿宋_GB2312"/>
          <w:color w:val="auto"/>
          <w:sz w:val="32"/>
          <w:szCs w:val="32"/>
          <w:shd w:val="clear" w:color="auto" w:fill="FFFFFF"/>
        </w:rPr>
        <w:t>1号楼和2号楼</w:t>
      </w:r>
      <w:r>
        <w:rPr>
          <w:rFonts w:hint="eastAsia" w:ascii="Times New Roman" w:hAnsi="Times New Roman" w:eastAsia="仿宋_GB2312" w:cs="仿宋_GB2312"/>
          <w:color w:val="auto"/>
          <w:sz w:val="32"/>
          <w:szCs w:val="32"/>
          <w:shd w:val="clear" w:color="auto" w:fill="FFFFFF"/>
        </w:rPr>
        <w:t>。</w:t>
      </w:r>
      <w:r>
        <w:rPr>
          <w:rFonts w:ascii="Times New Roman" w:hAnsi="Times New Roman" w:eastAsia="仿宋_GB2312" w:cs="仿宋_GB2312"/>
          <w:color w:val="auto"/>
          <w:sz w:val="32"/>
          <w:szCs w:val="32"/>
          <w:shd w:val="clear" w:color="auto" w:fill="FFFFFF"/>
        </w:rPr>
        <w:t>同时</w:t>
      </w:r>
      <w:r>
        <w:rPr>
          <w:rFonts w:hint="eastAsia" w:ascii="Times New Roman" w:hAnsi="Times New Roman" w:eastAsia="仿宋_GB2312" w:cs="仿宋_GB2312"/>
          <w:color w:val="auto"/>
          <w:sz w:val="32"/>
          <w:szCs w:val="32"/>
          <w:shd w:val="clear" w:color="auto" w:fill="FFFFFF"/>
        </w:rPr>
        <w:t>，</w:t>
      </w:r>
      <w:r>
        <w:rPr>
          <w:rFonts w:ascii="Times New Roman" w:hAnsi="Times New Roman" w:eastAsia="仿宋_GB2312" w:cs="仿宋_GB2312"/>
          <w:color w:val="auto"/>
          <w:sz w:val="32"/>
          <w:szCs w:val="32"/>
          <w:shd w:val="clear" w:color="auto" w:fill="FFFFFF"/>
        </w:rPr>
        <w:t>建设全民健身中心3号楼作为项目的配套服务楼，</w:t>
      </w:r>
      <w:r>
        <w:rPr>
          <w:rFonts w:hint="eastAsia" w:ascii="Times New Roman" w:hAnsi="Times New Roman" w:eastAsia="仿宋_GB2312" w:cs="仿宋_GB2312"/>
          <w:color w:val="auto"/>
          <w:sz w:val="32"/>
          <w:szCs w:val="32"/>
          <w:shd w:val="clear" w:color="auto" w:fill="FFFFFF"/>
        </w:rPr>
        <w:t>并配套建设新华路体育场地下空间出入口等地上设施；二是新建新华路体育场地下空间，待建成后，将地面恢复为原标准田径场和足球场的功能；三是原方案中拟改造的综合楼、篮球馆和游泳馆，调整为训练楼、篮球馆以及游泳馆。在建设规模调整内容方面：</w:t>
      </w:r>
      <w:r>
        <w:rPr>
          <w:rFonts w:ascii="Times New Roman" w:hAnsi="Times New Roman" w:eastAsia="仿宋_GB2312" w:cs="仿宋_GB2312"/>
          <w:color w:val="auto"/>
          <w:sz w:val="32"/>
          <w:szCs w:val="32"/>
          <w:shd w:val="clear" w:color="auto" w:fill="FFFFFF"/>
        </w:rPr>
        <w:t>原项目可研批复的建筑规模为项目总用地面积36212平方米，总建筑面积67199平方米。调整后，建筑规模变为项目总用地面积35822.6平方米，总建筑面积72546.09平方米。其中，新建地上建筑面积约30201.39平方米，新建地下建筑面积约34790.89平方米，改造地上建筑面积约7553.81平方米。</w:t>
      </w:r>
    </w:p>
    <w:p>
      <w:pPr>
        <w:pStyle w:val="60"/>
        <w:spacing w:line="560" w:lineRule="exact"/>
        <w:ind w:firstLine="640"/>
        <w:jc w:val="both"/>
        <w:rPr>
          <w:rFonts w:ascii="Times New Roman" w:hAnsi="Times New Roman" w:eastAsia="仿宋_GB2312" w:cs="仿宋_GB2312"/>
          <w:color w:val="auto"/>
          <w:sz w:val="32"/>
          <w:szCs w:val="32"/>
          <w:shd w:val="clear" w:color="auto" w:fill="FFFFFF"/>
        </w:rPr>
      </w:pPr>
      <w:r>
        <w:rPr>
          <w:rFonts w:ascii="Times New Roman" w:hAnsi="Times New Roman" w:eastAsia="仿宋_GB2312" w:cs="仿宋_GB2312"/>
          <w:color w:val="auto"/>
          <w:sz w:val="32"/>
          <w:szCs w:val="32"/>
          <w:shd w:val="clear" w:color="auto" w:fill="FFFFFF"/>
        </w:rPr>
        <w:t>工程变更内容经单位集体决策后，重新编报了项目建议书调整请示、可行性研究报告和初步设计，并通过了和平区行政审批局的审核。变更流程符合单位建设项目管理制度，变更理由充分、条件合理，变更审核、审批流程规范。项目于变更审核通过后重新开启施工，整体工程变更规范性良好。</w:t>
      </w:r>
    </w:p>
    <w:p>
      <w:pPr>
        <w:pStyle w:val="29"/>
        <w:spacing w:line="560" w:lineRule="exact"/>
        <w:ind w:firstLine="640"/>
      </w:pPr>
      <w:r>
        <w:rPr>
          <w:rFonts w:hint="eastAsia" w:cs="仿宋_GB2312"/>
          <w:kern w:val="0"/>
          <w:szCs w:val="32"/>
          <w:shd w:val="clear" w:color="auto" w:fill="FFFFFF"/>
        </w:rPr>
        <w:t>（</w:t>
      </w:r>
      <w:r>
        <w:rPr>
          <w:rFonts w:cs="仿宋_GB2312"/>
          <w:kern w:val="0"/>
          <w:szCs w:val="32"/>
          <w:shd w:val="clear" w:color="auto" w:fill="FFFFFF"/>
        </w:rPr>
        <w:t>8</w:t>
      </w:r>
      <w:r>
        <w:rPr>
          <w:rFonts w:hint="eastAsia" w:cs="仿宋_GB2312"/>
          <w:kern w:val="0"/>
          <w:szCs w:val="32"/>
          <w:shd w:val="clear" w:color="auto" w:fill="FFFFFF"/>
        </w:rPr>
        <w:t>）监理规范性（总分</w:t>
      </w:r>
      <w:r>
        <w:t>2</w:t>
      </w:r>
      <w:r>
        <w:rPr>
          <w:rFonts w:hint="eastAsia" w:cs="仿宋_GB2312"/>
          <w:kern w:val="0"/>
          <w:szCs w:val="32"/>
          <w:shd w:val="clear" w:color="auto" w:fill="FFFFFF"/>
        </w:rPr>
        <w:t>分，得分</w:t>
      </w:r>
      <w:r>
        <w:t>2</w:t>
      </w:r>
      <w:r>
        <w:rPr>
          <w:rFonts w:hint="eastAsia" w:cs="仿宋_GB2312"/>
          <w:kern w:val="0"/>
          <w:szCs w:val="32"/>
          <w:shd w:val="clear" w:color="auto" w:fill="FFFFFF"/>
        </w:rPr>
        <w:t>分）。</w:t>
      </w:r>
      <w:r>
        <w:rPr>
          <w:rFonts w:hint="eastAsia"/>
        </w:rPr>
        <w:t>区全民健身中心聘请天津国际工程建设监理有限公司提供工程监理服务，该公司具备甲级监理企业资质，符合监理单位资质要求。监理单位负责项目施工阶段和保修阶段的质量控制、进度控制、费用控制、安全控制、合同管理、信息与资料管理、组织协调等工作，开工后每月提供监理月报一份，工程监理记录内容完整，及时提交监理材料，</w:t>
      </w:r>
      <w:r>
        <w:rPr>
          <w:rFonts w:hint="eastAsia" w:cs="仿宋_GB2312"/>
          <w:kern w:val="0"/>
          <w:szCs w:val="32"/>
          <w:shd w:val="clear" w:color="auto" w:fill="FFFFFF"/>
        </w:rPr>
        <w:t>监理规范性良好</w:t>
      </w:r>
      <w:r>
        <w:rPr>
          <w:rFonts w:hint="eastAsia"/>
        </w:rPr>
        <w:t>。</w:t>
      </w:r>
    </w:p>
    <w:p>
      <w:pPr>
        <w:pStyle w:val="29"/>
        <w:spacing w:line="560" w:lineRule="exact"/>
        <w:ind w:firstLine="640"/>
      </w:pPr>
      <w:r>
        <w:rPr>
          <w:rFonts w:hint="eastAsia"/>
        </w:rPr>
        <w:t>（</w:t>
      </w:r>
      <w:r>
        <w:t>9</w:t>
      </w:r>
      <w:r>
        <w:rPr>
          <w:rFonts w:hint="eastAsia"/>
        </w:rPr>
        <w:t>）配套措施执行有效性</w:t>
      </w:r>
      <w:r>
        <w:rPr>
          <w:rFonts w:hint="eastAsia" w:cs="仿宋_GB2312"/>
          <w:kern w:val="0"/>
          <w:szCs w:val="32"/>
          <w:shd w:val="clear" w:color="auto" w:fill="FFFFFF"/>
        </w:rPr>
        <w:t>（总分</w:t>
      </w:r>
      <w:r>
        <w:t>2</w:t>
      </w:r>
      <w:r>
        <w:rPr>
          <w:rFonts w:hint="eastAsia" w:cs="仿宋_GB2312"/>
          <w:kern w:val="0"/>
          <w:szCs w:val="32"/>
          <w:shd w:val="clear" w:color="auto" w:fill="FFFFFF"/>
        </w:rPr>
        <w:t>分，得分</w:t>
      </w:r>
      <w:r>
        <w:t>2</w:t>
      </w:r>
      <w:r>
        <w:rPr>
          <w:rFonts w:hint="eastAsia" w:cs="仿宋_GB2312"/>
          <w:kern w:val="0"/>
          <w:szCs w:val="32"/>
          <w:shd w:val="clear" w:color="auto" w:fill="FFFFFF"/>
        </w:rPr>
        <w:t>分）。</w:t>
      </w:r>
      <w:r>
        <w:rPr>
          <w:rFonts w:hint="eastAsia"/>
        </w:rPr>
        <w:t>本项目各分工程承办公司按照项目实施内容及投标承诺要求配备人员，专业资质符合项目相关要求，配备的技术、施工等人员及时到位，未发生随意变更的情况。区全民健身中心和项目承办单位建立沟通协调机制，同时依托天津市政府债务系统对专项债资金收支情况进行监测监管，配套措施执行有效。</w:t>
      </w:r>
    </w:p>
    <w:p>
      <w:pPr>
        <w:pStyle w:val="29"/>
        <w:spacing w:line="560" w:lineRule="exact"/>
        <w:ind w:firstLine="640"/>
        <w:rPr>
          <w:highlight w:val="none"/>
        </w:rPr>
      </w:pPr>
      <w:r>
        <w:rPr>
          <w:rFonts w:hint="eastAsia"/>
        </w:rPr>
        <w:t>（</w:t>
      </w:r>
      <w:r>
        <w:t>10</w:t>
      </w:r>
      <w:r>
        <w:rPr>
          <w:rFonts w:hint="eastAsia"/>
        </w:rPr>
        <w:t>）项目验</w:t>
      </w:r>
      <w:r>
        <w:rPr>
          <w:rFonts w:hint="eastAsia"/>
          <w:highlight w:val="none"/>
        </w:rPr>
        <w:t>收规范性</w:t>
      </w:r>
      <w:r>
        <w:rPr>
          <w:rFonts w:hint="eastAsia" w:cs="仿宋_GB2312"/>
          <w:kern w:val="0"/>
          <w:szCs w:val="32"/>
          <w:highlight w:val="none"/>
          <w:shd w:val="clear" w:color="auto" w:fill="FFFFFF"/>
        </w:rPr>
        <w:t>（总分</w:t>
      </w:r>
      <w:r>
        <w:rPr>
          <w:highlight w:val="none"/>
        </w:rPr>
        <w:t>2</w:t>
      </w:r>
      <w:r>
        <w:rPr>
          <w:rFonts w:hint="eastAsia" w:cs="仿宋_GB2312"/>
          <w:kern w:val="0"/>
          <w:szCs w:val="32"/>
          <w:highlight w:val="none"/>
          <w:shd w:val="clear" w:color="auto" w:fill="FFFFFF"/>
        </w:rPr>
        <w:t>分，得分</w:t>
      </w:r>
      <w:r>
        <w:rPr>
          <w:highlight w:val="none"/>
        </w:rPr>
        <w:t>2</w:t>
      </w:r>
      <w:r>
        <w:rPr>
          <w:rFonts w:hint="eastAsia" w:cs="仿宋_GB2312"/>
          <w:kern w:val="0"/>
          <w:szCs w:val="32"/>
          <w:highlight w:val="none"/>
          <w:shd w:val="clear" w:color="auto" w:fill="FFFFFF"/>
        </w:rPr>
        <w:t>分）。</w:t>
      </w:r>
      <w:r>
        <w:rPr>
          <w:rFonts w:hint="eastAsia"/>
          <w:highlight w:val="none"/>
        </w:rPr>
        <w:t>2023年度和平区全民健身中心改造项目完成的地籍测绘、社会稳定风险评估报告编制、</w:t>
      </w:r>
      <w:r>
        <w:rPr>
          <w:highlight w:val="none"/>
        </w:rPr>
        <w:t>地形测绘、核定用地</w:t>
      </w:r>
      <w:r>
        <w:rPr>
          <w:rFonts w:hint="eastAsia"/>
          <w:highlight w:val="none"/>
        </w:rPr>
        <w:t>、物探测量、</w:t>
      </w:r>
      <w:r>
        <w:rPr>
          <w:highlight w:val="none"/>
        </w:rPr>
        <w:t>立面平面测量成果报告</w:t>
      </w:r>
      <w:r>
        <w:rPr>
          <w:rFonts w:hint="eastAsia"/>
          <w:highlight w:val="none"/>
        </w:rPr>
        <w:t>编制等工作已经完成并有相关成果物，且均已履行验收程序，验收相关方全部参与验收，有齐全的验收证明文件，项目验收规范性良好。</w:t>
      </w:r>
    </w:p>
    <w:p>
      <w:pPr>
        <w:pStyle w:val="29"/>
        <w:spacing w:line="560" w:lineRule="exact"/>
        <w:ind w:firstLine="640"/>
        <w:rPr>
          <w:rFonts w:cs="仿宋_GB2312"/>
          <w:kern w:val="0"/>
          <w:szCs w:val="32"/>
          <w:shd w:val="clear" w:color="auto" w:fill="FFFFFF"/>
        </w:rPr>
      </w:pPr>
      <w:r>
        <w:rPr>
          <w:rFonts w:hint="eastAsia"/>
        </w:rPr>
        <w:t>（</w:t>
      </w:r>
      <w:r>
        <w:t>11</w:t>
      </w:r>
      <w:r>
        <w:rPr>
          <w:rFonts w:hint="eastAsia"/>
        </w:rPr>
        <w:t>）债务信息公开完备性</w:t>
      </w:r>
      <w:r>
        <w:rPr>
          <w:rFonts w:hint="eastAsia" w:cs="仿宋_GB2312"/>
          <w:kern w:val="0"/>
          <w:szCs w:val="32"/>
          <w:shd w:val="clear" w:color="auto" w:fill="FFFFFF"/>
        </w:rPr>
        <w:t>（总分</w:t>
      </w:r>
      <w:r>
        <w:t>2</w:t>
      </w:r>
      <w:r>
        <w:rPr>
          <w:rFonts w:hint="eastAsia" w:cs="仿宋_GB2312"/>
          <w:kern w:val="0"/>
          <w:szCs w:val="32"/>
          <w:shd w:val="clear" w:color="auto" w:fill="FFFFFF"/>
        </w:rPr>
        <w:t>分，得分</w:t>
      </w:r>
      <w:r>
        <w:t>2</w:t>
      </w:r>
      <w:r>
        <w:rPr>
          <w:rFonts w:hint="eastAsia" w:cs="仿宋_GB2312"/>
          <w:kern w:val="0"/>
          <w:szCs w:val="32"/>
          <w:shd w:val="clear" w:color="auto" w:fill="FFFFFF"/>
        </w:rPr>
        <w:t>分）。</w:t>
      </w:r>
      <w:r>
        <w:rPr>
          <w:rFonts w:hint="eastAsia"/>
        </w:rPr>
        <w:t>和平区全民健身中心改造项目由财政部门按照《天津市地方政府专项债券项目资金绩效管理暂行办法》要求统一公开，公开内容包括债券基本信息、</w:t>
      </w:r>
      <w:r>
        <w:t>债券项目资产类型</w:t>
      </w:r>
      <w:r>
        <w:rPr>
          <w:rFonts w:hint="eastAsia"/>
        </w:rPr>
        <w:t>、</w:t>
      </w:r>
      <w:r>
        <w:t>债券项目总投资</w:t>
      </w:r>
      <w:r>
        <w:rPr>
          <w:rFonts w:hint="eastAsia"/>
        </w:rPr>
        <w:t>、</w:t>
      </w:r>
      <w:r>
        <w:t>债券项目已实现投资</w:t>
      </w:r>
      <w:r>
        <w:rPr>
          <w:rFonts w:hint="eastAsia"/>
        </w:rPr>
        <w:t>项等，存续期未发生需进行公开的重大事项。</w:t>
      </w:r>
    </w:p>
    <w:p>
      <w:pPr>
        <w:pStyle w:val="29"/>
        <w:spacing w:line="560" w:lineRule="exact"/>
        <w:ind w:firstLine="640"/>
      </w:pPr>
      <w:r>
        <w:rPr>
          <w:rFonts w:hint="eastAsia"/>
        </w:rPr>
        <w:t>（</w:t>
      </w:r>
      <w:r>
        <w:t>12</w:t>
      </w:r>
      <w:r>
        <w:rPr>
          <w:rFonts w:hint="eastAsia"/>
        </w:rPr>
        <w:t>）债务偿还率（总分</w:t>
      </w:r>
      <w:r>
        <w:t>2</w:t>
      </w:r>
      <w:r>
        <w:rPr>
          <w:rFonts w:hint="eastAsia"/>
        </w:rPr>
        <w:t>分，得分</w:t>
      </w:r>
      <w:r>
        <w:t>2</w:t>
      </w:r>
      <w:r>
        <w:rPr>
          <w:rFonts w:hint="eastAsia"/>
        </w:rPr>
        <w:t>分）。本项目2</w:t>
      </w:r>
      <w:r>
        <w:t>023</w:t>
      </w:r>
      <w:r>
        <w:rPr>
          <w:rFonts w:hint="eastAsia"/>
        </w:rPr>
        <w:t>年度债券利息为</w:t>
      </w:r>
      <w:r>
        <w:t>330</w:t>
      </w:r>
      <w:r>
        <w:rPr>
          <w:rFonts w:hint="eastAsia"/>
        </w:rPr>
        <w:t>万，根据项目预算一体化指标执行情况与项目支出明细账数据统计，实际偿还利息为3</w:t>
      </w:r>
      <w:r>
        <w:t>30</w:t>
      </w:r>
      <w:r>
        <w:rPr>
          <w:rFonts w:hint="eastAsia"/>
        </w:rPr>
        <w:t>万元，债务偿还率为</w:t>
      </w:r>
      <w:r>
        <w:t>100</w:t>
      </w:r>
      <w:r>
        <w:rPr>
          <w:rFonts w:hint="eastAsia"/>
        </w:rPr>
        <w:t>%。</w:t>
      </w:r>
    </w:p>
    <w:p>
      <w:pPr>
        <w:pStyle w:val="33"/>
        <w:spacing w:line="560" w:lineRule="exact"/>
        <w:ind w:firstLine="640"/>
        <w:rPr>
          <w:rFonts w:ascii="Times New Roman" w:hAnsi="Times New Roman"/>
        </w:rPr>
      </w:pPr>
      <w:bookmarkStart w:id="20" w:name="_Toc174625977"/>
      <w:bookmarkStart w:id="21" w:name="_Toc181369921"/>
      <w:r>
        <w:rPr>
          <w:rFonts w:hint="eastAsia" w:ascii="Times New Roman" w:hAnsi="Times New Roman"/>
        </w:rPr>
        <w:t>（三）项目产出情况</w:t>
      </w:r>
      <w:bookmarkEnd w:id="20"/>
      <w:bookmarkEnd w:id="21"/>
    </w:p>
    <w:p>
      <w:pPr>
        <w:pStyle w:val="29"/>
        <w:spacing w:line="560" w:lineRule="exact"/>
        <w:ind w:firstLine="640"/>
      </w:pPr>
      <w:r>
        <w:rPr>
          <w:rFonts w:hint="eastAsia"/>
        </w:rPr>
        <w:t>产出指标主要包括产出数量、产出质量、产出时效和产出成本</w:t>
      </w:r>
      <w:r>
        <w:t>4</w:t>
      </w:r>
      <w:r>
        <w:rPr>
          <w:rFonts w:hint="eastAsia"/>
        </w:rPr>
        <w:t>项二级指标，</w:t>
      </w:r>
      <w:r>
        <w:t>10</w:t>
      </w:r>
      <w:r>
        <w:rPr>
          <w:rFonts w:hint="eastAsia"/>
        </w:rPr>
        <w:t>项三级指标，基础总分</w:t>
      </w:r>
      <w:r>
        <w:t>38</w:t>
      </w:r>
      <w:r>
        <w:rPr>
          <w:rFonts w:hint="eastAsia"/>
        </w:rPr>
        <w:t>分，合计得分</w:t>
      </w:r>
      <w:r>
        <w:t>31</w:t>
      </w:r>
      <w:r>
        <w:rPr>
          <w:rFonts w:hint="eastAsia"/>
        </w:rPr>
        <w:t>分。</w:t>
      </w:r>
    </w:p>
    <w:p>
      <w:pPr>
        <w:pStyle w:val="29"/>
        <w:spacing w:line="560" w:lineRule="exact"/>
        <w:ind w:firstLine="640"/>
      </w:pPr>
      <w:r>
        <w:t>1</w:t>
      </w:r>
      <w:r>
        <w:rPr>
          <w:rFonts w:hint="eastAsia"/>
        </w:rPr>
        <w:t>.产出数量</w:t>
      </w:r>
    </w:p>
    <w:p>
      <w:pPr>
        <w:pStyle w:val="29"/>
        <w:spacing w:line="560" w:lineRule="exact"/>
        <w:ind w:firstLine="640"/>
      </w:pPr>
      <w:r>
        <w:rPr>
          <w:rFonts w:hint="eastAsia"/>
        </w:rPr>
        <w:t>（1）建筑工程测量完成率（总分</w:t>
      </w:r>
      <w:r>
        <w:t>4</w:t>
      </w:r>
      <w:r>
        <w:rPr>
          <w:rFonts w:hint="eastAsia"/>
        </w:rPr>
        <w:t>分，得分</w:t>
      </w:r>
      <w:r>
        <w:t>4</w:t>
      </w:r>
      <w:r>
        <w:rPr>
          <w:rFonts w:hint="eastAsia"/>
        </w:rPr>
        <w:t>分）。根据建筑工程测量工作采购需求和中标合同，2</w:t>
      </w:r>
      <w:r>
        <w:t>023</w:t>
      </w:r>
      <w:r>
        <w:rPr>
          <w:rFonts w:hint="eastAsia"/>
        </w:rPr>
        <w:t>年计划完成地形测绘、核定用地、地籍测绘、物探测量、立面及平面测量共计5项建筑工程测量工作。经核实，上述</w:t>
      </w:r>
      <w:r>
        <w:t>5项建筑工程测量工作</w:t>
      </w:r>
      <w:r>
        <w:rPr>
          <w:rFonts w:hint="eastAsia"/>
        </w:rPr>
        <w:t>均</w:t>
      </w:r>
      <w:r>
        <w:t>已完成</w:t>
      </w:r>
      <w:r>
        <w:rPr>
          <w:rFonts w:hint="eastAsia"/>
        </w:rPr>
        <w:t>。其中，地形测绘方面，完成了控制测量和地形图等工作；</w:t>
      </w:r>
      <w:r>
        <w:rPr>
          <w:rFonts w:cs="Segoe UI"/>
          <w:shd w:val="clear" w:color="auto" w:fill="FFFFFF"/>
        </w:rPr>
        <w:t>核定用地</w:t>
      </w:r>
      <w:r>
        <w:rPr>
          <w:rFonts w:hint="eastAsia"/>
        </w:rPr>
        <w:t>方面</w:t>
      </w:r>
      <w:r>
        <w:rPr>
          <w:rFonts w:hint="eastAsia" w:cs="Segoe UI"/>
          <w:shd w:val="clear" w:color="auto" w:fill="FFFFFF"/>
        </w:rPr>
        <w:t>，</w:t>
      </w:r>
      <w:r>
        <w:rPr>
          <w:rFonts w:hint="eastAsia"/>
        </w:rPr>
        <w:t>完成了建设用地拔桩定桩、绘制控制测量、编制SHP文件、绘制核定用地条件图和核定用地图等工作；</w:t>
      </w:r>
      <w:r>
        <w:rPr>
          <w:rFonts w:cs="Segoe UI"/>
          <w:shd w:val="clear" w:color="auto" w:fill="FFFFFF"/>
        </w:rPr>
        <w:t>地籍测绘</w:t>
      </w:r>
      <w:r>
        <w:rPr>
          <w:rFonts w:hint="eastAsia"/>
        </w:rPr>
        <w:t>方面</w:t>
      </w:r>
      <w:r>
        <w:rPr>
          <w:rFonts w:hint="eastAsia" w:cs="Segoe UI"/>
          <w:shd w:val="clear" w:color="auto" w:fill="FFFFFF"/>
        </w:rPr>
        <w:t>，</w:t>
      </w:r>
      <w:r>
        <w:rPr>
          <w:rFonts w:hint="eastAsia"/>
        </w:rPr>
        <w:t>完成了编制地籍测绘报告工作；物探测量方面，完成了高密度电法和地址雷达测量工作；</w:t>
      </w:r>
      <w:r>
        <w:rPr>
          <w:rFonts w:cs="Segoe UI"/>
          <w:shd w:val="clear" w:color="auto" w:fill="FFFFFF"/>
        </w:rPr>
        <w:t>立面及平面测量方面</w:t>
      </w:r>
      <w:r>
        <w:rPr>
          <w:rFonts w:hint="eastAsia" w:cs="Segoe UI"/>
          <w:shd w:val="clear" w:color="auto" w:fill="FFFFFF"/>
        </w:rPr>
        <w:t>，</w:t>
      </w:r>
      <w:r>
        <w:rPr>
          <w:rFonts w:hint="eastAsia"/>
        </w:rPr>
        <w:t>完成了E级GNSS控制测量、水准测量、里面测绘和数据编辑等工作。建筑工程测量完成率为1</w:t>
      </w:r>
      <w:r>
        <w:t>00%</w:t>
      </w:r>
      <w:r>
        <w:rPr>
          <w:rFonts w:hint="eastAsia"/>
        </w:rPr>
        <w:t>。</w:t>
      </w:r>
    </w:p>
    <w:p>
      <w:pPr>
        <w:pStyle w:val="29"/>
        <w:spacing w:line="560" w:lineRule="exact"/>
        <w:ind w:firstLine="640"/>
      </w:pPr>
      <w:r>
        <w:rPr>
          <w:rFonts w:hint="eastAsia"/>
        </w:rPr>
        <w:t>（</w:t>
      </w:r>
      <w:r>
        <w:t>2</w:t>
      </w:r>
      <w:r>
        <w:rPr>
          <w:rFonts w:hint="eastAsia"/>
        </w:rPr>
        <w:t>）社会稳定风险评估报告完成率（总分</w:t>
      </w:r>
      <w:r>
        <w:t>4</w:t>
      </w:r>
      <w:r>
        <w:rPr>
          <w:rFonts w:hint="eastAsia"/>
        </w:rPr>
        <w:t>分，得分</w:t>
      </w:r>
      <w:r>
        <w:t>4</w:t>
      </w:r>
      <w:r>
        <w:rPr>
          <w:rFonts w:hint="eastAsia"/>
        </w:rPr>
        <w:t>分）。根据风险评估咨询采购需求和中标合同，2</w:t>
      </w:r>
      <w:r>
        <w:t>023</w:t>
      </w:r>
      <w:r>
        <w:rPr>
          <w:rFonts w:hint="eastAsia"/>
        </w:rPr>
        <w:t>年应完成1个社会稳定风险评估报告编制工作。经核实，天津广正建设项目咨询股份有限公司已完成“和平区全民健身中心改造项目重大决策社会稳定风险评估报告”编制工作，社会稳定风险评估报告完成率为1</w:t>
      </w:r>
      <w:r>
        <w:t>00%</w:t>
      </w:r>
      <w:r>
        <w:rPr>
          <w:rFonts w:hint="eastAsia"/>
        </w:rPr>
        <w:t>。</w:t>
      </w:r>
    </w:p>
    <w:p>
      <w:pPr>
        <w:pStyle w:val="29"/>
        <w:spacing w:line="560" w:lineRule="exact"/>
        <w:ind w:firstLine="640"/>
      </w:pPr>
      <w:r>
        <w:rPr>
          <w:rFonts w:hint="eastAsia"/>
        </w:rPr>
        <w:t>（</w:t>
      </w:r>
      <w:r>
        <w:t>3</w:t>
      </w:r>
      <w:r>
        <w:rPr>
          <w:rFonts w:hint="eastAsia"/>
        </w:rPr>
        <w:t>）拆除工程完成率（总分</w:t>
      </w:r>
      <w:r>
        <w:t>4</w:t>
      </w:r>
      <w:r>
        <w:rPr>
          <w:rFonts w:hint="eastAsia"/>
        </w:rPr>
        <w:t>分，得分</w:t>
      </w:r>
      <w:r>
        <w:t>0</w:t>
      </w:r>
      <w:r>
        <w:rPr>
          <w:rFonts w:hint="eastAsia"/>
        </w:rPr>
        <w:t>分）。根据</w:t>
      </w:r>
      <w:r>
        <w:t>拆除工程采购需求与中标合同，2023年计划对网球馆及附属楼、羽毛球甲馆、羽毛球乙馆以及写字楼进行拆除，拆除总产值为350.25万元。</w:t>
      </w:r>
      <w:r>
        <w:rPr>
          <w:rFonts w:hint="eastAsia"/>
        </w:rPr>
        <w:t>依据</w:t>
      </w:r>
      <w:r>
        <w:t>拆除工程中期计量审核报告，</w:t>
      </w:r>
      <w:r>
        <w:rPr>
          <w:rFonts w:hint="eastAsia"/>
        </w:rPr>
        <w:t>完成了部分拆除工作</w:t>
      </w:r>
      <w:r>
        <w:t>。其中，网球馆及附属楼计划拆除产值为86.11万元，实际拆除产值为23.75万元，完成率为27.59%；羽毛球甲馆计划拆除产值为133.14万元，实际拆除产值为</w:t>
      </w:r>
      <w:r>
        <w:rPr>
          <w:highlight w:val="none"/>
        </w:rPr>
        <w:t>133.14万元，完成率</w:t>
      </w:r>
      <w:r>
        <w:rPr>
          <w:rFonts w:hint="eastAsia"/>
          <w:highlight w:val="none"/>
        </w:rPr>
        <w:t>为</w:t>
      </w:r>
      <w:r>
        <w:rPr>
          <w:highlight w:val="none"/>
        </w:rPr>
        <w:t>100%；</w:t>
      </w:r>
      <w:r>
        <w:rPr>
          <w:rFonts w:hint="eastAsia"/>
          <w:highlight w:val="none"/>
        </w:rPr>
        <w:t>羽毛球乙馆及写字楼拆除</w:t>
      </w:r>
      <w:r>
        <w:rPr>
          <w:highlight w:val="none"/>
        </w:rPr>
        <w:t>产值为131万元，</w:t>
      </w:r>
      <w:r>
        <w:rPr>
          <w:rFonts w:hint="eastAsia"/>
        </w:rPr>
        <w:t>尚未开展拆除工作</w:t>
      </w:r>
      <w:r>
        <w:t>。综合来看，此次拆除工程合计完成率为44.79%</w:t>
      </w:r>
      <w:r>
        <w:rPr>
          <w:rFonts w:hint="eastAsia"/>
        </w:rPr>
        <w:t>。</w:t>
      </w:r>
    </w:p>
    <w:p>
      <w:pPr>
        <w:pStyle w:val="29"/>
        <w:spacing w:line="560" w:lineRule="exact"/>
        <w:ind w:firstLine="640"/>
      </w:pPr>
      <w:r>
        <w:rPr>
          <w:rFonts w:hint="eastAsia"/>
        </w:rPr>
        <w:t>2.产出质量</w:t>
      </w:r>
    </w:p>
    <w:p>
      <w:pPr>
        <w:pStyle w:val="29"/>
        <w:spacing w:line="560" w:lineRule="exact"/>
        <w:ind w:firstLine="640"/>
      </w:pPr>
      <w:r>
        <w:rPr>
          <w:rFonts w:hint="eastAsia"/>
        </w:rPr>
        <w:t>（1）建筑工程测量成果合规率（总分</w:t>
      </w:r>
      <w:r>
        <w:t>4</w:t>
      </w:r>
      <w:r>
        <w:rPr>
          <w:rFonts w:hint="eastAsia"/>
        </w:rPr>
        <w:t>分，得分</w:t>
      </w:r>
      <w:r>
        <w:t>4</w:t>
      </w:r>
      <w:r>
        <w:rPr>
          <w:rFonts w:hint="eastAsia"/>
        </w:rPr>
        <w:t>分）。根据区全民健身中心提供的项目需求书、中标合同以及相关项目成果物等文件，</w:t>
      </w:r>
      <w:r>
        <w:t>2023年完成的5项建筑工程测量工作成果物</w:t>
      </w:r>
      <w:r>
        <w:rPr>
          <w:rFonts w:hint="eastAsia"/>
        </w:rPr>
        <w:t>均</w:t>
      </w:r>
      <w:r>
        <w:t>符合行业标准与合同规定。建筑工程测量成果的合规率</w:t>
      </w:r>
      <w:r>
        <w:rPr>
          <w:rFonts w:hint="eastAsia"/>
        </w:rPr>
        <w:t>为1</w:t>
      </w:r>
      <w:r>
        <w:t>00%。</w:t>
      </w:r>
      <w:r>
        <w:rPr>
          <w:rFonts w:hint="eastAsia"/>
        </w:rPr>
        <w:t>具体情况见表</w:t>
      </w:r>
      <w:r>
        <w:t>4</w:t>
      </w:r>
      <w:r>
        <w:rPr>
          <w:rFonts w:hint="eastAsia"/>
        </w:rPr>
        <w:t>。</w:t>
      </w:r>
    </w:p>
    <w:p>
      <w:pPr>
        <w:pStyle w:val="36"/>
        <w:spacing w:line="560" w:lineRule="exact"/>
      </w:pPr>
      <w:r>
        <w:t xml:space="preserve">表4 </w:t>
      </w:r>
      <w:r>
        <w:rPr>
          <w:rFonts w:hint="eastAsia"/>
        </w:rPr>
        <w:t xml:space="preserve"> 建筑工程测量成果标准</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33" w:type="dxa"/>
          <w:left w:w="104" w:type="dxa"/>
          <w:bottom w:w="0" w:type="dxa"/>
          <w:right w:w="14" w:type="dxa"/>
        </w:tblCellMar>
      </w:tblPr>
      <w:tblGrid>
        <w:gridCol w:w="1871"/>
        <w:gridCol w:w="4105"/>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454" w:hRule="atLeast"/>
          <w:tblHeader/>
          <w:jc w:val="center"/>
        </w:trPr>
        <w:tc>
          <w:tcPr>
            <w:tcW w:w="1044" w:type="pct"/>
            <w:vAlign w:val="center"/>
          </w:tcPr>
          <w:p>
            <w:pPr>
              <w:pStyle w:val="39"/>
              <w:jc w:val="center"/>
              <w:rPr>
                <w:rFonts w:ascii="宋体" w:hAnsi="宋体" w:eastAsia="宋体" w:cs="宋体"/>
                <w:kern w:val="0"/>
                <w:szCs w:val="22"/>
              </w:rPr>
            </w:pPr>
            <w:r>
              <w:rPr>
                <w:rFonts w:hint="eastAsia" w:ascii="宋体" w:hAnsi="宋体" w:eastAsia="宋体" w:cs="宋体"/>
                <w:kern w:val="0"/>
                <w:szCs w:val="22"/>
              </w:rPr>
              <w:t>服务内容</w:t>
            </w:r>
          </w:p>
        </w:tc>
        <w:tc>
          <w:tcPr>
            <w:tcW w:w="2290" w:type="pct"/>
            <w:vAlign w:val="center"/>
          </w:tcPr>
          <w:p>
            <w:pPr>
              <w:pStyle w:val="39"/>
              <w:jc w:val="center"/>
              <w:rPr>
                <w:rFonts w:ascii="宋体" w:hAnsi="宋体" w:eastAsia="宋体" w:cs="宋体"/>
                <w:kern w:val="0"/>
                <w:szCs w:val="22"/>
              </w:rPr>
            </w:pPr>
            <w:r>
              <w:rPr>
                <w:rFonts w:hint="eastAsia" w:ascii="宋体" w:hAnsi="宋体" w:eastAsia="宋体" w:cs="宋体"/>
                <w:kern w:val="0"/>
                <w:szCs w:val="22"/>
              </w:rPr>
              <w:t>标准名称</w:t>
            </w:r>
          </w:p>
        </w:tc>
        <w:tc>
          <w:tcPr>
            <w:tcW w:w="1666" w:type="pct"/>
            <w:vAlign w:val="center"/>
          </w:tcPr>
          <w:p>
            <w:pPr>
              <w:pStyle w:val="39"/>
              <w:jc w:val="center"/>
              <w:rPr>
                <w:rFonts w:ascii="宋体" w:hAnsi="宋体" w:eastAsia="宋体" w:cs="宋体"/>
                <w:kern w:val="0"/>
                <w:szCs w:val="22"/>
              </w:rPr>
            </w:pPr>
            <w:r>
              <w:rPr>
                <w:rFonts w:hint="eastAsia" w:ascii="宋体" w:hAnsi="宋体" w:eastAsia="宋体" w:cs="宋体"/>
                <w:kern w:val="0"/>
                <w:szCs w:val="22"/>
              </w:rPr>
              <w:t>标准代号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Align w:val="center"/>
          </w:tcPr>
          <w:p>
            <w:pPr>
              <w:pStyle w:val="41"/>
              <w:rPr>
                <w:kern w:val="0"/>
                <w:szCs w:val="22"/>
              </w:rPr>
            </w:pPr>
            <w:r>
              <w:rPr>
                <w:rFonts w:hint="eastAsia"/>
                <w:kern w:val="0"/>
                <w:szCs w:val="22"/>
              </w:rPr>
              <w:t>地形测绘</w:t>
            </w:r>
          </w:p>
        </w:tc>
        <w:tc>
          <w:tcPr>
            <w:tcW w:w="2290" w:type="pct"/>
            <w:vAlign w:val="center"/>
          </w:tcPr>
          <w:p>
            <w:pPr>
              <w:pStyle w:val="41"/>
              <w:rPr>
                <w:kern w:val="0"/>
                <w:szCs w:val="22"/>
              </w:rPr>
            </w:pPr>
            <w:r>
              <w:rPr>
                <w:rFonts w:hint="eastAsia"/>
                <w:kern w:val="0"/>
                <w:szCs w:val="22"/>
              </w:rPr>
              <w:t>《城市测量规范》</w:t>
            </w:r>
          </w:p>
        </w:tc>
        <w:tc>
          <w:tcPr>
            <w:tcW w:w="1666" w:type="pct"/>
            <w:vAlign w:val="center"/>
          </w:tcPr>
          <w:p>
            <w:pPr>
              <w:pStyle w:val="41"/>
              <w:rPr>
                <w:kern w:val="0"/>
                <w:szCs w:val="22"/>
              </w:rPr>
            </w:pPr>
            <w:r>
              <w:rPr>
                <w:kern w:val="0"/>
                <w:szCs w:val="22"/>
              </w:rPr>
              <w:t>CJJ\T8-2011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Align w:val="center"/>
          </w:tcPr>
          <w:p>
            <w:pPr>
              <w:pStyle w:val="41"/>
              <w:rPr>
                <w:kern w:val="0"/>
                <w:szCs w:val="22"/>
              </w:rPr>
            </w:pPr>
            <w:r>
              <w:rPr>
                <w:rFonts w:hint="eastAsia"/>
                <w:kern w:val="0"/>
                <w:szCs w:val="22"/>
              </w:rPr>
              <w:t>核定用地</w:t>
            </w:r>
          </w:p>
        </w:tc>
        <w:tc>
          <w:tcPr>
            <w:tcW w:w="2290" w:type="pct"/>
            <w:vAlign w:val="center"/>
          </w:tcPr>
          <w:p>
            <w:pPr>
              <w:pStyle w:val="41"/>
              <w:rPr>
                <w:kern w:val="0"/>
                <w:szCs w:val="22"/>
              </w:rPr>
            </w:pPr>
            <w:r>
              <w:rPr>
                <w:rFonts w:hint="eastAsia"/>
                <w:kern w:val="0"/>
                <w:szCs w:val="22"/>
              </w:rPr>
              <w:t>《城市测量规范》</w:t>
            </w:r>
          </w:p>
        </w:tc>
        <w:tc>
          <w:tcPr>
            <w:tcW w:w="1666" w:type="pct"/>
            <w:vAlign w:val="center"/>
          </w:tcPr>
          <w:p>
            <w:pPr>
              <w:pStyle w:val="41"/>
              <w:rPr>
                <w:kern w:val="0"/>
                <w:szCs w:val="22"/>
              </w:rPr>
            </w:pPr>
            <w:r>
              <w:rPr>
                <w:kern w:val="0"/>
                <w:szCs w:val="22"/>
              </w:rPr>
              <w:t>CJJ\T8-2011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Merge w:val="restart"/>
            <w:vAlign w:val="center"/>
          </w:tcPr>
          <w:p>
            <w:pPr>
              <w:pStyle w:val="41"/>
              <w:rPr>
                <w:kern w:val="0"/>
                <w:szCs w:val="22"/>
              </w:rPr>
            </w:pPr>
            <w:r>
              <w:rPr>
                <w:rFonts w:hint="eastAsia"/>
                <w:kern w:val="0"/>
                <w:szCs w:val="22"/>
              </w:rPr>
              <w:t>物探测量</w:t>
            </w:r>
          </w:p>
        </w:tc>
        <w:tc>
          <w:tcPr>
            <w:tcW w:w="2290" w:type="pct"/>
            <w:vAlign w:val="center"/>
          </w:tcPr>
          <w:p>
            <w:pPr>
              <w:pStyle w:val="41"/>
              <w:rPr>
                <w:kern w:val="0"/>
                <w:szCs w:val="22"/>
              </w:rPr>
            </w:pPr>
            <w:r>
              <w:rPr>
                <w:rFonts w:hint="eastAsia"/>
                <w:kern w:val="0"/>
                <w:szCs w:val="22"/>
              </w:rPr>
              <w:t>《城市工程地球物理探测标准》</w:t>
            </w:r>
          </w:p>
        </w:tc>
        <w:tc>
          <w:tcPr>
            <w:tcW w:w="1666" w:type="pct"/>
            <w:vAlign w:val="center"/>
          </w:tcPr>
          <w:p>
            <w:pPr>
              <w:pStyle w:val="41"/>
              <w:rPr>
                <w:kern w:val="0"/>
                <w:szCs w:val="22"/>
              </w:rPr>
            </w:pPr>
            <w:r>
              <w:rPr>
                <w:kern w:val="0"/>
                <w:szCs w:val="22"/>
              </w:rPr>
              <w:t>CJJT 7-2017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Merge w:val="continue"/>
            <w:vAlign w:val="center"/>
          </w:tcPr>
          <w:p>
            <w:pPr>
              <w:pStyle w:val="41"/>
              <w:rPr>
                <w:kern w:val="0"/>
                <w:szCs w:val="22"/>
              </w:rPr>
            </w:pPr>
          </w:p>
        </w:tc>
        <w:tc>
          <w:tcPr>
            <w:tcW w:w="2290" w:type="pct"/>
            <w:vAlign w:val="center"/>
          </w:tcPr>
          <w:p>
            <w:pPr>
              <w:pStyle w:val="41"/>
              <w:rPr>
                <w:rFonts w:cs="仿宋_GB2312"/>
                <w:kern w:val="0"/>
                <w:szCs w:val="22"/>
                <w:shd w:val="clear" w:color="auto" w:fill="FFFFFF"/>
              </w:rPr>
            </w:pPr>
            <w:r>
              <w:rPr>
                <w:rFonts w:hint="eastAsia"/>
                <w:kern w:val="0"/>
                <w:szCs w:val="22"/>
              </w:rPr>
              <w:t>《电阻率剖面法技术规程》</w:t>
            </w:r>
          </w:p>
        </w:tc>
        <w:tc>
          <w:tcPr>
            <w:tcW w:w="1666" w:type="pct"/>
            <w:vAlign w:val="center"/>
          </w:tcPr>
          <w:p>
            <w:pPr>
              <w:pStyle w:val="41"/>
              <w:rPr>
                <w:rFonts w:cs="Arial"/>
                <w:kern w:val="0"/>
                <w:szCs w:val="22"/>
                <w:shd w:val="clear" w:color="auto" w:fill="FFFFFF"/>
              </w:rPr>
            </w:pPr>
            <w:r>
              <w:rPr>
                <w:kern w:val="0"/>
                <w:szCs w:val="22"/>
              </w:rPr>
              <w:t>DZ-T-0073-2016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Merge w:val="continue"/>
            <w:vAlign w:val="center"/>
          </w:tcPr>
          <w:p>
            <w:pPr>
              <w:pStyle w:val="41"/>
              <w:rPr>
                <w:kern w:val="0"/>
                <w:szCs w:val="22"/>
              </w:rPr>
            </w:pPr>
          </w:p>
        </w:tc>
        <w:tc>
          <w:tcPr>
            <w:tcW w:w="2290" w:type="pct"/>
            <w:vAlign w:val="center"/>
          </w:tcPr>
          <w:p>
            <w:pPr>
              <w:pStyle w:val="41"/>
              <w:rPr>
                <w:rFonts w:cs="仿宋_GB2312"/>
                <w:kern w:val="0"/>
                <w:szCs w:val="22"/>
                <w:shd w:val="clear" w:color="auto" w:fill="FFFFFF"/>
              </w:rPr>
            </w:pPr>
            <w:r>
              <w:rPr>
                <w:rFonts w:hint="eastAsia"/>
                <w:kern w:val="0"/>
                <w:szCs w:val="22"/>
              </w:rPr>
              <w:t>《城市地下病害体综合探测与风险评估技术标准》</w:t>
            </w:r>
          </w:p>
        </w:tc>
        <w:tc>
          <w:tcPr>
            <w:tcW w:w="1666" w:type="pct"/>
            <w:vAlign w:val="center"/>
          </w:tcPr>
          <w:p>
            <w:pPr>
              <w:pStyle w:val="41"/>
              <w:rPr>
                <w:rFonts w:cs="Arial"/>
                <w:kern w:val="0"/>
                <w:szCs w:val="22"/>
                <w:shd w:val="clear" w:color="auto" w:fill="FFFFFF"/>
              </w:rPr>
            </w:pPr>
            <w:r>
              <w:rPr>
                <w:kern w:val="0"/>
                <w:szCs w:val="22"/>
              </w:rPr>
              <w:t>JGJ-T437-2018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Align w:val="center"/>
          </w:tcPr>
          <w:p>
            <w:pPr>
              <w:pStyle w:val="41"/>
              <w:rPr>
                <w:kern w:val="0"/>
                <w:szCs w:val="22"/>
              </w:rPr>
            </w:pPr>
            <w:r>
              <w:rPr>
                <w:rFonts w:hint="eastAsia"/>
                <w:kern w:val="0"/>
                <w:szCs w:val="22"/>
              </w:rPr>
              <w:t>地籍测绘</w:t>
            </w:r>
          </w:p>
        </w:tc>
        <w:tc>
          <w:tcPr>
            <w:tcW w:w="2290" w:type="pct"/>
            <w:vAlign w:val="center"/>
          </w:tcPr>
          <w:p>
            <w:pPr>
              <w:pStyle w:val="41"/>
              <w:rPr>
                <w:kern w:val="0"/>
                <w:szCs w:val="22"/>
              </w:rPr>
            </w:pPr>
            <w:r>
              <w:rPr>
                <w:rFonts w:hint="eastAsia"/>
                <w:kern w:val="0"/>
                <w:szCs w:val="22"/>
              </w:rPr>
              <w:t>《城市测量规范》</w:t>
            </w:r>
          </w:p>
        </w:tc>
        <w:tc>
          <w:tcPr>
            <w:tcW w:w="1666" w:type="pct"/>
            <w:vAlign w:val="center"/>
          </w:tcPr>
          <w:p>
            <w:pPr>
              <w:pStyle w:val="41"/>
              <w:rPr>
                <w:kern w:val="0"/>
                <w:szCs w:val="22"/>
              </w:rPr>
            </w:pPr>
            <w:r>
              <w:rPr>
                <w:kern w:val="0"/>
                <w:szCs w:val="22"/>
              </w:rPr>
              <w:t>CJJ\T8-2011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89" w:hRule="atLeast"/>
          <w:jc w:val="center"/>
        </w:trPr>
        <w:tc>
          <w:tcPr>
            <w:tcW w:w="1044" w:type="pct"/>
            <w:vMerge w:val="restart"/>
            <w:vAlign w:val="center"/>
          </w:tcPr>
          <w:p>
            <w:pPr>
              <w:pStyle w:val="41"/>
              <w:rPr>
                <w:kern w:val="0"/>
                <w:szCs w:val="22"/>
              </w:rPr>
            </w:pPr>
            <w:r>
              <w:rPr>
                <w:rFonts w:hint="eastAsia"/>
                <w:kern w:val="0"/>
                <w:szCs w:val="22"/>
              </w:rPr>
              <w:t>立面及平面测量</w:t>
            </w:r>
          </w:p>
        </w:tc>
        <w:tc>
          <w:tcPr>
            <w:tcW w:w="2290" w:type="pct"/>
            <w:vAlign w:val="center"/>
          </w:tcPr>
          <w:p>
            <w:pPr>
              <w:pStyle w:val="41"/>
              <w:rPr>
                <w:kern w:val="0"/>
                <w:szCs w:val="22"/>
              </w:rPr>
            </w:pPr>
            <w:r>
              <w:rPr>
                <w:rFonts w:hint="eastAsia"/>
                <w:kern w:val="0"/>
                <w:szCs w:val="22"/>
                <w:shd w:val="clear" w:color="auto" w:fill="FFFFFF"/>
              </w:rPr>
              <w:t>《卫星定位城市测量技术标准》</w:t>
            </w:r>
          </w:p>
        </w:tc>
        <w:tc>
          <w:tcPr>
            <w:tcW w:w="1666" w:type="pct"/>
            <w:vAlign w:val="center"/>
          </w:tcPr>
          <w:p>
            <w:pPr>
              <w:pStyle w:val="41"/>
              <w:rPr>
                <w:kern w:val="0"/>
                <w:szCs w:val="22"/>
              </w:rPr>
            </w:pPr>
            <w:r>
              <w:rPr>
                <w:kern w:val="0"/>
                <w:szCs w:val="22"/>
                <w:shd w:val="clear" w:color="auto" w:fill="FFFFFF"/>
              </w:rPr>
              <w:t>CJJ/T73-2019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Merge w:val="continue"/>
            <w:vAlign w:val="center"/>
          </w:tcPr>
          <w:p>
            <w:pPr>
              <w:pStyle w:val="41"/>
              <w:rPr>
                <w:kern w:val="0"/>
                <w:szCs w:val="22"/>
              </w:rPr>
            </w:pPr>
          </w:p>
        </w:tc>
        <w:tc>
          <w:tcPr>
            <w:tcW w:w="2290" w:type="pct"/>
            <w:vAlign w:val="center"/>
          </w:tcPr>
          <w:p>
            <w:pPr>
              <w:pStyle w:val="41"/>
              <w:rPr>
                <w:kern w:val="0"/>
                <w:szCs w:val="22"/>
              </w:rPr>
            </w:pPr>
            <w:r>
              <w:rPr>
                <w:kern w:val="0"/>
                <w:szCs w:val="22"/>
                <w:shd w:val="clear" w:color="auto" w:fill="FFFFFF"/>
              </w:rPr>
              <w:t>《城市测量规范》</w:t>
            </w:r>
          </w:p>
        </w:tc>
        <w:tc>
          <w:tcPr>
            <w:tcW w:w="1666" w:type="pct"/>
            <w:vAlign w:val="center"/>
          </w:tcPr>
          <w:p>
            <w:pPr>
              <w:pStyle w:val="41"/>
              <w:rPr>
                <w:kern w:val="0"/>
                <w:szCs w:val="22"/>
              </w:rPr>
            </w:pPr>
            <w:r>
              <w:rPr>
                <w:kern w:val="0"/>
                <w:szCs w:val="22"/>
                <w:shd w:val="clear" w:color="auto" w:fill="FFFFFF"/>
              </w:rPr>
              <w:t>CJJ\T8-2011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Merge w:val="continue"/>
            <w:vAlign w:val="center"/>
          </w:tcPr>
          <w:p>
            <w:pPr>
              <w:pStyle w:val="41"/>
              <w:rPr>
                <w:kern w:val="0"/>
                <w:szCs w:val="22"/>
              </w:rPr>
            </w:pPr>
          </w:p>
        </w:tc>
        <w:tc>
          <w:tcPr>
            <w:tcW w:w="2290" w:type="pct"/>
            <w:vAlign w:val="center"/>
          </w:tcPr>
          <w:p>
            <w:pPr>
              <w:pStyle w:val="41"/>
              <w:rPr>
                <w:kern w:val="0"/>
                <w:szCs w:val="22"/>
              </w:rPr>
            </w:pPr>
            <w:r>
              <w:rPr>
                <w:rFonts w:hint="eastAsia"/>
                <w:kern w:val="0"/>
                <w:szCs w:val="22"/>
                <w:shd w:val="clear" w:color="auto" w:fill="FFFFFF"/>
              </w:rPr>
              <w:t>《</w:t>
            </w:r>
            <w:r>
              <w:rPr>
                <w:kern w:val="0"/>
                <w:szCs w:val="22"/>
                <w:shd w:val="clear" w:color="auto" w:fill="FFFFFF"/>
              </w:rPr>
              <w:t>地面三维激光扫描作业技术规程</w:t>
            </w:r>
            <w:r>
              <w:rPr>
                <w:rFonts w:hint="eastAsia"/>
                <w:kern w:val="0"/>
                <w:szCs w:val="22"/>
                <w:shd w:val="clear" w:color="auto" w:fill="FFFFFF"/>
              </w:rPr>
              <w:t>》</w:t>
            </w:r>
          </w:p>
        </w:tc>
        <w:tc>
          <w:tcPr>
            <w:tcW w:w="1666" w:type="pct"/>
            <w:vAlign w:val="center"/>
          </w:tcPr>
          <w:p>
            <w:pPr>
              <w:pStyle w:val="41"/>
              <w:rPr>
                <w:kern w:val="0"/>
                <w:szCs w:val="22"/>
              </w:rPr>
            </w:pPr>
            <w:r>
              <w:rPr>
                <w:kern w:val="0"/>
                <w:szCs w:val="22"/>
                <w:shd w:val="clear" w:color="auto" w:fill="FFFFFF"/>
              </w:rPr>
              <w:t>CH/Z3017-2015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33" w:type="dxa"/>
            <w:left w:w="104" w:type="dxa"/>
            <w:bottom w:w="0" w:type="dxa"/>
            <w:right w:w="14" w:type="dxa"/>
          </w:tblCellMar>
        </w:tblPrEx>
        <w:trPr>
          <w:trHeight w:val="527" w:hRule="atLeast"/>
          <w:jc w:val="center"/>
        </w:trPr>
        <w:tc>
          <w:tcPr>
            <w:tcW w:w="1044" w:type="pct"/>
            <w:vMerge w:val="continue"/>
            <w:vAlign w:val="center"/>
          </w:tcPr>
          <w:p>
            <w:pPr>
              <w:pStyle w:val="41"/>
              <w:rPr>
                <w:kern w:val="0"/>
                <w:szCs w:val="22"/>
              </w:rPr>
            </w:pPr>
          </w:p>
        </w:tc>
        <w:tc>
          <w:tcPr>
            <w:tcW w:w="2290" w:type="pct"/>
            <w:vAlign w:val="center"/>
          </w:tcPr>
          <w:p>
            <w:pPr>
              <w:pStyle w:val="41"/>
              <w:rPr>
                <w:kern w:val="0"/>
                <w:szCs w:val="22"/>
              </w:rPr>
            </w:pPr>
            <w:r>
              <w:rPr>
                <w:kern w:val="0"/>
                <w:szCs w:val="22"/>
                <w:shd w:val="clear" w:color="auto" w:fill="FFFFFF"/>
              </w:rPr>
              <w:t>《测绘成果质量检査与验收》</w:t>
            </w:r>
          </w:p>
        </w:tc>
        <w:tc>
          <w:tcPr>
            <w:tcW w:w="1666" w:type="pct"/>
            <w:vAlign w:val="center"/>
          </w:tcPr>
          <w:p>
            <w:pPr>
              <w:pStyle w:val="41"/>
              <w:rPr>
                <w:kern w:val="0"/>
                <w:szCs w:val="22"/>
              </w:rPr>
            </w:pPr>
            <w:r>
              <w:rPr>
                <w:kern w:val="0"/>
                <w:szCs w:val="22"/>
                <w:shd w:val="clear" w:color="auto" w:fill="FFFFFF"/>
              </w:rPr>
              <w:t>GB/T24356-2009</w:t>
            </w:r>
          </w:p>
        </w:tc>
      </w:tr>
    </w:tbl>
    <w:p>
      <w:pPr>
        <w:pStyle w:val="29"/>
        <w:spacing w:line="560" w:lineRule="exact"/>
        <w:ind w:firstLine="640"/>
        <w:rPr>
          <w:rFonts w:cs="Segoe UI"/>
          <w:shd w:val="clear" w:color="auto" w:fill="FFFFFF"/>
        </w:rPr>
      </w:pPr>
      <w:r>
        <w:rPr>
          <w:rFonts w:hint="eastAsia"/>
        </w:rPr>
        <w:t>（</w:t>
      </w:r>
      <w:r>
        <w:t>2</w:t>
      </w:r>
      <w:r>
        <w:rPr>
          <w:rFonts w:hint="eastAsia"/>
        </w:rPr>
        <w:t>）社会稳定风险评估报告合规率（总分</w:t>
      </w:r>
      <w:r>
        <w:t>4</w:t>
      </w:r>
      <w:r>
        <w:rPr>
          <w:rFonts w:hint="eastAsia"/>
        </w:rPr>
        <w:t>分，得分</w:t>
      </w:r>
      <w:r>
        <w:t>4</w:t>
      </w:r>
      <w:r>
        <w:rPr>
          <w:rFonts w:hint="eastAsia"/>
        </w:rPr>
        <w:t>分）。根据</w:t>
      </w:r>
      <w:r>
        <w:t>区全民健身中心提供的风险评估咨询合同以及评估报告，天津广正建设项目咨询股份有限公司出具的</w:t>
      </w:r>
      <w:r>
        <w:rPr>
          <w:rFonts w:hint="eastAsia"/>
        </w:rPr>
        <w:t>“</w:t>
      </w:r>
      <w:r>
        <w:t>和平区全民健身中心改造项目重大决策社会稳定风险评估报告</w:t>
      </w:r>
      <w:r>
        <w:rPr>
          <w:rFonts w:hint="eastAsia"/>
        </w:rPr>
        <w:t>”</w:t>
      </w:r>
      <w:r>
        <w:t>内容详实完备，涵盖了重大决策事项基本情况、评估依据</w:t>
      </w:r>
      <w:r>
        <w:rPr>
          <w:rFonts w:hint="eastAsia"/>
        </w:rPr>
        <w:t>和</w:t>
      </w:r>
      <w:r>
        <w:t>程序、社会稳定性风险调查、风险分析论证、风险评估、风险防范</w:t>
      </w:r>
      <w:r>
        <w:rPr>
          <w:rFonts w:hint="eastAsia"/>
        </w:rPr>
        <w:t>和</w:t>
      </w:r>
      <w:r>
        <w:t>化解措施以及应急处置预案、风险</w:t>
      </w:r>
      <w:r>
        <w:rPr>
          <w:rFonts w:hint="eastAsia"/>
        </w:rPr>
        <w:t>防范</w:t>
      </w:r>
      <w:r>
        <w:t>措施落实后的预期风险等级、结论和对策建议等诸多方面。此外，该公司组织相关领域的专家对评估报告进行了审核，契合合同规定。社会稳定风险评估报告的合规率为</w:t>
      </w:r>
      <w:r>
        <w:rPr>
          <w:rFonts w:hint="eastAsia"/>
        </w:rPr>
        <w:t>1</w:t>
      </w:r>
      <w:r>
        <w:t>00%。</w:t>
      </w:r>
    </w:p>
    <w:p>
      <w:pPr>
        <w:pStyle w:val="29"/>
        <w:spacing w:line="560" w:lineRule="exact"/>
        <w:ind w:firstLine="640"/>
      </w:pPr>
      <w:r>
        <w:rPr>
          <w:rFonts w:hint="eastAsia"/>
        </w:rPr>
        <w:t>（</w:t>
      </w:r>
      <w:r>
        <w:t>3</w:t>
      </w:r>
      <w:r>
        <w:rPr>
          <w:rFonts w:hint="eastAsia"/>
        </w:rPr>
        <w:t>）拆除工程质量达标率（总分</w:t>
      </w:r>
      <w:r>
        <w:t>4</w:t>
      </w:r>
      <w:r>
        <w:rPr>
          <w:rFonts w:hint="eastAsia"/>
        </w:rPr>
        <w:t>分，得分</w:t>
      </w:r>
      <w:r>
        <w:t>4</w:t>
      </w:r>
      <w:r>
        <w:rPr>
          <w:rFonts w:hint="eastAsia"/>
        </w:rPr>
        <w:t>分）。</w:t>
      </w:r>
      <w:r>
        <w:t>根据区全民健身中心提供的拆除工程合同以及中期计量审核报告，</w:t>
      </w:r>
      <w:r>
        <w:rPr>
          <w:rFonts w:hint="eastAsia"/>
        </w:rPr>
        <w:t>部分</w:t>
      </w:r>
      <w:r>
        <w:t>完成</w:t>
      </w:r>
      <w:r>
        <w:rPr>
          <w:rFonts w:hint="eastAsia"/>
        </w:rPr>
        <w:t>了</w:t>
      </w:r>
      <w:r>
        <w:t>网球馆及附属楼、羽毛球甲馆的拆除工作，其拆除产值为156.89万元。该部分拆除工程经过建设单位、管理单位、咨询单位以及监理单位的审核，质量符合国家施工验收规范标准。在施工过程中，有效控制了施工范围，同时对施工噪声进行了管控，并切实防护了粉尘飞石所带来的危害。</w:t>
      </w:r>
      <w:r>
        <w:rPr>
          <w:rFonts w:hint="eastAsia"/>
        </w:rPr>
        <w:t>拆除工程质量达标率为1</w:t>
      </w:r>
      <w:r>
        <w:t>00%</w:t>
      </w:r>
      <w:r>
        <w:rPr>
          <w:rFonts w:hint="eastAsia"/>
        </w:rPr>
        <w:t>。</w:t>
      </w:r>
    </w:p>
    <w:p>
      <w:pPr>
        <w:pStyle w:val="29"/>
        <w:spacing w:line="560" w:lineRule="exact"/>
        <w:ind w:firstLine="640"/>
      </w:pPr>
      <w:r>
        <w:rPr>
          <w:rFonts w:hint="eastAsia"/>
        </w:rPr>
        <w:t>3.产出时效</w:t>
      </w:r>
    </w:p>
    <w:p>
      <w:pPr>
        <w:pStyle w:val="29"/>
        <w:spacing w:line="560" w:lineRule="exact"/>
        <w:ind w:firstLine="640"/>
      </w:pPr>
      <w:r>
        <w:rPr>
          <w:rFonts w:hint="eastAsia"/>
        </w:rPr>
        <w:t>（1）建筑工程测量完成及时率（总分</w:t>
      </w:r>
      <w:r>
        <w:t>4</w:t>
      </w:r>
      <w:r>
        <w:rPr>
          <w:rFonts w:hint="eastAsia"/>
        </w:rPr>
        <w:t>分，得分</w:t>
      </w:r>
      <w:r>
        <w:t>4</w:t>
      </w:r>
      <w:r>
        <w:rPr>
          <w:rFonts w:hint="eastAsia"/>
        </w:rPr>
        <w:t>分）。根据</w:t>
      </w:r>
      <w:r>
        <w:t>区全民健身中心提供的项目合同以及成果物等文件资料，</w:t>
      </w:r>
      <w:r>
        <w:rPr>
          <w:rFonts w:hint="eastAsia"/>
        </w:rPr>
        <w:t>5</w:t>
      </w:r>
      <w:r>
        <w:t>项建筑工程测量工作</w:t>
      </w:r>
      <w:r>
        <w:rPr>
          <w:rFonts w:hint="eastAsia"/>
        </w:rPr>
        <w:t>均</w:t>
      </w:r>
      <w:r>
        <w:t>已按时完成，符合合同所规定的期限要求，建筑工程测量的完成及时率</w:t>
      </w:r>
      <w:r>
        <w:rPr>
          <w:rFonts w:hint="eastAsia"/>
        </w:rPr>
        <w:t>为1</w:t>
      </w:r>
      <w:r>
        <w:t>00%</w:t>
      </w:r>
      <w:r>
        <w:rPr>
          <w:rFonts w:hint="eastAsia"/>
        </w:rPr>
        <w:t>。</w:t>
      </w:r>
    </w:p>
    <w:p>
      <w:pPr>
        <w:pStyle w:val="29"/>
        <w:spacing w:line="560" w:lineRule="exact"/>
        <w:ind w:firstLine="640"/>
      </w:pPr>
      <w:r>
        <w:rPr>
          <w:rFonts w:hint="eastAsia"/>
        </w:rPr>
        <w:t>（</w:t>
      </w:r>
      <w:r>
        <w:t>2</w:t>
      </w:r>
      <w:r>
        <w:rPr>
          <w:rFonts w:hint="eastAsia"/>
        </w:rPr>
        <w:t>）社会稳定风险评估报告编制及时率（总分</w:t>
      </w:r>
      <w:r>
        <w:t>3</w:t>
      </w:r>
      <w:r>
        <w:rPr>
          <w:rFonts w:hint="eastAsia"/>
        </w:rPr>
        <w:t>分，得分</w:t>
      </w:r>
      <w:r>
        <w:t>3</w:t>
      </w:r>
      <w:r>
        <w:rPr>
          <w:rFonts w:hint="eastAsia"/>
        </w:rPr>
        <w:t>分）。根据区全民健身中心提供的风险评估咨询合同以及风险评估报告可知，截至</w:t>
      </w:r>
      <w:r>
        <w:t>2023年10月，风险评估报告编制工作已完成</w:t>
      </w:r>
      <w:r>
        <w:rPr>
          <w:rFonts w:hint="eastAsia"/>
        </w:rPr>
        <w:t>，</w:t>
      </w:r>
      <w:r>
        <w:t>符合报告</w:t>
      </w:r>
      <w:r>
        <w:rPr>
          <w:rFonts w:hint="eastAsia"/>
        </w:rPr>
        <w:t>编制</w:t>
      </w:r>
      <w:r>
        <w:t>计划，</w:t>
      </w:r>
      <w:r>
        <w:rPr>
          <w:rFonts w:hint="eastAsia"/>
        </w:rPr>
        <w:t>社会稳定风险评估报告编制及时率为1</w:t>
      </w:r>
      <w:r>
        <w:t>00%</w:t>
      </w:r>
      <w:r>
        <w:rPr>
          <w:rFonts w:hint="eastAsia"/>
        </w:rPr>
        <w:t>。</w:t>
      </w:r>
    </w:p>
    <w:p>
      <w:pPr>
        <w:pStyle w:val="29"/>
        <w:spacing w:line="560" w:lineRule="exact"/>
        <w:ind w:firstLine="640"/>
      </w:pPr>
      <w:r>
        <w:rPr>
          <w:rFonts w:hint="eastAsia"/>
        </w:rPr>
        <w:t>（</w:t>
      </w:r>
      <w:r>
        <w:t>3</w:t>
      </w:r>
      <w:r>
        <w:rPr>
          <w:rFonts w:hint="eastAsia"/>
        </w:rPr>
        <w:t>）拆除工程完成及时率（总分</w:t>
      </w:r>
      <w:r>
        <w:t>3</w:t>
      </w:r>
      <w:r>
        <w:rPr>
          <w:rFonts w:hint="eastAsia"/>
        </w:rPr>
        <w:t>分，得分</w:t>
      </w:r>
      <w:r>
        <w:t>0</w:t>
      </w:r>
      <w:r>
        <w:rPr>
          <w:rFonts w:hint="eastAsia"/>
        </w:rPr>
        <w:t>分）。根据</w:t>
      </w:r>
      <w:r>
        <w:t>区全民健身中心提供的拆除工程合同，该拆除工程总产值为350.25万元，服务期限为60天，应于2023年12月26日完成拆除工程。依据中期计量审核报告，2023年完成</w:t>
      </w:r>
      <w:r>
        <w:rPr>
          <w:rFonts w:hint="eastAsia"/>
        </w:rPr>
        <w:t>了</w:t>
      </w:r>
      <w:r>
        <w:t>网球馆及附属楼、羽毛球甲馆</w:t>
      </w:r>
      <w:r>
        <w:rPr>
          <w:rFonts w:hint="eastAsia"/>
        </w:rPr>
        <w:t>的部分</w:t>
      </w:r>
      <w:r>
        <w:t>拆除工程，</w:t>
      </w:r>
      <w:r>
        <w:rPr>
          <w:rFonts w:hint="eastAsia"/>
        </w:rPr>
        <w:t>拆除</w:t>
      </w:r>
      <w:r>
        <w:t>产值</w:t>
      </w:r>
      <w:r>
        <w:rPr>
          <w:rFonts w:hint="eastAsia"/>
        </w:rPr>
        <w:t>为</w:t>
      </w:r>
      <w:r>
        <w:t>156.89万元</w:t>
      </w:r>
      <w:r>
        <w:rPr>
          <w:rFonts w:hint="eastAsia"/>
        </w:rPr>
        <w:t>，</w:t>
      </w:r>
      <w:r>
        <w:t>未能及时完成全部拆除工程，</w:t>
      </w:r>
      <w:r>
        <w:rPr>
          <w:rFonts w:hint="eastAsia"/>
        </w:rPr>
        <w:t>拆除工程完成及时率为4</w:t>
      </w:r>
      <w:r>
        <w:t>4.79%</w:t>
      </w:r>
      <w:r>
        <w:rPr>
          <w:rFonts w:hint="eastAsia"/>
        </w:rPr>
        <w:t>。</w:t>
      </w:r>
    </w:p>
    <w:p>
      <w:pPr>
        <w:pStyle w:val="29"/>
        <w:spacing w:line="560" w:lineRule="exact"/>
        <w:ind w:firstLine="640"/>
      </w:pPr>
      <w:r>
        <w:rPr>
          <w:rFonts w:hint="eastAsia"/>
        </w:rPr>
        <w:t>4.产出成本</w:t>
      </w:r>
    </w:p>
    <w:p>
      <w:pPr>
        <w:pStyle w:val="29"/>
        <w:spacing w:line="560" w:lineRule="exact"/>
        <w:ind w:firstLine="640"/>
      </w:pPr>
      <w:r>
        <w:rPr>
          <w:rFonts w:hint="eastAsia"/>
        </w:rPr>
        <w:t>项目建设成本节约率</w:t>
      </w:r>
      <w:r>
        <w:t>（总分4分，得分4分）。</w:t>
      </w:r>
      <w:r>
        <w:rPr>
          <w:rFonts w:hint="eastAsia"/>
        </w:rPr>
        <w:t>根据区全民健身中心提供的项目合同、财务明细账等文件，</w:t>
      </w:r>
      <w:r>
        <w:rPr>
          <w:rFonts w:hint="eastAsia"/>
          <w:bCs/>
        </w:rPr>
        <w:t>2</w:t>
      </w:r>
      <w:r>
        <w:rPr>
          <w:bCs/>
        </w:rPr>
        <w:t>023</w:t>
      </w:r>
      <w:r>
        <w:rPr>
          <w:rFonts w:hint="eastAsia"/>
          <w:bCs/>
        </w:rPr>
        <w:t>年计划支付</w:t>
      </w:r>
      <w:r>
        <w:rPr>
          <w:rFonts w:hint="eastAsia"/>
        </w:rPr>
        <w:t>项目建设</w:t>
      </w:r>
      <w:r>
        <w:rPr>
          <w:rFonts w:hint="eastAsia"/>
          <w:bCs/>
        </w:rPr>
        <w:t>费用</w:t>
      </w:r>
      <w:r>
        <w:t>5000</w:t>
      </w:r>
      <w:r>
        <w:rPr>
          <w:rFonts w:hint="eastAsia"/>
        </w:rPr>
        <w:t>万元，实际支出金额为</w:t>
      </w:r>
      <w:r>
        <w:t>5000</w:t>
      </w:r>
      <w:r>
        <w:rPr>
          <w:rFonts w:hint="eastAsia"/>
        </w:rPr>
        <w:t>万元，项目建设成本节约率为</w:t>
      </w:r>
      <w:r>
        <w:t>0%</w:t>
      </w:r>
      <w:r>
        <w:rPr>
          <w:rFonts w:hint="eastAsia"/>
        </w:rPr>
        <w:t>。</w:t>
      </w:r>
    </w:p>
    <w:p>
      <w:pPr>
        <w:pStyle w:val="33"/>
        <w:spacing w:line="560" w:lineRule="exact"/>
        <w:ind w:firstLine="640"/>
        <w:rPr>
          <w:rFonts w:ascii="Times New Roman" w:hAnsi="Times New Roman"/>
        </w:rPr>
      </w:pPr>
      <w:bookmarkStart w:id="22" w:name="_Toc176111916"/>
      <w:bookmarkStart w:id="23" w:name="_Toc181369922"/>
      <w:r>
        <w:rPr>
          <w:rFonts w:hint="eastAsia" w:ascii="Times New Roman" w:hAnsi="Times New Roman"/>
        </w:rPr>
        <w:t>（四）项目效益情况</w:t>
      </w:r>
      <w:bookmarkEnd w:id="22"/>
      <w:bookmarkEnd w:id="23"/>
    </w:p>
    <w:p>
      <w:pPr>
        <w:pStyle w:val="29"/>
        <w:spacing w:line="560" w:lineRule="exact"/>
        <w:ind w:firstLine="640"/>
      </w:pPr>
      <w:r>
        <w:rPr>
          <w:rFonts w:hint="eastAsia"/>
        </w:rPr>
        <w:t>效益指标主要包括社会效益、可持续影响、服务对象满意度</w:t>
      </w:r>
      <w:r>
        <w:t>3</w:t>
      </w:r>
      <w:r>
        <w:rPr>
          <w:rFonts w:hint="eastAsia"/>
        </w:rPr>
        <w:t>项二级指标，</w:t>
      </w:r>
      <w:r>
        <w:t>5</w:t>
      </w:r>
      <w:r>
        <w:rPr>
          <w:rFonts w:hint="eastAsia"/>
        </w:rPr>
        <w:t>项三级指标，基础总分</w:t>
      </w:r>
      <w:r>
        <w:t>22</w:t>
      </w:r>
      <w:r>
        <w:rPr>
          <w:rFonts w:hint="eastAsia"/>
        </w:rPr>
        <w:t>分，合计得分</w:t>
      </w:r>
      <w:r>
        <w:t>17.75</w:t>
      </w:r>
      <w:r>
        <w:rPr>
          <w:rFonts w:hint="eastAsia"/>
        </w:rPr>
        <w:t>分。</w:t>
      </w:r>
    </w:p>
    <w:p>
      <w:pPr>
        <w:pStyle w:val="29"/>
        <w:spacing w:line="560" w:lineRule="exact"/>
        <w:ind w:firstLine="640"/>
      </w:pPr>
      <w:r>
        <w:t>1</w:t>
      </w:r>
      <w:r>
        <w:rPr>
          <w:rFonts w:hint="eastAsia"/>
        </w:rPr>
        <w:t>.社会效益</w:t>
      </w:r>
    </w:p>
    <w:p>
      <w:pPr>
        <w:pStyle w:val="29"/>
        <w:spacing w:line="560" w:lineRule="exact"/>
        <w:ind w:firstLine="640"/>
      </w:pPr>
      <w:r>
        <w:rPr>
          <w:rFonts w:hint="eastAsia"/>
        </w:rPr>
        <w:t>（1）</w:t>
      </w:r>
      <w:r>
        <w:rPr>
          <w:rFonts w:ascii="Segoe UI" w:hAnsi="Segoe UI" w:cs="Segoe UI"/>
          <w:shd w:val="clear" w:color="auto" w:fill="FFFFFF"/>
        </w:rPr>
        <w:t>工程</w:t>
      </w:r>
      <w:r>
        <w:rPr>
          <w:rFonts w:hint="eastAsia" w:ascii="Segoe UI" w:hAnsi="Segoe UI" w:cs="Segoe UI"/>
          <w:shd w:val="clear" w:color="auto" w:fill="FFFFFF"/>
        </w:rPr>
        <w:t>前期测量准备工作保障情况</w:t>
      </w:r>
      <w:r>
        <w:rPr>
          <w:rFonts w:hint="eastAsia"/>
        </w:rPr>
        <w:t>。（总分</w:t>
      </w:r>
      <w:r>
        <w:t>5</w:t>
      </w:r>
      <w:r>
        <w:rPr>
          <w:rFonts w:hint="eastAsia"/>
        </w:rPr>
        <w:t>分，得分</w:t>
      </w:r>
      <w:r>
        <w:t>5</w:t>
      </w:r>
      <w:r>
        <w:rPr>
          <w:rFonts w:hint="eastAsia"/>
        </w:rPr>
        <w:t>分）。和平区全民健身中心改造项目在</w:t>
      </w:r>
      <w:r>
        <w:t>2023年顺利完成</w:t>
      </w:r>
      <w:r>
        <w:rPr>
          <w:rFonts w:hint="eastAsia"/>
        </w:rPr>
        <w:t>5</w:t>
      </w:r>
      <w:r>
        <w:t>项建筑工程测量工作，</w:t>
      </w:r>
      <w:r>
        <w:rPr>
          <w:rFonts w:hint="eastAsia"/>
        </w:rPr>
        <w:t>一是地形测绘确保了规划布局，合理安排排水系统设施位置，规避设计缺陷及使用不便；二是核定用地明确了项目用地范围与界限，确保建设在合法土地范围内，避免权益纠纷；三是地籍测绘梳理了土地产权归属与界址信息，保证产权明晰，减少潜在争议与风险；四是物探测量掌握了地下地质结构与管线分布，保障建筑设计合理且施工安全，避免破坏地下管线；五是立面与平面测量获取了建筑外立面及内部信息，保证外观改造优化与内部空间合理利用。上述工作为建筑工程项目的推进与开展奠定基础，该项目工程前期测量准备工作执行有效，为项目顺利实施提供了有力支撑。</w:t>
      </w:r>
    </w:p>
    <w:p>
      <w:pPr>
        <w:pStyle w:val="29"/>
        <w:spacing w:line="560" w:lineRule="exact"/>
        <w:ind w:firstLine="640"/>
      </w:pPr>
      <w:r>
        <w:rPr>
          <w:rFonts w:hint="eastAsia"/>
        </w:rPr>
        <w:t>（</w:t>
      </w:r>
      <w:r>
        <w:t>2</w:t>
      </w:r>
      <w:r>
        <w:rPr>
          <w:rFonts w:hint="eastAsia"/>
        </w:rPr>
        <w:t>）</w:t>
      </w:r>
      <w:r>
        <w:rPr>
          <w:rFonts w:hint="eastAsia" w:ascii="Segoe UI" w:hAnsi="Segoe UI" w:cs="Segoe UI"/>
          <w:shd w:val="clear" w:color="auto" w:fill="FFFFFF"/>
        </w:rPr>
        <w:t>社会稳定风险降低的保障情况</w:t>
      </w:r>
      <w:r>
        <w:rPr>
          <w:rFonts w:hint="eastAsia"/>
        </w:rPr>
        <w:t>。（总分</w:t>
      </w:r>
      <w:r>
        <w:t>5</w:t>
      </w:r>
      <w:r>
        <w:rPr>
          <w:rFonts w:hint="eastAsia"/>
        </w:rPr>
        <w:t>分，得分</w:t>
      </w:r>
      <w:r>
        <w:t>5</w:t>
      </w:r>
      <w:r>
        <w:rPr>
          <w:rFonts w:hint="eastAsia"/>
        </w:rPr>
        <w:t>分）。区全民健身中心于</w:t>
      </w:r>
      <w:r>
        <w:t>2023年</w:t>
      </w:r>
      <w:r>
        <w:rPr>
          <w:rFonts w:hint="eastAsia"/>
        </w:rPr>
        <w:t>委托天津广正建设项目咨询股份有限公司对和平区全民健身中心改造项目重大决策进行社会稳定风险评估，识别出了5项风险因素，涉及资金筹措及保障、决策与利益群体的互适性、周边环境和交通影响、项目管理和社会稳定风险管理体系等方面，并针对风险因素制定了主要防范化解措施，</w:t>
      </w:r>
      <w:r>
        <w:rPr>
          <w:rFonts w:ascii="Segoe UI" w:hAnsi="Segoe UI" w:cs="Segoe UI"/>
          <w:shd w:val="clear" w:color="auto" w:fill="FFFFFF"/>
        </w:rPr>
        <w:t>具有</w:t>
      </w:r>
      <w:r>
        <w:rPr>
          <w:rFonts w:hint="eastAsia" w:ascii="Segoe UI" w:hAnsi="Segoe UI" w:cs="Segoe UI"/>
          <w:shd w:val="clear" w:color="auto" w:fill="FFFFFF"/>
        </w:rPr>
        <w:t>较强</w:t>
      </w:r>
      <w:r>
        <w:rPr>
          <w:rFonts w:ascii="Segoe UI" w:hAnsi="Segoe UI" w:cs="Segoe UI"/>
          <w:shd w:val="clear" w:color="auto" w:fill="FFFFFF"/>
        </w:rPr>
        <w:t>的针对性和可操作性</w:t>
      </w:r>
      <w:r>
        <w:rPr>
          <w:rFonts w:hint="eastAsia" w:ascii="Segoe UI" w:hAnsi="Segoe UI" w:cs="Segoe UI"/>
          <w:shd w:val="clear" w:color="auto" w:fill="FFFFFF"/>
        </w:rPr>
        <w:t>，</w:t>
      </w:r>
      <w:r>
        <w:rPr>
          <w:rFonts w:hint="eastAsia"/>
        </w:rPr>
        <w:t>同时</w:t>
      </w:r>
      <w:r>
        <w:rPr>
          <w:rFonts w:ascii="Segoe UI" w:hAnsi="Segoe UI" w:cs="Segoe UI"/>
          <w:shd w:val="clear" w:color="auto" w:fill="FFFFFF"/>
        </w:rPr>
        <w:t>明确列出了主要责任单位和协助单位的名单</w:t>
      </w:r>
      <w:r>
        <w:rPr>
          <w:rFonts w:hint="eastAsia" w:ascii="Segoe UI" w:hAnsi="Segoe UI" w:cs="Segoe UI"/>
          <w:shd w:val="clear" w:color="auto" w:fill="FFFFFF"/>
        </w:rPr>
        <w:t>。有效降低了将社会稳定风险，有利于预防和化解社会矛盾。</w:t>
      </w:r>
    </w:p>
    <w:p>
      <w:pPr>
        <w:pStyle w:val="29"/>
        <w:spacing w:line="560" w:lineRule="exact"/>
        <w:ind w:firstLine="640"/>
      </w:pPr>
      <w:r>
        <w:rPr>
          <w:rFonts w:hint="eastAsia"/>
        </w:rPr>
        <w:t>（3）拆除工程安全性（总分</w:t>
      </w:r>
      <w:r>
        <w:t>4</w:t>
      </w:r>
      <w:r>
        <w:rPr>
          <w:rFonts w:hint="eastAsia"/>
        </w:rPr>
        <w:t>分，得分</w:t>
      </w:r>
      <w:r>
        <w:t>4</w:t>
      </w:r>
      <w:r>
        <w:rPr>
          <w:rFonts w:hint="eastAsia"/>
        </w:rPr>
        <w:t>分）。</w:t>
      </w:r>
      <w:r>
        <w:t>经评价组现场核实，并查询政务网安全生产事故信息后确认，和平区全民健身中心改造项目在2023年度</w:t>
      </w:r>
      <w:r>
        <w:rPr>
          <w:rFonts w:hint="eastAsia"/>
        </w:rPr>
        <w:t>拆除</w:t>
      </w:r>
      <w:r>
        <w:t>工程施工期间，构建了安全管理制度</w:t>
      </w:r>
      <w:r>
        <w:rPr>
          <w:rFonts w:hint="eastAsia"/>
        </w:rPr>
        <w:t>。一是</w:t>
      </w:r>
      <w:r>
        <w:t>对施工机器及设备</w:t>
      </w:r>
      <w:r>
        <w:rPr>
          <w:rFonts w:hint="eastAsia"/>
        </w:rPr>
        <w:t>开展</w:t>
      </w:r>
      <w:r>
        <w:t>安全检查与维修</w:t>
      </w:r>
      <w:r>
        <w:rPr>
          <w:rFonts w:hint="eastAsia"/>
        </w:rPr>
        <w:t>，保障设备按照国家有关标准和规范进行布置；二是</w:t>
      </w:r>
      <w:r>
        <w:t>设立高空作业的上下安全通道，确保垂直运输设备搭设具备高度的稳定性与安全性装置</w:t>
      </w:r>
      <w:r>
        <w:rPr>
          <w:rFonts w:hint="eastAsia"/>
        </w:rPr>
        <w:t>；三是</w:t>
      </w:r>
      <w:r>
        <w:t>进行建筑围挡封闭、安全网架设以及洞口临边防护等工作</w:t>
      </w:r>
      <w:r>
        <w:rPr>
          <w:rFonts w:hint="eastAsia"/>
        </w:rPr>
        <w:t>，</w:t>
      </w:r>
      <w:r>
        <w:t>对于结构复杂、危险性大的特殊工程，采取专项安全措施</w:t>
      </w:r>
      <w:r>
        <w:rPr>
          <w:rFonts w:hint="eastAsia"/>
        </w:rPr>
        <w:t>；四是</w:t>
      </w:r>
      <w:r>
        <w:t>所有电气设备与接地系统连接成电器通路，</w:t>
      </w:r>
      <w:r>
        <w:rPr>
          <w:rFonts w:hint="eastAsia"/>
        </w:rPr>
        <w:t>保障</w:t>
      </w:r>
      <w:r>
        <w:t>建筑内部的电线设施设有完善的安全防护措施。2023</w:t>
      </w:r>
      <w:r>
        <w:rPr>
          <w:rFonts w:hint="eastAsia"/>
        </w:rPr>
        <w:t>年度拆除工程</w:t>
      </w:r>
      <w:r>
        <w:t>未发生任何安全事故，亦无相关人员伤亡及资金流失情况。</w:t>
      </w:r>
    </w:p>
    <w:p>
      <w:pPr>
        <w:pStyle w:val="29"/>
        <w:spacing w:line="560" w:lineRule="exact"/>
        <w:ind w:firstLine="640"/>
      </w:pPr>
      <w:r>
        <w:t>3.</w:t>
      </w:r>
      <w:r>
        <w:rPr>
          <w:rFonts w:hint="eastAsia"/>
        </w:rPr>
        <w:t>可持续影响</w:t>
      </w:r>
    </w:p>
    <w:p>
      <w:pPr>
        <w:pStyle w:val="29"/>
        <w:spacing w:line="560" w:lineRule="exact"/>
        <w:ind w:firstLine="640"/>
        <w:rPr>
          <w:rFonts w:cs="Segoe UI"/>
          <w:shd w:val="clear" w:color="auto" w:fill="FFFFFF"/>
        </w:rPr>
      </w:pPr>
      <w:r>
        <w:rPr>
          <w:rFonts w:hint="eastAsia"/>
        </w:rPr>
        <w:t>施工计划可持续性（总分</w:t>
      </w:r>
      <w:r>
        <w:t>4</w:t>
      </w:r>
      <w:r>
        <w:rPr>
          <w:rFonts w:hint="eastAsia"/>
        </w:rPr>
        <w:t>分，得分</w:t>
      </w:r>
      <w:r>
        <w:t>0</w:t>
      </w:r>
      <w:r>
        <w:rPr>
          <w:rFonts w:hint="eastAsia"/>
        </w:rPr>
        <w:t>分）。经评价组调研核</w:t>
      </w:r>
      <w:r>
        <w:rPr>
          <w:rFonts w:hint="eastAsia"/>
          <w:highlight w:val="none"/>
        </w:rPr>
        <w:t>实，2</w:t>
      </w:r>
      <w:r>
        <w:rPr>
          <w:highlight w:val="none"/>
        </w:rPr>
        <w:t>023</w:t>
      </w:r>
      <w:r>
        <w:rPr>
          <w:rFonts w:hint="eastAsia"/>
          <w:highlight w:val="none"/>
        </w:rPr>
        <w:t>年度</w:t>
      </w:r>
      <w:r>
        <w:rPr>
          <w:rFonts w:cs="Segoe UI"/>
          <w:highlight w:val="none"/>
          <w:shd w:val="clear" w:color="auto" w:fill="FFFFFF"/>
        </w:rPr>
        <w:t>单位未</w:t>
      </w:r>
      <w:r>
        <w:rPr>
          <w:rFonts w:hint="eastAsia" w:cs="Segoe UI"/>
          <w:highlight w:val="none"/>
          <w:shd w:val="clear" w:color="auto" w:fill="FFFFFF"/>
        </w:rPr>
        <w:t>按整体项目施工内容</w:t>
      </w:r>
      <w:r>
        <w:rPr>
          <w:rFonts w:cs="Segoe UI"/>
          <w:highlight w:val="none"/>
          <w:shd w:val="clear" w:color="auto" w:fill="FFFFFF"/>
        </w:rPr>
        <w:t>编制</w:t>
      </w:r>
      <w:r>
        <w:rPr>
          <w:rFonts w:hint="eastAsia" w:cs="Segoe UI"/>
          <w:highlight w:val="none"/>
          <w:shd w:val="clear" w:color="auto" w:fill="FFFFFF"/>
        </w:rPr>
        <w:t>总体</w:t>
      </w:r>
      <w:r>
        <w:rPr>
          <w:rFonts w:cs="Segoe UI"/>
          <w:highlight w:val="none"/>
          <w:shd w:val="clear" w:color="auto" w:fill="FFFFFF"/>
        </w:rPr>
        <w:t>施工计划，亦未制定月度、季度及年度计划</w:t>
      </w:r>
      <w:r>
        <w:rPr>
          <w:rFonts w:hint="eastAsia" w:cs="Segoe UI"/>
          <w:highlight w:val="none"/>
          <w:shd w:val="clear" w:color="auto" w:fill="FFFFFF"/>
        </w:rPr>
        <w:t>。</w:t>
      </w:r>
      <w:r>
        <w:rPr>
          <w:rFonts w:cs="Segoe UI"/>
          <w:highlight w:val="none"/>
          <w:shd w:val="clear" w:color="auto" w:fill="FFFFFF"/>
        </w:rPr>
        <w:t>通过对比和平区全民健身中心改造项目可行性研究报告与实际施工进度后发现，由于建设项目地处市中心位置，紧邻住宅、学校、机关单位等，周边相关利益群体众多，</w:t>
      </w:r>
      <w:r>
        <w:rPr>
          <w:rFonts w:hint="eastAsia" w:cs="Segoe UI"/>
          <w:highlight w:val="none"/>
          <w:shd w:val="clear" w:color="auto" w:fill="FFFFFF"/>
        </w:rPr>
        <w:t>且因康辉旅行社房屋租赁事件导致全民健身中心于</w:t>
      </w:r>
      <w:r>
        <w:rPr>
          <w:rFonts w:cs="Segoe UI"/>
          <w:highlight w:val="none"/>
          <w:shd w:val="clear" w:color="auto" w:fill="FFFFFF"/>
        </w:rPr>
        <w:t>2023年12月</w:t>
      </w:r>
      <w:r>
        <w:rPr>
          <w:rFonts w:hint="eastAsia" w:cs="Segoe UI"/>
          <w:highlight w:val="none"/>
          <w:shd w:val="clear" w:color="auto" w:fill="FFFFFF"/>
        </w:rPr>
        <w:t>才</w:t>
      </w:r>
      <w:r>
        <w:rPr>
          <w:rFonts w:cs="Segoe UI"/>
          <w:highlight w:val="none"/>
          <w:shd w:val="clear" w:color="auto" w:fill="FFFFFF"/>
        </w:rPr>
        <w:t>通过法院强制执行收回房屋，</w:t>
      </w:r>
      <w:r>
        <w:rPr>
          <w:rFonts w:hint="eastAsia" w:cs="Segoe UI"/>
          <w:highlight w:val="none"/>
          <w:shd w:val="clear" w:color="auto" w:fill="FFFFFF"/>
        </w:rPr>
        <w:t>同时，方案设计</w:t>
      </w:r>
      <w:r>
        <w:rPr>
          <w:rFonts w:cs="Segoe UI"/>
          <w:highlight w:val="none"/>
          <w:shd w:val="clear" w:color="auto" w:fill="FFFFFF"/>
        </w:rPr>
        <w:t>期间3号楼设计方案</w:t>
      </w:r>
      <w:r>
        <w:rPr>
          <w:rFonts w:hint="eastAsia" w:cs="Segoe UI"/>
          <w:highlight w:val="none"/>
          <w:shd w:val="clear" w:color="auto" w:fill="FFFFFF"/>
        </w:rPr>
        <w:t>亦</w:t>
      </w:r>
      <w:r>
        <w:rPr>
          <w:rFonts w:cs="Segoe UI"/>
          <w:highlight w:val="none"/>
          <w:shd w:val="clear" w:color="auto" w:fill="FFFFFF"/>
        </w:rPr>
        <w:t>历经多次与市政协沟通确定</w:t>
      </w:r>
      <w:r>
        <w:rPr>
          <w:rFonts w:hint="eastAsia" w:cs="Segoe UI"/>
          <w:highlight w:val="none"/>
          <w:shd w:val="clear" w:color="auto" w:fill="FFFFFF"/>
        </w:rPr>
        <w:t>。项目方案设计完善、施工时间安排、配套管线路径选择等方面均受到了一定影响，</w:t>
      </w:r>
      <w:r>
        <w:rPr>
          <w:rFonts w:cs="Segoe UI"/>
          <w:highlight w:val="none"/>
          <w:shd w:val="clear" w:color="auto" w:fill="FFFFFF"/>
        </w:rPr>
        <w:t>导致</w:t>
      </w:r>
      <w:r>
        <w:rPr>
          <w:rFonts w:hint="eastAsia" w:cs="Segoe UI"/>
          <w:highlight w:val="none"/>
          <w:shd w:val="clear" w:color="auto" w:fill="FFFFFF"/>
        </w:rPr>
        <w:t>部分工程</w:t>
      </w:r>
      <w:r>
        <w:rPr>
          <w:rFonts w:cs="Segoe UI"/>
          <w:highlight w:val="none"/>
          <w:shd w:val="clear" w:color="auto" w:fill="FFFFFF"/>
        </w:rPr>
        <w:t>未能依照计划顺利完</w:t>
      </w:r>
      <w:r>
        <w:rPr>
          <w:rFonts w:cs="Segoe UI"/>
          <w:shd w:val="clear" w:color="auto" w:fill="FFFFFF"/>
        </w:rPr>
        <w:t>成</w:t>
      </w:r>
      <w:r>
        <w:rPr>
          <w:rFonts w:hint="eastAsia" w:cs="Segoe UI"/>
          <w:shd w:val="clear" w:color="auto" w:fill="FFFFFF"/>
        </w:rPr>
        <w:t>，如拆除工作施工进度较慢，不符合合同规定完成期限，</w:t>
      </w:r>
      <w:r>
        <w:rPr>
          <w:rFonts w:cs="Segoe UI"/>
          <w:shd w:val="clear" w:color="auto" w:fill="FFFFFF"/>
        </w:rPr>
        <w:t>在一定程度上影响了施工计划的推进，进而存在无法按照既定计划完工的风险。</w:t>
      </w:r>
    </w:p>
    <w:p>
      <w:pPr>
        <w:pStyle w:val="29"/>
        <w:spacing w:line="560" w:lineRule="exact"/>
        <w:ind w:firstLine="640"/>
      </w:pPr>
      <w:r>
        <w:t>4.</w:t>
      </w:r>
      <w:r>
        <w:rPr>
          <w:rFonts w:hint="eastAsia"/>
        </w:rPr>
        <w:t>服务对象满意度</w:t>
      </w:r>
    </w:p>
    <w:p>
      <w:pPr>
        <w:pStyle w:val="29"/>
        <w:spacing w:line="560" w:lineRule="exact"/>
        <w:ind w:firstLine="640"/>
      </w:pPr>
      <w:r>
        <w:rPr>
          <w:rFonts w:hint="eastAsia"/>
        </w:rPr>
        <w:t>周边群众满意度（总分</w:t>
      </w:r>
      <w:r>
        <w:t>4</w:t>
      </w:r>
      <w:r>
        <w:rPr>
          <w:rFonts w:hint="eastAsia"/>
        </w:rPr>
        <w:t>分，得分</w:t>
      </w:r>
      <w:r>
        <w:t>3.75</w:t>
      </w:r>
      <w:r>
        <w:rPr>
          <w:rFonts w:hint="eastAsia"/>
        </w:rPr>
        <w:t>分）。根据和平区全民健身中心改造项目</w:t>
      </w:r>
      <w:r>
        <w:t>主要实施内容，</w:t>
      </w:r>
      <w:r>
        <w:rPr>
          <w:rFonts w:hint="eastAsia" w:cs="Times New Roman"/>
        </w:rPr>
        <w:t>项目该阶段涉及服务对象为</w:t>
      </w:r>
      <w:r>
        <w:rPr>
          <w:rFonts w:hint="eastAsia"/>
        </w:rPr>
        <w:t>周边群众</w:t>
      </w:r>
      <w:r>
        <w:t>，</w:t>
      </w:r>
      <w:r>
        <w:rPr>
          <w:rFonts w:hint="eastAsia"/>
        </w:rPr>
        <w:t>评价组</w:t>
      </w:r>
      <w:r>
        <w:t>对100</w:t>
      </w:r>
      <w:r>
        <w:rPr>
          <w:rFonts w:hint="eastAsia"/>
        </w:rPr>
        <w:t>名项目周边群众</w:t>
      </w:r>
      <w:r>
        <w:t>进行满意度调查，共发放100份问卷，实际收回有效问卷共100份，</w:t>
      </w:r>
      <w:r>
        <w:rPr>
          <w:rFonts w:hint="eastAsia"/>
        </w:rPr>
        <w:t>涉及满意度问题</w:t>
      </w:r>
      <w:r>
        <w:t>4</w:t>
      </w:r>
      <w:r>
        <w:rPr>
          <w:rFonts w:hint="eastAsia"/>
        </w:rPr>
        <w:t>项，调查内容涉及施工对出行影响情况的满意度、施工对环境影响情况的满意度、施工时间对生活影响情况的满意度、施工安全情况的满意度。</w:t>
      </w:r>
      <w:bookmarkStart w:id="24" w:name="_Hlk140793631"/>
      <w:r>
        <w:rPr>
          <w:rFonts w:hint="eastAsia"/>
        </w:rPr>
        <w:t>周边群众对居全民健身中心改造项目的满意度</w:t>
      </w:r>
      <w:bookmarkEnd w:id="24"/>
      <w:r>
        <w:rPr>
          <w:rFonts w:hint="eastAsia"/>
        </w:rPr>
        <w:t>为</w:t>
      </w:r>
      <w:r>
        <w:t>93.75%</w:t>
      </w:r>
      <w:r>
        <w:rPr>
          <w:rFonts w:hint="eastAsia"/>
        </w:rPr>
        <w:t>。具体情况见表</w:t>
      </w:r>
      <w:r>
        <w:t>5</w:t>
      </w:r>
      <w:r>
        <w:rPr>
          <w:rFonts w:hint="eastAsia"/>
        </w:rPr>
        <w:t>。</w:t>
      </w:r>
    </w:p>
    <w:p>
      <w:pPr>
        <w:pStyle w:val="36"/>
        <w:spacing w:line="560" w:lineRule="exact"/>
      </w:pPr>
      <w:r>
        <w:t xml:space="preserve">表5 </w:t>
      </w:r>
      <w:r>
        <w:rPr>
          <w:rFonts w:hint="eastAsia"/>
        </w:rPr>
        <w:t xml:space="preserve"> 周边群众满意度</w:t>
      </w:r>
      <w:r>
        <w:t>统计表</w:t>
      </w:r>
    </w:p>
    <w:p>
      <w:pPr>
        <w:spacing w:line="560" w:lineRule="exact"/>
        <w:ind w:right="304" w:firstLine="420"/>
        <w:jc w:val="right"/>
        <w:rPr>
          <w:rFonts w:ascii="Times New Roman" w:hAnsi="Times New Roman" w:eastAsia="宋体"/>
        </w:rPr>
      </w:pPr>
      <w:r>
        <w:rPr>
          <w:rFonts w:hint="eastAsia" w:ascii="Times New Roman" w:hAnsi="Times New Roman" w:eastAsia="宋体" w:cs="宋体"/>
        </w:rPr>
        <w:t xml:space="preserve"> </w:t>
      </w:r>
      <w:r>
        <w:rPr>
          <w:rFonts w:ascii="Times New Roman" w:hAnsi="Times New Roman" w:eastAsia="宋体" w:cs="宋体"/>
        </w:rPr>
        <w:t xml:space="preserve">                                                           </w:t>
      </w:r>
      <w:r>
        <w:rPr>
          <w:rFonts w:hint="eastAsia" w:ascii="Times New Roman" w:hAnsi="Times New Roman" w:eastAsia="宋体" w:cs="宋体"/>
        </w:rPr>
        <w:t xml:space="preserve"> </w:t>
      </w:r>
      <w:r>
        <w:rPr>
          <w:rFonts w:ascii="Times New Roman" w:hAnsi="Times New Roman" w:eastAsia="宋体" w:cs="宋体"/>
        </w:rPr>
        <w:t xml:space="preserve">单位：人                                                                                           </w:t>
      </w:r>
    </w:p>
    <w:tbl>
      <w:tblPr>
        <w:tblStyle w:val="17"/>
        <w:tblW w:w="45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3"/>
        <w:gridCol w:w="1446"/>
        <w:gridCol w:w="1453"/>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382" w:type="pct"/>
          </w:tcPr>
          <w:p>
            <w:pPr>
              <w:spacing w:line="259" w:lineRule="auto"/>
              <w:ind w:firstLine="0" w:firstLineChars="0"/>
              <w:jc w:val="center"/>
              <w:rPr>
                <w:rFonts w:ascii="Times New Roman" w:hAnsi="Times New Roman" w:eastAsia="黑体"/>
                <w:b/>
              </w:rPr>
            </w:pPr>
            <w:r>
              <w:rPr>
                <w:rFonts w:hint="eastAsia" w:ascii="Times New Roman" w:hAnsi="Times New Roman" w:eastAsia="黑体"/>
                <w:b/>
              </w:rPr>
              <w:t>调查问题</w:t>
            </w:r>
          </w:p>
        </w:tc>
        <w:tc>
          <w:tcPr>
            <w:tcW w:w="869" w:type="pct"/>
          </w:tcPr>
          <w:p>
            <w:pPr>
              <w:spacing w:line="259" w:lineRule="auto"/>
              <w:ind w:firstLine="0" w:firstLineChars="0"/>
              <w:jc w:val="center"/>
              <w:rPr>
                <w:rFonts w:ascii="Times New Roman" w:hAnsi="Times New Roman" w:eastAsia="黑体"/>
                <w:b/>
              </w:rPr>
            </w:pPr>
            <w:r>
              <w:rPr>
                <w:rFonts w:hint="eastAsia" w:ascii="Times New Roman" w:hAnsi="Times New Roman" w:eastAsia="黑体"/>
                <w:b/>
              </w:rPr>
              <w:t>调查人数</w:t>
            </w:r>
          </w:p>
        </w:tc>
        <w:tc>
          <w:tcPr>
            <w:tcW w:w="871" w:type="pct"/>
          </w:tcPr>
          <w:p>
            <w:pPr>
              <w:spacing w:line="259" w:lineRule="auto"/>
              <w:ind w:firstLine="0" w:firstLineChars="0"/>
              <w:jc w:val="center"/>
              <w:rPr>
                <w:rFonts w:ascii="Times New Roman" w:hAnsi="Times New Roman" w:eastAsia="黑体"/>
                <w:b/>
              </w:rPr>
            </w:pPr>
            <w:r>
              <w:rPr>
                <w:rFonts w:hint="eastAsia" w:ascii="Times New Roman" w:hAnsi="Times New Roman" w:eastAsia="黑体"/>
                <w:b/>
              </w:rPr>
              <w:t>满意人数</w:t>
            </w:r>
          </w:p>
        </w:tc>
        <w:tc>
          <w:tcPr>
            <w:tcW w:w="875" w:type="pct"/>
          </w:tcPr>
          <w:p>
            <w:pPr>
              <w:spacing w:line="259" w:lineRule="auto"/>
              <w:ind w:firstLine="0" w:firstLineChars="0"/>
              <w:jc w:val="center"/>
              <w:rPr>
                <w:rFonts w:ascii="Times New Roman" w:hAnsi="Times New Roman" w:eastAsia="黑体"/>
                <w:b/>
              </w:rPr>
            </w:pPr>
            <w:r>
              <w:rPr>
                <w:rFonts w:hint="eastAsia" w:ascii="Times New Roman" w:hAnsi="Times New Roman" w:eastAsia="黑体"/>
                <w:b/>
              </w:rPr>
              <w:t>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pct"/>
          </w:tcPr>
          <w:p>
            <w:pPr>
              <w:spacing w:line="259" w:lineRule="auto"/>
              <w:ind w:firstLine="0" w:firstLineChars="0"/>
              <w:jc w:val="center"/>
              <w:rPr>
                <w:rFonts w:ascii="Times New Roman" w:hAnsi="Times New Roman" w:eastAsia="宋体"/>
              </w:rPr>
            </w:pPr>
            <w:r>
              <w:rPr>
                <w:rFonts w:hint="eastAsia" w:ascii="Times New Roman" w:hAnsi="Times New Roman" w:eastAsia="宋体" w:cs="Times New Roman"/>
                <w:szCs w:val="22"/>
              </w:rPr>
              <w:t>施工对出行影响情况的满意度</w:t>
            </w:r>
          </w:p>
        </w:tc>
        <w:tc>
          <w:tcPr>
            <w:tcW w:w="869"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100</w:t>
            </w:r>
          </w:p>
        </w:tc>
        <w:tc>
          <w:tcPr>
            <w:tcW w:w="871"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95</w:t>
            </w:r>
          </w:p>
        </w:tc>
        <w:tc>
          <w:tcPr>
            <w:tcW w:w="875"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pct"/>
            <w:vAlign w:val="center"/>
          </w:tcPr>
          <w:p>
            <w:pPr>
              <w:spacing w:line="259" w:lineRule="auto"/>
              <w:ind w:firstLine="0" w:firstLineChars="0"/>
              <w:jc w:val="center"/>
              <w:rPr>
                <w:rFonts w:ascii="Times New Roman" w:hAnsi="Times New Roman" w:eastAsia="宋体"/>
              </w:rPr>
            </w:pPr>
            <w:r>
              <w:rPr>
                <w:rFonts w:hint="eastAsia" w:ascii="Times New Roman" w:hAnsi="Times New Roman" w:eastAsia="宋体" w:cs="Times New Roman"/>
                <w:szCs w:val="22"/>
              </w:rPr>
              <w:t>施工对环境影响情况的满意度</w:t>
            </w:r>
          </w:p>
        </w:tc>
        <w:tc>
          <w:tcPr>
            <w:tcW w:w="869"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100</w:t>
            </w:r>
          </w:p>
        </w:tc>
        <w:tc>
          <w:tcPr>
            <w:tcW w:w="871"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93</w:t>
            </w:r>
          </w:p>
        </w:tc>
        <w:tc>
          <w:tcPr>
            <w:tcW w:w="875"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pct"/>
            <w:vAlign w:val="center"/>
          </w:tcPr>
          <w:p>
            <w:pPr>
              <w:spacing w:line="259" w:lineRule="auto"/>
              <w:ind w:firstLine="0" w:firstLineChars="0"/>
              <w:jc w:val="center"/>
              <w:rPr>
                <w:rFonts w:ascii="Times New Roman" w:hAnsi="Times New Roman" w:eastAsia="宋体"/>
              </w:rPr>
            </w:pPr>
            <w:r>
              <w:rPr>
                <w:rFonts w:hint="eastAsia" w:ascii="Times New Roman" w:hAnsi="Times New Roman" w:eastAsia="宋体" w:cs="Times New Roman"/>
                <w:szCs w:val="22"/>
              </w:rPr>
              <w:t>施工时间对生活影响情况的满意度</w:t>
            </w:r>
          </w:p>
        </w:tc>
        <w:tc>
          <w:tcPr>
            <w:tcW w:w="869"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100</w:t>
            </w:r>
          </w:p>
        </w:tc>
        <w:tc>
          <w:tcPr>
            <w:tcW w:w="871"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92</w:t>
            </w:r>
          </w:p>
        </w:tc>
        <w:tc>
          <w:tcPr>
            <w:tcW w:w="875"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82" w:type="pct"/>
            <w:vAlign w:val="center"/>
          </w:tcPr>
          <w:p>
            <w:pPr>
              <w:spacing w:line="259" w:lineRule="auto"/>
              <w:ind w:firstLine="0" w:firstLineChars="0"/>
              <w:jc w:val="center"/>
              <w:rPr>
                <w:rFonts w:ascii="Times New Roman" w:hAnsi="Times New Roman" w:eastAsia="宋体"/>
              </w:rPr>
            </w:pPr>
            <w:r>
              <w:rPr>
                <w:rFonts w:hint="eastAsia" w:ascii="Times New Roman" w:hAnsi="Times New Roman" w:eastAsia="宋体" w:cs="Times New Roman"/>
                <w:szCs w:val="22"/>
              </w:rPr>
              <w:t>施工安全情况的满意度</w:t>
            </w:r>
          </w:p>
        </w:tc>
        <w:tc>
          <w:tcPr>
            <w:tcW w:w="869"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100</w:t>
            </w:r>
          </w:p>
        </w:tc>
        <w:tc>
          <w:tcPr>
            <w:tcW w:w="871"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95</w:t>
            </w:r>
          </w:p>
        </w:tc>
        <w:tc>
          <w:tcPr>
            <w:tcW w:w="875" w:type="pct"/>
          </w:tcPr>
          <w:p>
            <w:pPr>
              <w:spacing w:line="259" w:lineRule="auto"/>
              <w:ind w:firstLine="0" w:firstLineChars="0"/>
              <w:jc w:val="center"/>
              <w:rPr>
                <w:rFonts w:ascii="Times New Roman" w:hAnsi="Times New Roman" w:eastAsia="宋体" w:cs="Times New Roman"/>
              </w:rPr>
            </w:pPr>
            <w:r>
              <w:rPr>
                <w:rFonts w:ascii="Times New Roman" w:hAnsi="Times New Roman" w:eastAsia="宋体" w:cs="Times New Roma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4" w:type="pct"/>
            <w:gridSpan w:val="3"/>
          </w:tcPr>
          <w:p>
            <w:pPr>
              <w:spacing w:line="259" w:lineRule="auto"/>
              <w:ind w:firstLine="0" w:firstLineChars="0"/>
              <w:jc w:val="center"/>
              <w:rPr>
                <w:rFonts w:ascii="Times New Roman" w:hAnsi="Times New Roman" w:eastAsia="宋体"/>
                <w:b/>
              </w:rPr>
            </w:pPr>
            <w:r>
              <w:rPr>
                <w:rFonts w:hint="eastAsia" w:ascii="Times New Roman" w:hAnsi="Times New Roman" w:eastAsia="宋体"/>
                <w:b/>
              </w:rPr>
              <w:t>合计</w:t>
            </w:r>
          </w:p>
        </w:tc>
        <w:tc>
          <w:tcPr>
            <w:tcW w:w="875" w:type="pct"/>
          </w:tcPr>
          <w:p>
            <w:pPr>
              <w:spacing w:line="259" w:lineRule="auto"/>
              <w:ind w:firstLine="0" w:firstLineChars="0"/>
              <w:jc w:val="center"/>
              <w:rPr>
                <w:rFonts w:ascii="Times New Roman" w:hAnsi="Times New Roman" w:eastAsia="宋体" w:cs="Times New Roman"/>
                <w:b/>
              </w:rPr>
            </w:pPr>
            <w:r>
              <w:rPr>
                <w:rFonts w:ascii="Times New Roman" w:hAnsi="Times New Roman" w:eastAsia="宋体" w:cs="Times New Roman"/>
                <w:b/>
              </w:rPr>
              <w:t>93.75%</w:t>
            </w:r>
          </w:p>
        </w:tc>
      </w:tr>
    </w:tbl>
    <w:p>
      <w:pPr>
        <w:pStyle w:val="31"/>
        <w:spacing w:line="560" w:lineRule="exact"/>
      </w:pPr>
      <w:bookmarkStart w:id="25" w:name="_Toc176111917"/>
      <w:bookmarkStart w:id="26" w:name="_Toc181369923"/>
      <w:r>
        <w:rPr>
          <w:rFonts w:hint="eastAsia"/>
        </w:rPr>
        <w:t>五、存在的主要问题</w:t>
      </w:r>
      <w:bookmarkEnd w:id="25"/>
      <w:bookmarkEnd w:id="26"/>
    </w:p>
    <w:p>
      <w:pPr>
        <w:pStyle w:val="33"/>
        <w:spacing w:line="560" w:lineRule="exact"/>
        <w:ind w:firstLine="640"/>
        <w:rPr>
          <w:rFonts w:ascii="Times New Roman" w:hAnsi="Times New Roman"/>
        </w:rPr>
      </w:pPr>
      <w:bookmarkStart w:id="27" w:name="_Toc175737145"/>
      <w:bookmarkStart w:id="28" w:name="_Toc181369924"/>
      <w:bookmarkStart w:id="29" w:name="_Toc176111919"/>
      <w:r>
        <w:rPr>
          <w:rFonts w:hint="eastAsia" w:ascii="Times New Roman" w:hAnsi="Times New Roman"/>
        </w:rPr>
        <w:t>（一）</w:t>
      </w:r>
      <w:bookmarkEnd w:id="27"/>
      <w:r>
        <w:rPr>
          <w:rFonts w:hint="eastAsia" w:ascii="Times New Roman" w:hAnsi="Times New Roman"/>
        </w:rPr>
        <w:t>绩效目标设置质量不高</w:t>
      </w:r>
      <w:bookmarkEnd w:id="28"/>
    </w:p>
    <w:p>
      <w:pPr>
        <w:pStyle w:val="29"/>
        <w:spacing w:line="560" w:lineRule="exact"/>
        <w:ind w:firstLine="640"/>
      </w:pPr>
      <w:r>
        <w:rPr>
          <w:rFonts w:hint="eastAsia"/>
        </w:rPr>
        <w:t>根据区全民健身中心设置绩效目标与项目实施方案对比，和平区全民健身中心改造项目总体绩效目标为“完成工程招投标等前期准备工作、完成项目拆除工程，实现主体动工，为项目按期投入使用奠定基础”。绩效指标仅包含拆除工程内容，未体现工程测</w:t>
      </w:r>
      <w:r>
        <w:rPr>
          <w:rFonts w:hint="eastAsia"/>
          <w:bCs/>
        </w:rPr>
        <w:t>绘、聘请监理、聘请法律顾问等前期准备工作内容，</w:t>
      </w:r>
      <w:r>
        <w:rPr>
          <w:rFonts w:hint="eastAsia"/>
        </w:rPr>
        <w:t>绩效目标设置不全面，指标细化分解程度不足，与项目目标任务数或计划数不对应，绩效目标设置质量有待提高。</w:t>
      </w:r>
    </w:p>
    <w:bookmarkEnd w:id="29"/>
    <w:p>
      <w:pPr>
        <w:pStyle w:val="33"/>
        <w:spacing w:line="560" w:lineRule="exact"/>
        <w:ind w:firstLine="640"/>
        <w:rPr>
          <w:rFonts w:ascii="Times New Roman" w:hAnsi="Times New Roman"/>
        </w:rPr>
      </w:pPr>
      <w:bookmarkStart w:id="30" w:name="_Toc176111920"/>
      <w:bookmarkStart w:id="31" w:name="_Toc175824256"/>
      <w:bookmarkStart w:id="32" w:name="_Toc181369925"/>
      <w:r>
        <w:rPr>
          <w:rFonts w:hint="eastAsia" w:ascii="Times New Roman" w:hAnsi="Times New Roman"/>
        </w:rPr>
        <w:t>（二</w:t>
      </w:r>
      <w:r>
        <w:rPr>
          <w:rFonts w:ascii="Times New Roman" w:hAnsi="Times New Roman"/>
        </w:rPr>
        <w:t>）</w:t>
      </w:r>
      <w:bookmarkEnd w:id="30"/>
      <w:bookmarkEnd w:id="31"/>
      <w:r>
        <w:rPr>
          <w:rFonts w:hint="eastAsia" w:ascii="Times New Roman" w:hAnsi="Times New Roman"/>
        </w:rPr>
        <w:t>项目测算依据不明确，预算执行不到位</w:t>
      </w:r>
      <w:bookmarkEnd w:id="32"/>
    </w:p>
    <w:p>
      <w:pPr>
        <w:pStyle w:val="29"/>
        <w:spacing w:line="560" w:lineRule="exact"/>
        <w:ind w:firstLine="640"/>
        <w:rPr>
          <w:bCs/>
        </w:rPr>
      </w:pPr>
      <w:r>
        <w:rPr>
          <w:rFonts w:hint="eastAsia"/>
        </w:rPr>
        <w:t>在预算编制阶段，项目</w:t>
      </w:r>
      <w:r>
        <w:rPr>
          <w:rFonts w:hint="eastAsia"/>
          <w:bCs/>
        </w:rPr>
        <w:t>测算表未细化具体任务明细、支出标准名称、测算依据等内容，存在</w:t>
      </w:r>
      <w:r>
        <w:rPr>
          <w:rFonts w:cs="Segoe UI"/>
          <w:shd w:val="clear" w:color="auto" w:fill="FFFFFF"/>
        </w:rPr>
        <w:t>预算测算依据</w:t>
      </w:r>
      <w:r>
        <w:rPr>
          <w:rFonts w:hint="eastAsia" w:cs="Segoe UI"/>
          <w:shd w:val="clear" w:color="auto" w:fill="FFFFFF"/>
        </w:rPr>
        <w:t>不明确</w:t>
      </w:r>
      <w:r>
        <w:rPr>
          <w:rFonts w:cs="Segoe UI"/>
          <w:shd w:val="clear" w:color="auto" w:fill="FFFFFF"/>
        </w:rPr>
        <w:t>、编制不规范</w:t>
      </w:r>
      <w:r>
        <w:rPr>
          <w:rFonts w:hint="eastAsia"/>
          <w:bCs/>
        </w:rPr>
        <w:t>的情况，</w:t>
      </w:r>
      <w:r>
        <w:t>可能会</w:t>
      </w:r>
      <w:r>
        <w:rPr>
          <w:rFonts w:hint="eastAsia"/>
        </w:rPr>
        <w:t>造成</w:t>
      </w:r>
      <w:r>
        <w:t>资源的不合理分配，影响项目的顺利推进和目标的实现。</w:t>
      </w:r>
      <w:r>
        <w:rPr>
          <w:rFonts w:hint="eastAsia"/>
        </w:rPr>
        <w:t>根据资金支付系统及单位提供的明细账得出，截至</w:t>
      </w:r>
      <w:r>
        <w:t>2023年底</w:t>
      </w:r>
      <w:r>
        <w:rPr>
          <w:rFonts w:hint="eastAsia"/>
        </w:rPr>
        <w:t>，和平区全民健身中心改造项目</w:t>
      </w:r>
      <w:r>
        <w:t>实际到位债券资金共计20000万元，实际支出债券资金5000万元，</w:t>
      </w:r>
      <w:r>
        <w:rPr>
          <w:rFonts w:hint="eastAsia"/>
        </w:rPr>
        <w:t>总体执行水平较低</w:t>
      </w:r>
      <w:r>
        <w:t>。</w:t>
      </w:r>
    </w:p>
    <w:p>
      <w:pPr>
        <w:pStyle w:val="33"/>
        <w:spacing w:line="560" w:lineRule="exact"/>
        <w:ind w:firstLine="640"/>
        <w:rPr>
          <w:rFonts w:ascii="Times New Roman" w:hAnsi="Times New Roman" w:cs="Segoe UI"/>
          <w:shd w:val="clear" w:color="auto" w:fill="FFFFFF"/>
        </w:rPr>
      </w:pPr>
      <w:bookmarkStart w:id="33" w:name="_Toc181369926"/>
      <w:r>
        <w:rPr>
          <w:rFonts w:hint="eastAsia" w:ascii="Times New Roman" w:hAnsi="Times New Roman"/>
        </w:rPr>
        <w:t>（三</w:t>
      </w:r>
      <w:r>
        <w:rPr>
          <w:rFonts w:ascii="Times New Roman" w:hAnsi="Times New Roman"/>
        </w:rPr>
        <w:t>）</w:t>
      </w:r>
      <w:r>
        <w:rPr>
          <w:rFonts w:ascii="Times New Roman" w:hAnsi="Times New Roman" w:cs="Segoe UI"/>
          <w:shd w:val="clear" w:color="auto" w:fill="FFFFFF"/>
        </w:rPr>
        <w:t>未编制施工进度计划</w:t>
      </w:r>
      <w:r>
        <w:rPr>
          <w:rFonts w:hint="eastAsia" w:ascii="Times New Roman" w:hAnsi="Times New Roman" w:cs="Segoe UI"/>
          <w:shd w:val="clear" w:color="auto" w:fill="FFFFFF"/>
        </w:rPr>
        <w:t>，无法衡量施工进度</w:t>
      </w:r>
      <w:bookmarkEnd w:id="33"/>
    </w:p>
    <w:p>
      <w:pPr>
        <w:pStyle w:val="29"/>
        <w:spacing w:line="560" w:lineRule="exact"/>
        <w:ind w:firstLine="640"/>
        <w:rPr>
          <w:rFonts w:cs="Segoe UI"/>
          <w:highlight w:val="none"/>
          <w:shd w:val="clear" w:color="auto" w:fill="FFFFFF"/>
        </w:rPr>
      </w:pPr>
      <w:r>
        <w:rPr>
          <w:rFonts w:cs="Segoe UI"/>
          <w:shd w:val="clear" w:color="auto" w:fill="FFFFFF"/>
        </w:rPr>
        <w:t>项目实施单位未编制合理、科学的施工总进度计划，亦未制定月度、季度及年度计划，同时未规划相应的资金开支计划。在此</w:t>
      </w:r>
      <w:r>
        <w:rPr>
          <w:rFonts w:cs="Segoe UI"/>
          <w:highlight w:val="none"/>
          <w:shd w:val="clear" w:color="auto" w:fill="FFFFFF"/>
        </w:rPr>
        <w:t>情况下，无法对施工计划与开支计划的客观性进行衡量，也难以判定资金拨付、支出进度与项目建设进度之间的匹配程度。</w:t>
      </w:r>
    </w:p>
    <w:p>
      <w:pPr>
        <w:pStyle w:val="33"/>
        <w:spacing w:line="560" w:lineRule="exact"/>
        <w:ind w:firstLine="640"/>
        <w:rPr>
          <w:rFonts w:ascii="Times New Roman" w:hAnsi="Times New Roman"/>
          <w:highlight w:val="none"/>
        </w:rPr>
      </w:pPr>
      <w:bookmarkStart w:id="34" w:name="_Toc181268852"/>
      <w:bookmarkStart w:id="35" w:name="_Toc181369927"/>
      <w:r>
        <w:rPr>
          <w:rFonts w:hint="eastAsia" w:ascii="Times New Roman" w:hAnsi="Times New Roman"/>
          <w:highlight w:val="none"/>
        </w:rPr>
        <w:t>（四）部分工程进度较慢，未按规定时间完成</w:t>
      </w:r>
      <w:bookmarkEnd w:id="34"/>
      <w:bookmarkEnd w:id="35"/>
    </w:p>
    <w:p>
      <w:pPr>
        <w:pStyle w:val="29"/>
        <w:spacing w:line="560" w:lineRule="exact"/>
        <w:ind w:firstLine="640"/>
      </w:pPr>
      <w:r>
        <w:rPr>
          <w:rFonts w:cs="Segoe UI"/>
          <w:highlight w:val="none"/>
          <w:shd w:val="clear" w:color="auto" w:fill="FFFFFF"/>
        </w:rPr>
        <w:t>由于建设项目地处市中心位置，紧邻住宅、学校、机关单位等，周边相关利益群体众多，</w:t>
      </w:r>
      <w:r>
        <w:rPr>
          <w:rFonts w:hint="eastAsia" w:cs="Segoe UI"/>
          <w:highlight w:val="none"/>
          <w:shd w:val="clear" w:color="auto" w:fill="FFFFFF"/>
        </w:rPr>
        <w:t>且因康辉旅行社房屋租赁事件导致全民健身中心于</w:t>
      </w:r>
      <w:r>
        <w:rPr>
          <w:rFonts w:cs="Segoe UI"/>
          <w:highlight w:val="none"/>
          <w:shd w:val="clear" w:color="auto" w:fill="FFFFFF"/>
        </w:rPr>
        <w:t>2023年12月通过法院强制执行收回房屋，</w:t>
      </w:r>
      <w:r>
        <w:rPr>
          <w:rFonts w:hint="eastAsia" w:cs="Segoe UI"/>
          <w:highlight w:val="none"/>
          <w:shd w:val="clear" w:color="auto" w:fill="FFFFFF"/>
        </w:rPr>
        <w:t>同时，方案设计</w:t>
      </w:r>
      <w:r>
        <w:rPr>
          <w:rFonts w:cs="Segoe UI"/>
          <w:highlight w:val="none"/>
          <w:shd w:val="clear" w:color="auto" w:fill="FFFFFF"/>
        </w:rPr>
        <w:t>期间3号楼设计方案</w:t>
      </w:r>
      <w:r>
        <w:rPr>
          <w:rFonts w:hint="eastAsia" w:cs="Segoe UI"/>
          <w:highlight w:val="none"/>
          <w:shd w:val="clear" w:color="auto" w:fill="FFFFFF"/>
        </w:rPr>
        <w:t>亦</w:t>
      </w:r>
      <w:r>
        <w:rPr>
          <w:rFonts w:cs="Segoe UI"/>
          <w:highlight w:val="none"/>
          <w:shd w:val="clear" w:color="auto" w:fill="FFFFFF"/>
        </w:rPr>
        <w:t>历经多次与市政协沟通确定</w:t>
      </w:r>
      <w:r>
        <w:rPr>
          <w:rFonts w:hint="eastAsia" w:cs="Segoe UI"/>
          <w:highlight w:val="none"/>
          <w:shd w:val="clear" w:color="auto" w:fill="FFFFFF"/>
        </w:rPr>
        <w:t>，</w:t>
      </w:r>
      <w:r>
        <w:rPr>
          <w:rFonts w:cs="Segoe UI"/>
          <w:highlight w:val="none"/>
          <w:shd w:val="clear" w:color="auto" w:fill="FFFFFF"/>
        </w:rPr>
        <w:t>导致</w:t>
      </w:r>
      <w:r>
        <w:rPr>
          <w:rFonts w:hint="eastAsia" w:cs="Segoe UI"/>
          <w:highlight w:val="none"/>
          <w:shd w:val="clear" w:color="auto" w:fill="FFFFFF"/>
        </w:rPr>
        <w:t>部分工程</w:t>
      </w:r>
      <w:r>
        <w:rPr>
          <w:rFonts w:cs="Segoe UI"/>
          <w:highlight w:val="none"/>
          <w:shd w:val="clear" w:color="auto" w:fill="FFFFFF"/>
        </w:rPr>
        <w:t>未依照计划顺利完成</w:t>
      </w:r>
      <w:r>
        <w:rPr>
          <w:rFonts w:hint="eastAsia" w:cs="Segoe UI"/>
          <w:highlight w:val="none"/>
          <w:shd w:val="clear" w:color="auto" w:fill="FFFFFF"/>
        </w:rPr>
        <w:t>。例如</w:t>
      </w:r>
      <w:r>
        <w:rPr>
          <w:highlight w:val="none"/>
        </w:rPr>
        <w:t>拆除工程总产值为350.25万元，应于2023</w:t>
      </w:r>
      <w:r>
        <w:t>年12月26日完成拆除</w:t>
      </w:r>
      <w:r>
        <w:rPr>
          <w:rFonts w:hint="eastAsia"/>
        </w:rPr>
        <w:t>工作</w:t>
      </w:r>
      <w:r>
        <w:t>。</w:t>
      </w:r>
      <w:r>
        <w:rPr>
          <w:rFonts w:hint="eastAsia"/>
        </w:rPr>
        <w:t>但根据</w:t>
      </w:r>
      <w:r>
        <w:t>中期计量审核报告，2023年</w:t>
      </w:r>
      <w:r>
        <w:rPr>
          <w:rFonts w:hint="eastAsia"/>
        </w:rPr>
        <w:t>仅</w:t>
      </w:r>
      <w:r>
        <w:t>完成</w:t>
      </w:r>
      <w:r>
        <w:rPr>
          <w:rFonts w:hint="eastAsia"/>
        </w:rPr>
        <w:t>了</w:t>
      </w:r>
      <w:r>
        <w:t>网球馆及附属楼、羽毛球甲馆</w:t>
      </w:r>
      <w:r>
        <w:rPr>
          <w:rFonts w:hint="eastAsia"/>
        </w:rPr>
        <w:t>部分</w:t>
      </w:r>
      <w:r>
        <w:t>拆除工程，</w:t>
      </w:r>
      <w:r>
        <w:rPr>
          <w:rFonts w:hint="eastAsia"/>
        </w:rPr>
        <w:t>拆除</w:t>
      </w:r>
      <w:r>
        <w:t>产值</w:t>
      </w:r>
      <w:r>
        <w:rPr>
          <w:rFonts w:hint="eastAsia"/>
        </w:rPr>
        <w:t>为</w:t>
      </w:r>
      <w:r>
        <w:t>156.89万元</w:t>
      </w:r>
      <w:r>
        <w:rPr>
          <w:rFonts w:hint="eastAsia"/>
        </w:rPr>
        <w:t>，</w:t>
      </w:r>
      <w:r>
        <w:t>未能</w:t>
      </w:r>
      <w:r>
        <w:rPr>
          <w:rFonts w:hint="eastAsia"/>
        </w:rPr>
        <w:t>及时</w:t>
      </w:r>
      <w:r>
        <w:t>完成全部拆除</w:t>
      </w:r>
      <w:r>
        <w:rPr>
          <w:rFonts w:hint="eastAsia"/>
        </w:rPr>
        <w:t>工作，工程进度较慢。</w:t>
      </w:r>
    </w:p>
    <w:p>
      <w:pPr>
        <w:pStyle w:val="31"/>
        <w:spacing w:line="560" w:lineRule="exact"/>
      </w:pPr>
      <w:bookmarkStart w:id="36" w:name="_Toc176111923"/>
      <w:bookmarkStart w:id="37" w:name="_Toc181369928"/>
      <w:r>
        <w:rPr>
          <w:rFonts w:hint="eastAsia"/>
        </w:rPr>
        <w:t>六、相关建议</w:t>
      </w:r>
      <w:bookmarkEnd w:id="36"/>
      <w:bookmarkEnd w:id="37"/>
    </w:p>
    <w:p>
      <w:pPr>
        <w:pStyle w:val="33"/>
        <w:spacing w:line="560" w:lineRule="exact"/>
        <w:ind w:firstLine="640"/>
        <w:rPr>
          <w:rFonts w:ascii="Times New Roman" w:hAnsi="Times New Roman"/>
        </w:rPr>
      </w:pPr>
      <w:bookmarkStart w:id="38" w:name="_Toc175737148"/>
      <w:bookmarkStart w:id="39" w:name="_Toc176111924"/>
      <w:bookmarkStart w:id="40" w:name="_Toc181369929"/>
      <w:r>
        <w:rPr>
          <w:rFonts w:hint="eastAsia" w:ascii="Times New Roman" w:hAnsi="Times New Roman"/>
        </w:rPr>
        <w:t>（一）</w:t>
      </w:r>
      <w:bookmarkEnd w:id="38"/>
      <w:bookmarkEnd w:id="39"/>
      <w:bookmarkStart w:id="41" w:name="_Toc176111925"/>
      <w:bookmarkStart w:id="42" w:name="_Toc175737149"/>
      <w:r>
        <w:rPr>
          <w:rFonts w:hint="eastAsia" w:ascii="Times New Roman" w:hAnsi="Times New Roman"/>
        </w:rPr>
        <w:t>完善绩效目标管理，提升绩效管理水平</w:t>
      </w:r>
      <w:bookmarkEnd w:id="40"/>
      <w:bookmarkEnd w:id="41"/>
      <w:bookmarkEnd w:id="42"/>
    </w:p>
    <w:p>
      <w:pPr>
        <w:pStyle w:val="29"/>
        <w:spacing w:line="560" w:lineRule="exact"/>
        <w:ind w:firstLine="640"/>
      </w:pPr>
      <w:r>
        <w:rPr>
          <w:rFonts w:hint="eastAsia" w:cs="Segoe UI"/>
          <w:shd w:val="clear" w:color="auto" w:fill="FFFFFF"/>
        </w:rPr>
        <w:t>建议区体育局进一步</w:t>
      </w:r>
      <w:r>
        <w:rPr>
          <w:rFonts w:cs="Segoe UI"/>
          <w:shd w:val="clear" w:color="auto" w:fill="FFFFFF"/>
        </w:rPr>
        <w:t>完善绩效指标体系</w:t>
      </w:r>
      <w:r>
        <w:rPr>
          <w:rFonts w:hint="eastAsia" w:cs="Segoe UI"/>
          <w:shd w:val="clear" w:color="auto" w:fill="FFFFFF"/>
        </w:rPr>
        <w:t>，</w:t>
      </w:r>
      <w:r>
        <w:rPr>
          <w:rFonts w:hint="eastAsia"/>
        </w:rPr>
        <w:t>在设置项目绩效指标时要具有合理性，</w:t>
      </w:r>
      <w:r>
        <w:t>紧密关联项目计划期内的具体任务数与</w:t>
      </w:r>
      <w:r>
        <w:rPr>
          <w:rFonts w:hint="eastAsia"/>
          <w:bCs/>
        </w:rPr>
        <w:t>实际工作内容</w:t>
      </w:r>
      <w:r>
        <w:rPr>
          <w:rFonts w:hint="eastAsia"/>
        </w:rPr>
        <w:t>，细化各项产出指标，全面、准确反映</w:t>
      </w:r>
      <w:r>
        <w:rPr>
          <w:rFonts w:hint="eastAsia"/>
          <w:bCs/>
        </w:rPr>
        <w:t>工程项目的实施内容和主要工作任务，</w:t>
      </w:r>
      <w:r>
        <w:t>实现对项目进展的有效衡量与监控。</w:t>
      </w:r>
      <w:r>
        <w:rPr>
          <w:rFonts w:hint="eastAsia"/>
        </w:rPr>
        <w:t>同时，</w:t>
      </w:r>
      <w:r>
        <w:t>加强</w:t>
      </w:r>
      <w:r>
        <w:rPr>
          <w:rFonts w:hint="eastAsia"/>
        </w:rPr>
        <w:t>部门</w:t>
      </w:r>
      <w:r>
        <w:t>绩效培训力度，提高</w:t>
      </w:r>
      <w:r>
        <w:rPr>
          <w:rFonts w:hint="eastAsia"/>
        </w:rPr>
        <w:t>对预算</w:t>
      </w:r>
      <w:r>
        <w:t>绩效</w:t>
      </w:r>
      <w:r>
        <w:rPr>
          <w:rFonts w:hint="eastAsia"/>
        </w:rPr>
        <w:t>管理</w:t>
      </w:r>
      <w:r>
        <w:t>工作的重视程度，强化对绩效基本概念的理解</w:t>
      </w:r>
      <w:r>
        <w:rPr>
          <w:rFonts w:hint="eastAsia"/>
        </w:rPr>
        <w:t>，切实推进</w:t>
      </w:r>
      <w:r>
        <w:t>整体绩效</w:t>
      </w:r>
      <w:r>
        <w:rPr>
          <w:rFonts w:hint="eastAsia"/>
        </w:rPr>
        <w:t>管理</w:t>
      </w:r>
      <w:r>
        <w:t>工作</w:t>
      </w:r>
      <w:r>
        <w:rPr>
          <w:rFonts w:hint="eastAsia"/>
        </w:rPr>
        <w:t>提质增效，以充分发挥绩效目标对项目执行的引导约束和控制作用</w:t>
      </w:r>
      <w:r>
        <w:t>。</w:t>
      </w:r>
    </w:p>
    <w:p>
      <w:pPr>
        <w:pStyle w:val="33"/>
        <w:spacing w:line="560" w:lineRule="exact"/>
        <w:ind w:firstLine="640"/>
        <w:rPr>
          <w:rFonts w:ascii="Times New Roman" w:hAnsi="Times New Roman"/>
        </w:rPr>
      </w:pPr>
      <w:bookmarkStart w:id="43" w:name="_Toc175824261"/>
      <w:bookmarkStart w:id="44" w:name="_Toc176111926"/>
      <w:bookmarkStart w:id="45" w:name="_Toc181369930"/>
      <w:bookmarkStart w:id="46" w:name="_Toc175737150"/>
      <w:r>
        <w:rPr>
          <w:rFonts w:hint="eastAsia" w:ascii="Times New Roman" w:hAnsi="Times New Roman"/>
        </w:rPr>
        <w:t>（二）</w:t>
      </w:r>
      <w:r>
        <w:rPr>
          <w:rFonts w:ascii="Times New Roman" w:hAnsi="Times New Roman" w:cs="Segoe UI"/>
          <w:shd w:val="clear" w:color="auto" w:fill="FFFFFF"/>
        </w:rPr>
        <w:t>细化</w:t>
      </w:r>
      <w:r>
        <w:rPr>
          <w:rFonts w:hint="eastAsia" w:ascii="Times New Roman" w:hAnsi="Times New Roman" w:cs="Segoe UI"/>
          <w:shd w:val="clear" w:color="auto" w:fill="FFFFFF"/>
        </w:rPr>
        <w:t>项目测算</w:t>
      </w:r>
      <w:r>
        <w:rPr>
          <w:rFonts w:hint="eastAsia" w:ascii="Times New Roman" w:hAnsi="Times New Roman"/>
        </w:rPr>
        <w:t>，落实预算执行监管力度</w:t>
      </w:r>
      <w:bookmarkEnd w:id="43"/>
      <w:bookmarkEnd w:id="44"/>
      <w:bookmarkEnd w:id="45"/>
    </w:p>
    <w:p>
      <w:pPr>
        <w:pStyle w:val="29"/>
        <w:spacing w:line="560" w:lineRule="exact"/>
        <w:ind w:firstLine="640"/>
        <w:rPr>
          <w:rFonts w:cs="Segoe UI"/>
          <w:shd w:val="clear" w:color="auto" w:fill="FFFFFF"/>
        </w:rPr>
      </w:pPr>
      <w:r>
        <w:rPr>
          <w:rFonts w:hint="eastAsia" w:cs="Segoe UI"/>
          <w:shd w:val="clear" w:color="auto" w:fill="FFFFFF"/>
        </w:rPr>
        <w:t>一是建议区体育局</w:t>
      </w:r>
      <w:r>
        <w:rPr>
          <w:rFonts w:cs="Segoe UI"/>
          <w:shd w:val="clear" w:color="auto" w:fill="FFFFFF"/>
        </w:rPr>
        <w:t>细化专项债项目测算表内容</w:t>
      </w:r>
      <w:r>
        <w:rPr>
          <w:rFonts w:hint="eastAsia" w:cs="Segoe UI"/>
          <w:shd w:val="clear" w:color="auto" w:fill="FFFFFF"/>
        </w:rPr>
        <w:t>，明确具体任务明细，将项目拆分为具体的工作任务和子项目；规范支出标准名称，采用统一、准确的名称来描述各项支出标准，避免模糊不清或容易产生歧义的表述；进一步完善测算依据，详细说明预算编制的计算方法和依据，包括市场价格调研、行业标准、历史数据等，确保测算结果合理可靠。二是建议区体育局加强对预算执行过程的动态监督，及时掌握各科室预算执行过程中的情况和适时动态，建立预算执行情况定期通报机制，根据情况强化对财政资金拨款的管控；同时切实履行预算执行主责，加强对项目预算执行过程的调度管理，提高预算执行力。</w:t>
      </w:r>
    </w:p>
    <w:p>
      <w:pPr>
        <w:pStyle w:val="33"/>
        <w:spacing w:line="560" w:lineRule="exact"/>
        <w:ind w:firstLine="640"/>
        <w:rPr>
          <w:rFonts w:ascii="Times New Roman" w:hAnsi="Times New Roman"/>
        </w:rPr>
      </w:pPr>
      <w:bookmarkStart w:id="47" w:name="_Toc181369931"/>
      <w:r>
        <w:rPr>
          <w:rFonts w:hint="eastAsia" w:ascii="Times New Roman" w:hAnsi="Times New Roman"/>
        </w:rPr>
        <w:t>（三）制定详细的施工进度计划，及时</w:t>
      </w:r>
      <w:r>
        <w:rPr>
          <w:rFonts w:cs="Segoe UI"/>
          <w:shd w:val="clear" w:color="auto" w:fill="FFFFFF"/>
        </w:rPr>
        <w:t>调整工期计划</w:t>
      </w:r>
      <w:bookmarkEnd w:id="47"/>
    </w:p>
    <w:p>
      <w:pPr>
        <w:pStyle w:val="29"/>
        <w:spacing w:line="560" w:lineRule="exact"/>
        <w:ind w:firstLine="640"/>
        <w:rPr>
          <w:rFonts w:cs="Segoe UI"/>
          <w:shd w:val="clear" w:color="auto" w:fill="FFFFFF"/>
        </w:rPr>
      </w:pPr>
      <w:r>
        <w:rPr>
          <w:rFonts w:hint="eastAsia" w:cs="Segoe UI"/>
          <w:shd w:val="clear" w:color="auto" w:fill="FFFFFF"/>
        </w:rPr>
        <w:t>建议区体育局</w:t>
      </w:r>
      <w:r>
        <w:rPr>
          <w:rFonts w:cs="Segoe UI"/>
          <w:shd w:val="clear" w:color="auto" w:fill="FFFFFF"/>
        </w:rPr>
        <w:t>依据工程阶段及估算工期，明晰项目的目标、范畴与关键里程碑，拟定详尽的施工进度计划。计划需涵盖</w:t>
      </w:r>
      <w:r>
        <w:rPr>
          <w:rFonts w:hint="eastAsia" w:cs="Segoe UI"/>
          <w:shd w:val="clear" w:color="auto" w:fill="FFFFFF"/>
        </w:rPr>
        <w:t>各</w:t>
      </w:r>
      <w:r>
        <w:rPr>
          <w:rFonts w:cs="Segoe UI"/>
          <w:shd w:val="clear" w:color="auto" w:fill="FFFFFF"/>
        </w:rPr>
        <w:t>阶段的起始与结束时间、工作内容、责任人以及资源需求等信息，且兼具可操作性与可控性。</w:t>
      </w:r>
      <w:r>
        <w:rPr>
          <w:rFonts w:hint="eastAsia" w:cs="Segoe UI"/>
          <w:shd w:val="clear" w:color="auto" w:fill="FFFFFF"/>
        </w:rPr>
        <w:t>同时，</w:t>
      </w:r>
      <w:r>
        <w:rPr>
          <w:rFonts w:cs="Segoe UI"/>
          <w:shd w:val="clear" w:color="auto" w:fill="FFFFFF"/>
        </w:rPr>
        <w:t>依据实际施工状况进行定期更新与调整，及时更新施工进度计划表，以实时反映施工进展情况并调整工期计划。</w:t>
      </w:r>
    </w:p>
    <w:bookmarkEnd w:id="46"/>
    <w:p>
      <w:pPr>
        <w:pStyle w:val="33"/>
        <w:spacing w:line="560" w:lineRule="exact"/>
        <w:ind w:firstLine="640"/>
        <w:rPr>
          <w:rFonts w:ascii="Times New Roman" w:hAnsi="Times New Roman"/>
        </w:rPr>
      </w:pPr>
      <w:bookmarkStart w:id="48" w:name="_Toc176111928"/>
      <w:bookmarkStart w:id="49" w:name="_Toc181369932"/>
      <w:r>
        <w:rPr>
          <w:rFonts w:hint="eastAsia" w:ascii="Times New Roman" w:hAnsi="Times New Roman"/>
          <w:highlight w:val="none"/>
        </w:rPr>
        <w:t>（四</w:t>
      </w:r>
      <w:r>
        <w:rPr>
          <w:rFonts w:ascii="Times New Roman" w:hAnsi="Times New Roman"/>
          <w:highlight w:val="none"/>
        </w:rPr>
        <w:t>）</w:t>
      </w:r>
      <w:bookmarkEnd w:id="48"/>
      <w:r>
        <w:rPr>
          <w:rFonts w:hint="eastAsia" w:ascii="Times New Roman" w:hAnsi="Times New Roman"/>
          <w:highlight w:val="none"/>
        </w:rPr>
        <w:t>健全</w:t>
      </w:r>
      <w:r>
        <w:rPr>
          <w:rFonts w:hint="eastAsia" w:ascii="Times New Roman" w:hAnsi="Times New Roman"/>
        </w:rPr>
        <w:t>沟通协调机制，</w:t>
      </w:r>
      <w:r>
        <w:rPr>
          <w:rFonts w:ascii="Times New Roman" w:hAnsi="Times New Roman"/>
        </w:rPr>
        <w:t>优化施工方案</w:t>
      </w:r>
      <w:bookmarkEnd w:id="49"/>
    </w:p>
    <w:p>
      <w:pPr>
        <w:pStyle w:val="29"/>
        <w:spacing w:line="560" w:lineRule="exact"/>
        <w:ind w:firstLine="640"/>
        <w:rPr>
          <w:color w:val="000000" w:themeColor="text1"/>
          <w14:textFill>
            <w14:solidFill>
              <w14:schemeClr w14:val="tx1"/>
            </w14:solidFill>
          </w14:textFill>
        </w:rPr>
      </w:pPr>
      <w:r>
        <w:rPr>
          <w:rFonts w:hint="eastAsia"/>
        </w:rPr>
        <w:t>一是</w:t>
      </w:r>
      <w:r>
        <w:rPr>
          <w:rFonts w:hint="eastAsia" w:cs="Segoe UI"/>
          <w:highlight w:val="none"/>
          <w:shd w:val="clear" w:color="auto" w:fill="FFFFFF"/>
        </w:rPr>
        <w:t>建议区体育局</w:t>
      </w:r>
      <w:r>
        <w:rPr>
          <w:rFonts w:cs="Segoe UI"/>
          <w:highlight w:val="none"/>
          <w:shd w:val="clear" w:color="auto" w:fill="FFFFFF"/>
        </w:rPr>
        <w:t>建立沟通</w:t>
      </w:r>
      <w:r>
        <w:rPr>
          <w:rFonts w:hint="eastAsia" w:cs="Segoe UI"/>
          <w:highlight w:val="none"/>
          <w:shd w:val="clear" w:color="auto" w:fill="FFFFFF"/>
        </w:rPr>
        <w:t>协调</w:t>
      </w:r>
      <w:r>
        <w:rPr>
          <w:rFonts w:cs="Segoe UI"/>
          <w:highlight w:val="none"/>
          <w:shd w:val="clear" w:color="auto" w:fill="FFFFFF"/>
        </w:rPr>
        <w:t>机制</w:t>
      </w:r>
      <w:r>
        <w:rPr>
          <w:rFonts w:hint="eastAsia" w:cs="Segoe UI"/>
          <w:highlight w:val="none"/>
          <w:shd w:val="clear" w:color="auto" w:fill="FFFFFF"/>
        </w:rPr>
        <w:t>，设立专门的项目沟通团队，负责与周边住宅、学校、单位等相关利益群体进行定期沟通，同时加强与法院、政协、行政审批局及财政等相关部门联系，可通过建立微信群、设立热线电话等方式，确保信息畅通。同时制定沟通计划，明确沟通的频率、方式和内容。例如，定期组织面对面的沟通会议，向周边居民和单</w:t>
      </w:r>
      <w:r>
        <w:rPr>
          <w:rFonts w:hint="eastAsia" w:cs="Segoe UI"/>
          <w:shd w:val="clear" w:color="auto" w:fill="FFFFFF"/>
        </w:rPr>
        <w:t>位通报项目进展情况，听取他们的意见和建议。二是建议区体育局进一步</w:t>
      </w:r>
      <w:r>
        <w:rPr>
          <w:rFonts w:cs="Segoe UI"/>
          <w:shd w:val="clear" w:color="auto" w:fill="FFFFFF"/>
        </w:rPr>
        <w:t>优化施工方案</w:t>
      </w:r>
      <w:r>
        <w:rPr>
          <w:rFonts w:hint="eastAsia" w:cs="Segoe UI"/>
          <w:shd w:val="clear" w:color="auto" w:fill="FFFFFF"/>
        </w:rPr>
        <w:t>。施工阶段充分考虑周边环境的影响，</w:t>
      </w:r>
      <w:r>
        <w:rPr>
          <w:rFonts w:cs="Segoe UI"/>
          <w:shd w:val="clear" w:color="auto" w:fill="FFFFFF"/>
        </w:rPr>
        <w:t>合理安排施工时间</w:t>
      </w:r>
      <w:r>
        <w:rPr>
          <w:rFonts w:hint="eastAsia" w:cs="Segoe UI"/>
          <w:shd w:val="clear" w:color="auto" w:fill="FFFFFF"/>
        </w:rPr>
        <w:t>和资源，尽量避免在居民休息时间和学校上课时间进行施工。例如，可将施工时间安排在白天的工作时间，或者在周末和节假日进行一些噪音较小的施工。对于一些必须在夜间进行的施工，可提前向周边居民和单位进行通知，并采取有效的降噪措施，减少对他们的影响。同时，选择低噪音、低振动的施工技术和设备，并加强施工设备维护和管理，确保设备正常运行，减少施工对周边环境的影响。</w:t>
      </w:r>
    </w:p>
    <w:p>
      <w:pPr>
        <w:pStyle w:val="31"/>
        <w:numPr>
          <w:ilvl w:val="0"/>
          <w:numId w:val="1"/>
        </w:numPr>
        <w:spacing w:line="560" w:lineRule="exact"/>
      </w:pPr>
      <w:bookmarkStart w:id="50" w:name="_Toc20252"/>
      <w:bookmarkStart w:id="51" w:name="_Toc181369933"/>
      <w:bookmarkStart w:id="52" w:name="_Toc29032"/>
      <w:r>
        <w:rPr>
          <w:rFonts w:hint="eastAsia"/>
        </w:rPr>
        <w:t>其他需要说明的问题</w:t>
      </w:r>
      <w:bookmarkEnd w:id="50"/>
      <w:bookmarkEnd w:id="51"/>
      <w:bookmarkEnd w:id="52"/>
      <w:bookmarkStart w:id="53" w:name="_Toc1672"/>
      <w:bookmarkStart w:id="54" w:name="_Toc31979"/>
    </w:p>
    <w:p>
      <w:pPr>
        <w:pStyle w:val="29"/>
        <w:spacing w:line="560" w:lineRule="exact"/>
        <w:ind w:firstLine="640"/>
        <w:rPr>
          <w:rFonts w:cs="Segoe UI"/>
          <w:shd w:val="clear" w:color="auto" w:fill="FFFFFF"/>
        </w:rPr>
      </w:pPr>
      <w:r>
        <w:rPr>
          <w:rFonts w:hint="eastAsia" w:cs="Segoe UI"/>
          <w:shd w:val="clear" w:color="auto" w:fill="FFFFFF"/>
        </w:rPr>
        <w:t>无</w:t>
      </w:r>
    </w:p>
    <w:p>
      <w:pPr>
        <w:pStyle w:val="31"/>
        <w:numPr>
          <w:ilvl w:val="0"/>
          <w:numId w:val="1"/>
        </w:numPr>
        <w:spacing w:line="560" w:lineRule="exact"/>
      </w:pPr>
      <w:bookmarkStart w:id="55" w:name="_Toc181369934"/>
      <w:r>
        <w:rPr>
          <w:rFonts w:hint="eastAsia"/>
        </w:rPr>
        <w:t>相关附件</w:t>
      </w:r>
      <w:bookmarkEnd w:id="53"/>
      <w:bookmarkEnd w:id="54"/>
      <w:bookmarkEnd w:id="55"/>
    </w:p>
    <w:p>
      <w:pPr>
        <w:pStyle w:val="29"/>
        <w:spacing w:line="560" w:lineRule="exact"/>
        <w:ind w:left="1556" w:leftChars="304" w:hanging="918" w:hangingChars="287"/>
      </w:pPr>
      <w:r>
        <w:rPr>
          <w:rFonts w:hint="eastAsia"/>
          <w:color w:val="000000" w:themeColor="text1"/>
          <w14:textFill>
            <w14:solidFill>
              <w14:schemeClr w14:val="tx1"/>
            </w14:solidFill>
          </w14:textFill>
        </w:rPr>
        <w:t>和平区全民健身中心改造</w:t>
      </w:r>
      <w:r>
        <w:rPr>
          <w:color w:val="000000" w:themeColor="text1"/>
          <w14:textFill>
            <w14:solidFill>
              <w14:schemeClr w14:val="tx1"/>
            </w14:solidFill>
          </w14:textFill>
        </w:rPr>
        <w:t>项目绩效评价指标体系及评分表</w:t>
      </w:r>
    </w:p>
    <w:sectPr>
      <w:footerReference r:id="rId11" w:type="default"/>
      <w:pgSz w:w="11906" w:h="16838"/>
      <w:pgMar w:top="2098" w:right="1474" w:bottom="1984" w:left="1587"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p>
  <w:p>
    <w:pPr>
      <w:ind w:firstLine="4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996"/>
                          </w:sdtPr>
                          <w:sdtContent>
                            <w:p>
                              <w:pPr>
                                <w:pStyle w:val="11"/>
                                <w:ind w:firstLine="36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9 -</w:t>
                              </w:r>
                              <w:r>
                                <w:rPr>
                                  <w:rFonts w:hint="eastAsia" w:ascii="宋体" w:hAnsi="宋体" w:eastAsia="宋体" w:cs="宋体"/>
                                  <w:sz w:val="28"/>
                                  <w:szCs w:val="28"/>
                                </w:rPr>
                                <w:fldChar w:fldCharType="end"/>
                              </w:r>
                            </w:p>
                          </w:sdtContent>
                        </w:sdt>
                        <w:p>
                          <w:pPr>
                            <w:ind w:firstLine="42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47478996"/>
                    </w:sdtPr>
                    <w:sdtContent>
                      <w:p>
                        <w:pPr>
                          <w:pStyle w:val="11"/>
                          <w:ind w:firstLine="360"/>
                          <w:jc w:val="cente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PAGE   \* MERGEFORMAT</w:instrText>
                        </w:r>
                        <w:r>
                          <w:rPr>
                            <w:rFonts w:hint="eastAsia" w:ascii="宋体" w:hAnsi="宋体" w:eastAsia="宋体" w:cs="宋体"/>
                            <w:sz w:val="28"/>
                            <w:szCs w:val="28"/>
                          </w:rPr>
                          <w:fldChar w:fldCharType="separate"/>
                        </w:r>
                        <w:r>
                          <w:rPr>
                            <w:rFonts w:ascii="宋体" w:hAnsi="宋体" w:eastAsia="宋体" w:cs="宋体"/>
                            <w:sz w:val="28"/>
                            <w:szCs w:val="28"/>
                            <w:lang w:val="zh-CN"/>
                          </w:rPr>
                          <w:t>-</w:t>
                        </w:r>
                        <w:r>
                          <w:rPr>
                            <w:rFonts w:ascii="宋体" w:hAnsi="宋体" w:eastAsia="宋体" w:cs="宋体"/>
                            <w:sz w:val="28"/>
                            <w:szCs w:val="28"/>
                          </w:rPr>
                          <w:t xml:space="preserve"> 9 -</w:t>
                        </w:r>
                        <w:r>
                          <w:rPr>
                            <w:rFonts w:hint="eastAsia" w:ascii="宋体" w:hAnsi="宋体" w:eastAsia="宋体" w:cs="宋体"/>
                            <w:sz w:val="28"/>
                            <w:szCs w:val="28"/>
                          </w:rPr>
                          <w:fldChar w:fldCharType="end"/>
                        </w:r>
                      </w:p>
                    </w:sdtContent>
                  </w:sdt>
                  <w:p>
                    <w:pPr>
                      <w:ind w:firstLine="420"/>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5182C"/>
    <w:multiLevelType w:val="singleLevel"/>
    <w:tmpl w:val="25F5182C"/>
    <w:lvl w:ilvl="0" w:tentative="0">
      <w:start w:val="7"/>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hhNTBkODQwYjc1MGI1Yjk3OTliNDI3M2M3MGYyOTUifQ=="/>
  </w:docVars>
  <w:rsids>
    <w:rsidRoot w:val="00661057"/>
    <w:rsid w:val="00010865"/>
    <w:rsid w:val="00010C89"/>
    <w:rsid w:val="0001480E"/>
    <w:rsid w:val="00015C05"/>
    <w:rsid w:val="00017921"/>
    <w:rsid w:val="00017A5C"/>
    <w:rsid w:val="00021949"/>
    <w:rsid w:val="000248FB"/>
    <w:rsid w:val="00024AFD"/>
    <w:rsid w:val="0002548A"/>
    <w:rsid w:val="00025AF2"/>
    <w:rsid w:val="000265F5"/>
    <w:rsid w:val="000315D7"/>
    <w:rsid w:val="000320CF"/>
    <w:rsid w:val="00041563"/>
    <w:rsid w:val="00041A50"/>
    <w:rsid w:val="00043619"/>
    <w:rsid w:val="00043F5B"/>
    <w:rsid w:val="00044721"/>
    <w:rsid w:val="00050908"/>
    <w:rsid w:val="000523C0"/>
    <w:rsid w:val="00053EC5"/>
    <w:rsid w:val="0005490A"/>
    <w:rsid w:val="00055477"/>
    <w:rsid w:val="00055F9E"/>
    <w:rsid w:val="00056F30"/>
    <w:rsid w:val="000609FA"/>
    <w:rsid w:val="00061A63"/>
    <w:rsid w:val="00062F6F"/>
    <w:rsid w:val="0007064F"/>
    <w:rsid w:val="0007228A"/>
    <w:rsid w:val="00073FEF"/>
    <w:rsid w:val="0007429F"/>
    <w:rsid w:val="000746D9"/>
    <w:rsid w:val="000751CF"/>
    <w:rsid w:val="000755F9"/>
    <w:rsid w:val="000756B7"/>
    <w:rsid w:val="00076019"/>
    <w:rsid w:val="000774D2"/>
    <w:rsid w:val="00085386"/>
    <w:rsid w:val="0008687A"/>
    <w:rsid w:val="00086EFF"/>
    <w:rsid w:val="00087FA2"/>
    <w:rsid w:val="00090364"/>
    <w:rsid w:val="00090889"/>
    <w:rsid w:val="00090B22"/>
    <w:rsid w:val="00091AB3"/>
    <w:rsid w:val="000926EE"/>
    <w:rsid w:val="00092B18"/>
    <w:rsid w:val="00092E98"/>
    <w:rsid w:val="00095075"/>
    <w:rsid w:val="000966C1"/>
    <w:rsid w:val="00096AAF"/>
    <w:rsid w:val="00096DDC"/>
    <w:rsid w:val="000973CE"/>
    <w:rsid w:val="00097FDB"/>
    <w:rsid w:val="000A094D"/>
    <w:rsid w:val="000A14F9"/>
    <w:rsid w:val="000A5BA4"/>
    <w:rsid w:val="000A7AFC"/>
    <w:rsid w:val="000B0C92"/>
    <w:rsid w:val="000B12D4"/>
    <w:rsid w:val="000B57FD"/>
    <w:rsid w:val="000B5B35"/>
    <w:rsid w:val="000B765C"/>
    <w:rsid w:val="000C161F"/>
    <w:rsid w:val="000C677C"/>
    <w:rsid w:val="000D03AF"/>
    <w:rsid w:val="000D090B"/>
    <w:rsid w:val="000D0CBC"/>
    <w:rsid w:val="000D1576"/>
    <w:rsid w:val="000D1913"/>
    <w:rsid w:val="000D1B8A"/>
    <w:rsid w:val="000D346B"/>
    <w:rsid w:val="000D34CC"/>
    <w:rsid w:val="000D4798"/>
    <w:rsid w:val="000D59C4"/>
    <w:rsid w:val="000D6556"/>
    <w:rsid w:val="000E09D3"/>
    <w:rsid w:val="000E1645"/>
    <w:rsid w:val="000E26EC"/>
    <w:rsid w:val="000E60B5"/>
    <w:rsid w:val="000E7BFB"/>
    <w:rsid w:val="000F2297"/>
    <w:rsid w:val="000F34AA"/>
    <w:rsid w:val="000F5749"/>
    <w:rsid w:val="000F57C3"/>
    <w:rsid w:val="000F76F2"/>
    <w:rsid w:val="00100141"/>
    <w:rsid w:val="00101194"/>
    <w:rsid w:val="001014A9"/>
    <w:rsid w:val="00104812"/>
    <w:rsid w:val="0010563C"/>
    <w:rsid w:val="00112044"/>
    <w:rsid w:val="001144A3"/>
    <w:rsid w:val="001158A7"/>
    <w:rsid w:val="00117933"/>
    <w:rsid w:val="00120805"/>
    <w:rsid w:val="00121EE1"/>
    <w:rsid w:val="0012288C"/>
    <w:rsid w:val="00124F7B"/>
    <w:rsid w:val="001257AD"/>
    <w:rsid w:val="00126DC5"/>
    <w:rsid w:val="00127231"/>
    <w:rsid w:val="00132DB1"/>
    <w:rsid w:val="00133A6C"/>
    <w:rsid w:val="001345F2"/>
    <w:rsid w:val="00137BB2"/>
    <w:rsid w:val="00140102"/>
    <w:rsid w:val="00141251"/>
    <w:rsid w:val="0014294F"/>
    <w:rsid w:val="00142FBC"/>
    <w:rsid w:val="001442BB"/>
    <w:rsid w:val="00150419"/>
    <w:rsid w:val="00151DA0"/>
    <w:rsid w:val="00153239"/>
    <w:rsid w:val="001552F7"/>
    <w:rsid w:val="00156000"/>
    <w:rsid w:val="001574D1"/>
    <w:rsid w:val="00160DCF"/>
    <w:rsid w:val="00162746"/>
    <w:rsid w:val="00166CA5"/>
    <w:rsid w:val="001704F7"/>
    <w:rsid w:val="0017117B"/>
    <w:rsid w:val="00173B46"/>
    <w:rsid w:val="0017581B"/>
    <w:rsid w:val="0017673E"/>
    <w:rsid w:val="001807A0"/>
    <w:rsid w:val="00182D75"/>
    <w:rsid w:val="00185478"/>
    <w:rsid w:val="0018718F"/>
    <w:rsid w:val="001871E9"/>
    <w:rsid w:val="00187706"/>
    <w:rsid w:val="00190AB6"/>
    <w:rsid w:val="0019129E"/>
    <w:rsid w:val="00191749"/>
    <w:rsid w:val="00191C85"/>
    <w:rsid w:val="00192A1F"/>
    <w:rsid w:val="00193A8A"/>
    <w:rsid w:val="00195A02"/>
    <w:rsid w:val="00195E1D"/>
    <w:rsid w:val="001A2929"/>
    <w:rsid w:val="001A2DD7"/>
    <w:rsid w:val="001A3A81"/>
    <w:rsid w:val="001A5550"/>
    <w:rsid w:val="001A5D0F"/>
    <w:rsid w:val="001B34D7"/>
    <w:rsid w:val="001B5EA9"/>
    <w:rsid w:val="001B5F06"/>
    <w:rsid w:val="001C0770"/>
    <w:rsid w:val="001C13FD"/>
    <w:rsid w:val="001C455A"/>
    <w:rsid w:val="001C68F0"/>
    <w:rsid w:val="001C6CBE"/>
    <w:rsid w:val="001D0C4F"/>
    <w:rsid w:val="001D4D25"/>
    <w:rsid w:val="001D598D"/>
    <w:rsid w:val="001E4A4D"/>
    <w:rsid w:val="001E73A5"/>
    <w:rsid w:val="001F18B4"/>
    <w:rsid w:val="001F1C4F"/>
    <w:rsid w:val="001F2386"/>
    <w:rsid w:val="001F4B3D"/>
    <w:rsid w:val="001F515D"/>
    <w:rsid w:val="001F6C60"/>
    <w:rsid w:val="001F7BC8"/>
    <w:rsid w:val="00201EAB"/>
    <w:rsid w:val="00202699"/>
    <w:rsid w:val="002033A5"/>
    <w:rsid w:val="00206E78"/>
    <w:rsid w:val="00206ED6"/>
    <w:rsid w:val="00210763"/>
    <w:rsid w:val="002116B3"/>
    <w:rsid w:val="002117FA"/>
    <w:rsid w:val="00213586"/>
    <w:rsid w:val="002153C9"/>
    <w:rsid w:val="00221FDB"/>
    <w:rsid w:val="00222355"/>
    <w:rsid w:val="00223431"/>
    <w:rsid w:val="002262AA"/>
    <w:rsid w:val="00226EDA"/>
    <w:rsid w:val="002301F5"/>
    <w:rsid w:val="00231B10"/>
    <w:rsid w:val="002362E6"/>
    <w:rsid w:val="00240A5A"/>
    <w:rsid w:val="00243A00"/>
    <w:rsid w:val="00244E21"/>
    <w:rsid w:val="00246D34"/>
    <w:rsid w:val="0024764D"/>
    <w:rsid w:val="00247968"/>
    <w:rsid w:val="0025214F"/>
    <w:rsid w:val="00252F45"/>
    <w:rsid w:val="00254126"/>
    <w:rsid w:val="00255788"/>
    <w:rsid w:val="00256F67"/>
    <w:rsid w:val="002606BD"/>
    <w:rsid w:val="00260991"/>
    <w:rsid w:val="00264D96"/>
    <w:rsid w:val="00264F7B"/>
    <w:rsid w:val="00265181"/>
    <w:rsid w:val="00265D4E"/>
    <w:rsid w:val="002661E4"/>
    <w:rsid w:val="002678A4"/>
    <w:rsid w:val="0027222E"/>
    <w:rsid w:val="00272F02"/>
    <w:rsid w:val="00273FE4"/>
    <w:rsid w:val="00274507"/>
    <w:rsid w:val="002753AA"/>
    <w:rsid w:val="002815AF"/>
    <w:rsid w:val="00282482"/>
    <w:rsid w:val="002833A5"/>
    <w:rsid w:val="002839D3"/>
    <w:rsid w:val="00283ADE"/>
    <w:rsid w:val="00284FC7"/>
    <w:rsid w:val="00285555"/>
    <w:rsid w:val="00285DF0"/>
    <w:rsid w:val="00285E85"/>
    <w:rsid w:val="002925C1"/>
    <w:rsid w:val="00292EDA"/>
    <w:rsid w:val="00295238"/>
    <w:rsid w:val="0029689D"/>
    <w:rsid w:val="00297E04"/>
    <w:rsid w:val="002A3D27"/>
    <w:rsid w:val="002A425C"/>
    <w:rsid w:val="002A4B0F"/>
    <w:rsid w:val="002A5B02"/>
    <w:rsid w:val="002A6D82"/>
    <w:rsid w:val="002B227F"/>
    <w:rsid w:val="002B61B1"/>
    <w:rsid w:val="002B6E5F"/>
    <w:rsid w:val="002C23B2"/>
    <w:rsid w:val="002C2ECC"/>
    <w:rsid w:val="002C3334"/>
    <w:rsid w:val="002D05C9"/>
    <w:rsid w:val="002D2A80"/>
    <w:rsid w:val="002D4C1F"/>
    <w:rsid w:val="002D5F53"/>
    <w:rsid w:val="002D67DD"/>
    <w:rsid w:val="002D741B"/>
    <w:rsid w:val="002E088E"/>
    <w:rsid w:val="002E0D16"/>
    <w:rsid w:val="002E2970"/>
    <w:rsid w:val="002E3C4E"/>
    <w:rsid w:val="002E4CFF"/>
    <w:rsid w:val="002E7718"/>
    <w:rsid w:val="002F0763"/>
    <w:rsid w:val="002F077A"/>
    <w:rsid w:val="002F2542"/>
    <w:rsid w:val="002F31E3"/>
    <w:rsid w:val="002F3DCA"/>
    <w:rsid w:val="002F4CCD"/>
    <w:rsid w:val="002F6D1F"/>
    <w:rsid w:val="002F73B4"/>
    <w:rsid w:val="002F7F21"/>
    <w:rsid w:val="0030108C"/>
    <w:rsid w:val="003029A1"/>
    <w:rsid w:val="00302E9C"/>
    <w:rsid w:val="003032A9"/>
    <w:rsid w:val="00303D5F"/>
    <w:rsid w:val="00304D84"/>
    <w:rsid w:val="00304E75"/>
    <w:rsid w:val="00307E6B"/>
    <w:rsid w:val="00310651"/>
    <w:rsid w:val="003130E3"/>
    <w:rsid w:val="0031446A"/>
    <w:rsid w:val="00315A2A"/>
    <w:rsid w:val="00316D16"/>
    <w:rsid w:val="00317436"/>
    <w:rsid w:val="003205CF"/>
    <w:rsid w:val="00321CDE"/>
    <w:rsid w:val="00325B50"/>
    <w:rsid w:val="0032625E"/>
    <w:rsid w:val="00326C36"/>
    <w:rsid w:val="003314E9"/>
    <w:rsid w:val="003335C3"/>
    <w:rsid w:val="00335C30"/>
    <w:rsid w:val="00335EC8"/>
    <w:rsid w:val="0033624F"/>
    <w:rsid w:val="0033644E"/>
    <w:rsid w:val="00341294"/>
    <w:rsid w:val="00342CFA"/>
    <w:rsid w:val="003436D6"/>
    <w:rsid w:val="00344EF2"/>
    <w:rsid w:val="00345393"/>
    <w:rsid w:val="0034693D"/>
    <w:rsid w:val="00347CD7"/>
    <w:rsid w:val="003502BF"/>
    <w:rsid w:val="003508B8"/>
    <w:rsid w:val="003541F7"/>
    <w:rsid w:val="00354E5A"/>
    <w:rsid w:val="0035565D"/>
    <w:rsid w:val="0036036B"/>
    <w:rsid w:val="003606F4"/>
    <w:rsid w:val="00362581"/>
    <w:rsid w:val="00363E20"/>
    <w:rsid w:val="00364163"/>
    <w:rsid w:val="00364A60"/>
    <w:rsid w:val="003652D2"/>
    <w:rsid w:val="00371CF1"/>
    <w:rsid w:val="0037372D"/>
    <w:rsid w:val="00376C92"/>
    <w:rsid w:val="0037708C"/>
    <w:rsid w:val="0038049A"/>
    <w:rsid w:val="0038053D"/>
    <w:rsid w:val="00380C79"/>
    <w:rsid w:val="00380E46"/>
    <w:rsid w:val="00381272"/>
    <w:rsid w:val="003814D8"/>
    <w:rsid w:val="00381F5C"/>
    <w:rsid w:val="003854CE"/>
    <w:rsid w:val="00386038"/>
    <w:rsid w:val="00386369"/>
    <w:rsid w:val="00387396"/>
    <w:rsid w:val="003904F0"/>
    <w:rsid w:val="003920E7"/>
    <w:rsid w:val="003928D5"/>
    <w:rsid w:val="0039481D"/>
    <w:rsid w:val="003957EA"/>
    <w:rsid w:val="00395D8F"/>
    <w:rsid w:val="00396581"/>
    <w:rsid w:val="00396C6B"/>
    <w:rsid w:val="0039718C"/>
    <w:rsid w:val="003A0F20"/>
    <w:rsid w:val="003A2940"/>
    <w:rsid w:val="003A2F91"/>
    <w:rsid w:val="003A30C9"/>
    <w:rsid w:val="003A48C2"/>
    <w:rsid w:val="003A6073"/>
    <w:rsid w:val="003B4585"/>
    <w:rsid w:val="003B4F6C"/>
    <w:rsid w:val="003B7421"/>
    <w:rsid w:val="003C3423"/>
    <w:rsid w:val="003C5C87"/>
    <w:rsid w:val="003D1C53"/>
    <w:rsid w:val="003D42E6"/>
    <w:rsid w:val="003D4F3E"/>
    <w:rsid w:val="003D5E93"/>
    <w:rsid w:val="003D6067"/>
    <w:rsid w:val="003D7EBD"/>
    <w:rsid w:val="003E246F"/>
    <w:rsid w:val="003E3BE7"/>
    <w:rsid w:val="003E3E1F"/>
    <w:rsid w:val="003E5D8A"/>
    <w:rsid w:val="003E7C97"/>
    <w:rsid w:val="003F12E1"/>
    <w:rsid w:val="003F22A8"/>
    <w:rsid w:val="003F4C3B"/>
    <w:rsid w:val="003F61ED"/>
    <w:rsid w:val="003F656D"/>
    <w:rsid w:val="00401481"/>
    <w:rsid w:val="00401FC0"/>
    <w:rsid w:val="00402301"/>
    <w:rsid w:val="0040366A"/>
    <w:rsid w:val="004039B6"/>
    <w:rsid w:val="00406636"/>
    <w:rsid w:val="00406B31"/>
    <w:rsid w:val="00406C6D"/>
    <w:rsid w:val="00407250"/>
    <w:rsid w:val="00407F2A"/>
    <w:rsid w:val="00412A7F"/>
    <w:rsid w:val="004132DE"/>
    <w:rsid w:val="00413FB9"/>
    <w:rsid w:val="004147E7"/>
    <w:rsid w:val="004174C2"/>
    <w:rsid w:val="0041750D"/>
    <w:rsid w:val="004178A3"/>
    <w:rsid w:val="004201E7"/>
    <w:rsid w:val="00420CE3"/>
    <w:rsid w:val="00422457"/>
    <w:rsid w:val="004242A5"/>
    <w:rsid w:val="00425C33"/>
    <w:rsid w:val="00430308"/>
    <w:rsid w:val="00430A7E"/>
    <w:rsid w:val="0043130C"/>
    <w:rsid w:val="00431D93"/>
    <w:rsid w:val="0043312F"/>
    <w:rsid w:val="004357F0"/>
    <w:rsid w:val="00440492"/>
    <w:rsid w:val="00440EAF"/>
    <w:rsid w:val="00441734"/>
    <w:rsid w:val="00441C81"/>
    <w:rsid w:val="004429F6"/>
    <w:rsid w:val="00442C96"/>
    <w:rsid w:val="00443137"/>
    <w:rsid w:val="0044422D"/>
    <w:rsid w:val="00447C90"/>
    <w:rsid w:val="004501A2"/>
    <w:rsid w:val="00453EF3"/>
    <w:rsid w:val="00455321"/>
    <w:rsid w:val="00455F34"/>
    <w:rsid w:val="00456D92"/>
    <w:rsid w:val="004604CE"/>
    <w:rsid w:val="00460C79"/>
    <w:rsid w:val="004647BA"/>
    <w:rsid w:val="00465A61"/>
    <w:rsid w:val="0046745A"/>
    <w:rsid w:val="004679DD"/>
    <w:rsid w:val="004723A0"/>
    <w:rsid w:val="00473469"/>
    <w:rsid w:val="004746B7"/>
    <w:rsid w:val="00476D73"/>
    <w:rsid w:val="00481085"/>
    <w:rsid w:val="0048118D"/>
    <w:rsid w:val="00481CD8"/>
    <w:rsid w:val="00482D9E"/>
    <w:rsid w:val="00484036"/>
    <w:rsid w:val="004854B5"/>
    <w:rsid w:val="0048792B"/>
    <w:rsid w:val="00487CEE"/>
    <w:rsid w:val="00490839"/>
    <w:rsid w:val="00494431"/>
    <w:rsid w:val="00495C7D"/>
    <w:rsid w:val="004A50B7"/>
    <w:rsid w:val="004A5987"/>
    <w:rsid w:val="004A6BE4"/>
    <w:rsid w:val="004A73D0"/>
    <w:rsid w:val="004B07A7"/>
    <w:rsid w:val="004B41A6"/>
    <w:rsid w:val="004B5444"/>
    <w:rsid w:val="004B553C"/>
    <w:rsid w:val="004B55FE"/>
    <w:rsid w:val="004C0450"/>
    <w:rsid w:val="004C1741"/>
    <w:rsid w:val="004C19F9"/>
    <w:rsid w:val="004C3057"/>
    <w:rsid w:val="004C37DD"/>
    <w:rsid w:val="004C4A72"/>
    <w:rsid w:val="004C5D8E"/>
    <w:rsid w:val="004C5E4A"/>
    <w:rsid w:val="004C6C68"/>
    <w:rsid w:val="004D10A8"/>
    <w:rsid w:val="004D15BA"/>
    <w:rsid w:val="004D3BC4"/>
    <w:rsid w:val="004E0D4E"/>
    <w:rsid w:val="004E51AA"/>
    <w:rsid w:val="004E53AA"/>
    <w:rsid w:val="004F04B1"/>
    <w:rsid w:val="004F3588"/>
    <w:rsid w:val="004F4D78"/>
    <w:rsid w:val="004F5646"/>
    <w:rsid w:val="004F7B1D"/>
    <w:rsid w:val="00500272"/>
    <w:rsid w:val="00500F45"/>
    <w:rsid w:val="0050309A"/>
    <w:rsid w:val="005051CA"/>
    <w:rsid w:val="00506277"/>
    <w:rsid w:val="005068C6"/>
    <w:rsid w:val="00506D84"/>
    <w:rsid w:val="00507119"/>
    <w:rsid w:val="00507A6F"/>
    <w:rsid w:val="00513438"/>
    <w:rsid w:val="00513E12"/>
    <w:rsid w:val="00513E56"/>
    <w:rsid w:val="00516D55"/>
    <w:rsid w:val="00517695"/>
    <w:rsid w:val="005216DF"/>
    <w:rsid w:val="0052205A"/>
    <w:rsid w:val="005227CB"/>
    <w:rsid w:val="0052280F"/>
    <w:rsid w:val="00524683"/>
    <w:rsid w:val="00524B46"/>
    <w:rsid w:val="00527B89"/>
    <w:rsid w:val="005301DF"/>
    <w:rsid w:val="0053048C"/>
    <w:rsid w:val="0053130C"/>
    <w:rsid w:val="00531A8E"/>
    <w:rsid w:val="005324FF"/>
    <w:rsid w:val="00532532"/>
    <w:rsid w:val="00532975"/>
    <w:rsid w:val="00535AEC"/>
    <w:rsid w:val="005375FD"/>
    <w:rsid w:val="0054032A"/>
    <w:rsid w:val="0054045E"/>
    <w:rsid w:val="00541337"/>
    <w:rsid w:val="00541EFD"/>
    <w:rsid w:val="00545FC2"/>
    <w:rsid w:val="00546EDB"/>
    <w:rsid w:val="00547777"/>
    <w:rsid w:val="005528F2"/>
    <w:rsid w:val="005542DD"/>
    <w:rsid w:val="00561391"/>
    <w:rsid w:val="005621FF"/>
    <w:rsid w:val="00563B61"/>
    <w:rsid w:val="00564AB9"/>
    <w:rsid w:val="00571A30"/>
    <w:rsid w:val="00573B4A"/>
    <w:rsid w:val="00575192"/>
    <w:rsid w:val="00575954"/>
    <w:rsid w:val="00577671"/>
    <w:rsid w:val="00581FFB"/>
    <w:rsid w:val="00582175"/>
    <w:rsid w:val="0058236F"/>
    <w:rsid w:val="005839B1"/>
    <w:rsid w:val="00590B7F"/>
    <w:rsid w:val="00590E7A"/>
    <w:rsid w:val="005978EB"/>
    <w:rsid w:val="005A02D6"/>
    <w:rsid w:val="005A1DD4"/>
    <w:rsid w:val="005A431D"/>
    <w:rsid w:val="005A66E4"/>
    <w:rsid w:val="005A6FD3"/>
    <w:rsid w:val="005A7556"/>
    <w:rsid w:val="005B60ED"/>
    <w:rsid w:val="005C165E"/>
    <w:rsid w:val="005C4163"/>
    <w:rsid w:val="005C4F23"/>
    <w:rsid w:val="005C5F21"/>
    <w:rsid w:val="005C65B8"/>
    <w:rsid w:val="005C66DA"/>
    <w:rsid w:val="005D2B39"/>
    <w:rsid w:val="005D5939"/>
    <w:rsid w:val="005D6054"/>
    <w:rsid w:val="005E0A86"/>
    <w:rsid w:val="005E16EC"/>
    <w:rsid w:val="005E3B63"/>
    <w:rsid w:val="005E3C76"/>
    <w:rsid w:val="005E4210"/>
    <w:rsid w:val="005F11C6"/>
    <w:rsid w:val="005F1322"/>
    <w:rsid w:val="005F2CC2"/>
    <w:rsid w:val="005F5638"/>
    <w:rsid w:val="005F72E1"/>
    <w:rsid w:val="005F7792"/>
    <w:rsid w:val="00601286"/>
    <w:rsid w:val="00601702"/>
    <w:rsid w:val="00602D44"/>
    <w:rsid w:val="0060374B"/>
    <w:rsid w:val="00605304"/>
    <w:rsid w:val="00611866"/>
    <w:rsid w:val="00611EE2"/>
    <w:rsid w:val="006157C2"/>
    <w:rsid w:val="006207A7"/>
    <w:rsid w:val="00620A4D"/>
    <w:rsid w:val="0062210A"/>
    <w:rsid w:val="006318EF"/>
    <w:rsid w:val="00635391"/>
    <w:rsid w:val="00641B19"/>
    <w:rsid w:val="00642B6B"/>
    <w:rsid w:val="00643E9C"/>
    <w:rsid w:val="006449CF"/>
    <w:rsid w:val="00645E1C"/>
    <w:rsid w:val="00646B9F"/>
    <w:rsid w:val="00646CC4"/>
    <w:rsid w:val="006509C0"/>
    <w:rsid w:val="00651843"/>
    <w:rsid w:val="0065261A"/>
    <w:rsid w:val="006555B4"/>
    <w:rsid w:val="00657116"/>
    <w:rsid w:val="00657487"/>
    <w:rsid w:val="006578C1"/>
    <w:rsid w:val="00657F8F"/>
    <w:rsid w:val="006600D1"/>
    <w:rsid w:val="00661057"/>
    <w:rsid w:val="0066490F"/>
    <w:rsid w:val="0066557D"/>
    <w:rsid w:val="00665A76"/>
    <w:rsid w:val="00666494"/>
    <w:rsid w:val="00667B6E"/>
    <w:rsid w:val="00671A61"/>
    <w:rsid w:val="0067232E"/>
    <w:rsid w:val="00673FE2"/>
    <w:rsid w:val="00675E7D"/>
    <w:rsid w:val="00677282"/>
    <w:rsid w:val="00677CC5"/>
    <w:rsid w:val="0068007F"/>
    <w:rsid w:val="00680468"/>
    <w:rsid w:val="00680D3D"/>
    <w:rsid w:val="00680DB9"/>
    <w:rsid w:val="00680FC8"/>
    <w:rsid w:val="006842A8"/>
    <w:rsid w:val="0068483C"/>
    <w:rsid w:val="00687379"/>
    <w:rsid w:val="0069091C"/>
    <w:rsid w:val="006917E2"/>
    <w:rsid w:val="006928B0"/>
    <w:rsid w:val="00692F3A"/>
    <w:rsid w:val="006935B4"/>
    <w:rsid w:val="00694B58"/>
    <w:rsid w:val="00695399"/>
    <w:rsid w:val="006961BB"/>
    <w:rsid w:val="006968F1"/>
    <w:rsid w:val="00697E72"/>
    <w:rsid w:val="006A1A15"/>
    <w:rsid w:val="006A2799"/>
    <w:rsid w:val="006A6128"/>
    <w:rsid w:val="006A769A"/>
    <w:rsid w:val="006B2490"/>
    <w:rsid w:val="006B33B3"/>
    <w:rsid w:val="006B47E4"/>
    <w:rsid w:val="006B5869"/>
    <w:rsid w:val="006B6D9D"/>
    <w:rsid w:val="006B6F79"/>
    <w:rsid w:val="006C01F8"/>
    <w:rsid w:val="006C29C8"/>
    <w:rsid w:val="006C3511"/>
    <w:rsid w:val="006C6722"/>
    <w:rsid w:val="006C7368"/>
    <w:rsid w:val="006D0238"/>
    <w:rsid w:val="006D6186"/>
    <w:rsid w:val="006D642B"/>
    <w:rsid w:val="006D6F0E"/>
    <w:rsid w:val="006E0160"/>
    <w:rsid w:val="006E0DEB"/>
    <w:rsid w:val="006E3CDF"/>
    <w:rsid w:val="006E7B76"/>
    <w:rsid w:val="006F0515"/>
    <w:rsid w:val="006F537A"/>
    <w:rsid w:val="006F6829"/>
    <w:rsid w:val="006F71A1"/>
    <w:rsid w:val="00702DAD"/>
    <w:rsid w:val="007038DB"/>
    <w:rsid w:val="00704F94"/>
    <w:rsid w:val="007075D9"/>
    <w:rsid w:val="0071296D"/>
    <w:rsid w:val="00712F83"/>
    <w:rsid w:val="00713AFA"/>
    <w:rsid w:val="0071502B"/>
    <w:rsid w:val="00715A78"/>
    <w:rsid w:val="00716ABF"/>
    <w:rsid w:val="00717C51"/>
    <w:rsid w:val="00717D0D"/>
    <w:rsid w:val="007204CB"/>
    <w:rsid w:val="00720C2F"/>
    <w:rsid w:val="0072230F"/>
    <w:rsid w:val="00722966"/>
    <w:rsid w:val="0072315E"/>
    <w:rsid w:val="00723DEF"/>
    <w:rsid w:val="00724C14"/>
    <w:rsid w:val="00726B01"/>
    <w:rsid w:val="0073010D"/>
    <w:rsid w:val="007325B4"/>
    <w:rsid w:val="00735896"/>
    <w:rsid w:val="00737761"/>
    <w:rsid w:val="007424A7"/>
    <w:rsid w:val="00743FB6"/>
    <w:rsid w:val="007449B5"/>
    <w:rsid w:val="00746593"/>
    <w:rsid w:val="0074741A"/>
    <w:rsid w:val="00747CF7"/>
    <w:rsid w:val="007505BC"/>
    <w:rsid w:val="00750737"/>
    <w:rsid w:val="00755CF4"/>
    <w:rsid w:val="00756D58"/>
    <w:rsid w:val="007610BC"/>
    <w:rsid w:val="0076167C"/>
    <w:rsid w:val="00761B04"/>
    <w:rsid w:val="00770C8D"/>
    <w:rsid w:val="00774788"/>
    <w:rsid w:val="007753DB"/>
    <w:rsid w:val="00775814"/>
    <w:rsid w:val="00780B09"/>
    <w:rsid w:val="00781ADF"/>
    <w:rsid w:val="007823FB"/>
    <w:rsid w:val="00783F10"/>
    <w:rsid w:val="00783F5D"/>
    <w:rsid w:val="0078424A"/>
    <w:rsid w:val="00785533"/>
    <w:rsid w:val="0078758A"/>
    <w:rsid w:val="007903CE"/>
    <w:rsid w:val="00793670"/>
    <w:rsid w:val="007948CB"/>
    <w:rsid w:val="00796D3F"/>
    <w:rsid w:val="00797707"/>
    <w:rsid w:val="00797C43"/>
    <w:rsid w:val="007A0119"/>
    <w:rsid w:val="007A150C"/>
    <w:rsid w:val="007A26E2"/>
    <w:rsid w:val="007A30E2"/>
    <w:rsid w:val="007A3778"/>
    <w:rsid w:val="007A6C8D"/>
    <w:rsid w:val="007A7BE7"/>
    <w:rsid w:val="007B7A29"/>
    <w:rsid w:val="007C060D"/>
    <w:rsid w:val="007C19BA"/>
    <w:rsid w:val="007C2DB7"/>
    <w:rsid w:val="007C5200"/>
    <w:rsid w:val="007C74FF"/>
    <w:rsid w:val="007C7C50"/>
    <w:rsid w:val="007C7C99"/>
    <w:rsid w:val="007D07A6"/>
    <w:rsid w:val="007D108E"/>
    <w:rsid w:val="007D132A"/>
    <w:rsid w:val="007D330F"/>
    <w:rsid w:val="007D4E8A"/>
    <w:rsid w:val="007E1792"/>
    <w:rsid w:val="007E26C4"/>
    <w:rsid w:val="007E2A7B"/>
    <w:rsid w:val="007E6881"/>
    <w:rsid w:val="007F2465"/>
    <w:rsid w:val="007F270F"/>
    <w:rsid w:val="007F369B"/>
    <w:rsid w:val="007F4354"/>
    <w:rsid w:val="007F4864"/>
    <w:rsid w:val="007F5AC1"/>
    <w:rsid w:val="007F629D"/>
    <w:rsid w:val="007F670C"/>
    <w:rsid w:val="007F68E4"/>
    <w:rsid w:val="007F6E7D"/>
    <w:rsid w:val="007F7F99"/>
    <w:rsid w:val="00801674"/>
    <w:rsid w:val="00802754"/>
    <w:rsid w:val="008059C4"/>
    <w:rsid w:val="008062E2"/>
    <w:rsid w:val="00807356"/>
    <w:rsid w:val="008104FF"/>
    <w:rsid w:val="00811D5D"/>
    <w:rsid w:val="008137BC"/>
    <w:rsid w:val="008141DA"/>
    <w:rsid w:val="00814D5C"/>
    <w:rsid w:val="0081535C"/>
    <w:rsid w:val="00816264"/>
    <w:rsid w:val="008202A4"/>
    <w:rsid w:val="0082064C"/>
    <w:rsid w:val="00821704"/>
    <w:rsid w:val="00821C75"/>
    <w:rsid w:val="00821E5B"/>
    <w:rsid w:val="00823855"/>
    <w:rsid w:val="00823F6C"/>
    <w:rsid w:val="0082624D"/>
    <w:rsid w:val="00830748"/>
    <w:rsid w:val="00831008"/>
    <w:rsid w:val="00831798"/>
    <w:rsid w:val="00831AC4"/>
    <w:rsid w:val="008321FC"/>
    <w:rsid w:val="008329B3"/>
    <w:rsid w:val="00834028"/>
    <w:rsid w:val="00834561"/>
    <w:rsid w:val="00836EF9"/>
    <w:rsid w:val="00840466"/>
    <w:rsid w:val="008426D0"/>
    <w:rsid w:val="00844F74"/>
    <w:rsid w:val="008509FA"/>
    <w:rsid w:val="008521E3"/>
    <w:rsid w:val="00852A47"/>
    <w:rsid w:val="00853B0D"/>
    <w:rsid w:val="00855D04"/>
    <w:rsid w:val="008563CE"/>
    <w:rsid w:val="00860004"/>
    <w:rsid w:val="0086074C"/>
    <w:rsid w:val="00862FEA"/>
    <w:rsid w:val="008633D7"/>
    <w:rsid w:val="00863DDE"/>
    <w:rsid w:val="0086789B"/>
    <w:rsid w:val="0087103B"/>
    <w:rsid w:val="008712EC"/>
    <w:rsid w:val="00871A31"/>
    <w:rsid w:val="00871BCC"/>
    <w:rsid w:val="00874237"/>
    <w:rsid w:val="008745A3"/>
    <w:rsid w:val="0087558E"/>
    <w:rsid w:val="0087728E"/>
    <w:rsid w:val="0088147E"/>
    <w:rsid w:val="008855CE"/>
    <w:rsid w:val="0089038E"/>
    <w:rsid w:val="00890929"/>
    <w:rsid w:val="008924A7"/>
    <w:rsid w:val="008939B3"/>
    <w:rsid w:val="008959E1"/>
    <w:rsid w:val="00895AEA"/>
    <w:rsid w:val="00895D5A"/>
    <w:rsid w:val="008A2797"/>
    <w:rsid w:val="008A759E"/>
    <w:rsid w:val="008B0038"/>
    <w:rsid w:val="008B0066"/>
    <w:rsid w:val="008B0375"/>
    <w:rsid w:val="008B08A2"/>
    <w:rsid w:val="008B59A6"/>
    <w:rsid w:val="008C08A7"/>
    <w:rsid w:val="008C1670"/>
    <w:rsid w:val="008C4587"/>
    <w:rsid w:val="008C6B89"/>
    <w:rsid w:val="008D14D2"/>
    <w:rsid w:val="008D2D00"/>
    <w:rsid w:val="008D4FC4"/>
    <w:rsid w:val="008D60B6"/>
    <w:rsid w:val="008D6108"/>
    <w:rsid w:val="008D696E"/>
    <w:rsid w:val="008D7880"/>
    <w:rsid w:val="008E134F"/>
    <w:rsid w:val="008E5E84"/>
    <w:rsid w:val="008E6BAE"/>
    <w:rsid w:val="008E6EEF"/>
    <w:rsid w:val="008F0212"/>
    <w:rsid w:val="008F062C"/>
    <w:rsid w:val="008F0D9C"/>
    <w:rsid w:val="008F28E9"/>
    <w:rsid w:val="008F331A"/>
    <w:rsid w:val="008F417A"/>
    <w:rsid w:val="008F54B6"/>
    <w:rsid w:val="008F5712"/>
    <w:rsid w:val="008F5986"/>
    <w:rsid w:val="008F6E20"/>
    <w:rsid w:val="008F7880"/>
    <w:rsid w:val="00903BAB"/>
    <w:rsid w:val="009040D7"/>
    <w:rsid w:val="009061EE"/>
    <w:rsid w:val="00906ADF"/>
    <w:rsid w:val="00907AF5"/>
    <w:rsid w:val="009103B4"/>
    <w:rsid w:val="00910630"/>
    <w:rsid w:val="00910A2D"/>
    <w:rsid w:val="009116B1"/>
    <w:rsid w:val="00912ED4"/>
    <w:rsid w:val="009130AC"/>
    <w:rsid w:val="00913830"/>
    <w:rsid w:val="00913E98"/>
    <w:rsid w:val="00916E5F"/>
    <w:rsid w:val="00922FAC"/>
    <w:rsid w:val="009234D0"/>
    <w:rsid w:val="0092392B"/>
    <w:rsid w:val="00923F93"/>
    <w:rsid w:val="00924D2F"/>
    <w:rsid w:val="00930887"/>
    <w:rsid w:val="00932A46"/>
    <w:rsid w:val="00932BC1"/>
    <w:rsid w:val="009332E1"/>
    <w:rsid w:val="00934AD2"/>
    <w:rsid w:val="00935816"/>
    <w:rsid w:val="009363BB"/>
    <w:rsid w:val="00937F44"/>
    <w:rsid w:val="00940ABE"/>
    <w:rsid w:val="00941CE3"/>
    <w:rsid w:val="00942B43"/>
    <w:rsid w:val="00943057"/>
    <w:rsid w:val="00952079"/>
    <w:rsid w:val="00952A4E"/>
    <w:rsid w:val="00952D1C"/>
    <w:rsid w:val="0095347B"/>
    <w:rsid w:val="009553B0"/>
    <w:rsid w:val="00955B84"/>
    <w:rsid w:val="00957691"/>
    <w:rsid w:val="00957C21"/>
    <w:rsid w:val="009613A5"/>
    <w:rsid w:val="00962B56"/>
    <w:rsid w:val="009718DA"/>
    <w:rsid w:val="00972B95"/>
    <w:rsid w:val="00976240"/>
    <w:rsid w:val="00976560"/>
    <w:rsid w:val="00977C36"/>
    <w:rsid w:val="009824FF"/>
    <w:rsid w:val="0098308F"/>
    <w:rsid w:val="009838AF"/>
    <w:rsid w:val="00984488"/>
    <w:rsid w:val="00984EA1"/>
    <w:rsid w:val="00985716"/>
    <w:rsid w:val="009858DD"/>
    <w:rsid w:val="009866A6"/>
    <w:rsid w:val="009900B5"/>
    <w:rsid w:val="00990F30"/>
    <w:rsid w:val="00991561"/>
    <w:rsid w:val="009915DE"/>
    <w:rsid w:val="00992019"/>
    <w:rsid w:val="0099465F"/>
    <w:rsid w:val="009949F5"/>
    <w:rsid w:val="00996D1E"/>
    <w:rsid w:val="009A08AA"/>
    <w:rsid w:val="009A3B70"/>
    <w:rsid w:val="009A3E89"/>
    <w:rsid w:val="009A6B3B"/>
    <w:rsid w:val="009B1B02"/>
    <w:rsid w:val="009B7FC8"/>
    <w:rsid w:val="009C1629"/>
    <w:rsid w:val="009C2C2E"/>
    <w:rsid w:val="009C3E48"/>
    <w:rsid w:val="009C4915"/>
    <w:rsid w:val="009C4BB8"/>
    <w:rsid w:val="009C4DCE"/>
    <w:rsid w:val="009C6FFB"/>
    <w:rsid w:val="009D33B0"/>
    <w:rsid w:val="009D402B"/>
    <w:rsid w:val="009D47E9"/>
    <w:rsid w:val="009D4A7E"/>
    <w:rsid w:val="009D79F6"/>
    <w:rsid w:val="009E109E"/>
    <w:rsid w:val="009E1372"/>
    <w:rsid w:val="009E204A"/>
    <w:rsid w:val="009E4267"/>
    <w:rsid w:val="009E4553"/>
    <w:rsid w:val="009E4BEC"/>
    <w:rsid w:val="009E5766"/>
    <w:rsid w:val="009E6D9D"/>
    <w:rsid w:val="009E768A"/>
    <w:rsid w:val="009E79DC"/>
    <w:rsid w:val="009F0EE5"/>
    <w:rsid w:val="009F1A57"/>
    <w:rsid w:val="009F2D35"/>
    <w:rsid w:val="009F300B"/>
    <w:rsid w:val="009F5DF7"/>
    <w:rsid w:val="009F6318"/>
    <w:rsid w:val="009F6A4B"/>
    <w:rsid w:val="009F6C8E"/>
    <w:rsid w:val="00A0304F"/>
    <w:rsid w:val="00A0539D"/>
    <w:rsid w:val="00A061D0"/>
    <w:rsid w:val="00A06C54"/>
    <w:rsid w:val="00A103A0"/>
    <w:rsid w:val="00A10BF5"/>
    <w:rsid w:val="00A12B96"/>
    <w:rsid w:val="00A17E09"/>
    <w:rsid w:val="00A200A7"/>
    <w:rsid w:val="00A207D3"/>
    <w:rsid w:val="00A211DA"/>
    <w:rsid w:val="00A212F1"/>
    <w:rsid w:val="00A24304"/>
    <w:rsid w:val="00A254EF"/>
    <w:rsid w:val="00A25B3A"/>
    <w:rsid w:val="00A25CC2"/>
    <w:rsid w:val="00A308A4"/>
    <w:rsid w:val="00A31C1E"/>
    <w:rsid w:val="00A3480A"/>
    <w:rsid w:val="00A34C5F"/>
    <w:rsid w:val="00A35BB6"/>
    <w:rsid w:val="00A369C4"/>
    <w:rsid w:val="00A414FB"/>
    <w:rsid w:val="00A41DAD"/>
    <w:rsid w:val="00A424D4"/>
    <w:rsid w:val="00A43FAB"/>
    <w:rsid w:val="00A45071"/>
    <w:rsid w:val="00A46147"/>
    <w:rsid w:val="00A4688B"/>
    <w:rsid w:val="00A46F49"/>
    <w:rsid w:val="00A55311"/>
    <w:rsid w:val="00A566DC"/>
    <w:rsid w:val="00A56C18"/>
    <w:rsid w:val="00A5774F"/>
    <w:rsid w:val="00A61748"/>
    <w:rsid w:val="00A61F2B"/>
    <w:rsid w:val="00A6224E"/>
    <w:rsid w:val="00A627DE"/>
    <w:rsid w:val="00A64D00"/>
    <w:rsid w:val="00A709F4"/>
    <w:rsid w:val="00A72B67"/>
    <w:rsid w:val="00A74304"/>
    <w:rsid w:val="00A74EA1"/>
    <w:rsid w:val="00A8117E"/>
    <w:rsid w:val="00A82BB3"/>
    <w:rsid w:val="00A83BA2"/>
    <w:rsid w:val="00A84B25"/>
    <w:rsid w:val="00A84C04"/>
    <w:rsid w:val="00A86391"/>
    <w:rsid w:val="00A86F1D"/>
    <w:rsid w:val="00A90D9B"/>
    <w:rsid w:val="00A91945"/>
    <w:rsid w:val="00A93989"/>
    <w:rsid w:val="00A951B7"/>
    <w:rsid w:val="00A96557"/>
    <w:rsid w:val="00A96AAB"/>
    <w:rsid w:val="00A96B11"/>
    <w:rsid w:val="00AA0311"/>
    <w:rsid w:val="00AA446B"/>
    <w:rsid w:val="00AA5524"/>
    <w:rsid w:val="00AA6217"/>
    <w:rsid w:val="00AB2391"/>
    <w:rsid w:val="00AB2D83"/>
    <w:rsid w:val="00AB5DF2"/>
    <w:rsid w:val="00AB65E0"/>
    <w:rsid w:val="00AC02F2"/>
    <w:rsid w:val="00AC0D86"/>
    <w:rsid w:val="00AC2AD1"/>
    <w:rsid w:val="00AC3016"/>
    <w:rsid w:val="00AC34A1"/>
    <w:rsid w:val="00AC41C7"/>
    <w:rsid w:val="00AC7790"/>
    <w:rsid w:val="00AD1D8F"/>
    <w:rsid w:val="00AD22C8"/>
    <w:rsid w:val="00AD32DF"/>
    <w:rsid w:val="00AD3480"/>
    <w:rsid w:val="00AE03EE"/>
    <w:rsid w:val="00AE0785"/>
    <w:rsid w:val="00AE0B30"/>
    <w:rsid w:val="00AE44A0"/>
    <w:rsid w:val="00AE4B56"/>
    <w:rsid w:val="00AE50DD"/>
    <w:rsid w:val="00AE5D65"/>
    <w:rsid w:val="00AE6C96"/>
    <w:rsid w:val="00AF00D2"/>
    <w:rsid w:val="00AF0401"/>
    <w:rsid w:val="00AF1634"/>
    <w:rsid w:val="00AF3740"/>
    <w:rsid w:val="00AF55D3"/>
    <w:rsid w:val="00AF57C9"/>
    <w:rsid w:val="00B002BF"/>
    <w:rsid w:val="00B00ED9"/>
    <w:rsid w:val="00B02B84"/>
    <w:rsid w:val="00B03444"/>
    <w:rsid w:val="00B062C2"/>
    <w:rsid w:val="00B06CE3"/>
    <w:rsid w:val="00B06F6B"/>
    <w:rsid w:val="00B1013E"/>
    <w:rsid w:val="00B106F1"/>
    <w:rsid w:val="00B13167"/>
    <w:rsid w:val="00B1345D"/>
    <w:rsid w:val="00B15D0A"/>
    <w:rsid w:val="00B160D3"/>
    <w:rsid w:val="00B160E2"/>
    <w:rsid w:val="00B2099B"/>
    <w:rsid w:val="00B22276"/>
    <w:rsid w:val="00B238F1"/>
    <w:rsid w:val="00B23EF4"/>
    <w:rsid w:val="00B23F0C"/>
    <w:rsid w:val="00B24226"/>
    <w:rsid w:val="00B26714"/>
    <w:rsid w:val="00B270CA"/>
    <w:rsid w:val="00B300A2"/>
    <w:rsid w:val="00B322A3"/>
    <w:rsid w:val="00B34995"/>
    <w:rsid w:val="00B35E24"/>
    <w:rsid w:val="00B4148C"/>
    <w:rsid w:val="00B424E6"/>
    <w:rsid w:val="00B4389B"/>
    <w:rsid w:val="00B43992"/>
    <w:rsid w:val="00B4638E"/>
    <w:rsid w:val="00B469F2"/>
    <w:rsid w:val="00B50693"/>
    <w:rsid w:val="00B51945"/>
    <w:rsid w:val="00B5638F"/>
    <w:rsid w:val="00B6027A"/>
    <w:rsid w:val="00B60A6B"/>
    <w:rsid w:val="00B60F7D"/>
    <w:rsid w:val="00B6285F"/>
    <w:rsid w:val="00B62C18"/>
    <w:rsid w:val="00B63BB9"/>
    <w:rsid w:val="00B66B43"/>
    <w:rsid w:val="00B66CC2"/>
    <w:rsid w:val="00B73411"/>
    <w:rsid w:val="00B841DD"/>
    <w:rsid w:val="00B8541D"/>
    <w:rsid w:val="00B856F6"/>
    <w:rsid w:val="00B85FBC"/>
    <w:rsid w:val="00B86AFE"/>
    <w:rsid w:val="00B8712D"/>
    <w:rsid w:val="00B906BE"/>
    <w:rsid w:val="00B91174"/>
    <w:rsid w:val="00B91363"/>
    <w:rsid w:val="00B92B34"/>
    <w:rsid w:val="00B92EA2"/>
    <w:rsid w:val="00B93AFA"/>
    <w:rsid w:val="00B940BA"/>
    <w:rsid w:val="00B94CC0"/>
    <w:rsid w:val="00B976F1"/>
    <w:rsid w:val="00BA2C94"/>
    <w:rsid w:val="00BA3E3D"/>
    <w:rsid w:val="00BA4995"/>
    <w:rsid w:val="00BB138D"/>
    <w:rsid w:val="00BB25CA"/>
    <w:rsid w:val="00BB3CC0"/>
    <w:rsid w:val="00BB4A01"/>
    <w:rsid w:val="00BB561A"/>
    <w:rsid w:val="00BB5803"/>
    <w:rsid w:val="00BB59FC"/>
    <w:rsid w:val="00BB79BA"/>
    <w:rsid w:val="00BB7A7A"/>
    <w:rsid w:val="00BB7D1A"/>
    <w:rsid w:val="00BC0491"/>
    <w:rsid w:val="00BC39CA"/>
    <w:rsid w:val="00BC440E"/>
    <w:rsid w:val="00BC49A4"/>
    <w:rsid w:val="00BC58B6"/>
    <w:rsid w:val="00BC5B00"/>
    <w:rsid w:val="00BD0742"/>
    <w:rsid w:val="00BD10B7"/>
    <w:rsid w:val="00BD1DF3"/>
    <w:rsid w:val="00BD3056"/>
    <w:rsid w:val="00BD307E"/>
    <w:rsid w:val="00BD5CA5"/>
    <w:rsid w:val="00BD6417"/>
    <w:rsid w:val="00BD6515"/>
    <w:rsid w:val="00BE01D0"/>
    <w:rsid w:val="00BE05CF"/>
    <w:rsid w:val="00BE0603"/>
    <w:rsid w:val="00BE208E"/>
    <w:rsid w:val="00BE217C"/>
    <w:rsid w:val="00BE378E"/>
    <w:rsid w:val="00BE5B7E"/>
    <w:rsid w:val="00BE5C78"/>
    <w:rsid w:val="00BE65F5"/>
    <w:rsid w:val="00BE6CE9"/>
    <w:rsid w:val="00BF08E7"/>
    <w:rsid w:val="00BF1698"/>
    <w:rsid w:val="00BF206F"/>
    <w:rsid w:val="00BF33A7"/>
    <w:rsid w:val="00BF42E6"/>
    <w:rsid w:val="00BF4FE9"/>
    <w:rsid w:val="00BF6478"/>
    <w:rsid w:val="00BF6726"/>
    <w:rsid w:val="00BF7398"/>
    <w:rsid w:val="00C026CC"/>
    <w:rsid w:val="00C02B97"/>
    <w:rsid w:val="00C043FF"/>
    <w:rsid w:val="00C04CAE"/>
    <w:rsid w:val="00C059E7"/>
    <w:rsid w:val="00C061DB"/>
    <w:rsid w:val="00C06924"/>
    <w:rsid w:val="00C07B2B"/>
    <w:rsid w:val="00C1073E"/>
    <w:rsid w:val="00C10AC5"/>
    <w:rsid w:val="00C116C8"/>
    <w:rsid w:val="00C11C65"/>
    <w:rsid w:val="00C12A40"/>
    <w:rsid w:val="00C1350B"/>
    <w:rsid w:val="00C16D42"/>
    <w:rsid w:val="00C17C8D"/>
    <w:rsid w:val="00C2225A"/>
    <w:rsid w:val="00C269D4"/>
    <w:rsid w:val="00C27289"/>
    <w:rsid w:val="00C3305C"/>
    <w:rsid w:val="00C36200"/>
    <w:rsid w:val="00C362F8"/>
    <w:rsid w:val="00C40AE4"/>
    <w:rsid w:val="00C41A8A"/>
    <w:rsid w:val="00C42CC9"/>
    <w:rsid w:val="00C43F30"/>
    <w:rsid w:val="00C46138"/>
    <w:rsid w:val="00C51333"/>
    <w:rsid w:val="00C5133E"/>
    <w:rsid w:val="00C51B32"/>
    <w:rsid w:val="00C53E45"/>
    <w:rsid w:val="00C54A74"/>
    <w:rsid w:val="00C54DC3"/>
    <w:rsid w:val="00C5774F"/>
    <w:rsid w:val="00C60C3A"/>
    <w:rsid w:val="00C60E86"/>
    <w:rsid w:val="00C63264"/>
    <w:rsid w:val="00C65AB2"/>
    <w:rsid w:val="00C66862"/>
    <w:rsid w:val="00C66FD3"/>
    <w:rsid w:val="00C67CDC"/>
    <w:rsid w:val="00C741BB"/>
    <w:rsid w:val="00C743AD"/>
    <w:rsid w:val="00C7666D"/>
    <w:rsid w:val="00C8176C"/>
    <w:rsid w:val="00C82FFF"/>
    <w:rsid w:val="00C83233"/>
    <w:rsid w:val="00C84297"/>
    <w:rsid w:val="00C85726"/>
    <w:rsid w:val="00C8692A"/>
    <w:rsid w:val="00C86CC8"/>
    <w:rsid w:val="00C87832"/>
    <w:rsid w:val="00C91109"/>
    <w:rsid w:val="00C91F96"/>
    <w:rsid w:val="00C93758"/>
    <w:rsid w:val="00C93AE2"/>
    <w:rsid w:val="00C9669C"/>
    <w:rsid w:val="00C96A15"/>
    <w:rsid w:val="00CA012D"/>
    <w:rsid w:val="00CA0D3A"/>
    <w:rsid w:val="00CA227F"/>
    <w:rsid w:val="00CA4D46"/>
    <w:rsid w:val="00CA73B0"/>
    <w:rsid w:val="00CA7ADC"/>
    <w:rsid w:val="00CB137E"/>
    <w:rsid w:val="00CB2F0C"/>
    <w:rsid w:val="00CB3017"/>
    <w:rsid w:val="00CB3CFB"/>
    <w:rsid w:val="00CB3F4F"/>
    <w:rsid w:val="00CC011F"/>
    <w:rsid w:val="00CC0AB9"/>
    <w:rsid w:val="00CC12EF"/>
    <w:rsid w:val="00CC5CAC"/>
    <w:rsid w:val="00CC704D"/>
    <w:rsid w:val="00CC7CC3"/>
    <w:rsid w:val="00CC7E20"/>
    <w:rsid w:val="00CD1341"/>
    <w:rsid w:val="00CD188A"/>
    <w:rsid w:val="00CD22C5"/>
    <w:rsid w:val="00CD2BE9"/>
    <w:rsid w:val="00CD4757"/>
    <w:rsid w:val="00CD6318"/>
    <w:rsid w:val="00CD69AE"/>
    <w:rsid w:val="00CD6F4C"/>
    <w:rsid w:val="00CE1A23"/>
    <w:rsid w:val="00CE1B8A"/>
    <w:rsid w:val="00CE3AF2"/>
    <w:rsid w:val="00CE6F29"/>
    <w:rsid w:val="00CE77D0"/>
    <w:rsid w:val="00CF22DB"/>
    <w:rsid w:val="00CF4F21"/>
    <w:rsid w:val="00CF5425"/>
    <w:rsid w:val="00CF6826"/>
    <w:rsid w:val="00CF6DC5"/>
    <w:rsid w:val="00CF7A64"/>
    <w:rsid w:val="00CF7CBE"/>
    <w:rsid w:val="00D02A23"/>
    <w:rsid w:val="00D02F62"/>
    <w:rsid w:val="00D054B1"/>
    <w:rsid w:val="00D07A9E"/>
    <w:rsid w:val="00D1019C"/>
    <w:rsid w:val="00D12651"/>
    <w:rsid w:val="00D12E9B"/>
    <w:rsid w:val="00D13CE2"/>
    <w:rsid w:val="00D15DF3"/>
    <w:rsid w:val="00D217CE"/>
    <w:rsid w:val="00D21DCB"/>
    <w:rsid w:val="00D23322"/>
    <w:rsid w:val="00D27D81"/>
    <w:rsid w:val="00D30BBE"/>
    <w:rsid w:val="00D31CE7"/>
    <w:rsid w:val="00D336F5"/>
    <w:rsid w:val="00D351A7"/>
    <w:rsid w:val="00D3785C"/>
    <w:rsid w:val="00D37CB3"/>
    <w:rsid w:val="00D4177A"/>
    <w:rsid w:val="00D42233"/>
    <w:rsid w:val="00D42400"/>
    <w:rsid w:val="00D43049"/>
    <w:rsid w:val="00D442A1"/>
    <w:rsid w:val="00D47826"/>
    <w:rsid w:val="00D479C2"/>
    <w:rsid w:val="00D47E28"/>
    <w:rsid w:val="00D5118A"/>
    <w:rsid w:val="00D51C86"/>
    <w:rsid w:val="00D56DD6"/>
    <w:rsid w:val="00D57A11"/>
    <w:rsid w:val="00D60D49"/>
    <w:rsid w:val="00D61993"/>
    <w:rsid w:val="00D64166"/>
    <w:rsid w:val="00D65864"/>
    <w:rsid w:val="00D6743C"/>
    <w:rsid w:val="00D70580"/>
    <w:rsid w:val="00D70925"/>
    <w:rsid w:val="00D7101A"/>
    <w:rsid w:val="00D71892"/>
    <w:rsid w:val="00D7270E"/>
    <w:rsid w:val="00D730F8"/>
    <w:rsid w:val="00D73DE5"/>
    <w:rsid w:val="00D75AF5"/>
    <w:rsid w:val="00D7729E"/>
    <w:rsid w:val="00D77B0C"/>
    <w:rsid w:val="00D81296"/>
    <w:rsid w:val="00D81A7F"/>
    <w:rsid w:val="00D82C3F"/>
    <w:rsid w:val="00D836BE"/>
    <w:rsid w:val="00D84F79"/>
    <w:rsid w:val="00D8540E"/>
    <w:rsid w:val="00D85EDA"/>
    <w:rsid w:val="00D91E66"/>
    <w:rsid w:val="00D96687"/>
    <w:rsid w:val="00DA09E2"/>
    <w:rsid w:val="00DA0BF0"/>
    <w:rsid w:val="00DA1203"/>
    <w:rsid w:val="00DB029C"/>
    <w:rsid w:val="00DB02F7"/>
    <w:rsid w:val="00DB0A45"/>
    <w:rsid w:val="00DB50A3"/>
    <w:rsid w:val="00DC0184"/>
    <w:rsid w:val="00DC2003"/>
    <w:rsid w:val="00DC4299"/>
    <w:rsid w:val="00DC48BE"/>
    <w:rsid w:val="00DC55B9"/>
    <w:rsid w:val="00DC6865"/>
    <w:rsid w:val="00DC761D"/>
    <w:rsid w:val="00DD09D2"/>
    <w:rsid w:val="00DD15F6"/>
    <w:rsid w:val="00DD1DDF"/>
    <w:rsid w:val="00DD3F84"/>
    <w:rsid w:val="00DD60CA"/>
    <w:rsid w:val="00DE1CBB"/>
    <w:rsid w:val="00DE2D50"/>
    <w:rsid w:val="00DE59BE"/>
    <w:rsid w:val="00DE67B4"/>
    <w:rsid w:val="00DF0F90"/>
    <w:rsid w:val="00DF2687"/>
    <w:rsid w:val="00DF36DF"/>
    <w:rsid w:val="00DF51A9"/>
    <w:rsid w:val="00DF59DF"/>
    <w:rsid w:val="00DF5B8C"/>
    <w:rsid w:val="00DF6322"/>
    <w:rsid w:val="00DF6D0A"/>
    <w:rsid w:val="00DF6D77"/>
    <w:rsid w:val="00DF7988"/>
    <w:rsid w:val="00DF7AE4"/>
    <w:rsid w:val="00E017BF"/>
    <w:rsid w:val="00E03D49"/>
    <w:rsid w:val="00E041D1"/>
    <w:rsid w:val="00E046ED"/>
    <w:rsid w:val="00E05FE5"/>
    <w:rsid w:val="00E06041"/>
    <w:rsid w:val="00E108E4"/>
    <w:rsid w:val="00E10C5F"/>
    <w:rsid w:val="00E11346"/>
    <w:rsid w:val="00E11758"/>
    <w:rsid w:val="00E140DD"/>
    <w:rsid w:val="00E14399"/>
    <w:rsid w:val="00E1442A"/>
    <w:rsid w:val="00E146AD"/>
    <w:rsid w:val="00E178BD"/>
    <w:rsid w:val="00E2100F"/>
    <w:rsid w:val="00E21864"/>
    <w:rsid w:val="00E22882"/>
    <w:rsid w:val="00E24E20"/>
    <w:rsid w:val="00E269B8"/>
    <w:rsid w:val="00E31A17"/>
    <w:rsid w:val="00E31C14"/>
    <w:rsid w:val="00E33A89"/>
    <w:rsid w:val="00E33B46"/>
    <w:rsid w:val="00E354A2"/>
    <w:rsid w:val="00E42AD0"/>
    <w:rsid w:val="00E53A4E"/>
    <w:rsid w:val="00E5624A"/>
    <w:rsid w:val="00E56741"/>
    <w:rsid w:val="00E568F7"/>
    <w:rsid w:val="00E61826"/>
    <w:rsid w:val="00E627A7"/>
    <w:rsid w:val="00E6632F"/>
    <w:rsid w:val="00E6646E"/>
    <w:rsid w:val="00E67E25"/>
    <w:rsid w:val="00E7034F"/>
    <w:rsid w:val="00E719AC"/>
    <w:rsid w:val="00E721EA"/>
    <w:rsid w:val="00E744B0"/>
    <w:rsid w:val="00E74B0C"/>
    <w:rsid w:val="00E752B7"/>
    <w:rsid w:val="00E76319"/>
    <w:rsid w:val="00E76647"/>
    <w:rsid w:val="00E772D2"/>
    <w:rsid w:val="00E77DF6"/>
    <w:rsid w:val="00E82FC5"/>
    <w:rsid w:val="00E83365"/>
    <w:rsid w:val="00E87E19"/>
    <w:rsid w:val="00E92C3D"/>
    <w:rsid w:val="00E95694"/>
    <w:rsid w:val="00E956C4"/>
    <w:rsid w:val="00E96011"/>
    <w:rsid w:val="00EA1BD4"/>
    <w:rsid w:val="00EA26CB"/>
    <w:rsid w:val="00EA32EF"/>
    <w:rsid w:val="00EA4B17"/>
    <w:rsid w:val="00EA55AB"/>
    <w:rsid w:val="00EB012E"/>
    <w:rsid w:val="00EB2ACF"/>
    <w:rsid w:val="00EB35C3"/>
    <w:rsid w:val="00EB6321"/>
    <w:rsid w:val="00EC1262"/>
    <w:rsid w:val="00EC1A9B"/>
    <w:rsid w:val="00EC2367"/>
    <w:rsid w:val="00EC3164"/>
    <w:rsid w:val="00EC3380"/>
    <w:rsid w:val="00EC34E4"/>
    <w:rsid w:val="00EC6996"/>
    <w:rsid w:val="00EC73A6"/>
    <w:rsid w:val="00EC7AE9"/>
    <w:rsid w:val="00ED0015"/>
    <w:rsid w:val="00ED153D"/>
    <w:rsid w:val="00ED6DBA"/>
    <w:rsid w:val="00ED6EF6"/>
    <w:rsid w:val="00ED7AA6"/>
    <w:rsid w:val="00EE20FC"/>
    <w:rsid w:val="00EE5FF0"/>
    <w:rsid w:val="00EE6FA8"/>
    <w:rsid w:val="00EE7A1B"/>
    <w:rsid w:val="00EF447D"/>
    <w:rsid w:val="00EF5DA5"/>
    <w:rsid w:val="00EF670E"/>
    <w:rsid w:val="00EF72FF"/>
    <w:rsid w:val="00F00CA5"/>
    <w:rsid w:val="00F01F08"/>
    <w:rsid w:val="00F026D8"/>
    <w:rsid w:val="00F03EE7"/>
    <w:rsid w:val="00F04803"/>
    <w:rsid w:val="00F064CE"/>
    <w:rsid w:val="00F07D83"/>
    <w:rsid w:val="00F12F6F"/>
    <w:rsid w:val="00F165DA"/>
    <w:rsid w:val="00F16B1B"/>
    <w:rsid w:val="00F213B6"/>
    <w:rsid w:val="00F22102"/>
    <w:rsid w:val="00F22538"/>
    <w:rsid w:val="00F23A84"/>
    <w:rsid w:val="00F24D75"/>
    <w:rsid w:val="00F25493"/>
    <w:rsid w:val="00F2621D"/>
    <w:rsid w:val="00F278AA"/>
    <w:rsid w:val="00F3278C"/>
    <w:rsid w:val="00F37D09"/>
    <w:rsid w:val="00F40CC3"/>
    <w:rsid w:val="00F43D4C"/>
    <w:rsid w:val="00F45556"/>
    <w:rsid w:val="00F45FB7"/>
    <w:rsid w:val="00F46DFA"/>
    <w:rsid w:val="00F51776"/>
    <w:rsid w:val="00F5341C"/>
    <w:rsid w:val="00F53BCE"/>
    <w:rsid w:val="00F54EC4"/>
    <w:rsid w:val="00F55003"/>
    <w:rsid w:val="00F6047B"/>
    <w:rsid w:val="00F624C0"/>
    <w:rsid w:val="00F6523E"/>
    <w:rsid w:val="00F65E9C"/>
    <w:rsid w:val="00F65EF8"/>
    <w:rsid w:val="00F67726"/>
    <w:rsid w:val="00F703AE"/>
    <w:rsid w:val="00F705D7"/>
    <w:rsid w:val="00F70AAB"/>
    <w:rsid w:val="00F7167F"/>
    <w:rsid w:val="00F73404"/>
    <w:rsid w:val="00F73AC3"/>
    <w:rsid w:val="00F73C16"/>
    <w:rsid w:val="00F73FEC"/>
    <w:rsid w:val="00F75B3D"/>
    <w:rsid w:val="00F77D99"/>
    <w:rsid w:val="00F81CE7"/>
    <w:rsid w:val="00F8291C"/>
    <w:rsid w:val="00F82FB7"/>
    <w:rsid w:val="00F8341F"/>
    <w:rsid w:val="00F840B1"/>
    <w:rsid w:val="00F8454F"/>
    <w:rsid w:val="00F84596"/>
    <w:rsid w:val="00F847FC"/>
    <w:rsid w:val="00F926C8"/>
    <w:rsid w:val="00F92750"/>
    <w:rsid w:val="00F97097"/>
    <w:rsid w:val="00F973E5"/>
    <w:rsid w:val="00FA1B61"/>
    <w:rsid w:val="00FA2D9F"/>
    <w:rsid w:val="00FA2E2E"/>
    <w:rsid w:val="00FA3A53"/>
    <w:rsid w:val="00FA3E91"/>
    <w:rsid w:val="00FA5929"/>
    <w:rsid w:val="00FA63D5"/>
    <w:rsid w:val="00FB0831"/>
    <w:rsid w:val="00FB17F0"/>
    <w:rsid w:val="00FB193B"/>
    <w:rsid w:val="00FB2ADD"/>
    <w:rsid w:val="00FB2C9E"/>
    <w:rsid w:val="00FB3D5A"/>
    <w:rsid w:val="00FB606B"/>
    <w:rsid w:val="00FB66CB"/>
    <w:rsid w:val="00FC2DC1"/>
    <w:rsid w:val="00FC3A6B"/>
    <w:rsid w:val="00FC75F8"/>
    <w:rsid w:val="00FC77B3"/>
    <w:rsid w:val="00FD12B0"/>
    <w:rsid w:val="00FD39AC"/>
    <w:rsid w:val="00FD3B3A"/>
    <w:rsid w:val="00FD4D14"/>
    <w:rsid w:val="00FD50D6"/>
    <w:rsid w:val="00FD63CA"/>
    <w:rsid w:val="00FE1177"/>
    <w:rsid w:val="00FE2658"/>
    <w:rsid w:val="00FE27D0"/>
    <w:rsid w:val="00FE41D4"/>
    <w:rsid w:val="00FE549C"/>
    <w:rsid w:val="00FE571B"/>
    <w:rsid w:val="00FE5A48"/>
    <w:rsid w:val="00FE5D74"/>
    <w:rsid w:val="00FE648F"/>
    <w:rsid w:val="00FE7446"/>
    <w:rsid w:val="00FF2D4C"/>
    <w:rsid w:val="00FF480D"/>
    <w:rsid w:val="00FF5079"/>
    <w:rsid w:val="00FF6DF5"/>
    <w:rsid w:val="00FF71CC"/>
    <w:rsid w:val="02762DB4"/>
    <w:rsid w:val="0EE33E66"/>
    <w:rsid w:val="0F6D09C1"/>
    <w:rsid w:val="11B52D30"/>
    <w:rsid w:val="177E2779"/>
    <w:rsid w:val="189F6CC5"/>
    <w:rsid w:val="1BB5191F"/>
    <w:rsid w:val="226640DA"/>
    <w:rsid w:val="303C6BB1"/>
    <w:rsid w:val="397A5C89"/>
    <w:rsid w:val="3A742699"/>
    <w:rsid w:val="3C78707E"/>
    <w:rsid w:val="3FB32556"/>
    <w:rsid w:val="465D56A9"/>
    <w:rsid w:val="46E407CA"/>
    <w:rsid w:val="477F6B72"/>
    <w:rsid w:val="47E83D2D"/>
    <w:rsid w:val="513530FD"/>
    <w:rsid w:val="54936B48"/>
    <w:rsid w:val="58D60BD4"/>
    <w:rsid w:val="591250FF"/>
    <w:rsid w:val="5AA83990"/>
    <w:rsid w:val="5DC11AFC"/>
    <w:rsid w:val="5DEC2BEC"/>
    <w:rsid w:val="60AE3960"/>
    <w:rsid w:val="61CF077E"/>
    <w:rsid w:val="66344907"/>
    <w:rsid w:val="67931B01"/>
    <w:rsid w:val="6E1F351B"/>
    <w:rsid w:val="711A3A11"/>
    <w:rsid w:val="742C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name="heading 1"/>
    <w:lsdException w:qFormat="1" w:unhideWhenUsed="0" w:uiPriority="9" w:name="heading 2"/>
    <w:lsdException w:qFormat="1" w:unhideWhenUsed="0" w:uiPriority="9" w:name="heading 3"/>
    <w:lsdException w:qFormat="1" w:unhideWhenUsed="0" w:uiPriority="9" w:name="heading 4"/>
    <w:lsdException w:qFormat="1" w:unhideWhenUsed="0" w:uiPriority="9" w:name="heading 5"/>
    <w:lsdException w:qFormat="1" w:unhideWhenUsed="0" w:uiPriority="9" w:name="heading 6"/>
    <w:lsdException w:qFormat="1" w:unhideWhenUsed="0" w:uiPriority="9" w:name="heading 7"/>
    <w:lsdException w:qFormat="1" w:unhideWhenUsed="0" w:uiPriority="9" w:name="heading 8"/>
    <w:lsdException w:qFormat="1" w:unhideWhenUsed="0" w:uiPriority="9" w:name="heading 9"/>
    <w:lsdException w:qFormat="1" w:unhideWhenUsed="0" w:uiPriority="99" w:name="index 1"/>
    <w:lsdException w:unhideWhenUsed="0" w:uiPriority="99" w:name="index 2"/>
    <w:lsdException w:unhideWhenUsed="0" w:uiPriority="99" w:name="index 3"/>
    <w:lsdException w:unhideWhenUsed="0" w:uiPriority="99" w:name="index 4"/>
    <w:lsdException w:unhideWhenUsed="0" w:uiPriority="99" w:name="index 5"/>
    <w:lsdException w:unhideWhenUsed="0" w:uiPriority="99" w:name="index 6"/>
    <w:lsdException w:unhideWhenUsed="0" w:uiPriority="99" w:name="index 7"/>
    <w:lsdException w:unhideWhenUsed="0" w:uiPriority="99" w:name="index 8"/>
    <w:lsdException w:unhideWhenUsed="0"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nhideWhenUsed="0" w:uiPriority="99" w:name="Normal Indent"/>
    <w:lsdException w:unhideWhenUsed="0" w:uiPriority="99" w:name="footnote text"/>
    <w:lsdException w:qFormat="1" w:unhideWhenUsed="0" w:uiPriority="99" w:name="annotation text"/>
    <w:lsdException w:unhideWhenUsed="0" w:uiPriority="99" w:name="header"/>
    <w:lsdException w:qFormat="1" w:unhideWhenUsed="0" w:uiPriority="99" w:semiHidden="0" w:name="footer"/>
    <w:lsdException w:unhideWhenUsed="0" w:uiPriority="99" w:name="index heading"/>
    <w:lsdException w:qFormat="1" w:unhideWhenUsed="0" w:uiPriority="35" w:name="caption"/>
    <w:lsdException w:unhideWhenUsed="0" w:uiPriority="99" w:name="table of figures"/>
    <w:lsdException w:unhideWhenUsed="0" w:uiPriority="99" w:name="envelope address"/>
    <w:lsdException w:unhideWhenUsed="0" w:uiPriority="99" w:name="envelope return"/>
    <w:lsdException w:unhideWhenUsed="0" w:uiPriority="99" w:name="footnote reference"/>
    <w:lsdException w:qFormat="1" w:unhideWhenUsed="0" w:uiPriority="99" w:name="annotation reference"/>
    <w:lsdException w:unhideWhenUsed="0" w:uiPriority="99" w:name="line number"/>
    <w:lsdException w:unhideWhenUsed="0" w:uiPriority="99" w:name="page number"/>
    <w:lsdException w:unhideWhenUsed="0" w:uiPriority="99" w:name="endnote reference"/>
    <w:lsdException w:unhideWhenUsed="0" w:uiPriority="99" w:name="endnote text"/>
    <w:lsdException w:unhideWhenUsed="0" w:uiPriority="99" w:name="table of authorities"/>
    <w:lsdException w:unhideWhenUsed="0" w:uiPriority="99" w:name="macro"/>
    <w:lsdException w:unhideWhenUsed="0" w:uiPriority="99" w:name="toa heading"/>
    <w:lsdException w:unhideWhenUsed="0" w:uiPriority="99" w:name="List"/>
    <w:lsdException w:unhideWhenUsed="0" w:uiPriority="99" w:name="List Bullet"/>
    <w:lsdException w:unhideWhenUsed="0" w:uiPriority="99" w:name="List Number"/>
    <w:lsdException w:unhideWhenUsed="0" w:uiPriority="99" w:name="List 2"/>
    <w:lsdException w:unhideWhenUsed="0" w:uiPriority="99" w:name="List 3"/>
    <w:lsdException w:unhideWhenUsed="0" w:uiPriority="99" w:name="List 4"/>
    <w:lsdException w:unhideWhenUsed="0" w:uiPriority="99" w:name="List 5"/>
    <w:lsdException w:unhideWhenUsed="0" w:uiPriority="99" w:name="List Bullet 2"/>
    <w:lsdException w:unhideWhenUsed="0" w:uiPriority="99" w:name="List Bullet 3"/>
    <w:lsdException w:unhideWhenUsed="0" w:uiPriority="99" w:name="List Bullet 4"/>
    <w:lsdException w:unhideWhenUsed="0" w:uiPriority="99" w:name="List Bullet 5"/>
    <w:lsdException w:unhideWhenUsed="0" w:uiPriority="99" w:name="List Number 2"/>
    <w:lsdException w:unhideWhenUsed="0" w:uiPriority="99" w:name="List Number 3"/>
    <w:lsdException w:unhideWhenUsed="0" w:uiPriority="99" w:name="List Number 4"/>
    <w:lsdException w:unhideWhenUsed="0" w:uiPriority="99" w:name="List Number 5"/>
    <w:lsdException w:qFormat="1" w:unhideWhenUsed="0" w:uiPriority="10" w:semiHidden="0" w:name="Title"/>
    <w:lsdException w:unhideWhenUsed="0" w:uiPriority="99" w:name="Closing"/>
    <w:lsdException w:unhideWhenUsed="0" w:uiPriority="99" w:name="Signature"/>
    <w:lsdException w:qFormat="1" w:uiPriority="1" w:name="Default Paragraph Font"/>
    <w:lsdException w:qFormat="1" w:unhideWhenUsed="0" w:uiPriority="99" w:semiHidden="0" w:name="Body Text"/>
    <w:lsdException w:unhideWhenUsed="0" w:uiPriority="99" w:name="Body Text Indent"/>
    <w:lsdException w:unhideWhenUsed="0" w:uiPriority="99" w:name="List Continue"/>
    <w:lsdException w:unhideWhenUsed="0" w:uiPriority="99" w:name="List Continue 2"/>
    <w:lsdException w:unhideWhenUsed="0" w:uiPriority="99" w:name="List Continue 3"/>
    <w:lsdException w:unhideWhenUsed="0" w:uiPriority="99" w:name="List Continue 4"/>
    <w:lsdException w:unhideWhenUsed="0" w:uiPriority="99" w:name="List Continue 5"/>
    <w:lsdException w:unhideWhenUsed="0" w:uiPriority="99" w:name="Message Header"/>
    <w:lsdException w:qFormat="1" w:unhideWhenUsed="0" w:uiPriority="11" w:semiHidden="0" w:name="Subtitle"/>
    <w:lsdException w:unhideWhenUsed="0" w:uiPriority="99" w:name="Salutation"/>
    <w:lsdException w:unhideWhenUsed="0" w:uiPriority="99" w:name="Date"/>
    <w:lsdException w:unhideWhenUsed="0" w:uiPriority="99" w:name="Body Text First Indent"/>
    <w:lsdException w:unhideWhenUsed="0" w:uiPriority="99" w:name="Body Text First Indent 2"/>
    <w:lsdException w:unhideWhenUsed="0" w:uiPriority="99" w:name="Note Heading"/>
    <w:lsdException w:unhideWhenUsed="0" w:uiPriority="99" w:name="Body Text 2"/>
    <w:lsdException w:unhideWhenUsed="0" w:uiPriority="99" w:name="Body Text 3"/>
    <w:lsdException w:unhideWhenUsed="0" w:uiPriority="99" w:name="Body Text Indent 2"/>
    <w:lsdException w:unhideWhenUsed="0" w:uiPriority="99" w:name="Body Text Indent 3"/>
    <w:lsdException w:unhideWhenUsed="0" w:uiPriority="99" w:name="Block Text"/>
    <w:lsdException w:qFormat="1" w:uiPriority="99" w:semiHidden="0" w:name="Hyperlink"/>
    <w:lsdException w:unhideWhenUsed="0" w:uiPriority="99" w:name="FollowedHyperlink"/>
    <w:lsdException w:qFormat="1" w:unhideWhenUsed="0" w:uiPriority="22" w:semiHidden="0" w:name="Strong"/>
    <w:lsdException w:qFormat="1" w:unhideWhenUsed="0" w:uiPriority="20" w:semiHidden="0" w:name="Emphasis"/>
    <w:lsdException w:unhideWhenUsed="0" w:uiPriority="99" w:name="Document Map"/>
    <w:lsdException w:unhideWhenUsed="0" w:uiPriority="99" w:name="Plain Text"/>
    <w:lsdException w:unhideWhenUsed="0" w:uiPriority="99" w:name="E-mail Signature"/>
    <w:lsdException w:unhideWhenUsed="0" w:uiPriority="99" w:name="Normal (Web)"/>
    <w:lsdException w:unhideWhenUsed="0" w:uiPriority="99" w:name="HTML Acronym"/>
    <w:lsdException w:unhideWhenUsed="0" w:uiPriority="99" w:name="HTML Address"/>
    <w:lsdException w:unhideWhenUsed="0" w:uiPriority="99" w:name="HTML Cite"/>
    <w:lsdException w:unhideWhenUsed="0" w:uiPriority="99" w:name="HTML Code"/>
    <w:lsdException w:unhideWhenUsed="0" w:uiPriority="99" w:name="HTML Definition"/>
    <w:lsdException w:unhideWhenUsed="0" w:uiPriority="99" w:name="HTML Keyboard"/>
    <w:lsdException w:unhideWhenUsed="0" w:uiPriority="99" w:name="HTML Preformatted"/>
    <w:lsdException w:unhideWhenUsed="0" w:uiPriority="99" w:name="HTML Sample"/>
    <w:lsdException w:unhideWhenUsed="0" w:uiPriority="99" w:name="HTML Typewriter"/>
    <w:lsdException w:unhideWhenUsed="0"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pPr>
    <w:rPr>
      <w:rFonts w:asciiTheme="minorHAnsi" w:hAnsiTheme="minorHAnsi" w:eastAsiaTheme="minorEastAsia" w:cstheme="minorBidi"/>
      <w:kern w:val="2"/>
      <w:sz w:val="21"/>
      <w:szCs w:val="21"/>
      <w:lang w:val="en-US" w:eastAsia="zh-CN" w:bidi="ar-SA"/>
    </w:rPr>
  </w:style>
  <w:style w:type="paragraph" w:styleId="2">
    <w:name w:val="heading 1"/>
    <w:basedOn w:val="1"/>
    <w:next w:val="1"/>
    <w:link w:val="23"/>
    <w:semiHidden/>
    <w:qFormat/>
    <w:uiPriority w:val="9"/>
    <w:pPr>
      <w:keepNext/>
      <w:keepLines/>
      <w:spacing w:before="340" w:after="330" w:line="578" w:lineRule="auto"/>
      <w:ind w:firstLine="0" w:firstLineChars="0"/>
      <w:jc w:val="center"/>
      <w:outlineLvl w:val="0"/>
    </w:pPr>
    <w:rPr>
      <w:b/>
      <w:bCs/>
      <w:kern w:val="44"/>
      <w:sz w:val="44"/>
      <w:szCs w:val="44"/>
    </w:rPr>
  </w:style>
  <w:style w:type="paragraph" w:styleId="3">
    <w:name w:val="heading 2"/>
    <w:basedOn w:val="1"/>
    <w:next w:val="1"/>
    <w:link w:val="24"/>
    <w:semiHidden/>
    <w:qFormat/>
    <w:uiPriority w:val="9"/>
    <w:pPr>
      <w:keepNext/>
      <w:keepLines/>
      <w:spacing w:before="260" w:after="260"/>
      <w:ind w:firstLine="0" w:firstLineChars="0"/>
      <w:outlineLvl w:val="1"/>
    </w:pPr>
    <w:rPr>
      <w:rFonts w:asciiTheme="majorHAnsi" w:hAnsiTheme="majorHAnsi" w:cstheme="majorBidi"/>
      <w:b/>
      <w:bCs/>
      <w:sz w:val="32"/>
      <w:szCs w:val="32"/>
    </w:rPr>
  </w:style>
  <w:style w:type="paragraph" w:styleId="4">
    <w:name w:val="heading 3"/>
    <w:basedOn w:val="1"/>
    <w:next w:val="1"/>
    <w:link w:val="25"/>
    <w:semiHidden/>
    <w:qFormat/>
    <w:uiPriority w:val="9"/>
    <w:pPr>
      <w:keepNext/>
      <w:keepLines/>
      <w:spacing w:before="260" w:after="260"/>
      <w:ind w:firstLine="0" w:firstLineChars="0"/>
      <w:outlineLvl w:val="2"/>
    </w:pPr>
    <w:rPr>
      <w:b/>
      <w:bCs/>
      <w:sz w:val="30"/>
      <w:szCs w:val="32"/>
    </w:rPr>
  </w:style>
  <w:style w:type="paragraph" w:styleId="5">
    <w:name w:val="heading 4"/>
    <w:basedOn w:val="1"/>
    <w:next w:val="1"/>
    <w:link w:val="27"/>
    <w:semiHidden/>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qFormat/>
    <w:uiPriority w:val="9"/>
    <w:pPr>
      <w:keepNext/>
      <w:keepLines/>
      <w:spacing w:before="280" w:after="290" w:line="480" w:lineRule="auto"/>
      <w:ind w:firstLine="0" w:firstLineChars="0"/>
      <w:outlineLvl w:val="4"/>
    </w:pPr>
    <w:rPr>
      <w:b/>
      <w:bCs/>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8"/>
    <w:semiHidden/>
    <w:qFormat/>
    <w:uiPriority w:val="99"/>
  </w:style>
  <w:style w:type="paragraph" w:styleId="8">
    <w:name w:val="Body Text"/>
    <w:basedOn w:val="1"/>
    <w:link w:val="51"/>
    <w:qFormat/>
    <w:uiPriority w:val="99"/>
    <w:pPr>
      <w:spacing w:after="120" w:line="240" w:lineRule="auto"/>
      <w:ind w:firstLine="0" w:firstLineChars="0"/>
      <w:jc w:val="both"/>
    </w:pPr>
    <w:rPr>
      <w:rFonts w:ascii="Times New Roman" w:hAnsi="Times New Roman" w:eastAsia="宋体" w:cs="Times New Roman"/>
      <w:kern w:val="0"/>
      <w:sz w:val="32"/>
      <w:szCs w:val="32"/>
    </w:rPr>
  </w:style>
  <w:style w:type="paragraph" w:styleId="9">
    <w:name w:val="toc 3"/>
    <w:basedOn w:val="1"/>
    <w:next w:val="1"/>
    <w:qFormat/>
    <w:uiPriority w:val="39"/>
    <w:pPr>
      <w:tabs>
        <w:tab w:val="right" w:leader="dot" w:pos="8834"/>
      </w:tabs>
      <w:spacing w:line="600" w:lineRule="exact"/>
      <w:ind w:left="400" w:leftChars="136" w:hanging="264" w:hangingChars="264"/>
    </w:pPr>
    <w:rPr>
      <w:rFonts w:eastAsia="仿宋_GB2312"/>
      <w:sz w:val="32"/>
    </w:rPr>
  </w:style>
  <w:style w:type="paragraph" w:styleId="10">
    <w:name w:val="Balloon Text"/>
    <w:basedOn w:val="1"/>
    <w:link w:val="45"/>
    <w:semiHidden/>
    <w:qFormat/>
    <w:uiPriority w:val="99"/>
    <w:pPr>
      <w:spacing w:line="240" w:lineRule="auto"/>
    </w:pPr>
    <w:rPr>
      <w:sz w:val="18"/>
      <w:szCs w:val="18"/>
    </w:rPr>
  </w:style>
  <w:style w:type="paragraph" w:styleId="11">
    <w:name w:val="footer"/>
    <w:basedOn w:val="1"/>
    <w:link w:val="44"/>
    <w:qFormat/>
    <w:uiPriority w:val="99"/>
    <w:pPr>
      <w:tabs>
        <w:tab w:val="center" w:pos="4153"/>
        <w:tab w:val="right" w:pos="8306"/>
      </w:tabs>
      <w:snapToGrid w:val="0"/>
      <w:spacing w:line="240" w:lineRule="auto"/>
    </w:pPr>
    <w:rPr>
      <w:sz w:val="18"/>
      <w:szCs w:val="18"/>
    </w:rPr>
  </w:style>
  <w:style w:type="paragraph" w:styleId="12">
    <w:name w:val="toc 1"/>
    <w:basedOn w:val="1"/>
    <w:next w:val="1"/>
    <w:qFormat/>
    <w:uiPriority w:val="39"/>
  </w:style>
  <w:style w:type="paragraph" w:styleId="13">
    <w:name w:val="toc 2"/>
    <w:basedOn w:val="1"/>
    <w:next w:val="1"/>
    <w:qFormat/>
    <w:uiPriority w:val="39"/>
    <w:pPr>
      <w:tabs>
        <w:tab w:val="right" w:leader="dot" w:pos="8834"/>
      </w:tabs>
      <w:spacing w:line="600" w:lineRule="exact"/>
      <w:ind w:left="640" w:hanging="640" w:hangingChars="200"/>
    </w:pPr>
    <w:rPr>
      <w:rFonts w:ascii="Times New Roman" w:hAnsi="Times New Roman" w:eastAsia="仿宋_GB2312"/>
      <w:b/>
      <w:sz w:val="32"/>
    </w:rPr>
  </w:style>
  <w:style w:type="paragraph" w:styleId="14">
    <w:name w:val="index 1"/>
    <w:basedOn w:val="1"/>
    <w:next w:val="1"/>
    <w:semiHidden/>
    <w:qFormat/>
    <w:uiPriority w:val="99"/>
    <w:pPr>
      <w:spacing w:line="240" w:lineRule="auto"/>
      <w:ind w:firstLine="0" w:firstLineChars="0"/>
      <w:jc w:val="both"/>
    </w:pPr>
  </w:style>
  <w:style w:type="paragraph" w:styleId="15">
    <w:name w:val="annotation subject"/>
    <w:basedOn w:val="7"/>
    <w:next w:val="7"/>
    <w:link w:val="49"/>
    <w:semiHidden/>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Emphasis"/>
    <w:basedOn w:val="18"/>
    <w:qFormat/>
    <w:uiPriority w:val="20"/>
    <w:rPr>
      <w:i/>
      <w:iCs/>
    </w:rPr>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basedOn w:val="18"/>
    <w:semiHidden/>
    <w:qFormat/>
    <w:uiPriority w:val="99"/>
    <w:rPr>
      <w:sz w:val="21"/>
      <w:szCs w:val="21"/>
    </w:rPr>
  </w:style>
  <w:style w:type="character" w:customStyle="1" w:styleId="23">
    <w:name w:val="标题 1 字符"/>
    <w:basedOn w:val="18"/>
    <w:link w:val="2"/>
    <w:semiHidden/>
    <w:qFormat/>
    <w:uiPriority w:val="9"/>
    <w:rPr>
      <w:b/>
      <w:bCs/>
      <w:kern w:val="44"/>
      <w:sz w:val="44"/>
      <w:szCs w:val="44"/>
    </w:rPr>
  </w:style>
  <w:style w:type="character" w:customStyle="1" w:styleId="24">
    <w:name w:val="标题 2 字符"/>
    <w:basedOn w:val="18"/>
    <w:link w:val="3"/>
    <w:semiHidden/>
    <w:qFormat/>
    <w:uiPriority w:val="9"/>
    <w:rPr>
      <w:rFonts w:asciiTheme="majorHAnsi" w:hAnsiTheme="majorHAnsi" w:cstheme="majorBidi"/>
      <w:b/>
      <w:bCs/>
      <w:sz w:val="32"/>
      <w:szCs w:val="32"/>
    </w:rPr>
  </w:style>
  <w:style w:type="character" w:customStyle="1" w:styleId="25">
    <w:name w:val="标题 3 字符"/>
    <w:basedOn w:val="18"/>
    <w:link w:val="4"/>
    <w:semiHidden/>
    <w:qFormat/>
    <w:uiPriority w:val="9"/>
    <w:rPr>
      <w:b/>
      <w:bCs/>
      <w:sz w:val="30"/>
      <w:szCs w:val="32"/>
    </w:rPr>
  </w:style>
  <w:style w:type="character" w:customStyle="1" w:styleId="26">
    <w:name w:val="标题 5 字符"/>
    <w:basedOn w:val="18"/>
    <w:link w:val="6"/>
    <w:semiHidden/>
    <w:qFormat/>
    <w:uiPriority w:val="9"/>
    <w:rPr>
      <w:b/>
      <w:bCs/>
      <w:szCs w:val="28"/>
    </w:rPr>
  </w:style>
  <w:style w:type="character" w:customStyle="1" w:styleId="27">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28">
    <w:name w:val="市局绩效-标题"/>
    <w:basedOn w:val="2"/>
    <w:link w:val="30"/>
    <w:qFormat/>
    <w:uiPriority w:val="0"/>
    <w:pPr>
      <w:spacing w:before="0" w:after="0" w:line="600" w:lineRule="exact"/>
      <w:outlineLvl w:val="9"/>
    </w:pPr>
    <w:rPr>
      <w:rFonts w:ascii="方正小标宋简体" w:hAnsi="方正小标宋简体" w:eastAsia="方正小标宋简体"/>
      <w:b w:val="0"/>
    </w:rPr>
  </w:style>
  <w:style w:type="paragraph" w:customStyle="1" w:styleId="29">
    <w:name w:val="市局绩效-正文"/>
    <w:basedOn w:val="1"/>
    <w:link w:val="32"/>
    <w:qFormat/>
    <w:uiPriority w:val="0"/>
    <w:pPr>
      <w:spacing w:line="600" w:lineRule="exact"/>
      <w:jc w:val="both"/>
    </w:pPr>
    <w:rPr>
      <w:rFonts w:ascii="Times New Roman" w:hAnsi="Times New Roman" w:eastAsia="仿宋_GB2312"/>
      <w:sz w:val="32"/>
    </w:rPr>
  </w:style>
  <w:style w:type="character" w:customStyle="1" w:styleId="30">
    <w:name w:val="市局绩效-标题 字符"/>
    <w:basedOn w:val="23"/>
    <w:link w:val="28"/>
    <w:qFormat/>
    <w:uiPriority w:val="0"/>
    <w:rPr>
      <w:rFonts w:ascii="方正小标宋简体" w:hAnsi="方正小标宋简体" w:eastAsia="方正小标宋简体"/>
      <w:b w:val="0"/>
      <w:kern w:val="44"/>
      <w:sz w:val="44"/>
      <w:szCs w:val="44"/>
    </w:rPr>
  </w:style>
  <w:style w:type="paragraph" w:customStyle="1" w:styleId="31">
    <w:name w:val="市局绩效-一级标题"/>
    <w:basedOn w:val="3"/>
    <w:link w:val="34"/>
    <w:qFormat/>
    <w:uiPriority w:val="0"/>
    <w:pPr>
      <w:spacing w:before="0" w:after="0" w:line="600" w:lineRule="exact"/>
      <w:ind w:firstLine="641"/>
      <w:jc w:val="both"/>
    </w:pPr>
    <w:rPr>
      <w:rFonts w:ascii="Times New Roman" w:hAnsi="Times New Roman" w:eastAsia="黑体"/>
      <w:b w:val="0"/>
    </w:rPr>
  </w:style>
  <w:style w:type="character" w:customStyle="1" w:styleId="32">
    <w:name w:val="市局绩效-正文 字符"/>
    <w:basedOn w:val="18"/>
    <w:link w:val="29"/>
    <w:qFormat/>
    <w:uiPriority w:val="0"/>
    <w:rPr>
      <w:rFonts w:ascii="Times New Roman" w:hAnsi="Times New Roman" w:eastAsia="仿宋_GB2312"/>
      <w:sz w:val="32"/>
    </w:rPr>
  </w:style>
  <w:style w:type="paragraph" w:customStyle="1" w:styleId="33">
    <w:name w:val="市局绩效-二级标题"/>
    <w:basedOn w:val="4"/>
    <w:link w:val="35"/>
    <w:qFormat/>
    <w:uiPriority w:val="0"/>
    <w:pPr>
      <w:spacing w:before="0" w:after="0" w:line="600" w:lineRule="exact"/>
      <w:ind w:firstLine="200" w:firstLineChars="200"/>
      <w:jc w:val="both"/>
    </w:pPr>
    <w:rPr>
      <w:rFonts w:eastAsia="楷体_GB2312"/>
      <w:b w:val="0"/>
      <w:sz w:val="32"/>
    </w:rPr>
  </w:style>
  <w:style w:type="character" w:customStyle="1" w:styleId="34">
    <w:name w:val="市局绩效-一级标题 字符"/>
    <w:basedOn w:val="24"/>
    <w:link w:val="31"/>
    <w:qFormat/>
    <w:uiPriority w:val="0"/>
    <w:rPr>
      <w:rFonts w:ascii="Times New Roman" w:hAnsi="Times New Roman" w:eastAsia="黑体" w:cstheme="majorBidi"/>
      <w:b w:val="0"/>
      <w:sz w:val="32"/>
      <w:szCs w:val="32"/>
    </w:rPr>
  </w:style>
  <w:style w:type="character" w:customStyle="1" w:styleId="35">
    <w:name w:val="市局绩效-二级标题 字符"/>
    <w:basedOn w:val="25"/>
    <w:link w:val="33"/>
    <w:qFormat/>
    <w:uiPriority w:val="0"/>
    <w:rPr>
      <w:rFonts w:eastAsia="楷体_GB2312"/>
      <w:b w:val="0"/>
      <w:sz w:val="32"/>
      <w:szCs w:val="32"/>
    </w:rPr>
  </w:style>
  <w:style w:type="paragraph" w:customStyle="1" w:styleId="36">
    <w:name w:val="市局绩效-表格标题"/>
    <w:basedOn w:val="1"/>
    <w:link w:val="38"/>
    <w:qFormat/>
    <w:uiPriority w:val="0"/>
    <w:pPr>
      <w:widowControl/>
      <w:spacing w:line="600" w:lineRule="exact"/>
      <w:ind w:firstLine="0" w:firstLineChars="0"/>
      <w:jc w:val="center"/>
    </w:pPr>
    <w:rPr>
      <w:rFonts w:ascii="Times New Roman" w:hAnsi="Times New Roman" w:eastAsia="黑体" w:cs="Times New Roman"/>
      <w:bCs/>
      <w:sz w:val="28"/>
      <w:szCs w:val="24"/>
    </w:rPr>
  </w:style>
  <w:style w:type="paragraph" w:customStyle="1" w:styleId="37">
    <w:name w:val="市局绩效-表格单位"/>
    <w:basedOn w:val="1"/>
    <w:link w:val="40"/>
    <w:qFormat/>
    <w:uiPriority w:val="0"/>
    <w:pPr>
      <w:widowControl/>
      <w:spacing w:line="240" w:lineRule="auto"/>
      <w:ind w:firstLine="0" w:firstLineChars="0"/>
      <w:jc w:val="right"/>
    </w:pPr>
    <w:rPr>
      <w:rFonts w:ascii="Times New Roman" w:hAnsi="Times New Roman" w:eastAsia="宋体"/>
      <w:bCs/>
      <w:szCs w:val="18"/>
    </w:rPr>
  </w:style>
  <w:style w:type="character" w:customStyle="1" w:styleId="38">
    <w:name w:val="市局绩效-表格标题 字符"/>
    <w:basedOn w:val="18"/>
    <w:link w:val="36"/>
    <w:qFormat/>
    <w:uiPriority w:val="0"/>
    <w:rPr>
      <w:rFonts w:ascii="Times New Roman" w:hAnsi="Times New Roman" w:eastAsia="黑体" w:cs="Times New Roman"/>
      <w:bCs/>
      <w:sz w:val="28"/>
      <w:szCs w:val="24"/>
    </w:rPr>
  </w:style>
  <w:style w:type="paragraph" w:customStyle="1" w:styleId="39">
    <w:name w:val="市局绩效-表格表头"/>
    <w:basedOn w:val="29"/>
    <w:link w:val="42"/>
    <w:qFormat/>
    <w:uiPriority w:val="0"/>
    <w:pPr>
      <w:spacing w:line="240" w:lineRule="auto"/>
      <w:ind w:firstLine="0" w:firstLineChars="0"/>
      <w:jc w:val="left"/>
    </w:pPr>
    <w:rPr>
      <w:rFonts w:eastAsia="黑体"/>
      <w:b/>
      <w:sz w:val="21"/>
    </w:rPr>
  </w:style>
  <w:style w:type="character" w:customStyle="1" w:styleId="40">
    <w:name w:val="市局绩效-表格单位 字符"/>
    <w:basedOn w:val="18"/>
    <w:link w:val="37"/>
    <w:qFormat/>
    <w:uiPriority w:val="0"/>
    <w:rPr>
      <w:rFonts w:ascii="Times New Roman" w:hAnsi="Times New Roman" w:eastAsia="宋体"/>
      <w:bCs/>
      <w:szCs w:val="18"/>
    </w:rPr>
  </w:style>
  <w:style w:type="paragraph" w:customStyle="1" w:styleId="41">
    <w:name w:val="市局绩效-表格内容"/>
    <w:basedOn w:val="29"/>
    <w:link w:val="43"/>
    <w:qFormat/>
    <w:uiPriority w:val="0"/>
    <w:pPr>
      <w:spacing w:line="240" w:lineRule="auto"/>
      <w:ind w:firstLine="0" w:firstLineChars="0"/>
      <w:jc w:val="center"/>
    </w:pPr>
    <w:rPr>
      <w:rFonts w:eastAsia="宋体"/>
      <w:sz w:val="21"/>
    </w:rPr>
  </w:style>
  <w:style w:type="character" w:customStyle="1" w:styleId="42">
    <w:name w:val="市局绩效-表格表头 字符"/>
    <w:basedOn w:val="32"/>
    <w:link w:val="39"/>
    <w:qFormat/>
    <w:uiPriority w:val="0"/>
    <w:rPr>
      <w:rFonts w:ascii="Times New Roman" w:hAnsi="Times New Roman" w:eastAsia="黑体"/>
      <w:b/>
      <w:sz w:val="32"/>
    </w:rPr>
  </w:style>
  <w:style w:type="character" w:customStyle="1" w:styleId="43">
    <w:name w:val="市局绩效-表格内容 字符"/>
    <w:basedOn w:val="32"/>
    <w:link w:val="41"/>
    <w:qFormat/>
    <w:uiPriority w:val="0"/>
    <w:rPr>
      <w:rFonts w:ascii="Times New Roman" w:hAnsi="Times New Roman" w:eastAsia="宋体"/>
      <w:sz w:val="32"/>
    </w:rPr>
  </w:style>
  <w:style w:type="character" w:customStyle="1" w:styleId="44">
    <w:name w:val="页脚 字符"/>
    <w:basedOn w:val="18"/>
    <w:link w:val="11"/>
    <w:qFormat/>
    <w:uiPriority w:val="99"/>
    <w:rPr>
      <w:sz w:val="18"/>
      <w:szCs w:val="18"/>
    </w:rPr>
  </w:style>
  <w:style w:type="character" w:customStyle="1" w:styleId="45">
    <w:name w:val="批注框文本 字符"/>
    <w:basedOn w:val="18"/>
    <w:link w:val="10"/>
    <w:semiHidden/>
    <w:qFormat/>
    <w:uiPriority w:val="99"/>
    <w:rPr>
      <w:sz w:val="18"/>
      <w:szCs w:val="18"/>
    </w:rPr>
  </w:style>
  <w:style w:type="paragraph" w:customStyle="1" w:styleId="46">
    <w:name w:val="市局绩效-注"/>
    <w:basedOn w:val="29"/>
    <w:link w:val="47"/>
    <w:qFormat/>
    <w:uiPriority w:val="0"/>
    <w:pPr>
      <w:ind w:firstLine="0" w:firstLineChars="0"/>
    </w:pPr>
    <w:rPr>
      <w:rFonts w:eastAsia="宋体"/>
      <w:bCs/>
      <w:sz w:val="21"/>
    </w:rPr>
  </w:style>
  <w:style w:type="character" w:customStyle="1" w:styleId="47">
    <w:name w:val="市局绩效-注 字符"/>
    <w:basedOn w:val="32"/>
    <w:link w:val="46"/>
    <w:qFormat/>
    <w:uiPriority w:val="0"/>
    <w:rPr>
      <w:rFonts w:ascii="Times New Roman" w:hAnsi="Times New Roman" w:eastAsia="宋体"/>
      <w:bCs/>
      <w:sz w:val="32"/>
    </w:rPr>
  </w:style>
  <w:style w:type="character" w:customStyle="1" w:styleId="48">
    <w:name w:val="批注文字 字符"/>
    <w:basedOn w:val="18"/>
    <w:link w:val="7"/>
    <w:semiHidden/>
    <w:qFormat/>
    <w:uiPriority w:val="99"/>
  </w:style>
  <w:style w:type="character" w:customStyle="1" w:styleId="49">
    <w:name w:val="批注主题 字符"/>
    <w:basedOn w:val="48"/>
    <w:link w:val="15"/>
    <w:semiHidden/>
    <w:qFormat/>
    <w:uiPriority w:val="99"/>
    <w:rPr>
      <w:b/>
      <w:bCs/>
    </w:rPr>
  </w:style>
  <w:style w:type="paragraph" w:customStyle="1" w:styleId="50">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51">
    <w:name w:val="正文文本 字符"/>
    <w:basedOn w:val="18"/>
    <w:link w:val="8"/>
    <w:qFormat/>
    <w:uiPriority w:val="99"/>
    <w:rPr>
      <w:rFonts w:ascii="Times New Roman" w:hAnsi="Times New Roman" w:eastAsia="宋体" w:cs="Times New Roman"/>
      <w:kern w:val="0"/>
      <w:sz w:val="32"/>
      <w:szCs w:val="32"/>
    </w:rPr>
  </w:style>
  <w:style w:type="table" w:customStyle="1" w:styleId="52">
    <w:name w:val="TableGrid"/>
    <w:qFormat/>
    <w:uiPriority w:val="0"/>
    <w:rPr>
      <w:szCs w:val="22"/>
    </w:rPr>
    <w:tblPr>
      <w:tblCellMar>
        <w:top w:w="0" w:type="dxa"/>
        <w:left w:w="0" w:type="dxa"/>
        <w:bottom w:w="0" w:type="dxa"/>
        <w:right w:w="0" w:type="dxa"/>
      </w:tblCellMar>
    </w:tblPr>
  </w:style>
  <w:style w:type="paragraph" w:customStyle="1" w:styleId="53">
    <w:name w:val="绩效正文"/>
    <w:basedOn w:val="1"/>
    <w:link w:val="54"/>
    <w:qFormat/>
    <w:uiPriority w:val="0"/>
    <w:pPr>
      <w:spacing w:line="600" w:lineRule="exact"/>
      <w:textAlignment w:val="baseline"/>
    </w:pPr>
    <w:rPr>
      <w:rFonts w:ascii="Times New Roman" w:hAnsi="Times New Roman" w:eastAsia="仿宋_GB2312" w:cs="Times New Roman"/>
      <w:sz w:val="32"/>
      <w:szCs w:val="24"/>
    </w:rPr>
  </w:style>
  <w:style w:type="character" w:customStyle="1" w:styleId="54">
    <w:name w:val="绩效正文 字符"/>
    <w:basedOn w:val="18"/>
    <w:link w:val="53"/>
    <w:qFormat/>
    <w:uiPriority w:val="0"/>
    <w:rPr>
      <w:rFonts w:ascii="Times New Roman" w:hAnsi="Times New Roman" w:eastAsia="仿宋_GB2312" w:cs="Times New Roman"/>
      <w:sz w:val="32"/>
      <w:szCs w:val="24"/>
    </w:rPr>
  </w:style>
  <w:style w:type="character" w:customStyle="1" w:styleId="55">
    <w:name w:val="txt"/>
    <w:basedOn w:val="18"/>
    <w:qFormat/>
    <w:uiPriority w:val="0"/>
  </w:style>
  <w:style w:type="character" w:customStyle="1" w:styleId="56">
    <w:name w:val="c-color-gray"/>
    <w:basedOn w:val="18"/>
    <w:qFormat/>
    <w:uiPriority w:val="0"/>
  </w:style>
  <w:style w:type="character" w:customStyle="1" w:styleId="57">
    <w:name w:val="c-color-gray2"/>
    <w:basedOn w:val="18"/>
    <w:qFormat/>
    <w:uiPriority w:val="0"/>
  </w:style>
  <w:style w:type="character" w:customStyle="1" w:styleId="58">
    <w:name w:val="content-right_1thtn"/>
    <w:basedOn w:val="18"/>
    <w:qFormat/>
    <w:uiPriority w:val="0"/>
  </w:style>
  <w:style w:type="paragraph" w:styleId="59">
    <w:name w:val="List Paragraph"/>
    <w:basedOn w:val="1"/>
    <w:unhideWhenUsed/>
    <w:qFormat/>
    <w:uiPriority w:val="99"/>
    <w:pPr>
      <w:ind w:firstLine="420"/>
    </w:pPr>
  </w:style>
  <w:style w:type="paragraph" w:customStyle="1" w:styleId="6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02B75-4773-4997-B3D4-CFE545EDE4A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38</Pages>
  <Words>3131</Words>
  <Characters>17848</Characters>
  <Lines>148</Lines>
  <Paragraphs>41</Paragraphs>
  <TotalTime>79</TotalTime>
  <ScaleCrop>false</ScaleCrop>
  <LinksUpToDate>false</LinksUpToDate>
  <CharactersWithSpaces>20938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2021-10-05T04:17:00Z</dcterms:created>
  <dc:creator>忠晔 张</dc:creator>
  <cp:lastModifiedBy>Admin</cp:lastModifiedBy>
  <cp:lastPrinted>2024-09-18T08:22:00Z</cp:lastPrinted>
  <dcterms:modified xsi:type="dcterms:W3CDTF">2024-11-06T01:43:33Z</dcterms:modified>
  <cp:revision>3157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055D43DB9F7548D0B859B65C495D2DB8_12</vt:lpwstr>
  </property>
</Properties>
</file>