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hint="eastAsia" w:ascii="Times New Roman" w:hAnsi="Times New Roman" w:eastAsia="方正小标宋简体"/>
          <w:sz w:val="52"/>
          <w:szCs w:val="52"/>
          <w:lang w:eastAsia="zh-Hans"/>
        </w:rPr>
        <w:t>项目</w:t>
      </w:r>
      <w:r>
        <w:rPr>
          <w:rFonts w:ascii="Times New Roman" w:hAnsi="Times New Roman" w:eastAsia="方正小标宋简体"/>
          <w:sz w:val="52"/>
          <w:szCs w:val="52"/>
        </w:rPr>
        <w:t>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2022</w:t>
      </w:r>
      <w:r>
        <w:rPr>
          <w:rFonts w:ascii="Times New Roman" w:hAnsi="Times New Roman" w:eastAsia="方正小标宋简体"/>
          <w:sz w:val="40"/>
          <w:szCs w:val="36"/>
        </w:rPr>
        <w:t>年度）</w:t>
      </w: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900" w:lineRule="exact"/>
        <w:ind w:firstLine="0" w:firstLineChars="0"/>
        <w:rPr>
          <w:rFonts w:ascii="Times New Roman" w:hAnsi="Times New Roman" w:eastAsia="仿宋_GB2312"/>
          <w:sz w:val="32"/>
          <w:szCs w:val="32"/>
        </w:rPr>
      </w:pPr>
      <w:r>
        <w:rPr>
          <w:rFonts w:hint="eastAsia" w:ascii="Times New Roman" w:hAnsi="Times New Roman" w:eastAsia="仿宋_GB2312"/>
          <w:sz w:val="32"/>
          <w:szCs w:val="32"/>
        </w:rPr>
        <w:t>主 管 部 门：</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sz w:val="32"/>
          <w:szCs w:val="32"/>
          <w:u w:val="single"/>
        </w:rPr>
        <w:t>天津市和平区</w:t>
      </w:r>
      <w:r>
        <w:rPr>
          <w:rFonts w:hint="eastAsia" w:ascii="Times New Roman" w:hAnsi="Times New Roman" w:eastAsia="仿宋_GB2312"/>
          <w:sz w:val="32"/>
          <w:szCs w:val="32"/>
          <w:u w:val="single"/>
        </w:rPr>
        <w:t xml:space="preserve">司法局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p>
    <w:p>
      <w:pPr>
        <w:spacing w:line="900" w:lineRule="exact"/>
        <w:ind w:firstLine="0" w:firstLineChars="0"/>
        <w:rPr>
          <w:rFonts w:ascii="Times New Roman" w:hAnsi="Times New Roman" w:eastAsia="仿宋_GB2312" w:cs="Times New Roman"/>
          <w:spacing w:val="-20"/>
          <w:sz w:val="32"/>
          <w:szCs w:val="32"/>
          <w:u w:val="single"/>
        </w:rPr>
      </w:pPr>
      <w:r>
        <w:rPr>
          <w:rFonts w:hint="eastAsia" w:ascii="Times New Roman" w:hAnsi="Times New Roman" w:eastAsia="仿宋_GB2312"/>
          <w:sz w:val="32"/>
          <w:szCs w:val="32"/>
        </w:rPr>
        <w:t>项 目 单 位</w:t>
      </w:r>
      <w:r>
        <w:rPr>
          <w:rFonts w:ascii="Times New Roman" w:hAnsi="Times New Roman" w:eastAsia="仿宋_GB2312"/>
          <w:sz w:val="32"/>
          <w:szCs w:val="32"/>
        </w:rPr>
        <w:t>：</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sz w:val="32"/>
          <w:szCs w:val="32"/>
          <w:u w:val="single"/>
        </w:rPr>
        <w:t>天津市和平区</w:t>
      </w:r>
      <w:r>
        <w:rPr>
          <w:rFonts w:hint="eastAsia" w:ascii="Times New Roman" w:hAnsi="Times New Roman" w:eastAsia="仿宋_GB2312"/>
          <w:sz w:val="32"/>
          <w:szCs w:val="32"/>
          <w:u w:val="single"/>
        </w:rPr>
        <w:t>司法局</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 xml:space="preserve">             </w:t>
      </w:r>
      <w:r>
        <w:rPr>
          <w:rFonts w:ascii="Times New Roman" w:hAnsi="Times New Roman" w:eastAsia="仿宋_GB2312" w:cs="Times New Roman"/>
          <w:spacing w:val="-20"/>
          <w:sz w:val="32"/>
          <w:szCs w:val="32"/>
          <w:u w:val="single"/>
        </w:rPr>
        <w:t xml:space="preserve">     </w:t>
      </w:r>
    </w:p>
    <w:p>
      <w:pPr>
        <w:spacing w:line="900" w:lineRule="exact"/>
        <w:ind w:left="2240" w:hanging="2240" w:hangingChars="700"/>
        <w:rPr>
          <w:rFonts w:ascii="Times New Roman" w:hAnsi="Times New Roman" w:eastAsia="仿宋_GB2312"/>
          <w:sz w:val="32"/>
          <w:szCs w:val="32"/>
          <w:u w:val="single"/>
        </w:rPr>
      </w:pPr>
      <w:r>
        <w:rPr>
          <w:rFonts w:hint="eastAsia" w:ascii="Times New Roman" w:hAnsi="Times New Roman" w:eastAsia="仿宋_GB2312"/>
          <w:sz w:val="32"/>
          <w:szCs w:val="32"/>
        </w:rPr>
        <w:t>项 目 名 称：</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社区矫正工作经费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 xml:space="preserve">价 </w:t>
      </w:r>
      <w:r>
        <w:rPr>
          <w:rFonts w:ascii="Times New Roman" w:hAnsi="Times New Roman" w:eastAsia="仿宋_GB2312"/>
          <w:sz w:val="32"/>
          <w:szCs w:val="32"/>
        </w:rPr>
        <w:t>机 构</w:t>
      </w:r>
      <w:r>
        <w:rPr>
          <w:rFonts w:hint="eastAsia" w:ascii="Times New Roman" w:hAnsi="Times New Roman" w:eastAsia="仿宋_GB2312"/>
          <w:sz w:val="32"/>
          <w:szCs w:val="32"/>
        </w:rPr>
        <w:t>：</w:t>
      </w:r>
      <w:r>
        <w:rPr>
          <w:rFonts w:ascii="Times New Roman" w:hAnsi="Times New Roman" w:eastAsia="仿宋_GB2312"/>
          <w:sz w:val="32"/>
          <w:szCs w:val="32"/>
          <w:u w:val="single"/>
        </w:rPr>
        <w:t xml:space="preserve">         天津</w:t>
      </w:r>
      <w:r>
        <w:rPr>
          <w:rFonts w:hint="eastAsia" w:ascii="Times New Roman" w:hAnsi="Times New Roman" w:eastAsia="仿宋_GB2312"/>
          <w:sz w:val="32"/>
          <w:szCs w:val="32"/>
          <w:u w:val="single"/>
        </w:rPr>
        <w:t>安信管理咨询</w:t>
      </w:r>
      <w:r>
        <w:rPr>
          <w:rFonts w:ascii="Times New Roman" w:hAnsi="Times New Roman" w:eastAsia="仿宋_GB2312"/>
          <w:sz w:val="32"/>
          <w:szCs w:val="32"/>
          <w:u w:val="single"/>
        </w:rPr>
        <w:t>有限公司</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价</w:t>
      </w:r>
      <w:r>
        <w:rPr>
          <w:rFonts w:ascii="Times New Roman" w:hAnsi="Times New Roman" w:eastAsia="仿宋_GB2312"/>
          <w:sz w:val="32"/>
          <w:szCs w:val="32"/>
        </w:rPr>
        <w:t xml:space="preserve"> 日 期：</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07</w:t>
      </w:r>
      <w:r>
        <w:rPr>
          <w:rFonts w:hint="eastAsia" w:ascii="Times New Roman" w:hAnsi="Times New Roman" w:eastAsia="仿宋_GB2312"/>
          <w:sz w:val="32"/>
          <w:szCs w:val="32"/>
          <w:u w:val="single"/>
        </w:rPr>
        <w:t>月-</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10</w:t>
      </w:r>
      <w:r>
        <w:rPr>
          <w:rFonts w:hint="eastAsia" w:ascii="Times New Roman" w:hAnsi="Times New Roman" w:eastAsia="仿宋_GB2312"/>
          <w:sz w:val="32"/>
          <w:szCs w:val="32"/>
          <w:u w:val="single"/>
        </w:rPr>
        <w:t>月</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黑体" w:cs="黑体"/>
          <w:sz w:val="32"/>
          <w:szCs w:val="32"/>
        </w:rPr>
      </w:pPr>
    </w:p>
    <w:p>
      <w:pPr>
        <w:widowControl/>
        <w:spacing w:line="240" w:lineRule="auto"/>
        <w:ind w:firstLine="0" w:firstLineChars="0"/>
        <w:rPr>
          <w:rFonts w:ascii="Times New Roman" w:hAnsi="Times New Roman" w:eastAsia="黑体" w:cs="黑体"/>
          <w:sz w:val="32"/>
          <w:szCs w:val="32"/>
        </w:rPr>
      </w:pPr>
      <w:r>
        <w:rPr>
          <w:rFonts w:ascii="Times New Roman" w:hAnsi="Times New Roman" w:eastAsia="黑体" w:cs="黑体"/>
          <w:sz w:val="32"/>
          <w:szCs w:val="32"/>
        </w:rPr>
        <w:br w:type="page"/>
      </w:r>
    </w:p>
    <w:sdt>
      <w:sdtPr>
        <w:rPr>
          <w:rFonts w:ascii="Times New Roman" w:hAnsi="Times New Roman" w:eastAsiaTheme="minorEastAsia" w:cstheme="minorBidi"/>
          <w:color w:val="auto"/>
          <w:kern w:val="2"/>
          <w:sz w:val="21"/>
          <w:szCs w:val="21"/>
          <w:lang w:val="zh-CN"/>
        </w:rPr>
        <w:id w:val="1322844121"/>
      </w:sdtPr>
      <w:sdtEndPr>
        <w:rPr>
          <w:rFonts w:ascii="Times New Roman" w:hAnsi="Times New Roman" w:eastAsiaTheme="minorEastAsia" w:cstheme="minorBidi"/>
          <w:b/>
          <w:bCs/>
          <w:color w:val="auto"/>
          <w:kern w:val="2"/>
          <w:sz w:val="21"/>
          <w:szCs w:val="21"/>
          <w:lang w:val="zh-CN"/>
        </w:rPr>
      </w:sdtEndPr>
      <w:sdtContent>
        <w:p>
          <w:pPr>
            <w:pStyle w:val="47"/>
            <w:ind w:firstLine="420"/>
            <w:rPr>
              <w:rFonts w:ascii="Times New Roman" w:hAnsi="Times New Roman" w:eastAsia="黑体"/>
              <w:color w:val="auto"/>
            </w:rPr>
          </w:pPr>
          <w:r>
            <w:rPr>
              <w:rFonts w:ascii="Times New Roman" w:hAnsi="Times New Roman" w:eastAsia="黑体"/>
              <w:color w:val="auto"/>
              <w:lang w:val="zh-CN"/>
            </w:rPr>
            <w:t>目</w:t>
          </w:r>
          <w:r>
            <w:rPr>
              <w:rFonts w:hint="eastAsia" w:ascii="Times New Roman" w:hAnsi="Times New Roman" w:eastAsia="黑体"/>
              <w:color w:val="auto"/>
              <w:lang w:val="zh-CN"/>
            </w:rPr>
            <w:t xml:space="preserve"> </w:t>
          </w:r>
          <w:r>
            <w:rPr>
              <w:rFonts w:ascii="Times New Roman" w:hAnsi="Times New Roman" w:eastAsia="黑体"/>
              <w:color w:val="auto"/>
              <w:lang w:val="zh-CN"/>
            </w:rPr>
            <w:t xml:space="preserve"> 录</w:t>
          </w:r>
        </w:p>
        <w:p>
          <w:pPr>
            <w:pStyle w:val="12"/>
            <w:tabs>
              <w:tab w:val="right" w:leader="dot" w:pos="8844"/>
            </w:tabs>
            <w:ind w:firstLine="420"/>
            <w:rPr>
              <w:rFonts w:ascii="Times New Roman" w:hAnsi="Times New Roman"/>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p>
        <w:p>
          <w:pPr>
            <w:pStyle w:val="13"/>
            <w:tabs>
              <w:tab w:val="right" w:leader="dot" w:pos="8844"/>
              <w:tab w:val="clear" w:pos="8302"/>
            </w:tabs>
            <w:rPr>
              <w:rFonts w:ascii="Times New Roman" w:hAnsi="Times New Roman"/>
            </w:rPr>
          </w:pPr>
          <w:r>
            <w:fldChar w:fldCharType="begin"/>
          </w:r>
          <w:r>
            <w:instrText xml:space="preserve"> HYPERLINK \l "_Toc1884901618" </w:instrText>
          </w:r>
          <w:r>
            <w:fldChar w:fldCharType="separate"/>
          </w:r>
          <w:r>
            <w:rPr>
              <w:rFonts w:hint="eastAsia" w:ascii="Times New Roman" w:hAnsi="Times New Roman"/>
            </w:rPr>
            <w:t>一、项目基本情况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_Toc1884901618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"_Toc2010216829" </w:instrText>
          </w:r>
          <w:r>
            <w:fldChar w:fldCharType="separate"/>
          </w:r>
          <w:r>
            <w:rPr>
              <w:rFonts w:hint="eastAsia" w:ascii="Times New Roman" w:hAnsi="Times New Roman"/>
            </w:rPr>
            <w:t>（一）项目概况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_Toc2010216829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"_Toc1501510399" </w:instrText>
          </w:r>
          <w:r>
            <w:fldChar w:fldCharType="separate"/>
          </w:r>
          <w:r>
            <w:rPr>
              <w:rFonts w:hint="eastAsia" w:ascii="Times New Roman" w:hAnsi="Times New Roman"/>
            </w:rPr>
            <w:t>（二）项目绩效目标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_Toc1501510399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3"/>
            <w:tabs>
              <w:tab w:val="right" w:leader="dot" w:pos="8844"/>
              <w:tab w:val="clear" w:pos="8302"/>
            </w:tabs>
            <w:rPr>
              <w:rFonts w:ascii="Times New Roman" w:hAnsi="Times New Roman"/>
            </w:rPr>
          </w:pPr>
          <w:r>
            <w:fldChar w:fldCharType="begin"/>
          </w:r>
          <w:r>
            <w:instrText xml:space="preserve"> HYPERLINK \l "_Toc804940096" </w:instrText>
          </w:r>
          <w:r>
            <w:fldChar w:fldCharType="separate"/>
          </w:r>
          <w:r>
            <w:rPr>
              <w:rFonts w:hint="eastAsia" w:ascii="Times New Roman" w:hAnsi="Times New Roman"/>
            </w:rPr>
            <w:t>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_Toc804940096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"_Toc1628701019" </w:instrText>
          </w:r>
          <w:r>
            <w:fldChar w:fldCharType="separate"/>
          </w:r>
          <w:r>
            <w:rPr>
              <w:rFonts w:hint="eastAsia" w:ascii="Times New Roman" w:hAnsi="Times New Roman"/>
            </w:rPr>
            <w:t>（一）绩效评价的目的、对象和范围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_Toc1628701019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"_Toc1751461671" </w:instrText>
          </w:r>
          <w:r>
            <w:fldChar w:fldCharType="separate"/>
          </w:r>
          <w:r>
            <w:rPr>
              <w:rFonts w:hint="eastAsia" w:ascii="Times New Roman" w:hAnsi="Times New Roman"/>
            </w:rPr>
            <w:t>（二）</w:t>
          </w:r>
          <w:r>
            <w:rPr>
              <w:rFonts w:hint="eastAsia" w:ascii="Times New Roman" w:hAnsi="Times New Roman" w:cs="楷体_GB2312"/>
            </w:rPr>
            <w:t>绩效评价原则、评价指标体系、评价方法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_Toc1751461671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"_Toc1257955068" </w:instrText>
          </w:r>
          <w:r>
            <w:fldChar w:fldCharType="separate"/>
          </w:r>
          <w:r>
            <w:rPr>
              <w:rFonts w:hint="eastAsia" w:ascii="Times New Roman" w:hAnsi="Times New Roman"/>
            </w:rPr>
            <w:t>（三）绩效评价工作过程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_Toc1257955068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13"/>
            <w:tabs>
              <w:tab w:val="right" w:leader="dot" w:pos="8844"/>
              <w:tab w:val="clear" w:pos="8302"/>
            </w:tabs>
            <w:rPr>
              <w:rFonts w:ascii="Times New Roman" w:hAnsi="Times New Roman"/>
            </w:rPr>
          </w:pPr>
          <w:r>
            <w:fldChar w:fldCharType="begin"/>
          </w:r>
          <w:r>
            <w:instrText xml:space="preserve"> HYPERLINK \l "_Toc474323161" </w:instrText>
          </w:r>
          <w:r>
            <w:fldChar w:fldCharType="separate"/>
          </w:r>
          <w:r>
            <w:rPr>
              <w:rFonts w:hint="eastAsia" w:ascii="Times New Roman" w:hAnsi="Times New Roman"/>
            </w:rPr>
            <w:t>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_Toc474323161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13"/>
            <w:tabs>
              <w:tab w:val="right" w:leader="dot" w:pos="8844"/>
              <w:tab w:val="clear" w:pos="8302"/>
            </w:tabs>
            <w:rPr>
              <w:rFonts w:ascii="Times New Roman" w:hAnsi="Times New Roman"/>
            </w:rPr>
          </w:pPr>
          <w:r>
            <w:fldChar w:fldCharType="begin"/>
          </w:r>
          <w:r>
            <w:instrText xml:space="preserve"> HYPERLINK \l "_Toc490069263" </w:instrText>
          </w:r>
          <w:r>
            <w:fldChar w:fldCharType="separate"/>
          </w:r>
          <w:r>
            <w:rPr>
              <w:rFonts w:hint="eastAsia" w:ascii="Times New Roman" w:hAnsi="Times New Roman"/>
            </w:rPr>
            <w:t>四、绩效评价指标分析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_Toc490069263 \h </w:instrText>
          </w:r>
          <w:r>
            <w:rPr>
              <w:rFonts w:ascii="Times New Roman" w:hAnsi="Times New Roman"/>
            </w:rPr>
            <w:fldChar w:fldCharType="separate"/>
          </w:r>
          <w:r>
            <w:rPr>
              <w:rFonts w:ascii="Times New Roman" w:hAnsi="Times New Roman"/>
            </w:rPr>
            <w:t>14</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"_Toc994316996" </w:instrText>
          </w:r>
          <w:r>
            <w:fldChar w:fldCharType="separate"/>
          </w:r>
          <w:r>
            <w:rPr>
              <w:rFonts w:hint="eastAsia" w:ascii="Times New Roman" w:hAnsi="Times New Roman"/>
            </w:rPr>
            <w:t>（一）项目决策情况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_Toc994316996 \h </w:instrText>
          </w:r>
          <w:r>
            <w:rPr>
              <w:rFonts w:ascii="Times New Roman" w:hAnsi="Times New Roman"/>
            </w:rPr>
            <w:fldChar w:fldCharType="separate"/>
          </w:r>
          <w:r>
            <w:rPr>
              <w:rFonts w:ascii="Times New Roman" w:hAnsi="Times New Roman"/>
            </w:rPr>
            <w:t>14</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"_Toc1915494465" </w:instrText>
          </w:r>
          <w:r>
            <w:fldChar w:fldCharType="separate"/>
          </w:r>
          <w:r>
            <w:rPr>
              <w:rFonts w:hint="eastAsia" w:ascii="Times New Roman" w:hAnsi="Times New Roman"/>
            </w:rPr>
            <w:t>（二）项目过程情况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_Toc1915494465 \h </w:instrText>
          </w:r>
          <w:r>
            <w:rPr>
              <w:rFonts w:ascii="Times New Roman" w:hAnsi="Times New Roman"/>
            </w:rPr>
            <w:fldChar w:fldCharType="separate"/>
          </w:r>
          <w:r>
            <w:rPr>
              <w:rFonts w:ascii="Times New Roman" w:hAnsi="Times New Roman"/>
            </w:rPr>
            <w:t>18</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"_Toc788121078" </w:instrText>
          </w:r>
          <w:r>
            <w:fldChar w:fldCharType="separate"/>
          </w:r>
          <w:r>
            <w:rPr>
              <w:rFonts w:hint="eastAsia" w:ascii="Times New Roman" w:hAnsi="Times New Roman"/>
            </w:rPr>
            <w:t>（三）项目产出情况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_Toc788121078 \h </w:instrText>
          </w:r>
          <w:r>
            <w:rPr>
              <w:rFonts w:ascii="Times New Roman" w:hAnsi="Times New Roman"/>
            </w:rPr>
            <w:fldChar w:fldCharType="separate"/>
          </w:r>
          <w:r>
            <w:rPr>
              <w:rFonts w:ascii="Times New Roman" w:hAnsi="Times New Roman"/>
            </w:rPr>
            <w:t>20</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"_Toc271823250" </w:instrText>
          </w:r>
          <w:r>
            <w:fldChar w:fldCharType="separate"/>
          </w:r>
          <w:r>
            <w:rPr>
              <w:rFonts w:hint="eastAsia" w:ascii="Times New Roman" w:hAnsi="Times New Roman"/>
            </w:rPr>
            <w:t>（四）项目效益情况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_Toc271823250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13"/>
            <w:tabs>
              <w:tab w:val="right" w:leader="dot" w:pos="8844"/>
              <w:tab w:val="clear" w:pos="8302"/>
            </w:tabs>
            <w:rPr>
              <w:rFonts w:ascii="Times New Roman" w:hAnsi="Times New Roman"/>
            </w:rPr>
          </w:pPr>
          <w:r>
            <w:fldChar w:fldCharType="begin"/>
          </w:r>
          <w:r>
            <w:instrText xml:space="preserve"> HYPERLINK \l "_Toc835645581" </w:instrText>
          </w:r>
          <w:r>
            <w:fldChar w:fldCharType="separate"/>
          </w:r>
          <w:r>
            <w:rPr>
              <w:rFonts w:hint="eastAsia" w:ascii="Times New Roman" w:hAnsi="Times New Roman"/>
            </w:rPr>
            <w:t>五、存在的主要问题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_Toc835645581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"_Toc152228487" </w:instrText>
          </w:r>
          <w:r>
            <w:fldChar w:fldCharType="separate"/>
          </w:r>
          <w:r>
            <w:rPr>
              <w:rFonts w:hint="eastAsia" w:ascii="Times New Roman" w:hAnsi="Times New Roman"/>
            </w:rPr>
            <w:t>（一）项目绩效指标设置全面性、细化程度不足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_Toc152228487 \h </w:instrText>
          </w:r>
          <w:r>
            <w:rPr>
              <w:rFonts w:ascii="Times New Roman" w:hAnsi="Times New Roman"/>
            </w:rPr>
            <w:fldChar w:fldCharType="separate"/>
          </w:r>
          <w:r>
            <w:rPr>
              <w:rFonts w:ascii="Times New Roman" w:hAnsi="Times New Roman"/>
            </w:rPr>
            <w:t>24</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"_Toc851157432" </w:instrText>
          </w:r>
          <w:r>
            <w:fldChar w:fldCharType="separate"/>
          </w:r>
          <w:r>
            <w:rPr>
              <w:rFonts w:hint="eastAsia" w:ascii="Times New Roman" w:hAnsi="Times New Roman"/>
            </w:rPr>
            <w:t>（二）资金缺口较大，部分政策无法落实</w:t>
          </w:r>
          <w:r>
            <w:rPr>
              <w:rFonts w:ascii="Times New Roman" w:hAnsi="Times New Roman"/>
            </w:rPr>
            <w:tab/>
          </w:r>
          <w:r>
            <w:rPr>
              <w:rFonts w:ascii="Times New Roman" w:hAnsi="Times New Roman"/>
            </w:rPr>
            <w:fldChar w:fldCharType="begin"/>
          </w:r>
          <w:r>
            <w:rPr>
              <w:rFonts w:ascii="Times New Roman" w:hAnsi="Times New Roman"/>
            </w:rPr>
            <w:instrText xml:space="preserve"> PAGEREF _Toc851157432 \h </w:instrText>
          </w:r>
          <w:r>
            <w:rPr>
              <w:rFonts w:ascii="Times New Roman" w:hAnsi="Times New Roman"/>
            </w:rPr>
            <w:fldChar w:fldCharType="separate"/>
          </w:r>
          <w:r>
            <w:rPr>
              <w:rFonts w:ascii="Times New Roman" w:hAnsi="Times New Roman"/>
            </w:rPr>
            <w:t>25</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"_Toc1014386957" </w:instrText>
          </w:r>
          <w:r>
            <w:fldChar w:fldCharType="separate"/>
          </w:r>
          <w:r>
            <w:rPr>
              <w:rFonts w:hint="eastAsia" w:ascii="Times New Roman" w:hAnsi="Times New Roman"/>
            </w:rPr>
            <w:t>（三）</w:t>
          </w:r>
          <w:r>
            <w:rPr>
              <w:rFonts w:hint="eastAsia" w:ascii="Times New Roman" w:hAnsi="Times New Roman"/>
              <w:lang w:eastAsia="zh-CN"/>
            </w:rPr>
            <w:t>心理</w:t>
          </w:r>
          <w:r>
            <w:rPr>
              <w:rFonts w:hint="eastAsia" w:ascii="Times New Roman" w:hAnsi="Times New Roman"/>
            </w:rPr>
            <w:t>健康团体辅导活动场次未按照合同执行</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_Toc1014386957 \h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pPr>
            <w:pStyle w:val="13"/>
            <w:tabs>
              <w:tab w:val="right" w:leader="dot" w:pos="8844"/>
              <w:tab w:val="clear" w:pos="8302"/>
            </w:tabs>
            <w:rPr>
              <w:rFonts w:ascii="Times New Roman" w:hAnsi="Times New Roman"/>
            </w:rPr>
          </w:pPr>
          <w:r>
            <w:fldChar w:fldCharType="begin"/>
          </w:r>
          <w:r>
            <w:instrText xml:space="preserve"> HYPERLINK \l "_Toc2076396413" </w:instrText>
          </w:r>
          <w:r>
            <w:fldChar w:fldCharType="separate"/>
          </w:r>
          <w:r>
            <w:rPr>
              <w:rFonts w:hint="eastAsia" w:ascii="Times New Roman" w:hAnsi="Times New Roman"/>
            </w:rPr>
            <w:t>六、相关建议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_Toc2076396413 \h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"_Toc1385249541" </w:instrText>
          </w:r>
          <w:r>
            <w:fldChar w:fldCharType="separate"/>
          </w:r>
          <w:r>
            <w:rPr>
              <w:rFonts w:hint="eastAsia" w:ascii="Times New Roman" w:hAnsi="Times New Roman"/>
            </w:rPr>
            <w:t>（一）加强绩效理念，提升绩效管理水平</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_Toc1385249541 \h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"_Toc1018818460" </w:instrText>
          </w:r>
          <w:r>
            <w:fldChar w:fldCharType="separate"/>
          </w:r>
          <w:r>
            <w:rPr>
              <w:rFonts w:hint="eastAsia" w:ascii="Times New Roman" w:hAnsi="Times New Roman"/>
            </w:rPr>
            <w:t>（二）强化政策落实，拓宽社会救助资金筹措渠道</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_Toc1018818460 \h </w:instrText>
          </w:r>
          <w:r>
            <w:rPr>
              <w:rFonts w:ascii="Times New Roman" w:hAnsi="Times New Roman"/>
            </w:rPr>
            <w:fldChar w:fldCharType="separate"/>
          </w:r>
          <w:r>
            <w:rPr>
              <w:rFonts w:ascii="Times New Roman" w:hAnsi="Times New Roman"/>
            </w:rPr>
            <w:t>26</w:t>
          </w:r>
          <w:r>
            <w:rPr>
              <w:rFonts w:ascii="Times New Roman" w:hAnsi="Times New Roman"/>
            </w:rPr>
            <w:fldChar w:fldCharType="end"/>
          </w:r>
          <w:r>
            <w:rPr>
              <w:rFonts w:ascii="Times New Roman" w:hAnsi="Times New Roman"/>
            </w:rPr>
            <w:fldChar w:fldCharType="end"/>
          </w:r>
        </w:p>
        <w:p>
          <w:pPr>
            <w:pStyle w:val="9"/>
            <w:tabs>
              <w:tab w:val="right" w:leader="dot" w:pos="8844"/>
              <w:tab w:val="clear" w:pos="8302"/>
            </w:tabs>
            <w:rPr>
              <w:rFonts w:ascii="Times New Roman" w:hAnsi="Times New Roman"/>
            </w:rPr>
          </w:pPr>
          <w:r>
            <w:fldChar w:fldCharType="begin"/>
          </w:r>
          <w:r>
            <w:instrText xml:space="preserve"> HYPERLINK \l "_Toc1394739689" </w:instrText>
          </w:r>
          <w:r>
            <w:fldChar w:fldCharType="separate"/>
          </w:r>
          <w:r>
            <w:rPr>
              <w:rFonts w:hint="eastAsia" w:ascii="Times New Roman" w:hAnsi="Times New Roman"/>
            </w:rPr>
            <w:t>（三）加强合同管理及执行</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_Toc1394739689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rPr>
            <w:fldChar w:fldCharType="end"/>
          </w:r>
        </w:p>
        <w:p>
          <w:pPr>
            <w:pStyle w:val="13"/>
            <w:tabs>
              <w:tab w:val="right" w:leader="dot" w:pos="8844"/>
              <w:tab w:val="clear" w:pos="8302"/>
            </w:tabs>
            <w:rPr>
              <w:rFonts w:ascii="Times New Roman" w:hAnsi="Times New Roman"/>
            </w:rPr>
          </w:pPr>
          <w:r>
            <w:fldChar w:fldCharType="begin"/>
          </w:r>
          <w:r>
            <w:instrText xml:space="preserve"> HYPERLINK \l "_Toc1605946018" </w:instrText>
          </w:r>
          <w:r>
            <w:fldChar w:fldCharType="separate"/>
          </w:r>
          <w:r>
            <w:rPr>
              <w:rFonts w:hint="eastAsia" w:ascii="Times New Roman" w:hAnsi="Times New Roman"/>
              <w:lang w:eastAsia="zh-Hans"/>
            </w:rPr>
            <w:t>七、相关附件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_Toc1605946018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rPr>
            <w:fldChar w:fldCharType="end"/>
          </w:r>
        </w:p>
        <w:p>
          <w:pPr>
            <w:ind w:firstLine="420"/>
            <w:rPr>
              <w:rFonts w:ascii="Times New Roman" w:hAnsi="Times New Roman"/>
              <w:color w:val="000000" w:themeColor="text1"/>
              <w14:textFill>
                <w14:solidFill>
                  <w14:schemeClr w14:val="tx1"/>
                </w14:solidFill>
              </w14:textFill>
            </w:rPr>
          </w:pPr>
          <w:r>
            <w:rPr>
              <w:rFonts w:ascii="Times New Roman" w:hAnsi="Times New Roman"/>
              <w:bCs/>
              <w:lang w:val="zh-CN"/>
            </w:rPr>
            <w:fldChar w:fldCharType="end"/>
          </w:r>
        </w:p>
      </w:sdtContent>
    </w:sdt>
    <w:p>
      <w:pPr>
        <w:pStyle w:val="23"/>
        <w:spacing w:before="0" w:after="0"/>
        <w:ind w:firstLine="420"/>
        <w:rPr>
          <w:rFonts w:ascii="Times New Roman" w:hAnsi="Times New Roman"/>
          <w:color w:val="000000" w:themeColor="text1"/>
          <w14:textFill>
            <w14:solidFill>
              <w14:schemeClr w14:val="tx1"/>
            </w14:solidFill>
          </w14:textFill>
        </w:rPr>
        <w:sectPr>
          <w:headerReference r:id="rId5" w:type="first"/>
          <w:footerReference r:id="rId8" w:type="first"/>
          <w:headerReference r:id="rId3" w:type="default"/>
          <w:footerReference r:id="rId6" w:type="default"/>
          <w:headerReference r:id="rId4" w:type="even"/>
          <w:footerReference r:id="rId7" w:type="even"/>
          <w:pgSz w:w="11906" w:h="16838"/>
          <w:pgMar w:top="2041" w:right="1531" w:bottom="2041" w:left="1531" w:header="851" w:footer="992" w:gutter="0"/>
          <w:cols w:space="425" w:num="1"/>
          <w:docGrid w:type="lines" w:linePitch="312" w:charSpace="0"/>
        </w:sectPr>
      </w:pPr>
      <w:bookmarkStart w:id="0" w:name="_Toc690853900"/>
    </w:p>
    <w:p>
      <w:pPr>
        <w:pStyle w:val="23"/>
        <w:spacing w:before="0" w:after="0"/>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社区矫正工作经费项目绩效评价报告</w:t>
      </w:r>
      <w:bookmarkEnd w:id="0"/>
    </w:p>
    <w:p>
      <w:pPr>
        <w:pStyle w:val="24"/>
        <w:ind w:firstLine="640"/>
      </w:pPr>
    </w:p>
    <w:p>
      <w:pPr>
        <w:pStyle w:val="24"/>
        <w:ind w:firstLine="640"/>
        <w:rPr>
          <w:color w:val="000000" w:themeColor="text1"/>
          <w14:textFill>
            <w14:solidFill>
              <w14:schemeClr w14:val="tx1"/>
            </w14:solidFill>
          </w14:textFill>
        </w:rPr>
      </w:pPr>
      <w:r>
        <w:rPr>
          <w:color w:val="000000" w:themeColor="text1"/>
          <w14:textFill>
            <w14:solidFill>
              <w14:schemeClr w14:val="tx1"/>
            </w14:solidFill>
          </w14:textFill>
        </w:rPr>
        <w:t>为提高财政资金使用效益，合理配置公共财政资源，根据市委、市政府关于全面推进预算绩效管理的实施方案和《天津市市级财政项目支出绩效评价管理办法》（津财绩效〔2020〕12号）等文件要求，天津市</w:t>
      </w:r>
      <w:r>
        <w:rPr>
          <w:rFonts w:hint="eastAsia"/>
          <w:color w:val="000000" w:themeColor="text1"/>
          <w14:textFill>
            <w14:solidFill>
              <w14:schemeClr w14:val="tx1"/>
            </w14:solidFill>
          </w14:textFill>
        </w:rPr>
        <w:t>和平区</w:t>
      </w:r>
      <w:r>
        <w:rPr>
          <w:color w:val="000000" w:themeColor="text1"/>
          <w14:textFill>
            <w14:solidFill>
              <w14:schemeClr w14:val="tx1"/>
            </w14:solidFill>
          </w14:textFill>
        </w:rPr>
        <w:t>财政局引入第三方专业机构成立了绩效评价组，于2023年7月-10月，对</w:t>
      </w:r>
      <w:r>
        <w:rPr>
          <w:rFonts w:hint="eastAsia"/>
          <w:color w:val="000000" w:themeColor="text1"/>
          <w14:textFill>
            <w14:solidFill>
              <w14:schemeClr w14:val="tx1"/>
            </w14:solidFill>
          </w14:textFill>
        </w:rPr>
        <w:t>天津市和平区司法局</w:t>
      </w:r>
      <w:r>
        <w:rPr>
          <w:color w:val="000000" w:themeColor="text1"/>
          <w14:textFill>
            <w14:solidFill>
              <w14:schemeClr w14:val="tx1"/>
            </w14:solidFill>
          </w14:textFill>
        </w:rPr>
        <w:t>的“</w:t>
      </w:r>
      <w:r>
        <w:rPr>
          <w:rFonts w:hint="eastAsia"/>
          <w:color w:val="000000" w:themeColor="text1"/>
          <w14:textFill>
            <w14:solidFill>
              <w14:schemeClr w14:val="tx1"/>
            </w14:solidFill>
          </w14:textFill>
        </w:rPr>
        <w:t>社区矫正工作经费</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项目</w:t>
      </w:r>
      <w:r>
        <w:rPr>
          <w:color w:val="000000" w:themeColor="text1"/>
          <w14:textFill>
            <w14:solidFill>
              <w14:schemeClr w14:val="tx1"/>
            </w14:solidFill>
          </w14:textFill>
        </w:rPr>
        <w:t>开展了绩效评价。该项目评价结果为94.9分，评价等级为“</w:t>
      </w:r>
      <w:r>
        <w:rPr>
          <w:rFonts w:hint="eastAsia"/>
          <w:color w:val="000000" w:themeColor="text1"/>
          <w14:textFill>
            <w14:solidFill>
              <w14:schemeClr w14:val="tx1"/>
            </w14:solidFill>
          </w14:textFill>
        </w:rPr>
        <w:t>优</w:t>
      </w:r>
      <w:r>
        <w:rPr>
          <w:color w:val="000000" w:themeColor="text1"/>
          <w14:textFill>
            <w14:solidFill>
              <w14:schemeClr w14:val="tx1"/>
            </w14:solidFill>
          </w14:textFill>
        </w:rPr>
        <w:t>”，有关情况如下。</w:t>
      </w:r>
    </w:p>
    <w:p>
      <w:pPr>
        <w:pStyle w:val="26"/>
      </w:pPr>
      <w:bookmarkStart w:id="1" w:name="_Toc1884901618"/>
      <w:bookmarkStart w:id="2" w:name="_Hlk91875033"/>
      <w:r>
        <w:rPr>
          <w:rFonts w:hint="eastAsia"/>
        </w:rPr>
        <w:t>一、项目基本情况</w:t>
      </w:r>
      <w:bookmarkEnd w:id="1"/>
    </w:p>
    <w:p>
      <w:pPr>
        <w:pStyle w:val="28"/>
        <w:ind w:firstLine="640"/>
        <w:rPr>
          <w:rFonts w:ascii="Times New Roman" w:hAnsi="Times New Roman"/>
        </w:rPr>
      </w:pPr>
      <w:bookmarkStart w:id="3" w:name="_Toc2010216829"/>
      <w:r>
        <w:rPr>
          <w:rFonts w:hint="eastAsia" w:ascii="Times New Roman" w:hAnsi="Times New Roman"/>
        </w:rPr>
        <w:t>（一）项目概况</w:t>
      </w:r>
      <w:bookmarkEnd w:id="3"/>
    </w:p>
    <w:p>
      <w:pPr>
        <w:pStyle w:val="24"/>
        <w:ind w:firstLine="640"/>
      </w:pPr>
      <w:r>
        <w:rPr>
          <w:rFonts w:hint="eastAsia"/>
        </w:rPr>
        <w:t>1.项目背景</w:t>
      </w:r>
    </w:p>
    <w:p>
      <w:pPr>
        <w:pStyle w:val="45"/>
        <w:spacing w:line="600" w:lineRule="exact"/>
        <w:ind w:firstLine="640"/>
        <w:jc w:val="both"/>
        <w:rPr>
          <w:rFonts w:eastAsia="仿宋_GB2312" w:cstheme="minorBidi"/>
          <w:color w:val="000000" w:themeColor="text1"/>
          <w:sz w:val="32"/>
          <w:szCs w:val="21"/>
          <w14:textFill>
            <w14:solidFill>
              <w14:schemeClr w14:val="tx1"/>
            </w14:solidFill>
          </w14:textFill>
        </w:rPr>
      </w:pPr>
      <w:r>
        <w:rPr>
          <w:rFonts w:hint="eastAsia" w:eastAsia="仿宋_GB2312" w:cstheme="minorBidi"/>
          <w:color w:val="000000" w:themeColor="text1"/>
          <w:sz w:val="32"/>
          <w:szCs w:val="21"/>
          <w14:textFill>
            <w14:solidFill>
              <w14:schemeClr w14:val="tx1"/>
            </w14:solidFill>
          </w14:textFill>
        </w:rPr>
        <w:t>社区矫正是指针对被判处管制、宣告缓刑、裁定假释、暂予监外执行这四类犯罪行为较轻的对象所实施的非监禁性矫正刑罚。是与监禁矫正相对的行刑方式，将符合社区矫正条件的罪犯置于社区内，由专门的国家机关，在相关社会团体和民间组织以及社会志愿者的协助下，在判决、裁定或决定确定的期限内，矫正其犯罪心理和行为恶习，并促进其顺利回归社会的非监禁刑罚执行活动。为了推进和规范社区矫正工作，保障刑事判决、刑事裁定和暂予监外执行决定的正确执行，提高教育矫正质量，促进社区矫正对象顺利融入社会，预防和减少犯罪，《中华人民共和国社区矫正法》在</w:t>
      </w:r>
      <w:r>
        <w:rPr>
          <w:rFonts w:eastAsia="仿宋_GB2312" w:cstheme="minorBidi"/>
          <w:color w:val="000000" w:themeColor="text1"/>
          <w:sz w:val="32"/>
          <w:szCs w:val="21"/>
          <w14:textFill>
            <w14:solidFill>
              <w14:schemeClr w14:val="tx1"/>
            </w14:solidFill>
          </w14:textFill>
        </w:rPr>
        <w:t>2019年12月28日第十三届全国人民代表大会常务委员会第十五次会议通过</w:t>
      </w:r>
      <w:r>
        <w:rPr>
          <w:rFonts w:hint="eastAsia" w:eastAsia="仿宋_GB2312" w:cstheme="minorBidi"/>
          <w:color w:val="000000" w:themeColor="text1"/>
          <w:sz w:val="32"/>
          <w:szCs w:val="21"/>
          <w14:textFill>
            <w14:solidFill>
              <w14:schemeClr w14:val="tx1"/>
            </w14:solidFill>
          </w14:textFill>
        </w:rPr>
        <w:t>，于</w:t>
      </w:r>
      <w:r>
        <w:rPr>
          <w:rFonts w:eastAsia="仿宋_GB2312" w:cstheme="minorBidi"/>
          <w:color w:val="000000" w:themeColor="text1"/>
          <w:sz w:val="32"/>
          <w:szCs w:val="21"/>
          <w14:textFill>
            <w14:solidFill>
              <w14:schemeClr w14:val="tx1"/>
            </w14:solidFill>
          </w14:textFill>
        </w:rPr>
        <w:t>2020年7月1日施行</w:t>
      </w:r>
      <w:r>
        <w:rPr>
          <w:rFonts w:hint="eastAsia" w:eastAsia="仿宋_GB2312" w:cstheme="minorBidi"/>
          <w:color w:val="000000" w:themeColor="text1"/>
          <w:sz w:val="32"/>
          <w:szCs w:val="21"/>
          <w14:textFill>
            <w14:solidFill>
              <w14:schemeClr w14:val="tx1"/>
            </w14:solidFill>
          </w14:textFill>
        </w:rPr>
        <w:t>。为做好《中华人民共和国社区矫正法》的贯彻实施，进一步推进和规范社区矫正工作，最高人民法院、最高人民检察院、公安部、司法部2</w:t>
      </w:r>
      <w:r>
        <w:rPr>
          <w:rFonts w:eastAsia="仿宋_GB2312" w:cstheme="minorBidi"/>
          <w:color w:val="000000" w:themeColor="text1"/>
          <w:sz w:val="32"/>
          <w:szCs w:val="21"/>
          <w14:textFill>
            <w14:solidFill>
              <w14:schemeClr w14:val="tx1"/>
            </w14:solidFill>
          </w14:textFill>
        </w:rPr>
        <w:t>020</w:t>
      </w:r>
      <w:r>
        <w:rPr>
          <w:rFonts w:hint="eastAsia" w:eastAsia="仿宋_GB2312" w:cstheme="minorBidi"/>
          <w:color w:val="000000" w:themeColor="text1"/>
          <w:sz w:val="32"/>
          <w:szCs w:val="21"/>
          <w14:textFill>
            <w14:solidFill>
              <w14:schemeClr w14:val="tx1"/>
            </w14:solidFill>
          </w14:textFill>
        </w:rPr>
        <w:t>年6月1</w:t>
      </w:r>
      <w:r>
        <w:rPr>
          <w:rFonts w:eastAsia="仿宋_GB2312" w:cstheme="minorBidi"/>
          <w:color w:val="000000" w:themeColor="text1"/>
          <w:sz w:val="32"/>
          <w:szCs w:val="21"/>
          <w14:textFill>
            <w14:solidFill>
              <w14:schemeClr w14:val="tx1"/>
            </w14:solidFill>
          </w14:textFill>
        </w:rPr>
        <w:t>8</w:t>
      </w:r>
      <w:r>
        <w:rPr>
          <w:rFonts w:hint="eastAsia" w:eastAsia="仿宋_GB2312" w:cstheme="minorBidi"/>
          <w:color w:val="000000" w:themeColor="text1"/>
          <w:sz w:val="32"/>
          <w:szCs w:val="21"/>
          <w14:textFill>
            <w14:solidFill>
              <w14:schemeClr w14:val="tx1"/>
            </w14:solidFill>
          </w14:textFill>
        </w:rPr>
        <w:t>日对</w:t>
      </w:r>
      <w:r>
        <w:rPr>
          <w:rFonts w:eastAsia="仿宋_GB2312" w:cstheme="minorBidi"/>
          <w:color w:val="000000" w:themeColor="text1"/>
          <w:sz w:val="32"/>
          <w:szCs w:val="21"/>
          <w14:textFill>
            <w14:solidFill>
              <w14:schemeClr w14:val="tx1"/>
            </w14:solidFill>
          </w14:textFill>
        </w:rPr>
        <w:t>2012年1月10日印发的《社区矫正实施办法》进行了修订，制定了《中华人民共和国社区矫正法实施办法》</w:t>
      </w:r>
      <w:r>
        <w:rPr>
          <w:rFonts w:hint="eastAsia" w:eastAsia="仿宋_GB2312" w:cstheme="minorBidi"/>
          <w:color w:val="000000" w:themeColor="text1"/>
          <w:sz w:val="32"/>
          <w:szCs w:val="21"/>
          <w14:textFill>
            <w14:solidFill>
              <w14:schemeClr w14:val="tx1"/>
            </w14:solidFill>
          </w14:textFill>
        </w:rPr>
        <w:t>，天津市</w:t>
      </w:r>
      <w:r>
        <w:rPr>
          <w:rFonts w:eastAsia="仿宋_GB2312" w:cstheme="minorBidi"/>
          <w:color w:val="000000" w:themeColor="text1"/>
          <w:sz w:val="32"/>
          <w:szCs w:val="21"/>
          <w14:textFill>
            <w14:solidFill>
              <w14:schemeClr w14:val="tx1"/>
            </w14:solidFill>
          </w14:textFill>
        </w:rPr>
        <w:t>社区矫正</w:t>
      </w:r>
      <w:r>
        <w:rPr>
          <w:rFonts w:hint="eastAsia" w:eastAsia="仿宋_GB2312" w:cstheme="minorBidi"/>
          <w:color w:val="000000" w:themeColor="text1"/>
          <w:sz w:val="32"/>
          <w:szCs w:val="21"/>
          <w14:textFill>
            <w14:solidFill>
              <w14:schemeClr w14:val="tx1"/>
            </w14:solidFill>
          </w14:textFill>
        </w:rPr>
        <w:t>工作自开展以来一直在</w:t>
      </w:r>
      <w:r>
        <w:rPr>
          <w:rFonts w:eastAsia="仿宋_GB2312" w:cstheme="minorBidi"/>
          <w:color w:val="000000" w:themeColor="text1"/>
          <w:sz w:val="32"/>
          <w:szCs w:val="21"/>
          <w14:textFill>
            <w14:solidFill>
              <w14:schemeClr w14:val="tx1"/>
            </w14:solidFill>
          </w14:textFill>
        </w:rPr>
        <w:t>不断的总结、完善</w:t>
      </w:r>
      <w:r>
        <w:rPr>
          <w:rFonts w:hint="eastAsia" w:eastAsia="仿宋_GB2312" w:cstheme="minorBidi"/>
          <w:color w:val="000000" w:themeColor="text1"/>
          <w:sz w:val="32"/>
          <w:szCs w:val="21"/>
          <w:lang w:eastAsia="zh-CN"/>
          <w14:textFill>
            <w14:solidFill>
              <w14:schemeClr w14:val="tx1"/>
            </w14:solidFill>
          </w14:textFill>
        </w:rPr>
        <w:t>，</w:t>
      </w:r>
      <w:r>
        <w:rPr>
          <w:rFonts w:hint="eastAsia" w:eastAsia="仿宋_GB2312" w:cstheme="minorBidi"/>
          <w:color w:val="000000" w:themeColor="text1"/>
          <w:sz w:val="32"/>
          <w:szCs w:val="21"/>
          <w14:textFill>
            <w14:solidFill>
              <w14:schemeClr w14:val="tx1"/>
            </w14:solidFill>
          </w14:textFill>
        </w:rPr>
        <w:t>为进一步落实</w:t>
      </w:r>
      <w:r>
        <w:rPr>
          <w:rFonts w:eastAsia="仿宋_GB2312" w:cstheme="minorBidi"/>
          <w:color w:val="000000" w:themeColor="text1"/>
          <w:sz w:val="32"/>
          <w:szCs w:val="21"/>
          <w14:textFill>
            <w14:solidFill>
              <w14:schemeClr w14:val="tx1"/>
            </w14:solidFill>
          </w14:textFill>
        </w:rPr>
        <w:t>社区矫正</w:t>
      </w:r>
      <w:r>
        <w:rPr>
          <w:rFonts w:hint="eastAsia" w:eastAsia="仿宋_GB2312" w:cstheme="minorBidi"/>
          <w:color w:val="000000" w:themeColor="text1"/>
          <w:sz w:val="32"/>
          <w:szCs w:val="21"/>
          <w14:textFill>
            <w14:solidFill>
              <w14:schemeClr w14:val="tx1"/>
            </w14:solidFill>
          </w14:textFill>
        </w:rPr>
        <w:t>工作要求，天津市和平区司法局围绕此实施办法，设立社区矫正工作经费项目，以“绝对安全”为目标</w:t>
      </w:r>
      <w:r>
        <w:rPr>
          <w:rFonts w:eastAsia="仿宋_GB2312" w:cstheme="minorBidi"/>
          <w:color w:val="000000" w:themeColor="text1"/>
          <w:sz w:val="32"/>
          <w:szCs w:val="21"/>
          <w14:textFill>
            <w14:solidFill>
              <w14:schemeClr w14:val="tx1"/>
            </w14:solidFill>
          </w14:textFill>
        </w:rPr>
        <w:t>，</w:t>
      </w:r>
      <w:r>
        <w:rPr>
          <w:rFonts w:hint="eastAsia" w:eastAsia="仿宋_GB2312" w:cstheme="minorBidi"/>
          <w:color w:val="000000" w:themeColor="text1"/>
          <w:sz w:val="32"/>
          <w:szCs w:val="21"/>
          <w14:textFill>
            <w14:solidFill>
              <w14:schemeClr w14:val="tx1"/>
            </w14:solidFill>
          </w14:textFill>
        </w:rPr>
        <w:t>严格落实</w:t>
      </w:r>
      <w:r>
        <w:rPr>
          <w:rFonts w:eastAsia="仿宋_GB2312" w:cstheme="minorBidi"/>
          <w:color w:val="000000" w:themeColor="text1"/>
          <w:sz w:val="32"/>
          <w:szCs w:val="21"/>
          <w14:textFill>
            <w14:solidFill>
              <w14:schemeClr w14:val="tx1"/>
            </w14:solidFill>
          </w14:textFill>
        </w:rPr>
        <w:t>社区矫正对象监管教育，扎实开展社区矫正各项工作</w:t>
      </w:r>
      <w:r>
        <w:rPr>
          <w:rFonts w:hint="eastAsia" w:eastAsia="仿宋_GB2312" w:cstheme="minorBidi"/>
          <w:color w:val="000000" w:themeColor="text1"/>
          <w:sz w:val="32"/>
          <w:szCs w:val="21"/>
          <w14:textFill>
            <w14:solidFill>
              <w14:schemeClr w14:val="tx1"/>
            </w14:solidFill>
          </w14:textFill>
        </w:rPr>
        <w:t>。</w:t>
      </w:r>
    </w:p>
    <w:p>
      <w:pPr>
        <w:pStyle w:val="24"/>
        <w:ind w:firstLine="640"/>
      </w:pPr>
      <w:r>
        <w:rPr>
          <w:rFonts w:hint="eastAsia"/>
        </w:rPr>
        <w:t>2.主要内容</w:t>
      </w:r>
    </w:p>
    <w:p>
      <w:pPr>
        <w:pStyle w:val="45"/>
        <w:spacing w:line="600" w:lineRule="exact"/>
        <w:ind w:firstLine="640"/>
        <w:jc w:val="both"/>
        <w:rPr>
          <w:rFonts w:eastAsia="仿宋_GB2312" w:cstheme="minorBidi"/>
          <w:sz w:val="32"/>
          <w:szCs w:val="21"/>
        </w:rPr>
      </w:pPr>
      <w:r>
        <w:rPr>
          <w:rFonts w:hint="eastAsia" w:eastAsia="仿宋_GB2312" w:cstheme="minorBidi"/>
          <w:sz w:val="32"/>
          <w:szCs w:val="21"/>
        </w:rPr>
        <w:t>社区矫正工作经费项目实施内容主要包括：保障</w:t>
      </w:r>
      <w:r>
        <w:rPr>
          <w:rFonts w:hint="eastAsia" w:eastAsia="仿宋_GB2312"/>
          <w:sz w:val="32"/>
        </w:rPr>
        <w:t>社区矫正管理支队办公运行，维护</w:t>
      </w:r>
      <w:r>
        <w:rPr>
          <w:rFonts w:hint="eastAsia" w:eastAsia="仿宋_GB2312" w:cs="宋体"/>
          <w:spacing w:val="-6"/>
          <w:sz w:val="32"/>
          <w:szCs w:val="32"/>
        </w:rPr>
        <w:t>社区矫正对象电子监管</w:t>
      </w:r>
      <w:r>
        <w:rPr>
          <w:rFonts w:hint="eastAsia" w:eastAsia="仿宋_GB2312" w:cs="宋体"/>
          <w:spacing w:val="-7"/>
          <w:sz w:val="32"/>
          <w:szCs w:val="32"/>
        </w:rPr>
        <w:t>平台，聘用心理咨询师，</w:t>
      </w:r>
      <w:r>
        <w:rPr>
          <w:rFonts w:hint="eastAsia" w:eastAsia="仿宋_GB2312"/>
          <w:sz w:val="32"/>
        </w:rPr>
        <w:t>开展心理干预，社区矫正相关活动，监督管理社区服刑人员，组织社区服刑人员集中教育等</w:t>
      </w:r>
      <w:r>
        <w:rPr>
          <w:rFonts w:hint="eastAsia" w:eastAsia="仿宋_GB2312" w:cstheme="minorBidi"/>
          <w:sz w:val="32"/>
          <w:szCs w:val="21"/>
        </w:rPr>
        <w:t>。接受社区矫正的主要对象包括：被判处管制、宣告缓刑、裁定假释、决定暂予监外执行、被剥夺政治权利并在社区上服刑的人员。</w:t>
      </w:r>
    </w:p>
    <w:p>
      <w:pPr>
        <w:pStyle w:val="24"/>
        <w:ind w:firstLine="640"/>
      </w:pPr>
      <w:r>
        <w:rPr>
          <w:rFonts w:hint="eastAsia"/>
        </w:rPr>
        <w:t>3.项目组织管理</w:t>
      </w:r>
    </w:p>
    <w:p>
      <w:pPr>
        <w:spacing w:line="600" w:lineRule="exact"/>
        <w:ind w:firstLine="640"/>
        <w:jc w:val="both"/>
        <w:rPr>
          <w:rFonts w:ascii="Times New Roman" w:hAnsi="Times New Roman"/>
        </w:rPr>
      </w:pPr>
      <w:r>
        <w:rPr>
          <w:rFonts w:hint="eastAsia" w:ascii="Times New Roman" w:hAnsi="Times New Roman" w:eastAsia="仿宋_GB2312"/>
          <w:sz w:val="32"/>
        </w:rPr>
        <w:t>社区矫正工作经费项目主管单位为天津市和平区司法局，负责制定矫正实施方案，项目的采购招标，与供应商签订</w:t>
      </w:r>
      <w:r>
        <w:rPr>
          <w:rFonts w:hint="eastAsia" w:ascii="Times New Roman" w:hAnsi="Times New Roman" w:eastAsia="仿宋_GB2312"/>
          <w:sz w:val="32"/>
          <w:lang w:eastAsia="zh-CN"/>
        </w:rPr>
        <w:t>心理干预</w:t>
      </w:r>
      <w:r>
        <w:rPr>
          <w:rFonts w:hint="eastAsia" w:ascii="Times New Roman" w:hAnsi="Times New Roman" w:eastAsia="仿宋_GB2312"/>
          <w:sz w:val="32"/>
        </w:rPr>
        <w:t>服务合同，确定服务范围、服务内容、服务项目及标准，组织协调社区矫正管理支队工作，统筹监督管理项目工作进度，项目资金运作情况，定期考察工作推进情况、完成度。</w:t>
      </w:r>
    </w:p>
    <w:p>
      <w:pPr>
        <w:pStyle w:val="24"/>
        <w:ind w:firstLine="640"/>
      </w:pPr>
      <w:r>
        <w:rPr>
          <w:rFonts w:hint="eastAsia"/>
        </w:rPr>
        <w:t>项目实施机构为天津市和平区社区矫正管理支队，负责贯彻执行社区矫正工作政策、规定，协调解决社区矫正工作中的问题。负责监督检查社区矫正法律、法规和政策的执行工作，指导、监督社区矫正对象的刑罚执行、管理、教育和帮扶工作，指导社会力量和志愿者参与社区矫正工作。</w:t>
      </w:r>
    </w:p>
    <w:p>
      <w:pPr>
        <w:pStyle w:val="24"/>
        <w:ind w:firstLine="640"/>
      </w:pPr>
      <w:r>
        <w:rPr>
          <w:rFonts w:hint="eastAsia"/>
        </w:rPr>
        <w:t>4.资金投入和使用情况</w:t>
      </w:r>
    </w:p>
    <w:p>
      <w:pPr>
        <w:pStyle w:val="24"/>
        <w:ind w:firstLine="640"/>
      </w:pPr>
      <w:r>
        <w:rPr>
          <w:rFonts w:hint="eastAsia"/>
        </w:rPr>
        <w:t>项目预算安排区级资金</w:t>
      </w:r>
      <w:r>
        <w:t>105.25</w:t>
      </w:r>
      <w:r>
        <w:rPr>
          <w:rFonts w:hint="eastAsia"/>
        </w:rPr>
        <w:t>万元，截至2</w:t>
      </w:r>
      <w:r>
        <w:t>022</w:t>
      </w:r>
      <w:r>
        <w:rPr>
          <w:rFonts w:hint="eastAsia"/>
        </w:rPr>
        <w:t>年</w:t>
      </w:r>
      <w:r>
        <w:t>12</w:t>
      </w:r>
      <w:r>
        <w:rPr>
          <w:rFonts w:hint="eastAsia"/>
        </w:rPr>
        <w:t>月3</w:t>
      </w:r>
      <w:r>
        <w:t>1</w:t>
      </w:r>
      <w:r>
        <w:rPr>
          <w:rFonts w:hint="eastAsia"/>
        </w:rPr>
        <w:t>日，区级资金已到位</w:t>
      </w:r>
      <w:r>
        <w:t>35.31</w:t>
      </w:r>
      <w:r>
        <w:rPr>
          <w:rFonts w:hint="eastAsia"/>
        </w:rPr>
        <w:t>万元，资金到位率</w:t>
      </w:r>
      <w:r>
        <w:t>33.55</w:t>
      </w:r>
      <w:r>
        <w:rPr>
          <w:rFonts w:hint="eastAsia"/>
        </w:rPr>
        <w:t>%。</w:t>
      </w:r>
    </w:p>
    <w:p>
      <w:pPr>
        <w:pStyle w:val="24"/>
        <w:ind w:firstLine="640"/>
      </w:pPr>
      <w:r>
        <w:rPr>
          <w:rFonts w:hint="eastAsia"/>
        </w:rPr>
        <w:t>项目执行过程中，截至2</w:t>
      </w:r>
      <w:r>
        <w:t>022</w:t>
      </w:r>
      <w:r>
        <w:rPr>
          <w:rFonts w:hint="eastAsia"/>
        </w:rPr>
        <w:t>年</w:t>
      </w:r>
      <w:r>
        <w:t>12</w:t>
      </w:r>
      <w:r>
        <w:rPr>
          <w:rFonts w:hint="eastAsia"/>
        </w:rPr>
        <w:t>月3</w:t>
      </w:r>
      <w:r>
        <w:t>1</w:t>
      </w:r>
      <w:r>
        <w:rPr>
          <w:rFonts w:hint="eastAsia"/>
        </w:rPr>
        <w:t>日，实际支出预算资金</w:t>
      </w:r>
      <w:r>
        <w:t>35.31</w:t>
      </w:r>
      <w:r>
        <w:rPr>
          <w:rFonts w:hint="eastAsia"/>
        </w:rPr>
        <w:t>万元</w:t>
      </w:r>
      <w:r>
        <w:rPr>
          <w:rFonts w:hint="eastAsia"/>
          <w:bCs/>
        </w:rPr>
        <w:t>，</w:t>
      </w:r>
      <w:r>
        <w:rPr>
          <w:rFonts w:hint="eastAsia"/>
        </w:rPr>
        <w:t>预算执行率</w:t>
      </w:r>
      <w:r>
        <w:t>100</w:t>
      </w:r>
      <w:r>
        <w:rPr>
          <w:rFonts w:hint="eastAsia"/>
        </w:rPr>
        <w:t>%。</w:t>
      </w:r>
    </w:p>
    <w:p>
      <w:pPr>
        <w:pStyle w:val="24"/>
        <w:ind w:firstLine="640"/>
      </w:pPr>
      <w:r>
        <w:rPr>
          <w:rFonts w:hint="eastAsia"/>
        </w:rPr>
        <w:t>资金具体情况见表1：</w:t>
      </w:r>
    </w:p>
    <w:p>
      <w:pPr>
        <w:pStyle w:val="31"/>
      </w:pPr>
      <w:r>
        <w:t xml:space="preserve">表1  </w:t>
      </w:r>
      <w:r>
        <w:rPr>
          <w:rFonts w:hint="eastAsia"/>
        </w:rPr>
        <w:t>区级</w:t>
      </w:r>
      <w:r>
        <w:t>资金预算执行率情况表</w:t>
      </w:r>
    </w:p>
    <w:p>
      <w:pPr>
        <w:pStyle w:val="32"/>
      </w:pPr>
      <w:r>
        <w:rPr>
          <w:rFonts w:hint="eastAsia"/>
        </w:rPr>
        <w:t>单位：万元</w:t>
      </w:r>
    </w:p>
    <w:tbl>
      <w:tblPr>
        <w:tblStyle w:val="17"/>
        <w:tblW w:w="906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883"/>
        <w:gridCol w:w="1455"/>
        <w:gridCol w:w="1455"/>
        <w:gridCol w:w="1310"/>
        <w:gridCol w:w="1448"/>
        <w:gridCol w:w="150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blHeader/>
          <w:jc w:val="center"/>
        </w:trPr>
        <w:tc>
          <w:tcPr>
            <w:tcW w:w="1883" w:type="dxa"/>
            <w:vAlign w:val="center"/>
          </w:tcPr>
          <w:p>
            <w:pPr>
              <w:pStyle w:val="34"/>
            </w:pPr>
            <w:r>
              <w:rPr>
                <w:rFonts w:hint="eastAsia"/>
              </w:rPr>
              <w:t>资金计划</w:t>
            </w:r>
          </w:p>
          <w:p>
            <w:pPr>
              <w:pStyle w:val="34"/>
            </w:pPr>
            <w:r>
              <w:rPr>
                <w:rFonts w:hint="eastAsia"/>
              </w:rPr>
              <w:t>下达时间</w:t>
            </w:r>
          </w:p>
        </w:tc>
        <w:tc>
          <w:tcPr>
            <w:tcW w:w="1455" w:type="dxa"/>
            <w:vAlign w:val="center"/>
          </w:tcPr>
          <w:p>
            <w:pPr>
              <w:pStyle w:val="34"/>
            </w:pPr>
            <w:r>
              <w:rPr>
                <w:rFonts w:hint="eastAsia"/>
              </w:rPr>
              <w:t>资金计划</w:t>
            </w:r>
          </w:p>
          <w:p>
            <w:pPr>
              <w:pStyle w:val="34"/>
            </w:pPr>
            <w:r>
              <w:rPr>
                <w:rFonts w:hint="eastAsia"/>
              </w:rPr>
              <w:t>下达金额</w:t>
            </w:r>
          </w:p>
        </w:tc>
        <w:tc>
          <w:tcPr>
            <w:tcW w:w="1455" w:type="dxa"/>
            <w:vAlign w:val="center"/>
          </w:tcPr>
          <w:p>
            <w:pPr>
              <w:pStyle w:val="34"/>
            </w:pPr>
            <w:r>
              <w:rPr>
                <w:rFonts w:hint="eastAsia"/>
              </w:rPr>
              <w:t>实际到位</w:t>
            </w:r>
          </w:p>
          <w:p>
            <w:pPr>
              <w:pStyle w:val="34"/>
            </w:pPr>
            <w:r>
              <w:rPr>
                <w:rFonts w:hint="eastAsia"/>
              </w:rPr>
              <w:t>资金</w:t>
            </w:r>
          </w:p>
        </w:tc>
        <w:tc>
          <w:tcPr>
            <w:tcW w:w="1310" w:type="dxa"/>
            <w:vAlign w:val="center"/>
          </w:tcPr>
          <w:p>
            <w:pPr>
              <w:pStyle w:val="34"/>
            </w:pPr>
            <w:r>
              <w:rPr>
                <w:rFonts w:hint="eastAsia"/>
              </w:rPr>
              <w:t>资金到位率</w:t>
            </w:r>
          </w:p>
        </w:tc>
        <w:tc>
          <w:tcPr>
            <w:tcW w:w="1448" w:type="dxa"/>
            <w:vAlign w:val="center"/>
          </w:tcPr>
          <w:p>
            <w:pPr>
              <w:pStyle w:val="34"/>
            </w:pPr>
            <w:r>
              <w:rPr>
                <w:rFonts w:hint="eastAsia"/>
              </w:rPr>
              <w:t>实际支付</w:t>
            </w:r>
          </w:p>
          <w:p>
            <w:pPr>
              <w:pStyle w:val="34"/>
            </w:pPr>
            <w:r>
              <w:rPr>
                <w:rFonts w:hint="eastAsia"/>
              </w:rPr>
              <w:t>资金</w:t>
            </w:r>
          </w:p>
        </w:tc>
        <w:tc>
          <w:tcPr>
            <w:tcW w:w="1509" w:type="dxa"/>
            <w:vAlign w:val="center"/>
          </w:tcPr>
          <w:p>
            <w:pPr>
              <w:pStyle w:val="34"/>
            </w:pPr>
            <w:r>
              <w:rPr>
                <w:rFonts w:hint="eastAsia"/>
              </w:rPr>
              <w:t>预算执行率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1883" w:type="dxa"/>
            <w:vAlign w:val="center"/>
          </w:tcPr>
          <w:p>
            <w:pPr>
              <w:pStyle w:val="36"/>
            </w:pPr>
            <w:r>
              <w:rPr>
                <w:rFonts w:hint="eastAsia"/>
              </w:rPr>
              <w:t>2</w:t>
            </w:r>
            <w:r>
              <w:t>022</w:t>
            </w:r>
            <w:r>
              <w:rPr>
                <w:rFonts w:hint="eastAsia"/>
              </w:rPr>
              <w:t>年</w:t>
            </w:r>
          </w:p>
        </w:tc>
        <w:tc>
          <w:tcPr>
            <w:tcW w:w="1455" w:type="dxa"/>
            <w:vAlign w:val="center"/>
          </w:tcPr>
          <w:p>
            <w:pPr>
              <w:pStyle w:val="36"/>
            </w:pPr>
            <w:r>
              <w:rPr>
                <w:rFonts w:hint="eastAsia"/>
              </w:rPr>
              <w:t>1</w:t>
            </w:r>
            <w:r>
              <w:t>05.25</w:t>
            </w:r>
          </w:p>
        </w:tc>
        <w:tc>
          <w:tcPr>
            <w:tcW w:w="1455" w:type="dxa"/>
            <w:vAlign w:val="center"/>
          </w:tcPr>
          <w:p>
            <w:pPr>
              <w:pStyle w:val="36"/>
            </w:pPr>
            <w:r>
              <w:rPr>
                <w:rFonts w:hint="eastAsia"/>
              </w:rPr>
              <w:t>3</w:t>
            </w:r>
            <w:r>
              <w:t>5.31</w:t>
            </w:r>
          </w:p>
        </w:tc>
        <w:tc>
          <w:tcPr>
            <w:tcW w:w="1310" w:type="dxa"/>
            <w:vAlign w:val="center"/>
          </w:tcPr>
          <w:p>
            <w:pPr>
              <w:pStyle w:val="36"/>
            </w:pPr>
            <w:r>
              <w:rPr>
                <w:rFonts w:hint="eastAsia"/>
              </w:rPr>
              <w:t>3</w:t>
            </w:r>
            <w:r>
              <w:t>3.55%</w:t>
            </w:r>
          </w:p>
        </w:tc>
        <w:tc>
          <w:tcPr>
            <w:tcW w:w="1448" w:type="dxa"/>
            <w:vAlign w:val="center"/>
          </w:tcPr>
          <w:p>
            <w:pPr>
              <w:pStyle w:val="36"/>
            </w:pPr>
            <w:r>
              <w:rPr>
                <w:rFonts w:hint="eastAsia"/>
              </w:rPr>
              <w:t>3</w:t>
            </w:r>
            <w:r>
              <w:t>5.31</w:t>
            </w:r>
          </w:p>
        </w:tc>
        <w:tc>
          <w:tcPr>
            <w:tcW w:w="1509" w:type="dxa"/>
            <w:vAlign w:val="center"/>
          </w:tcPr>
          <w:p>
            <w:pPr>
              <w:pStyle w:val="36"/>
            </w:pPr>
            <w:r>
              <w:rPr>
                <w:rFonts w:hint="eastAsia"/>
              </w:rPr>
              <w:t>1</w:t>
            </w:r>
            <w:r>
              <w:t>00%</w:t>
            </w:r>
          </w:p>
        </w:tc>
      </w:tr>
    </w:tbl>
    <w:p>
      <w:pPr>
        <w:pStyle w:val="28"/>
        <w:ind w:firstLine="640"/>
        <w:rPr>
          <w:rFonts w:ascii="Times New Roman" w:hAnsi="Times New Roman"/>
        </w:rPr>
      </w:pPr>
      <w:bookmarkStart w:id="4" w:name="_Toc1501510399"/>
      <w:r>
        <w:rPr>
          <w:rFonts w:hint="eastAsia" w:ascii="Times New Roman" w:hAnsi="Times New Roman"/>
        </w:rPr>
        <w:t>（二）项目绩效目标</w:t>
      </w:r>
      <w:bookmarkEnd w:id="4"/>
    </w:p>
    <w:p>
      <w:pPr>
        <w:pStyle w:val="24"/>
        <w:ind w:firstLine="640"/>
      </w:pPr>
      <w:r>
        <w:rPr>
          <w:rFonts w:hint="eastAsia"/>
          <w:color w:val="000000" w:themeColor="text1"/>
          <w14:textFill>
            <w14:solidFill>
              <w14:schemeClr w14:val="tx1"/>
            </w14:solidFill>
          </w14:textFill>
        </w:rPr>
        <w:t>社区矫正工作经费</w:t>
      </w:r>
      <w:r>
        <w:rPr>
          <w:rFonts w:hint="eastAsia"/>
        </w:rPr>
        <w:t>项目绩效目标为：通过开展社区矫正办公正常运转、解矫人员心理测评及系统运维工作，提高社区矫正工作效率和保障社区矫正对象持续安全稳定。产出指标为保障正常运转社区矫正办公场所数量=</w:t>
      </w:r>
      <w:r>
        <w:t>1</w:t>
      </w:r>
      <w:r>
        <w:rPr>
          <w:rFonts w:hint="eastAsia"/>
        </w:rPr>
        <w:t>个，聘请专业职称心理老师数量≥</w:t>
      </w:r>
      <w:r>
        <w:t>3人</w:t>
      </w:r>
      <w:r>
        <w:rPr>
          <w:rFonts w:hint="eastAsia"/>
        </w:rPr>
        <w:t>，正常运行系统数量=</w:t>
      </w:r>
      <w:r>
        <w:t>1</w:t>
      </w:r>
      <w:r>
        <w:rPr>
          <w:rFonts w:hint="eastAsia"/>
        </w:rPr>
        <w:t>个，保证社区矫正正常办公运转费用支付合规率≥</w:t>
      </w:r>
      <w:r>
        <w:t>90%</w:t>
      </w:r>
      <w:r>
        <w:rPr>
          <w:rFonts w:hint="eastAsia"/>
        </w:rPr>
        <w:t>，心理测评结果准确率≥</w:t>
      </w:r>
      <w:r>
        <w:t>90%</w:t>
      </w:r>
      <w:r>
        <w:rPr>
          <w:rFonts w:hint="eastAsia"/>
        </w:rPr>
        <w:t>，系统运维服务合格率≥</w:t>
      </w:r>
      <w:r>
        <w:t>90%</w:t>
      </w:r>
      <w:r>
        <w:rPr>
          <w:rFonts w:hint="eastAsia"/>
        </w:rPr>
        <w:t>，保证社区矫正正常办公运转费用支付及时率≥</w:t>
      </w:r>
      <w:r>
        <w:t>90%</w:t>
      </w:r>
      <w:r>
        <w:rPr>
          <w:rFonts w:hint="eastAsia"/>
        </w:rPr>
        <w:t>，接收解矫测评及时率≥</w:t>
      </w:r>
      <w:r>
        <w:t>90%</w:t>
      </w:r>
      <w:r>
        <w:rPr>
          <w:rFonts w:hint="eastAsia"/>
        </w:rPr>
        <w:t>，系统运维服务及时率≥</w:t>
      </w:r>
      <w:r>
        <w:t>90%</w:t>
      </w:r>
      <w:r>
        <w:rPr>
          <w:rFonts w:hint="eastAsia"/>
        </w:rPr>
        <w:t>，日常办公运转支出费用≤</w:t>
      </w:r>
      <w:r>
        <w:t>12.8万元</w:t>
      </w:r>
      <w:r>
        <w:rPr>
          <w:rFonts w:hint="eastAsia"/>
        </w:rPr>
        <w:t>，系统运行费用≤</w:t>
      </w:r>
      <w:r>
        <w:t>22.5万元</w:t>
      </w:r>
      <w:r>
        <w:rPr>
          <w:rFonts w:hint="eastAsia"/>
        </w:rPr>
        <w:t>。效益指标为对社区矫正对象监管率</w:t>
      </w:r>
      <w:r>
        <w:t>=100%</w:t>
      </w:r>
      <w:r>
        <w:rPr>
          <w:rFonts w:hint="eastAsia"/>
        </w:rPr>
        <w:t>，保障社区矫正对象持续安全稳定。满意度指标为社区矫正工作人员满意度≥</w:t>
      </w:r>
      <w:r>
        <w:t>90%</w:t>
      </w:r>
      <w:r>
        <w:rPr>
          <w:rFonts w:hint="eastAsia"/>
        </w:rPr>
        <w:t>。</w:t>
      </w:r>
    </w:p>
    <w:bookmarkEnd w:id="2"/>
    <w:p>
      <w:pPr>
        <w:pStyle w:val="26"/>
      </w:pPr>
      <w:bookmarkStart w:id="5" w:name="_Toc804940096"/>
      <w:r>
        <w:rPr>
          <w:rFonts w:hint="eastAsia"/>
        </w:rPr>
        <w:t>二、绩效评价工作开展情况</w:t>
      </w:r>
      <w:bookmarkEnd w:id="5"/>
    </w:p>
    <w:p>
      <w:pPr>
        <w:pStyle w:val="28"/>
        <w:ind w:firstLine="640"/>
        <w:rPr>
          <w:rFonts w:ascii="Times New Roman" w:hAnsi="Times New Roman"/>
        </w:rPr>
      </w:pPr>
      <w:bookmarkStart w:id="6" w:name="_Toc1628701019"/>
      <w:r>
        <w:rPr>
          <w:rFonts w:hint="eastAsia" w:ascii="Times New Roman" w:hAnsi="Times New Roman"/>
        </w:rPr>
        <w:t>（一）绩效评价的目的、对象和范围</w:t>
      </w:r>
      <w:bookmarkEnd w:id="6"/>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1.绩效评价目的</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本次评价以《财政部关于印发〈项目支出绩效评价管理办法〉的通知》（财预〔</w:t>
      </w:r>
      <w:r>
        <w:rPr>
          <w:rFonts w:ascii="Times New Roman" w:hAnsi="Times New Roman" w:eastAsia="仿宋_GB2312"/>
          <w:sz w:val="32"/>
        </w:rPr>
        <w:t>2020〕10号）《中共天津市委 天津市人民政府印发〈关于全面推进预算绩效管理的实施方案〉的通知》（津党发〔2019〕25号）《天津市财政局关于印发〈全面推进预算绩效管理工作落实方案〉的通知》（津财绩效〔2020〕10号）《天津市人民政府办公厅关于转发市财政局拟定的天津市市级财政专项资金管理暂行办法的通知》（津政办发〔2015〕63号）《天津市市级财政项目支出绩效评价管理办法》（津财绩效〔2020〕12号）《中共和平区委 和平区人民政府印</w:t>
      </w:r>
      <w:r>
        <w:rPr>
          <w:rFonts w:hint="eastAsia" w:ascii="Times New Roman" w:hAnsi="Times New Roman" w:eastAsia="仿宋_GB2312"/>
          <w:sz w:val="32"/>
        </w:rPr>
        <w:t>发〈关于全面推进预算绩效管理的实施方案〉的通知》（津和党发〔</w:t>
      </w:r>
      <w:r>
        <w:rPr>
          <w:rFonts w:ascii="Times New Roman" w:hAnsi="Times New Roman" w:eastAsia="仿宋_GB2312"/>
          <w:sz w:val="32"/>
        </w:rPr>
        <w:t>2019〕23号）《和平区项目支出绩效评价管理办法》等文件为依据</w:t>
      </w:r>
      <w:r>
        <w:rPr>
          <w:rFonts w:hint="eastAsia" w:ascii="Times New Roman" w:hAnsi="Times New Roman" w:eastAsia="仿宋_GB2312"/>
          <w:sz w:val="32"/>
        </w:rPr>
        <w:t>，对社区矫正工作</w:t>
      </w:r>
      <w:r>
        <w:rPr>
          <w:rFonts w:hint="eastAsia" w:ascii="Times New Roman" w:hAnsi="Times New Roman" w:eastAsia="仿宋_GB2312"/>
          <w:color w:val="030303"/>
          <w:sz w:val="32"/>
          <w:szCs w:val="32"/>
          <w:shd w:val="clear" w:color="auto" w:fill="FFFFFF"/>
        </w:rPr>
        <w:t>经费</w:t>
      </w:r>
      <w:r>
        <w:rPr>
          <w:rFonts w:hint="eastAsia" w:ascii="Times New Roman" w:hAnsi="Times New Roman" w:eastAsia="仿宋_GB2312"/>
          <w:sz w:val="32"/>
        </w:rPr>
        <w:t>项目财政专项资金使用绩效情况进行评价。开展此次评价工作的目的在于：</w:t>
      </w:r>
    </w:p>
    <w:p>
      <w:pPr>
        <w:numPr>
          <w:ilvl w:val="0"/>
          <w:numId w:val="1"/>
        </w:num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通过对</w:t>
      </w:r>
      <w:r>
        <w:rPr>
          <w:rFonts w:hint="eastAsia" w:ascii="Times New Roman" w:hAnsi="Times New Roman" w:eastAsia="仿宋_GB2312"/>
          <w:color w:val="030303"/>
          <w:sz w:val="32"/>
          <w:szCs w:val="32"/>
          <w:shd w:val="clear" w:color="auto" w:fill="FFFFFF"/>
        </w:rPr>
        <w:t>社区矫正工作经费</w:t>
      </w:r>
      <w:r>
        <w:rPr>
          <w:rFonts w:hint="eastAsia" w:ascii="Times New Roman" w:hAnsi="Times New Roman" w:eastAsia="仿宋_GB2312"/>
          <w:sz w:val="32"/>
        </w:rPr>
        <w:t>项目的实施情况进行核实评价，了解掌握项目的实施情况。</w:t>
      </w:r>
    </w:p>
    <w:p>
      <w:pPr>
        <w:numPr>
          <w:ilvl w:val="0"/>
          <w:numId w:val="1"/>
        </w:num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根据</w:t>
      </w:r>
      <w:r>
        <w:rPr>
          <w:rFonts w:hint="eastAsia" w:ascii="Times New Roman" w:hAnsi="Times New Roman" w:eastAsia="仿宋_GB2312"/>
          <w:color w:val="030303"/>
          <w:sz w:val="32"/>
          <w:szCs w:val="32"/>
          <w:shd w:val="clear" w:color="auto" w:fill="FFFFFF"/>
        </w:rPr>
        <w:t>社区矫正工作经费</w:t>
      </w:r>
      <w:r>
        <w:rPr>
          <w:rFonts w:hint="eastAsia" w:ascii="Times New Roman" w:hAnsi="Times New Roman" w:eastAsia="仿宋_GB2312"/>
          <w:sz w:val="32"/>
        </w:rPr>
        <w:t>项目实施的具体情况，评价其项目资金安排的科学性、合理性、规范性，完善项目管理办法，提高项目管理水平和资金的使用效率。</w:t>
      </w:r>
    </w:p>
    <w:p>
      <w:pPr>
        <w:numPr>
          <w:ilvl w:val="0"/>
          <w:numId w:val="1"/>
        </w:num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本次从决策、过程、产出、效益四个方面对</w:t>
      </w:r>
      <w:r>
        <w:rPr>
          <w:rFonts w:hint="eastAsia" w:ascii="Times New Roman" w:hAnsi="Times New Roman" w:eastAsia="仿宋_GB2312"/>
          <w:color w:val="030303"/>
          <w:sz w:val="32"/>
          <w:szCs w:val="32"/>
          <w:shd w:val="clear" w:color="auto" w:fill="FFFFFF"/>
        </w:rPr>
        <w:t>社区矫正工作经费</w:t>
      </w:r>
      <w:r>
        <w:rPr>
          <w:rFonts w:hint="eastAsia" w:ascii="Times New Roman" w:hAnsi="Times New Roman" w:eastAsia="仿宋_GB2312"/>
          <w:sz w:val="32"/>
        </w:rPr>
        <w:t>项目进行客观、公正的评价；总结项目管理与执行经验，发现项目管理和预算管理中存在的问题，提出改进意见和建议，为相关部门决策、管理提供参考依据，推动建立以绩效评价结果为导向的财政资金分配与管理制度。</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（4）进一步丰富和完善</w:t>
      </w:r>
      <w:r>
        <w:rPr>
          <w:rFonts w:hint="eastAsia" w:ascii="Times New Roman" w:hAnsi="Times New Roman" w:eastAsia="仿宋_GB2312"/>
          <w:color w:val="030303"/>
          <w:sz w:val="32"/>
          <w:szCs w:val="32"/>
          <w:shd w:val="clear" w:color="auto" w:fill="FFFFFF"/>
        </w:rPr>
        <w:t>社区矫正工作经费</w:t>
      </w:r>
      <w:r>
        <w:rPr>
          <w:rFonts w:hint="eastAsia" w:ascii="Times New Roman" w:hAnsi="Times New Roman" w:eastAsia="仿宋_GB2312"/>
          <w:sz w:val="32"/>
        </w:rPr>
        <w:t>项目绩效评价方法体系，推动建立以绩效评价结果为导向的财政资金分配与管理制度，提升财政资金科学化、精细化管理水平，为</w:t>
      </w:r>
      <w:r>
        <w:rPr>
          <w:rFonts w:hint="eastAsia" w:ascii="Times New Roman" w:hAnsi="Times New Roman" w:eastAsia="仿宋_GB2312"/>
          <w:color w:val="030303"/>
          <w:sz w:val="32"/>
          <w:szCs w:val="32"/>
          <w:shd w:val="clear" w:color="auto" w:fill="FFFFFF"/>
        </w:rPr>
        <w:t>社区矫正工作经费</w:t>
      </w:r>
      <w:r>
        <w:rPr>
          <w:rFonts w:hint="eastAsia" w:ascii="Times New Roman" w:hAnsi="Times New Roman" w:eastAsia="仿宋_GB2312"/>
          <w:sz w:val="32"/>
        </w:rPr>
        <w:t>项目专项资金的安排提供重要依据。</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2.绩效评价对象和范围</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本次绩效评价针对</w:t>
      </w:r>
      <w:r>
        <w:rPr>
          <w:rFonts w:hint="eastAsia" w:ascii="Times New Roman" w:hAnsi="Times New Roman" w:eastAsia="仿宋_GB2312"/>
          <w:color w:val="030303"/>
          <w:sz w:val="32"/>
          <w:szCs w:val="32"/>
          <w:shd w:val="clear" w:color="auto" w:fill="FFFFFF"/>
        </w:rPr>
        <w:t>社区矫正工作经费</w:t>
      </w:r>
      <w:r>
        <w:rPr>
          <w:rFonts w:hint="eastAsia" w:ascii="Times New Roman" w:hAnsi="Times New Roman" w:eastAsia="仿宋_GB2312"/>
          <w:sz w:val="32"/>
        </w:rPr>
        <w:t>项目展开，主要评价内容及范围如下：</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1</w:t>
      </w:r>
      <w:r>
        <w:rPr>
          <w:rFonts w:hint="eastAsia" w:ascii="Times New Roman" w:hAnsi="Times New Roman" w:eastAsia="仿宋_GB2312"/>
          <w:sz w:val="32"/>
        </w:rPr>
        <w:t>）立项依据和立项程序情况；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2</w:t>
      </w:r>
      <w:r>
        <w:rPr>
          <w:rFonts w:hint="eastAsia" w:ascii="Times New Roman" w:hAnsi="Times New Roman" w:eastAsia="仿宋_GB2312"/>
          <w:sz w:val="32"/>
        </w:rPr>
        <w:t>）绩效目标和指标设定情况；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3</w:t>
      </w:r>
      <w:r>
        <w:rPr>
          <w:rFonts w:hint="eastAsia" w:ascii="Times New Roman" w:hAnsi="Times New Roman" w:eastAsia="仿宋_GB2312"/>
          <w:sz w:val="32"/>
        </w:rPr>
        <w:t>）预算编制和资金分配情况；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4</w:t>
      </w:r>
      <w:r>
        <w:rPr>
          <w:rFonts w:hint="eastAsia" w:ascii="Times New Roman" w:hAnsi="Times New Roman" w:eastAsia="仿宋_GB2312"/>
          <w:sz w:val="32"/>
        </w:rPr>
        <w:t>）资金管理和使用情况；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5</w:t>
      </w:r>
      <w:r>
        <w:rPr>
          <w:rFonts w:hint="eastAsia" w:ascii="Times New Roman" w:hAnsi="Times New Roman" w:eastAsia="仿宋_GB2312"/>
          <w:sz w:val="32"/>
        </w:rPr>
        <w:t>）相关制度办法的健全性及执行情况；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6</w:t>
      </w:r>
      <w:r>
        <w:rPr>
          <w:rFonts w:hint="eastAsia" w:ascii="Times New Roman" w:hAnsi="Times New Roman" w:eastAsia="仿宋_GB2312"/>
          <w:sz w:val="32"/>
        </w:rPr>
        <w:t>）实现的产出情况；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7</w:t>
      </w:r>
      <w:r>
        <w:rPr>
          <w:rFonts w:hint="eastAsia" w:ascii="Times New Roman" w:hAnsi="Times New Roman" w:eastAsia="仿宋_GB2312"/>
          <w:sz w:val="32"/>
        </w:rPr>
        <w:t>）取得的效益情况；</w:t>
      </w:r>
    </w:p>
    <w:p>
      <w:pPr>
        <w:pStyle w:val="24"/>
        <w:ind w:firstLine="640"/>
      </w:pPr>
      <w:r>
        <w:rPr>
          <w:rFonts w:hint="eastAsia"/>
        </w:rPr>
        <w:t>（</w:t>
      </w:r>
      <w:r>
        <w:t>8</w:t>
      </w:r>
      <w:r>
        <w:rPr>
          <w:rFonts w:hint="eastAsia"/>
        </w:rPr>
        <w:t>）其他相关内容。</w:t>
      </w:r>
    </w:p>
    <w:p>
      <w:pPr>
        <w:pStyle w:val="28"/>
        <w:ind w:firstLine="640"/>
        <w:rPr>
          <w:rFonts w:ascii="Times New Roman" w:hAnsi="Times New Roman"/>
        </w:rPr>
      </w:pPr>
      <w:bookmarkStart w:id="7" w:name="_Toc1751461671"/>
      <w:r>
        <w:rPr>
          <w:rFonts w:hint="eastAsia" w:ascii="Times New Roman" w:hAnsi="Times New Roman"/>
        </w:rPr>
        <w:t>（二）</w:t>
      </w:r>
      <w:r>
        <w:rPr>
          <w:rFonts w:hint="eastAsia" w:ascii="Times New Roman" w:hAnsi="Times New Roman" w:cs="楷体_GB2312"/>
          <w:bCs w:val="0"/>
        </w:rPr>
        <w:t>绩效评价原则、评价指标体系、评价方法</w:t>
      </w:r>
      <w:bookmarkEnd w:id="7"/>
    </w:p>
    <w:p>
      <w:pPr>
        <w:pStyle w:val="24"/>
        <w:ind w:firstLine="640"/>
      </w:pPr>
      <w:r>
        <w:t>1.</w:t>
      </w:r>
      <w:r>
        <w:rPr>
          <w:rFonts w:hint="eastAsia"/>
        </w:rPr>
        <w:t>绩效评价原则</w:t>
      </w:r>
    </w:p>
    <w:p>
      <w:pPr>
        <w:pStyle w:val="24"/>
        <w:ind w:firstLine="640"/>
      </w:pPr>
      <w:r>
        <w:rPr>
          <w:rFonts w:hint="eastAsia"/>
        </w:rPr>
        <w:t>（</w:t>
      </w:r>
      <w:r>
        <w:t>1</w:t>
      </w:r>
      <w:r>
        <w:rPr>
          <w:rFonts w:hint="eastAsia"/>
        </w:rPr>
        <w:t>）坚持科学规范的原则。此次绩效评价运用科学合理的评价指标体系和方法，按照规范的程序，对支出绩效进行客观、公正的反映。</w:t>
      </w:r>
    </w:p>
    <w:p>
      <w:pPr>
        <w:pStyle w:val="24"/>
        <w:ind w:firstLine="640"/>
      </w:pPr>
      <w:r>
        <w:rPr>
          <w:rFonts w:hint="eastAsia"/>
        </w:rPr>
        <w:t>（</w:t>
      </w:r>
      <w:r>
        <w:t>2</w:t>
      </w:r>
      <w:r>
        <w:rPr>
          <w:rFonts w:hint="eastAsia"/>
        </w:rPr>
        <w:t>）坚持统筹兼顾的原则。此次评价委托第三方机构在单位自评的基础上开展。</w:t>
      </w:r>
    </w:p>
    <w:p>
      <w:pPr>
        <w:pStyle w:val="24"/>
        <w:ind w:firstLine="640"/>
      </w:pPr>
      <w:bookmarkStart w:id="8" w:name="_Hlk91689355"/>
      <w:r>
        <w:rPr>
          <w:rFonts w:hint="eastAsia"/>
        </w:rPr>
        <w:t>（</w:t>
      </w:r>
      <w:r>
        <w:t>3</w:t>
      </w:r>
      <w:r>
        <w:rPr>
          <w:rFonts w:hint="eastAsia"/>
        </w:rPr>
        <w:t>）坚持激励约束的原则。本次绩效评价结果可以作为预算安排、政策调整、改进管理的参考，绩效评价工作将体现奖优罚劣和激励相容导向，有效要安排、低效要压减、无效要问责。</w:t>
      </w:r>
    </w:p>
    <w:p>
      <w:pPr>
        <w:pStyle w:val="24"/>
        <w:ind w:firstLine="640"/>
      </w:pPr>
      <w:r>
        <w:rPr>
          <w:rFonts w:hint="eastAsia"/>
        </w:rPr>
        <w:t>（</w:t>
      </w:r>
      <w:r>
        <w:t>4</w:t>
      </w:r>
      <w:r>
        <w:rPr>
          <w:rFonts w:hint="eastAsia"/>
        </w:rPr>
        <w:t>）坚持公开透明的原则。承诺绩效评价结果依法依规公开，自觉接受有关机构和社会监督。</w:t>
      </w:r>
    </w:p>
    <w:p>
      <w:pPr>
        <w:pStyle w:val="24"/>
        <w:ind w:firstLine="640"/>
      </w:pPr>
      <w:r>
        <w:rPr>
          <w:rFonts w:hint="eastAsia"/>
        </w:rPr>
        <w:t>（</w:t>
      </w:r>
      <w:r>
        <w:t>5</w:t>
      </w:r>
      <w:r>
        <w:rPr>
          <w:rFonts w:hint="eastAsia"/>
        </w:rPr>
        <w:t>）坚持综合绩效评价，定量分析与定性分析相结合的原则。</w:t>
      </w:r>
    </w:p>
    <w:p>
      <w:pPr>
        <w:pStyle w:val="24"/>
        <w:ind w:firstLine="640"/>
      </w:pPr>
      <w:r>
        <w:rPr>
          <w:rFonts w:hint="eastAsia"/>
        </w:rPr>
        <w:t>（</w:t>
      </w:r>
      <w:r>
        <w:t>6</w:t>
      </w:r>
      <w:r>
        <w:rPr>
          <w:rFonts w:hint="eastAsia"/>
        </w:rPr>
        <w:t>）坚持绩效相关性原则。此次绩效评价将针对具体支出及其产出绩效进行，评价结果将清晰反映支出和产出绩效之间的紧密对应关系。</w:t>
      </w:r>
      <w:bookmarkEnd w:id="8"/>
    </w:p>
    <w:p>
      <w:pPr>
        <w:pStyle w:val="24"/>
        <w:ind w:firstLine="640"/>
      </w:pPr>
      <w:r>
        <w:t>2.</w:t>
      </w:r>
      <w:r>
        <w:rPr>
          <w:rFonts w:hint="eastAsia"/>
        </w:rPr>
        <w:t>评价指标体系</w:t>
      </w:r>
    </w:p>
    <w:p>
      <w:pPr>
        <w:pStyle w:val="24"/>
        <w:ind w:firstLine="640"/>
      </w:pPr>
      <w:r>
        <w:rPr>
          <w:rFonts w:hint="eastAsia"/>
        </w:rPr>
        <w:t>针对项目情况，从决策、过程、产出及效益四大方面拟定绩效评价指标，其中：</w:t>
      </w:r>
    </w:p>
    <w:p>
      <w:pPr>
        <w:pStyle w:val="24"/>
        <w:ind w:firstLine="640"/>
        <w:rPr>
          <w:rFonts w:cs="仿宋_GB2312"/>
        </w:rPr>
      </w:pPr>
      <w:r>
        <w:rPr>
          <w:rFonts w:hint="eastAsia"/>
        </w:rPr>
        <w:t>（1）</w:t>
      </w:r>
      <w:r>
        <w:rPr>
          <w:rFonts w:hint="eastAsia" w:cs="仿宋_GB2312"/>
        </w:rPr>
        <w:t>项目决策指标</w:t>
      </w:r>
    </w:p>
    <w:p>
      <w:pPr>
        <w:pStyle w:val="24"/>
        <w:ind w:firstLine="640"/>
      </w:pPr>
      <w:r>
        <w:rPr>
          <w:rFonts w:hint="eastAsia"/>
        </w:rPr>
        <w:t>①项目立项</w:t>
      </w:r>
    </w:p>
    <w:p>
      <w:pPr>
        <w:pStyle w:val="24"/>
        <w:ind w:firstLine="640"/>
      </w:pPr>
      <w:r>
        <w:t>a.</w:t>
      </w:r>
      <w:r>
        <w:rPr>
          <w:rFonts w:hint="eastAsia"/>
        </w:rPr>
        <w:t>立项依据充分性。项目立项是否符合法律法规、相关政策、发展规划以及部门职责，用于反映和考核项目立项依据情况。</w:t>
      </w:r>
    </w:p>
    <w:p>
      <w:pPr>
        <w:pStyle w:val="24"/>
        <w:ind w:firstLine="640"/>
      </w:pPr>
      <w:r>
        <w:t>b.</w:t>
      </w:r>
      <w:r>
        <w:rPr>
          <w:rFonts w:hint="eastAsia"/>
        </w:rPr>
        <w:t>立项程序规范性。项目申请、设立过程是否符合相关要求，用以反映和考核项目立项的规范情况。</w:t>
      </w:r>
    </w:p>
    <w:p>
      <w:pPr>
        <w:pStyle w:val="24"/>
        <w:ind w:firstLine="640"/>
      </w:pPr>
      <w:r>
        <w:rPr>
          <w:rFonts w:hint="eastAsia"/>
        </w:rPr>
        <w:t>②绩效目标</w:t>
      </w:r>
    </w:p>
    <w:p>
      <w:pPr>
        <w:pStyle w:val="24"/>
        <w:ind w:firstLine="640"/>
      </w:pPr>
      <w:r>
        <w:rPr>
          <w:rFonts w:hint="eastAsia"/>
        </w:rPr>
        <w:t>a</w:t>
      </w:r>
      <w:r>
        <w:t>.</w:t>
      </w:r>
      <w:r>
        <w:rPr>
          <w:rFonts w:hint="eastAsia"/>
        </w:rPr>
        <w:t>绩效目标明确性。依据绩效目标设定的绩效指标是否清晰、细化、可衡量等，用以反映和考核项目绩效目标的明细化情况。</w:t>
      </w:r>
    </w:p>
    <w:p>
      <w:pPr>
        <w:pStyle w:val="24"/>
        <w:ind w:firstLine="640"/>
      </w:pPr>
      <w:r>
        <w:t>b.</w:t>
      </w:r>
      <w:r>
        <w:rPr>
          <w:rFonts w:hint="eastAsia"/>
        </w:rPr>
        <w:t>绩效目标合理性。项目所设定的绩效目标是否依据充分，是否符合客观实际，用以反映和考核项目绩效目标与项目实施的相符情况。</w:t>
      </w:r>
    </w:p>
    <w:p>
      <w:pPr>
        <w:pStyle w:val="24"/>
        <w:ind w:firstLine="640"/>
      </w:pPr>
      <w:r>
        <w:rPr>
          <w:rFonts w:hint="eastAsia"/>
        </w:rPr>
        <w:t>③预算编制</w:t>
      </w:r>
    </w:p>
    <w:p>
      <w:pPr>
        <w:pStyle w:val="24"/>
        <w:ind w:firstLine="640"/>
      </w:pPr>
      <w:r>
        <w:rPr>
          <w:rFonts w:hint="eastAsia"/>
        </w:rPr>
        <w:t>a</w:t>
      </w:r>
      <w:r>
        <w:t>.</w:t>
      </w:r>
      <w:r>
        <w:rPr>
          <w:rFonts w:hint="eastAsia"/>
        </w:rPr>
        <w:t>测算内容合规性。项目预算测算内容是否符合相关政策文件规定范围。</w:t>
      </w:r>
    </w:p>
    <w:p>
      <w:pPr>
        <w:pStyle w:val="24"/>
        <w:ind w:firstLine="640"/>
      </w:pPr>
      <w:r>
        <w:rPr>
          <w:rFonts w:hint="eastAsia"/>
        </w:rPr>
        <w:t>b</w:t>
      </w:r>
      <w:r>
        <w:t>.</w:t>
      </w:r>
      <w:r>
        <w:rPr>
          <w:rFonts w:hint="eastAsia"/>
        </w:rPr>
        <w:t>测算标准合理性。项目预算测算项目支出标准是否符合相关政策制度或行业、领域规定。</w:t>
      </w:r>
    </w:p>
    <w:p>
      <w:pPr>
        <w:pStyle w:val="24"/>
        <w:ind w:firstLine="640"/>
      </w:pPr>
      <w:r>
        <w:rPr>
          <w:rFonts w:hint="eastAsia"/>
        </w:rPr>
        <w:t>c</w:t>
      </w:r>
      <w:r>
        <w:t>.</w:t>
      </w:r>
      <w:r>
        <w:rPr>
          <w:rFonts w:hint="eastAsia"/>
        </w:rPr>
        <w:t>测算数据客观性。项目预算测算数据是否客观、真实、准确。</w:t>
      </w:r>
    </w:p>
    <w:p>
      <w:pPr>
        <w:pStyle w:val="24"/>
        <w:ind w:firstLine="640"/>
      </w:pPr>
      <w:r>
        <w:rPr>
          <w:rFonts w:hint="eastAsia"/>
        </w:rPr>
        <w:t>d</w:t>
      </w:r>
      <w:r>
        <w:t>.</w:t>
      </w:r>
      <w:r>
        <w:rPr>
          <w:rFonts w:hint="eastAsia"/>
        </w:rPr>
        <w:t>测算过程细化度。测算过程是否细化清晰。</w:t>
      </w:r>
    </w:p>
    <w:p>
      <w:pPr>
        <w:pStyle w:val="24"/>
        <w:ind w:firstLine="640"/>
      </w:pPr>
      <w:r>
        <w:rPr>
          <w:rFonts w:hint="eastAsia"/>
        </w:rPr>
        <w:t>（2）项目过程指标</w:t>
      </w:r>
    </w:p>
    <w:p>
      <w:pPr>
        <w:pStyle w:val="24"/>
        <w:ind w:firstLine="640"/>
      </w:pPr>
      <w:r>
        <w:rPr>
          <w:rFonts w:hint="eastAsia"/>
        </w:rPr>
        <w:t>①资金管理</w:t>
      </w:r>
    </w:p>
    <w:p>
      <w:pPr>
        <w:pStyle w:val="24"/>
        <w:ind w:firstLine="640"/>
      </w:pPr>
      <w:r>
        <w:rPr>
          <w:rFonts w:hint="eastAsia"/>
        </w:rPr>
        <w:t>a</w:t>
      </w:r>
      <w:r>
        <w:t>.</w:t>
      </w:r>
      <w:r>
        <w:rPr>
          <w:rFonts w:hint="eastAsia"/>
        </w:rPr>
        <w:t>资金到位率。实际到位资金与预算资金的比率，用以反映和考核资金落实情况对项目实施的总体保障程度。</w:t>
      </w:r>
    </w:p>
    <w:p>
      <w:pPr>
        <w:pStyle w:val="24"/>
        <w:ind w:firstLine="640"/>
      </w:pPr>
      <w:r>
        <w:rPr>
          <w:rFonts w:hint="eastAsia"/>
        </w:rPr>
        <w:t>b</w:t>
      </w:r>
      <w:r>
        <w:t>.</w:t>
      </w:r>
      <w:r>
        <w:rPr>
          <w:rFonts w:hint="eastAsia"/>
        </w:rPr>
        <w:t>资金沉淀率。项目结转结余资金与实际到位资金的比率，用以反映和考核项目资金使用效率和效益。</w:t>
      </w:r>
    </w:p>
    <w:p>
      <w:pPr>
        <w:pStyle w:val="24"/>
        <w:ind w:firstLine="640"/>
      </w:pPr>
      <w:r>
        <w:rPr>
          <w:rFonts w:hint="eastAsia"/>
        </w:rPr>
        <w:t>c</w:t>
      </w:r>
      <w:r>
        <w:t>.</w:t>
      </w:r>
      <w:r>
        <w:rPr>
          <w:rFonts w:hint="eastAsia"/>
        </w:rPr>
        <w:t>预算执行率。项目预算资金是否按照计划执行，用以反映或考核项目预算执行情况。</w:t>
      </w:r>
    </w:p>
    <w:p>
      <w:pPr>
        <w:pStyle w:val="24"/>
        <w:ind w:firstLine="640"/>
      </w:pPr>
      <w:r>
        <w:rPr>
          <w:rFonts w:hint="eastAsia"/>
        </w:rPr>
        <w:t>d</w:t>
      </w:r>
      <w:r>
        <w:t>.</w:t>
      </w:r>
      <w:r>
        <w:rPr>
          <w:rFonts w:hint="eastAsia"/>
        </w:rPr>
        <w:t>资金使用合规性。项目资金使用是否符合相关的财务管理制度规定，用以反映和考核项目资金的规范运行情况。</w:t>
      </w:r>
    </w:p>
    <w:p>
      <w:pPr>
        <w:pStyle w:val="24"/>
        <w:ind w:firstLine="640"/>
      </w:pPr>
      <w:r>
        <w:rPr>
          <w:rFonts w:hint="eastAsia"/>
        </w:rPr>
        <w:t>②组织实施</w:t>
      </w:r>
    </w:p>
    <w:p>
      <w:pPr>
        <w:pStyle w:val="24"/>
        <w:ind w:firstLine="640"/>
      </w:pPr>
      <w:r>
        <w:rPr>
          <w:rFonts w:hint="eastAsia"/>
        </w:rPr>
        <w:t>a</w:t>
      </w:r>
      <w:r>
        <w:t>.</w:t>
      </w:r>
      <w:r>
        <w:rPr>
          <w:rFonts w:hint="eastAsia"/>
        </w:rPr>
        <w:t>管理制度健全性。项目实施单位的财务和业务管理制度是否健全，用以反映和考核财务和业务管理制度对项目顺利实施的保障情况。</w:t>
      </w:r>
    </w:p>
    <w:p>
      <w:pPr>
        <w:pStyle w:val="24"/>
        <w:ind w:firstLine="640"/>
      </w:pPr>
      <w:r>
        <w:rPr>
          <w:rFonts w:hint="eastAsia"/>
        </w:rPr>
        <w:t>b</w:t>
      </w:r>
      <w:r>
        <w:t>.</w:t>
      </w:r>
      <w:r>
        <w:rPr>
          <w:rFonts w:hint="eastAsia"/>
        </w:rPr>
        <w:t>制度执行有效性。主要从项目申报、项目实施、项目验收等</w:t>
      </w:r>
      <w:r>
        <w:t>3个环节展开，结合相关管理规定进行评价</w:t>
      </w:r>
      <w:r>
        <w:rPr>
          <w:rFonts w:hint="eastAsia"/>
        </w:rPr>
        <w:t>。</w:t>
      </w:r>
    </w:p>
    <w:p>
      <w:pPr>
        <w:pStyle w:val="24"/>
        <w:ind w:firstLine="640"/>
      </w:pPr>
      <w:r>
        <w:rPr>
          <w:rFonts w:hint="eastAsia"/>
        </w:rPr>
        <w:t>（3）项目产出指标</w:t>
      </w:r>
    </w:p>
    <w:p>
      <w:pPr>
        <w:pStyle w:val="24"/>
        <w:ind w:firstLine="640"/>
      </w:pPr>
      <w:r>
        <w:rPr>
          <w:rFonts w:hint="eastAsia"/>
        </w:rPr>
        <w:t>①产出数量</w:t>
      </w:r>
    </w:p>
    <w:p>
      <w:pPr>
        <w:pStyle w:val="24"/>
        <w:ind w:firstLine="640"/>
      </w:pPr>
      <w:r>
        <w:rPr>
          <w:rFonts w:hint="eastAsia"/>
        </w:rPr>
        <w:t>a</w:t>
      </w:r>
      <w:r>
        <w:t>.</w:t>
      </w:r>
      <w:r>
        <w:rPr>
          <w:rFonts w:hint="eastAsia"/>
          <w:lang w:eastAsia="zh-CN"/>
        </w:rPr>
        <w:t>心理干预</w:t>
      </w:r>
      <w:r>
        <w:rPr>
          <w:rFonts w:hint="eastAsia"/>
        </w:rPr>
        <w:t>工作完成率。项目实施期间实际完成</w:t>
      </w:r>
      <w:r>
        <w:rPr>
          <w:rFonts w:hint="eastAsia"/>
          <w:lang w:eastAsia="zh-CN"/>
        </w:rPr>
        <w:t>心理干预</w:t>
      </w:r>
      <w:r>
        <w:rPr>
          <w:rFonts w:hint="eastAsia"/>
        </w:rPr>
        <w:t>服务数量与合同规定服务数量对比，用以反映</w:t>
      </w:r>
      <w:r>
        <w:rPr>
          <w:rFonts w:hint="eastAsia"/>
          <w:lang w:eastAsia="zh-CN"/>
        </w:rPr>
        <w:t>心理干预</w:t>
      </w:r>
      <w:r>
        <w:rPr>
          <w:rFonts w:hint="eastAsia"/>
        </w:rPr>
        <w:t>工作的完成情况。</w:t>
      </w:r>
    </w:p>
    <w:p>
      <w:pPr>
        <w:pStyle w:val="24"/>
        <w:ind w:firstLine="640"/>
      </w:pPr>
      <w:r>
        <w:t>b.</w:t>
      </w:r>
      <w:r>
        <w:rPr>
          <w:rFonts w:hint="eastAsia"/>
        </w:rPr>
        <w:t>监管系统运维工作完成率。项目实施期间实际完成运维系统数量与合同规定运维系统数量对比，用以反映监管系统运维工作的完成情况。</w:t>
      </w:r>
    </w:p>
    <w:p>
      <w:pPr>
        <w:pStyle w:val="24"/>
        <w:ind w:firstLine="640"/>
      </w:pPr>
      <w:r>
        <w:rPr>
          <w:rFonts w:hint="eastAsia"/>
        </w:rPr>
        <w:t>②产出质量</w:t>
      </w:r>
    </w:p>
    <w:p>
      <w:pPr>
        <w:pStyle w:val="24"/>
        <w:ind w:firstLine="640"/>
      </w:pPr>
      <w:r>
        <w:rPr>
          <w:rFonts w:hint="eastAsia"/>
        </w:rPr>
        <w:t>a</w:t>
      </w:r>
      <w:r>
        <w:t>.</w:t>
      </w:r>
      <w:r>
        <w:rPr>
          <w:rFonts w:hint="eastAsia"/>
          <w:lang w:eastAsia="zh-CN"/>
        </w:rPr>
        <w:t>心理干预</w:t>
      </w:r>
      <w:r>
        <w:rPr>
          <w:rFonts w:hint="eastAsia"/>
        </w:rPr>
        <w:t>服务质量达标率。项目实施期间测评结果正常人员数量与参与心理测评人员数量对比，用以反映</w:t>
      </w:r>
      <w:r>
        <w:rPr>
          <w:rFonts w:hint="eastAsia"/>
          <w:lang w:eastAsia="zh-CN"/>
        </w:rPr>
        <w:t>心理干预</w:t>
      </w:r>
      <w:r>
        <w:rPr>
          <w:rFonts w:hint="eastAsia"/>
        </w:rPr>
        <w:t>服务质量达标的情况。</w:t>
      </w:r>
    </w:p>
    <w:p>
      <w:pPr>
        <w:pStyle w:val="24"/>
        <w:ind w:firstLine="640"/>
      </w:pPr>
      <w:r>
        <w:t>b.</w:t>
      </w:r>
      <w:r>
        <w:rPr>
          <w:rFonts w:hint="eastAsia"/>
        </w:rPr>
        <w:t>系统运行稳定率。项目运维期间系统运行稳定数量与运维系统总数量对比，用以反映系统运行稳定的情况。</w:t>
      </w:r>
    </w:p>
    <w:p>
      <w:pPr>
        <w:pStyle w:val="24"/>
        <w:ind w:firstLine="640"/>
      </w:pPr>
      <w:r>
        <w:rPr>
          <w:rFonts w:hint="eastAsia"/>
        </w:rPr>
        <w:t>③产出时效</w:t>
      </w:r>
    </w:p>
    <w:p>
      <w:pPr>
        <w:pStyle w:val="24"/>
        <w:ind w:firstLine="640"/>
      </w:pPr>
      <w:r>
        <w:rPr>
          <w:rFonts w:hint="eastAsia"/>
        </w:rPr>
        <w:t>a</w:t>
      </w:r>
      <w:r>
        <w:t>.</w:t>
      </w:r>
      <w:r>
        <w:rPr>
          <w:rFonts w:hint="eastAsia"/>
        </w:rPr>
        <w:t>心理干预完成及时率。项目实施期间及时完成心理干预服务数量与开展心理干预工作总数量对比，用以反映心理干预完成的及时情况。</w:t>
      </w:r>
    </w:p>
    <w:p>
      <w:pPr>
        <w:pStyle w:val="24"/>
        <w:ind w:firstLine="640"/>
      </w:pPr>
      <w:r>
        <w:t>b.</w:t>
      </w:r>
      <w:r>
        <w:rPr>
          <w:rFonts w:hint="eastAsia"/>
        </w:rPr>
        <w:t>系统运维及时率。项目实施期间运维及时系统数量与运维系统总数量对比，用以反映系统运维的及时情况。</w:t>
      </w:r>
    </w:p>
    <w:p>
      <w:pPr>
        <w:pStyle w:val="24"/>
        <w:ind w:firstLine="640"/>
      </w:pPr>
      <w:r>
        <w:rPr>
          <w:rFonts w:hint="eastAsia"/>
        </w:rPr>
        <w:t>④产出成本</w:t>
      </w:r>
    </w:p>
    <w:p>
      <w:pPr>
        <w:pStyle w:val="24"/>
        <w:ind w:firstLine="640"/>
      </w:pPr>
      <w:r>
        <w:rPr>
          <w:rFonts w:hint="eastAsia"/>
        </w:rPr>
        <w:t>社区矫正办公成本节约率。项目实施期间实际支出金额与计划支出金额对比，用以反映社区矫正办公成本支出控制情况。</w:t>
      </w:r>
    </w:p>
    <w:p>
      <w:pPr>
        <w:pStyle w:val="24"/>
        <w:numPr>
          <w:ilvl w:val="0"/>
          <w:numId w:val="1"/>
        </w:numPr>
        <w:ind w:firstLine="640" w:firstLineChars="0"/>
      </w:pPr>
      <w:r>
        <w:rPr>
          <w:rFonts w:hint="eastAsia"/>
        </w:rPr>
        <w:t>项目效益指标</w:t>
      </w:r>
    </w:p>
    <w:p>
      <w:pPr>
        <w:pStyle w:val="24"/>
        <w:ind w:firstLine="640"/>
      </w:pPr>
      <w:r>
        <w:rPr>
          <w:rFonts w:hint="eastAsia"/>
        </w:rPr>
        <w:t>①社会效益</w:t>
      </w:r>
    </w:p>
    <w:p>
      <w:pPr>
        <w:pStyle w:val="24"/>
        <w:ind w:firstLine="640"/>
      </w:pPr>
      <w:r>
        <w:rPr>
          <w:rFonts w:hint="eastAsia"/>
        </w:rPr>
        <w:t>a</w:t>
      </w:r>
      <w:r>
        <w:t>.</w:t>
      </w:r>
      <w:r>
        <w:rPr>
          <w:rFonts w:hint="eastAsia"/>
        </w:rPr>
        <w:t>社区矫正对象脱漏管率。项目实施期间可监控矫正对象人数与在册矫正对象人数对比，用以反映社区矫正对象脱漏管的情况。</w:t>
      </w:r>
    </w:p>
    <w:p>
      <w:pPr>
        <w:pStyle w:val="24"/>
        <w:ind w:firstLine="640"/>
      </w:pPr>
      <w:r>
        <w:t>b.</w:t>
      </w:r>
      <w:r>
        <w:rPr>
          <w:rFonts w:hint="eastAsia"/>
        </w:rPr>
        <w:t>社区矫正对象再犯罪率。项目实施期间释放人员重新犯罪人数与解除矫正对象人数对比，用以反映社区矫正对象再犯罪的情况。</w:t>
      </w:r>
    </w:p>
    <w:p>
      <w:pPr>
        <w:pStyle w:val="24"/>
        <w:ind w:firstLine="640"/>
      </w:pPr>
      <w:r>
        <w:rPr>
          <w:rFonts w:hint="eastAsia"/>
        </w:rPr>
        <w:t>②可持续影响</w:t>
      </w:r>
    </w:p>
    <w:p>
      <w:pPr>
        <w:pStyle w:val="24"/>
        <w:ind w:firstLine="640"/>
      </w:pPr>
      <w:r>
        <w:rPr>
          <w:rFonts w:hint="eastAsia"/>
        </w:rPr>
        <w:t>a</w:t>
      </w:r>
      <w:r>
        <w:t>.</w:t>
      </w:r>
      <w:r>
        <w:rPr>
          <w:rFonts w:hint="eastAsia"/>
        </w:rPr>
        <w:t>社区矫正管理工作保障机制。通过社区矫正方案的建立健全情况，用以反映项目持续开展的保障程度。</w:t>
      </w:r>
    </w:p>
    <w:p>
      <w:pPr>
        <w:pStyle w:val="24"/>
        <w:ind w:firstLine="640"/>
      </w:pPr>
      <w:r>
        <w:t>b.</w:t>
      </w:r>
      <w:r>
        <w:rPr>
          <w:rFonts w:hint="eastAsia"/>
        </w:rPr>
        <w:t>系统设备维护保障机制。通过系统设备维护保障机制的建立健全情况，用以反映项目持续开展的保障程度。</w:t>
      </w:r>
    </w:p>
    <w:p>
      <w:pPr>
        <w:pStyle w:val="24"/>
        <w:ind w:firstLine="640"/>
      </w:pPr>
      <w:r>
        <w:rPr>
          <w:rFonts w:hint="eastAsia"/>
        </w:rPr>
        <w:t>③服务对象满意度</w:t>
      </w:r>
    </w:p>
    <w:p>
      <w:pPr>
        <w:pStyle w:val="24"/>
        <w:ind w:firstLine="640"/>
      </w:pPr>
      <w:r>
        <w:rPr>
          <w:rFonts w:hint="eastAsia"/>
        </w:rPr>
        <w:t>社区矫正对象及工作人员满意度。通过有效调查问卷中各项调查满意人次数与被调查总人次数的比率，用以反映被调查对象对本项目的满意程度。</w:t>
      </w:r>
    </w:p>
    <w:p>
      <w:pPr>
        <w:pStyle w:val="24"/>
        <w:ind w:firstLine="640"/>
      </w:pPr>
      <w:r>
        <w:t>3</w:t>
      </w:r>
      <w:r>
        <w:rPr>
          <w:rFonts w:hint="eastAsia"/>
        </w:rPr>
        <w:t>.绩效评价方法</w:t>
      </w:r>
    </w:p>
    <w:p>
      <w:pPr>
        <w:pStyle w:val="24"/>
        <w:ind w:firstLine="640"/>
      </w:pPr>
      <w:bookmarkStart w:id="9" w:name="_Hlk91875362"/>
      <w:r>
        <w:rPr>
          <w:rFonts w:hint="eastAsia"/>
        </w:rPr>
        <w:t>结合项目具体情况，本次绩效评价主要运用指标分析法结合比较法、专家咨询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w:t>
      </w:r>
      <w:r>
        <w:t>绩效评价指标体系详见附件。</w:t>
      </w:r>
      <w:bookmarkEnd w:id="9"/>
    </w:p>
    <w:p>
      <w:pPr>
        <w:pStyle w:val="28"/>
        <w:ind w:firstLine="640"/>
        <w:rPr>
          <w:rFonts w:ascii="Times New Roman" w:hAnsi="Times New Roman"/>
        </w:rPr>
      </w:pPr>
      <w:bookmarkStart w:id="10" w:name="_Toc1257955068"/>
      <w:r>
        <w:rPr>
          <w:rFonts w:hint="eastAsia" w:ascii="Times New Roman" w:hAnsi="Times New Roman"/>
        </w:rPr>
        <w:t>（三）绩效评价工作过程</w:t>
      </w:r>
      <w:bookmarkEnd w:id="10"/>
    </w:p>
    <w:p>
      <w:pPr>
        <w:pStyle w:val="24"/>
        <w:ind w:firstLine="640"/>
      </w:pPr>
      <w:bookmarkStart w:id="11" w:name="_Toc57967893"/>
      <w:r>
        <w:t>1.</w:t>
      </w:r>
      <w:r>
        <w:rPr>
          <w:rFonts w:hint="eastAsia"/>
        </w:rPr>
        <w:t>前期准备阶段</w:t>
      </w:r>
      <w:bookmarkEnd w:id="11"/>
    </w:p>
    <w:p>
      <w:pPr>
        <w:spacing w:line="600" w:lineRule="exact"/>
        <w:ind w:firstLine="640"/>
        <w:jc w:val="both"/>
        <w:rPr>
          <w:rFonts w:ascii="Times New Roman" w:hAnsi="Times New Roman" w:eastAsia="仿宋_GB2312"/>
          <w:sz w:val="32"/>
        </w:rPr>
      </w:pPr>
      <w:bookmarkStart w:id="12" w:name="_Toc57967894"/>
      <w:r>
        <w:rPr>
          <w:rFonts w:hint="eastAsia" w:ascii="Times New Roman" w:hAnsi="Times New Roman" w:eastAsia="仿宋_GB2312"/>
          <w:sz w:val="32"/>
        </w:rPr>
        <w:t>（</w:t>
      </w:r>
      <w:r>
        <w:rPr>
          <w:rFonts w:ascii="Times New Roman" w:hAnsi="Times New Roman" w:eastAsia="仿宋_GB2312"/>
          <w:sz w:val="32"/>
        </w:rPr>
        <w:t>1</w:t>
      </w:r>
      <w:r>
        <w:rPr>
          <w:rFonts w:hint="eastAsia" w:ascii="Times New Roman" w:hAnsi="Times New Roman" w:eastAsia="仿宋_GB2312"/>
          <w:sz w:val="32"/>
        </w:rPr>
        <w:t>）成立绩效评价项目组</w:t>
      </w:r>
    </w:p>
    <w:p>
      <w:pPr>
        <w:adjustRightInd w:val="0"/>
        <w:snapToGrid w:val="0"/>
        <w:spacing w:line="600" w:lineRule="exact"/>
        <w:ind w:firstLine="640"/>
        <w:rPr>
          <w:rFonts w:ascii="Times New Roman" w:hAnsi="Times New Roman" w:eastAsia="仿宋_GB2312"/>
          <w:sz w:val="32"/>
        </w:rPr>
      </w:pPr>
      <w:r>
        <w:rPr>
          <w:rFonts w:hint="eastAsia" w:ascii="Times New Roman" w:hAnsi="Times New Roman" w:eastAsia="仿宋_GB2312"/>
          <w:sz w:val="32"/>
        </w:rPr>
        <w:t>根据中央和天津市关于全面实施预算绩效管理的部署要求，天津市和平区财政局委托我司（天津安信管理咨询有限公司）对社区矫正工作经费项目进行绩效评价工作。</w:t>
      </w:r>
    </w:p>
    <w:p>
      <w:pPr>
        <w:spacing w:line="600" w:lineRule="exact"/>
        <w:ind w:firstLine="640"/>
        <w:jc w:val="both"/>
        <w:rPr>
          <w:rFonts w:ascii="Times New Roman" w:hAnsi="Times New Roman" w:eastAsia="仿宋_GB2312"/>
          <w:sz w:val="32"/>
        </w:rPr>
      </w:pPr>
      <w:r>
        <w:rPr>
          <w:rFonts w:ascii="Times New Roman" w:hAnsi="Times New Roman" w:eastAsia="仿宋_GB2312"/>
          <w:sz w:val="32"/>
        </w:rPr>
        <w:t>2023年7月18日，</w:t>
      </w:r>
      <w:r>
        <w:rPr>
          <w:rFonts w:hint="eastAsia" w:ascii="Times New Roman" w:hAnsi="Times New Roman" w:eastAsia="仿宋_GB2312"/>
          <w:sz w:val="32"/>
        </w:rPr>
        <w:t>绩效评价项目组（以下简称“评价组”）赴天津市和平区司法局参加了项目见面会，听取了该单位对社区矫正工作经费项目的项目背景、申请立项、资金落实、业务管理、财务管理、项目产出、项目效益等方面的情况介绍，并对项目后续评价工作的基本原则及所需的各类资料文件提出了要求。</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2</w:t>
      </w:r>
      <w:r>
        <w:rPr>
          <w:rFonts w:hint="eastAsia" w:ascii="Times New Roman" w:hAnsi="Times New Roman" w:eastAsia="仿宋_GB2312"/>
          <w:sz w:val="32"/>
        </w:rPr>
        <w:t>）制定绩效评价方案</w:t>
      </w:r>
    </w:p>
    <w:p>
      <w:pPr>
        <w:pStyle w:val="24"/>
        <w:ind w:firstLine="640"/>
      </w:pPr>
      <w:r>
        <w:t>根据《天津市财政局关于印发</w:t>
      </w:r>
      <w:r>
        <w:rPr>
          <w:rFonts w:hint="eastAsia"/>
          <w:lang w:eastAsia="zh-CN"/>
        </w:rPr>
        <w:t>〈</w:t>
      </w:r>
      <w:r>
        <w:t>天津市市级财政项目支出绩效评价管理办法</w:t>
      </w:r>
      <w:r>
        <w:rPr>
          <w:rFonts w:hint="eastAsia"/>
          <w:lang w:eastAsia="zh-CN"/>
        </w:rPr>
        <w:t>〉</w:t>
      </w:r>
      <w:r>
        <w:t>的通知》（津财绩效〔2020〕</w:t>
      </w:r>
      <w:r>
        <w:rPr>
          <w:rFonts w:hint="eastAsia"/>
        </w:rPr>
        <w:t>1</w:t>
      </w:r>
      <w:r>
        <w:t>2号）</w:t>
      </w:r>
      <w:r>
        <w:rPr>
          <w:rFonts w:hint="eastAsia"/>
        </w:rPr>
        <w:t>要求，评价项目组制定了《天津市和平区社区矫正工作经费项目</w:t>
      </w:r>
      <w:r>
        <w:t>绩效评价实施工作方案</w:t>
      </w:r>
      <w:r>
        <w:rPr>
          <w:rFonts w:hint="eastAsia"/>
        </w:rPr>
        <w:t>》，根据评价方案组织开展项目评价工作。</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3</w:t>
      </w:r>
      <w:r>
        <w:rPr>
          <w:rFonts w:hint="eastAsia" w:ascii="Times New Roman" w:hAnsi="Times New Roman" w:eastAsia="仿宋_GB2312"/>
          <w:sz w:val="32"/>
        </w:rPr>
        <w:t>）指标体系设计</w:t>
      </w:r>
    </w:p>
    <w:p>
      <w:pPr>
        <w:spacing w:line="600" w:lineRule="exact"/>
        <w:ind w:firstLine="640"/>
        <w:jc w:val="both"/>
        <w:rPr>
          <w:rFonts w:ascii="Times New Roman" w:hAnsi="Times New Roman" w:eastAsia="仿宋_GB2312"/>
          <w:color w:val="000000" w:themeColor="text1"/>
          <w:sz w:val="32"/>
          <w14:textFill>
            <w14:solidFill>
              <w14:schemeClr w14:val="tx1"/>
            </w14:solidFill>
          </w14:textFill>
        </w:rPr>
      </w:pPr>
      <w:r>
        <w:rPr>
          <w:rFonts w:hint="eastAsia" w:ascii="Times New Roman" w:hAnsi="Times New Roman" w:eastAsia="仿宋_GB2312"/>
          <w:sz w:val="32"/>
        </w:rPr>
        <w:t>根据社区矫正工作经费项目绩效目标及实际工作需要，从决策、过程、产出、效益四个维度出发，设立项目立项、绩效目标、预算编制、资金管理、组织实施、产出数量、产出质量、产出时效、产出成本、社会效益、可持续影响、服务对象满意</w:t>
      </w:r>
      <w:r>
        <w:rPr>
          <w:rFonts w:hint="eastAsia" w:ascii="Times New Roman" w:hAnsi="Times New Roman" w:eastAsia="仿宋_GB2312"/>
          <w:color w:val="000000" w:themeColor="text1"/>
          <w:sz w:val="32"/>
          <w14:textFill>
            <w14:solidFill>
              <w14:schemeClr w14:val="tx1"/>
            </w14:solidFill>
          </w14:textFill>
        </w:rPr>
        <w:t>度</w:t>
      </w:r>
      <w:r>
        <w:rPr>
          <w:rFonts w:ascii="Times New Roman" w:hAnsi="Times New Roman" w:eastAsia="仿宋_GB2312"/>
          <w:color w:val="000000" w:themeColor="text1"/>
          <w:sz w:val="32"/>
          <w14:textFill>
            <w14:solidFill>
              <w14:schemeClr w14:val="tx1"/>
            </w14:solidFill>
          </w14:textFill>
        </w:rPr>
        <w:t>12</w:t>
      </w:r>
      <w:r>
        <w:rPr>
          <w:rFonts w:hint="eastAsia" w:ascii="Times New Roman" w:hAnsi="Times New Roman" w:eastAsia="仿宋_GB2312"/>
          <w:color w:val="000000" w:themeColor="text1"/>
          <w:sz w:val="32"/>
          <w14:textFill>
            <w14:solidFill>
              <w14:schemeClr w14:val="tx1"/>
            </w14:solidFill>
          </w14:textFill>
        </w:rPr>
        <w:t>项二级指标和2</w:t>
      </w:r>
      <w:r>
        <w:rPr>
          <w:rFonts w:ascii="Times New Roman" w:hAnsi="Times New Roman" w:eastAsia="仿宋_GB2312"/>
          <w:color w:val="000000" w:themeColor="text1"/>
          <w:sz w:val="32"/>
          <w14:textFill>
            <w14:solidFill>
              <w14:schemeClr w14:val="tx1"/>
            </w14:solidFill>
          </w14:textFill>
        </w:rPr>
        <w:t>6</w:t>
      </w:r>
      <w:r>
        <w:rPr>
          <w:rFonts w:hint="eastAsia" w:ascii="Times New Roman" w:hAnsi="Times New Roman" w:eastAsia="仿宋_GB2312"/>
          <w:color w:val="000000" w:themeColor="text1"/>
          <w:sz w:val="32"/>
          <w14:textFill>
            <w14:solidFill>
              <w14:schemeClr w14:val="tx1"/>
            </w14:solidFill>
          </w14:textFill>
        </w:rPr>
        <w:t>项三级指标，采取指标分值百分制，将2</w:t>
      </w:r>
      <w:r>
        <w:rPr>
          <w:rFonts w:ascii="Times New Roman" w:hAnsi="Times New Roman" w:eastAsia="仿宋_GB2312"/>
          <w:color w:val="000000" w:themeColor="text1"/>
          <w:sz w:val="32"/>
          <w14:textFill>
            <w14:solidFill>
              <w14:schemeClr w14:val="tx1"/>
            </w14:solidFill>
          </w14:textFill>
        </w:rPr>
        <w:t>6</w:t>
      </w:r>
      <w:r>
        <w:rPr>
          <w:rFonts w:hint="eastAsia" w:ascii="Times New Roman" w:hAnsi="Times New Roman" w:eastAsia="仿宋_GB2312"/>
          <w:color w:val="000000" w:themeColor="text1"/>
          <w:sz w:val="32"/>
          <w14:textFill>
            <w14:solidFill>
              <w14:schemeClr w14:val="tx1"/>
            </w14:solidFill>
          </w14:textFill>
        </w:rPr>
        <w:t>项指标量化为</w:t>
      </w:r>
      <w:r>
        <w:rPr>
          <w:rFonts w:ascii="Times New Roman" w:hAnsi="Times New Roman" w:eastAsia="仿宋_GB2312"/>
          <w:color w:val="000000" w:themeColor="text1"/>
          <w:sz w:val="32"/>
          <w14:textFill>
            <w14:solidFill>
              <w14:schemeClr w14:val="tx1"/>
            </w14:solidFill>
          </w14:textFill>
        </w:rPr>
        <w:t>100</w:t>
      </w:r>
      <w:r>
        <w:rPr>
          <w:rFonts w:hint="eastAsia" w:ascii="Times New Roman" w:hAnsi="Times New Roman" w:eastAsia="仿宋_GB2312"/>
          <w:color w:val="000000" w:themeColor="text1"/>
          <w:sz w:val="32"/>
          <w14:textFill>
            <w14:solidFill>
              <w14:schemeClr w14:val="tx1"/>
            </w14:solidFill>
          </w14:textFill>
        </w:rPr>
        <w:t>分，分值权重详见附件。</w:t>
      </w:r>
    </w:p>
    <w:bookmarkEnd w:id="12"/>
    <w:p>
      <w:pPr>
        <w:spacing w:line="600" w:lineRule="exact"/>
        <w:ind w:firstLine="640"/>
        <w:jc w:val="both"/>
        <w:rPr>
          <w:rFonts w:ascii="Times New Roman" w:hAnsi="Times New Roman" w:eastAsia="仿宋_GB2312"/>
          <w:sz w:val="32"/>
        </w:rPr>
      </w:pPr>
      <w:r>
        <w:rPr>
          <w:rFonts w:ascii="Times New Roman" w:hAnsi="Times New Roman" w:eastAsia="仿宋_GB2312"/>
          <w:sz w:val="32"/>
        </w:rPr>
        <w:t>2.</w:t>
      </w:r>
      <w:r>
        <w:rPr>
          <w:rFonts w:hint="eastAsia" w:ascii="Times New Roman" w:hAnsi="Times New Roman" w:eastAsia="仿宋_GB2312"/>
          <w:sz w:val="32"/>
        </w:rPr>
        <w:t>评价实施阶段</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1</w:t>
      </w:r>
      <w:r>
        <w:rPr>
          <w:rFonts w:hint="eastAsia" w:ascii="Times New Roman" w:hAnsi="Times New Roman" w:eastAsia="仿宋_GB2312"/>
          <w:sz w:val="32"/>
        </w:rPr>
        <w:t>）正式进驻。</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评价组于</w:t>
      </w:r>
      <w:r>
        <w:rPr>
          <w:rFonts w:ascii="Times New Roman" w:hAnsi="Times New Roman" w:eastAsia="仿宋_GB2312"/>
          <w:sz w:val="32"/>
        </w:rPr>
        <w:t>2023</w:t>
      </w:r>
      <w:r>
        <w:rPr>
          <w:rFonts w:hint="eastAsia" w:ascii="Times New Roman" w:hAnsi="Times New Roman" w:eastAsia="仿宋_GB2312"/>
          <w:sz w:val="32"/>
        </w:rPr>
        <w:t>年</w:t>
      </w:r>
      <w:r>
        <w:rPr>
          <w:rFonts w:ascii="Times New Roman" w:hAnsi="Times New Roman" w:eastAsia="仿宋_GB2312"/>
          <w:sz w:val="32"/>
        </w:rPr>
        <w:t>7</w:t>
      </w:r>
      <w:r>
        <w:rPr>
          <w:rFonts w:hint="eastAsia" w:ascii="Times New Roman" w:hAnsi="Times New Roman" w:eastAsia="仿宋_GB2312"/>
          <w:sz w:val="32"/>
        </w:rPr>
        <w:t>月</w:t>
      </w:r>
      <w:r>
        <w:rPr>
          <w:rFonts w:ascii="Times New Roman" w:hAnsi="Times New Roman" w:eastAsia="仿宋_GB2312"/>
          <w:sz w:val="32"/>
        </w:rPr>
        <w:t>25</w:t>
      </w:r>
      <w:r>
        <w:rPr>
          <w:rFonts w:hint="eastAsia" w:ascii="Times New Roman" w:hAnsi="Times New Roman" w:eastAsia="仿宋_GB2312"/>
          <w:sz w:val="32"/>
        </w:rPr>
        <w:t>日正式进驻天津市和平区司法局实施评价工作。</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2</w:t>
      </w:r>
      <w:r>
        <w:rPr>
          <w:rFonts w:hint="eastAsia" w:ascii="Times New Roman" w:hAnsi="Times New Roman" w:eastAsia="仿宋_GB2312"/>
          <w:sz w:val="32"/>
        </w:rPr>
        <w:t>）全面审查。</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评价过程中，评价组对社区矫正工作经费项目的文件依据、预算编制、制度执行、资金拨付、资金使用情况、产生效益等方面进行了全面梳理。评价组根据《中华人民共和国社区矫正法》《最高人民法院</w:t>
      </w:r>
      <w:r>
        <w:rPr>
          <w:rFonts w:ascii="Times New Roman" w:hAnsi="Times New Roman" w:eastAsia="仿宋_GB2312"/>
          <w:sz w:val="32"/>
        </w:rPr>
        <w:t xml:space="preserve"> 最高人民检察院 公安部 司法部关于全面推进社区矫正工作的意见》《财政部司法部关于进一步加强社区矫正经费保障工作的意见》（财行〔2012〕402号）《天津市司法局 天津市财政局关于印发社区矫正经费保障工作实施办法得通知》（津司发〔2015〕140号）</w:t>
      </w:r>
      <w:r>
        <w:rPr>
          <w:rFonts w:hint="eastAsia" w:ascii="Times New Roman" w:hAnsi="Times New Roman" w:eastAsia="仿宋_GB2312"/>
          <w:sz w:val="32"/>
        </w:rPr>
        <w:t>等文件，对专项经费的到位情况、预算编制、实施进度等相关业务文件及财务数据进行了核查。</w:t>
      </w:r>
    </w:p>
    <w:p>
      <w:pPr>
        <w:pStyle w:val="24"/>
        <w:ind w:firstLine="640"/>
      </w:pPr>
      <w:r>
        <w:rPr>
          <w:rFonts w:hint="eastAsia"/>
        </w:rPr>
        <w:t>（3）实地核查。</w:t>
      </w:r>
    </w:p>
    <w:p>
      <w:pPr>
        <w:pStyle w:val="24"/>
        <w:ind w:firstLine="640"/>
      </w:pPr>
      <w:r>
        <w:rPr>
          <w:rFonts w:hint="eastAsia"/>
        </w:rPr>
        <w:t>对天津市和平区司法局开展现场评价，针对项目社区矫正工作经费的使用情况进行一一核查，根据上述核查内容形成评价清单。同时评价组成员针对项目涉及的服务对象，对社区矫正对象进行问卷调查。</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4</w:t>
      </w:r>
      <w:r>
        <w:rPr>
          <w:rFonts w:hint="eastAsia" w:ascii="Times New Roman" w:hAnsi="Times New Roman" w:eastAsia="仿宋_GB2312"/>
          <w:sz w:val="32"/>
        </w:rPr>
        <w:t>）评价打分。</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按照绩效评价指标体系对各绩效评价指标进行了评分。</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w:t>
      </w:r>
      <w:r>
        <w:rPr>
          <w:rFonts w:ascii="Times New Roman" w:hAnsi="Times New Roman" w:eastAsia="仿宋_GB2312"/>
          <w:sz w:val="32"/>
        </w:rPr>
        <w:t>5</w:t>
      </w:r>
      <w:r>
        <w:rPr>
          <w:rFonts w:hint="eastAsia" w:ascii="Times New Roman" w:hAnsi="Times New Roman" w:eastAsia="仿宋_GB2312"/>
          <w:sz w:val="32"/>
        </w:rPr>
        <w:t>）编制报告。</w:t>
      </w:r>
    </w:p>
    <w:p>
      <w:pPr>
        <w:spacing w:line="600" w:lineRule="exact"/>
        <w:ind w:firstLine="640"/>
        <w:jc w:val="both"/>
        <w:rPr>
          <w:rFonts w:ascii="Times New Roman" w:hAnsi="Times New Roman" w:eastAsia="仿宋_GB2312"/>
          <w:sz w:val="32"/>
        </w:rPr>
      </w:pPr>
      <w:r>
        <w:rPr>
          <w:rFonts w:hint="eastAsia" w:ascii="Times New Roman" w:hAnsi="Times New Roman" w:eastAsia="仿宋_GB2312"/>
          <w:sz w:val="32"/>
        </w:rPr>
        <w:t>评价组根据现场评价打分，编制绩效评价报告，全面梳理本项目在决策依据、过程管理、产出情况、取得效益等方面存在的问题及工作建议。</w:t>
      </w:r>
    </w:p>
    <w:p>
      <w:pPr>
        <w:pStyle w:val="26"/>
      </w:pPr>
      <w:bookmarkStart w:id="13" w:name="_Toc474323161"/>
      <w:r>
        <w:rPr>
          <w:rFonts w:hint="eastAsia"/>
        </w:rPr>
        <w:t>三、综合评价情况及评价结论</w:t>
      </w:r>
      <w:bookmarkEnd w:id="13"/>
    </w:p>
    <w:p>
      <w:pPr>
        <w:pStyle w:val="24"/>
        <w:ind w:firstLine="640"/>
      </w:pPr>
      <w:bookmarkStart w:id="14" w:name="_Hlk91875381"/>
      <w:r>
        <w:rPr>
          <w:rFonts w:hint="eastAsia"/>
        </w:rPr>
        <w:t>经过综合评价，社区矫正工作经费项目得分</w:t>
      </w:r>
      <w:r>
        <w:t>94.9</w:t>
      </w:r>
      <w:r>
        <w:rPr>
          <w:rFonts w:hint="eastAsia"/>
        </w:rPr>
        <w:t>分，评价等级为“优”。其中，项目决策</w:t>
      </w:r>
      <w:r>
        <w:t>16</w:t>
      </w:r>
      <w:r>
        <w:rPr>
          <w:rFonts w:hint="eastAsia"/>
        </w:rPr>
        <w:t>分，项目过程</w:t>
      </w:r>
      <w:r>
        <w:t>21.6</w:t>
      </w:r>
      <w:r>
        <w:rPr>
          <w:rFonts w:hint="eastAsia"/>
        </w:rPr>
        <w:t>分，项目产出</w:t>
      </w:r>
      <w:r>
        <w:t>35.3</w:t>
      </w:r>
      <w:r>
        <w:rPr>
          <w:rFonts w:hint="eastAsia"/>
        </w:rPr>
        <w:t>分，项目效益</w:t>
      </w:r>
      <w:r>
        <w:t>22</w:t>
      </w:r>
      <w:r>
        <w:rPr>
          <w:rFonts w:hint="eastAsia"/>
        </w:rPr>
        <w:t>分。</w:t>
      </w:r>
      <w:bookmarkEnd w:id="14"/>
    </w:p>
    <w:p>
      <w:pPr>
        <w:pStyle w:val="24"/>
        <w:ind w:firstLine="640"/>
      </w:pPr>
      <w:bookmarkStart w:id="15" w:name="_Hlk91875395"/>
      <w:r>
        <w:rPr>
          <w:rFonts w:hint="eastAsia"/>
        </w:rPr>
        <w:t>具体情况见表2：</w:t>
      </w:r>
    </w:p>
    <w:p>
      <w:pPr>
        <w:pStyle w:val="31"/>
      </w:pPr>
      <w:r>
        <w:t xml:space="preserve">表2  </w:t>
      </w:r>
      <w:r>
        <w:rPr>
          <w:rFonts w:hint="eastAsia"/>
        </w:rPr>
        <w:t>社区矫正工作经费项目绩效得分情况表</w:t>
      </w:r>
    </w:p>
    <w:tbl>
      <w:tblPr>
        <w:tblStyle w:val="17"/>
        <w:tblW w:w="7871"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04"/>
        <w:gridCol w:w="1304"/>
        <w:gridCol w:w="1305"/>
        <w:gridCol w:w="1332"/>
        <w:gridCol w:w="1305"/>
        <w:gridCol w:w="132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04" w:type="dxa"/>
            <w:vAlign w:val="center"/>
          </w:tcPr>
          <w:p>
            <w:pPr>
              <w:pStyle w:val="34"/>
            </w:pPr>
            <w:r>
              <w:rPr>
                <w:rFonts w:hint="eastAsia"/>
              </w:rPr>
              <w:t>指标</w:t>
            </w:r>
          </w:p>
        </w:tc>
        <w:tc>
          <w:tcPr>
            <w:tcW w:w="1304" w:type="dxa"/>
            <w:vAlign w:val="center"/>
          </w:tcPr>
          <w:p>
            <w:pPr>
              <w:pStyle w:val="34"/>
            </w:pPr>
            <w:r>
              <w:rPr>
                <w:rFonts w:hint="eastAsia"/>
              </w:rPr>
              <w:t>项目决策</w:t>
            </w:r>
          </w:p>
        </w:tc>
        <w:tc>
          <w:tcPr>
            <w:tcW w:w="1305" w:type="dxa"/>
            <w:vAlign w:val="center"/>
          </w:tcPr>
          <w:p>
            <w:pPr>
              <w:pStyle w:val="34"/>
            </w:pPr>
            <w:r>
              <w:rPr>
                <w:rFonts w:hint="eastAsia"/>
              </w:rPr>
              <w:t>项目过程</w:t>
            </w:r>
          </w:p>
        </w:tc>
        <w:tc>
          <w:tcPr>
            <w:tcW w:w="1332" w:type="dxa"/>
            <w:vAlign w:val="center"/>
          </w:tcPr>
          <w:p>
            <w:pPr>
              <w:pStyle w:val="34"/>
            </w:pPr>
            <w:r>
              <w:rPr>
                <w:rFonts w:hint="eastAsia"/>
              </w:rPr>
              <w:t>项目产出</w:t>
            </w:r>
          </w:p>
        </w:tc>
        <w:tc>
          <w:tcPr>
            <w:tcW w:w="1305" w:type="dxa"/>
            <w:vAlign w:val="center"/>
          </w:tcPr>
          <w:p>
            <w:pPr>
              <w:pStyle w:val="34"/>
            </w:pPr>
            <w:r>
              <w:rPr>
                <w:rFonts w:hint="eastAsia"/>
              </w:rPr>
              <w:t>项目效益</w:t>
            </w:r>
          </w:p>
        </w:tc>
        <w:tc>
          <w:tcPr>
            <w:tcW w:w="1321" w:type="dxa"/>
            <w:vAlign w:val="center"/>
          </w:tcPr>
          <w:p>
            <w:pPr>
              <w:pStyle w:val="34"/>
            </w:pPr>
            <w:r>
              <w:rPr>
                <w:rFonts w:hint="eastAsia"/>
              </w:rPr>
              <w:t>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04" w:type="dxa"/>
            <w:vAlign w:val="center"/>
          </w:tcPr>
          <w:p>
            <w:pPr>
              <w:pStyle w:val="36"/>
            </w:pPr>
            <w:r>
              <w:rPr>
                <w:rFonts w:hint="eastAsia"/>
              </w:rPr>
              <w:t>分值</w:t>
            </w:r>
          </w:p>
        </w:tc>
        <w:tc>
          <w:tcPr>
            <w:tcW w:w="1304" w:type="dxa"/>
            <w:vAlign w:val="center"/>
          </w:tcPr>
          <w:p>
            <w:pPr>
              <w:pStyle w:val="36"/>
            </w:pPr>
            <w:r>
              <w:t>17</w:t>
            </w:r>
          </w:p>
        </w:tc>
        <w:tc>
          <w:tcPr>
            <w:tcW w:w="1305" w:type="dxa"/>
            <w:vAlign w:val="center"/>
          </w:tcPr>
          <w:p>
            <w:pPr>
              <w:pStyle w:val="36"/>
            </w:pPr>
            <w:r>
              <w:t>23</w:t>
            </w:r>
          </w:p>
        </w:tc>
        <w:tc>
          <w:tcPr>
            <w:tcW w:w="1332" w:type="dxa"/>
            <w:vAlign w:val="center"/>
          </w:tcPr>
          <w:p>
            <w:pPr>
              <w:pStyle w:val="36"/>
            </w:pPr>
            <w:r>
              <w:t>38</w:t>
            </w:r>
          </w:p>
        </w:tc>
        <w:tc>
          <w:tcPr>
            <w:tcW w:w="1305" w:type="dxa"/>
            <w:vAlign w:val="center"/>
          </w:tcPr>
          <w:p>
            <w:pPr>
              <w:pStyle w:val="36"/>
            </w:pPr>
            <w:r>
              <w:t>22</w:t>
            </w:r>
          </w:p>
        </w:tc>
        <w:tc>
          <w:tcPr>
            <w:tcW w:w="1321" w:type="dxa"/>
            <w:vAlign w:val="center"/>
          </w:tcPr>
          <w:p>
            <w:pPr>
              <w:pStyle w:val="36"/>
            </w:pPr>
            <w:r>
              <w:t>100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04" w:type="dxa"/>
            <w:vAlign w:val="center"/>
          </w:tcPr>
          <w:p>
            <w:pPr>
              <w:pStyle w:val="36"/>
            </w:pPr>
            <w:r>
              <w:rPr>
                <w:rFonts w:hint="eastAsia"/>
              </w:rPr>
              <w:t>得分</w:t>
            </w:r>
          </w:p>
        </w:tc>
        <w:tc>
          <w:tcPr>
            <w:tcW w:w="1304" w:type="dxa"/>
            <w:vAlign w:val="center"/>
          </w:tcPr>
          <w:p>
            <w:pPr>
              <w:pStyle w:val="36"/>
            </w:pPr>
            <w:r>
              <w:rPr>
                <w:rFonts w:hint="eastAsia"/>
              </w:rPr>
              <w:t>1</w:t>
            </w:r>
            <w:r>
              <w:t>6</w:t>
            </w:r>
          </w:p>
        </w:tc>
        <w:tc>
          <w:tcPr>
            <w:tcW w:w="1305" w:type="dxa"/>
            <w:vAlign w:val="center"/>
          </w:tcPr>
          <w:p>
            <w:pPr>
              <w:pStyle w:val="36"/>
            </w:pPr>
            <w:r>
              <w:rPr>
                <w:rFonts w:hint="eastAsia"/>
              </w:rPr>
              <w:t>2</w:t>
            </w:r>
            <w:r>
              <w:t>1.6</w:t>
            </w:r>
          </w:p>
        </w:tc>
        <w:tc>
          <w:tcPr>
            <w:tcW w:w="1332" w:type="dxa"/>
            <w:vAlign w:val="center"/>
          </w:tcPr>
          <w:p>
            <w:pPr>
              <w:pStyle w:val="36"/>
            </w:pPr>
            <w:r>
              <w:rPr>
                <w:rFonts w:hint="eastAsia"/>
              </w:rPr>
              <w:t>3</w:t>
            </w:r>
            <w:r>
              <w:t>5.3</w:t>
            </w:r>
          </w:p>
        </w:tc>
        <w:tc>
          <w:tcPr>
            <w:tcW w:w="1305" w:type="dxa"/>
            <w:vAlign w:val="center"/>
          </w:tcPr>
          <w:p>
            <w:pPr>
              <w:pStyle w:val="36"/>
            </w:pPr>
            <w:r>
              <w:rPr>
                <w:rFonts w:hint="eastAsia"/>
              </w:rPr>
              <w:t>2</w:t>
            </w:r>
            <w:r>
              <w:t>2</w:t>
            </w:r>
          </w:p>
        </w:tc>
        <w:tc>
          <w:tcPr>
            <w:tcW w:w="1321" w:type="dxa"/>
            <w:vAlign w:val="center"/>
          </w:tcPr>
          <w:p>
            <w:pPr>
              <w:pStyle w:val="36"/>
            </w:pPr>
            <w:r>
              <w:rPr>
                <w:rFonts w:hint="eastAsia"/>
              </w:rPr>
              <w:t>9</w:t>
            </w:r>
            <w:r>
              <w:t>4.9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304" w:type="dxa"/>
            <w:vAlign w:val="center"/>
          </w:tcPr>
          <w:p>
            <w:pPr>
              <w:pStyle w:val="36"/>
            </w:pPr>
            <w:r>
              <w:rPr>
                <w:rFonts w:hint="eastAsia"/>
              </w:rPr>
              <w:t>得分率</w:t>
            </w:r>
          </w:p>
        </w:tc>
        <w:tc>
          <w:tcPr>
            <w:tcW w:w="1304" w:type="dxa"/>
            <w:vAlign w:val="center"/>
          </w:tcPr>
          <w:p>
            <w:pPr>
              <w:pStyle w:val="36"/>
            </w:pPr>
            <w:r>
              <w:t>94.11%</w:t>
            </w:r>
          </w:p>
        </w:tc>
        <w:tc>
          <w:tcPr>
            <w:tcW w:w="1305" w:type="dxa"/>
            <w:vAlign w:val="center"/>
          </w:tcPr>
          <w:p>
            <w:pPr>
              <w:pStyle w:val="36"/>
            </w:pPr>
            <w:r>
              <w:rPr>
                <w:rFonts w:hint="eastAsia"/>
              </w:rPr>
              <w:t>9</w:t>
            </w:r>
            <w:r>
              <w:t>3.91%</w:t>
            </w:r>
          </w:p>
        </w:tc>
        <w:tc>
          <w:tcPr>
            <w:tcW w:w="1332" w:type="dxa"/>
            <w:vAlign w:val="center"/>
          </w:tcPr>
          <w:p>
            <w:pPr>
              <w:pStyle w:val="36"/>
            </w:pPr>
            <w:r>
              <w:rPr>
                <w:rFonts w:hint="eastAsia"/>
              </w:rPr>
              <w:t>9</w:t>
            </w:r>
            <w:r>
              <w:t>2.89%</w:t>
            </w:r>
          </w:p>
        </w:tc>
        <w:tc>
          <w:tcPr>
            <w:tcW w:w="1305" w:type="dxa"/>
            <w:vAlign w:val="center"/>
          </w:tcPr>
          <w:p>
            <w:pPr>
              <w:pStyle w:val="36"/>
            </w:pPr>
            <w:r>
              <w:rPr>
                <w:rFonts w:hint="eastAsia"/>
              </w:rPr>
              <w:t>1</w:t>
            </w:r>
            <w:r>
              <w:t>00%</w:t>
            </w:r>
          </w:p>
        </w:tc>
        <w:tc>
          <w:tcPr>
            <w:tcW w:w="1321" w:type="dxa"/>
            <w:vAlign w:val="center"/>
          </w:tcPr>
          <w:p>
            <w:pPr>
              <w:pStyle w:val="36"/>
            </w:pPr>
            <w:r>
              <w:rPr>
                <w:rFonts w:hint="eastAsia"/>
              </w:rPr>
              <w:t>9</w:t>
            </w:r>
            <w:r>
              <w:t>4.9%</w:t>
            </w:r>
          </w:p>
        </w:tc>
      </w:tr>
      <w:bookmarkEnd w:id="15"/>
    </w:tbl>
    <w:p>
      <w:pPr>
        <w:pStyle w:val="24"/>
        <w:ind w:firstLine="640"/>
      </w:pPr>
      <w:bookmarkStart w:id="16" w:name="_Hlk91875411"/>
      <w:r>
        <w:rPr>
          <w:rFonts w:hint="eastAsia"/>
        </w:rPr>
        <w:t>评价结论：</w:t>
      </w:r>
      <w:r>
        <w:rPr>
          <w:rFonts w:hint="eastAsia" w:cs="仿宋_GB2312"/>
        </w:rPr>
        <w:t>一是项目决策方面，社区矫正工作经费项目立项依据充分，预算编制测算数据合理，测算标准客观，符合项目需求，但存在指标内容覆盖不全面的问题。二是项目过程方面，预算资金按照计划执行，资金使用符合规定，管理制度健全，制度执行有效，但存在财政资金未足额到位，资金缺口较大的问题。三是项目产出方面，产出质量、产出时效和产出成本已达到预期目标，但产出数量存在未达预期的情况。四是项目效益方面，矫正对象脱管漏管率为</w:t>
      </w:r>
      <w:r>
        <w:rPr>
          <w:rFonts w:cs="仿宋_GB2312"/>
        </w:rPr>
        <w:t>0%</w:t>
      </w:r>
      <w:r>
        <w:rPr>
          <w:rFonts w:hint="eastAsia" w:cs="仿宋_GB2312"/>
        </w:rPr>
        <w:t>，</w:t>
      </w:r>
      <w:r>
        <w:t>社区矫正对象再犯罪率为0%</w:t>
      </w:r>
      <w:r>
        <w:rPr>
          <w:rFonts w:hint="eastAsia"/>
        </w:rPr>
        <w:t>，有效</w:t>
      </w:r>
      <w:r>
        <w:t>提升了维护社会和谐稳定的能力</w:t>
      </w:r>
      <w:r>
        <w:rPr>
          <w:rFonts w:hint="eastAsia"/>
        </w:rPr>
        <w:t>。</w:t>
      </w:r>
    </w:p>
    <w:bookmarkEnd w:id="16"/>
    <w:p>
      <w:pPr>
        <w:pStyle w:val="26"/>
      </w:pPr>
      <w:bookmarkStart w:id="17" w:name="_Toc490069263"/>
      <w:r>
        <w:rPr>
          <w:rFonts w:hint="eastAsia"/>
        </w:rPr>
        <w:t>四、绩效评价指标分析</w:t>
      </w:r>
      <w:bookmarkEnd w:id="17"/>
    </w:p>
    <w:p>
      <w:pPr>
        <w:pStyle w:val="28"/>
        <w:ind w:firstLine="640"/>
        <w:rPr>
          <w:rFonts w:ascii="Times New Roman" w:hAnsi="Times New Roman"/>
        </w:rPr>
      </w:pPr>
      <w:bookmarkStart w:id="18" w:name="_Toc994316996"/>
      <w:r>
        <w:rPr>
          <w:rFonts w:hint="eastAsia" w:ascii="Times New Roman" w:hAnsi="Times New Roman"/>
        </w:rPr>
        <w:t>（一）项目决策情况</w:t>
      </w:r>
      <w:bookmarkEnd w:id="18"/>
    </w:p>
    <w:p>
      <w:pPr>
        <w:pStyle w:val="24"/>
        <w:ind w:firstLine="640"/>
      </w:pPr>
      <w:r>
        <w:rPr>
          <w:rFonts w:hint="eastAsia"/>
        </w:rPr>
        <w:t>决策指标主要包括项目立项、绩效目标、预算编制</w:t>
      </w:r>
      <w:r>
        <w:t>3</w:t>
      </w:r>
      <w:r>
        <w:rPr>
          <w:rFonts w:hint="eastAsia"/>
        </w:rPr>
        <w:t>项二级指标，</w:t>
      </w:r>
      <w:r>
        <w:t>8</w:t>
      </w:r>
      <w:r>
        <w:rPr>
          <w:rFonts w:hint="eastAsia"/>
        </w:rPr>
        <w:t>项三级指标，基础总分</w:t>
      </w:r>
      <w:r>
        <w:t>17</w:t>
      </w:r>
      <w:r>
        <w:rPr>
          <w:rFonts w:hint="eastAsia"/>
        </w:rPr>
        <w:t>分，合计得分</w:t>
      </w:r>
      <w:r>
        <w:t>16</w:t>
      </w:r>
      <w:r>
        <w:rPr>
          <w:rFonts w:hint="eastAsia"/>
        </w:rPr>
        <w:t>分。</w:t>
      </w:r>
    </w:p>
    <w:p>
      <w:pPr>
        <w:pStyle w:val="24"/>
        <w:ind w:firstLine="640"/>
      </w:pPr>
      <w:r>
        <w:rPr>
          <w:rFonts w:hint="eastAsia"/>
        </w:rPr>
        <w:t>1.项目立项</w:t>
      </w:r>
    </w:p>
    <w:p>
      <w:pPr>
        <w:pStyle w:val="24"/>
        <w:ind w:firstLine="640"/>
      </w:pPr>
      <w:r>
        <w:rPr>
          <w:rFonts w:hint="eastAsia"/>
        </w:rPr>
        <w:t>（1）立项依据充分性（总分2分，得分</w:t>
      </w:r>
      <w:r>
        <w:t>2</w:t>
      </w:r>
      <w:r>
        <w:rPr>
          <w:rFonts w:hint="eastAsia"/>
        </w:rPr>
        <w:t>分）。社区矫正工作经费项目立项依据</w:t>
      </w:r>
      <w:r>
        <w:rPr>
          <w:rFonts w:hint="eastAsia"/>
          <w:color w:val="000000" w:themeColor="text1"/>
          <w14:textFill>
            <w14:solidFill>
              <w14:schemeClr w14:val="tx1"/>
            </w14:solidFill>
          </w14:textFill>
        </w:rPr>
        <w:t>《中华人民共和国社区矫正法》《最高人民法院 最高人民检察院 公安部 司法部关于全面推进社区矫正工作的意见》</w:t>
      </w:r>
      <w:r>
        <w:rPr>
          <w:rFonts w:hint="eastAsia"/>
          <w:lang w:bidi="zh-CN"/>
        </w:rPr>
        <w:t>《财政部司法部关于进一步加强社区矫正经费保障工作的意见》（财行〔</w:t>
      </w:r>
      <w:r>
        <w:rPr>
          <w:lang w:bidi="zh-CN"/>
        </w:rPr>
        <w:t>2012〕</w:t>
      </w:r>
      <w:r>
        <w:rPr>
          <w:rFonts w:hint="eastAsia"/>
          <w:lang w:bidi="zh-CN"/>
        </w:rPr>
        <w:t>4</w:t>
      </w:r>
      <w:r>
        <w:rPr>
          <w:lang w:bidi="zh-CN"/>
        </w:rPr>
        <w:t>02</w:t>
      </w:r>
      <w:r>
        <w:rPr>
          <w:rFonts w:hint="eastAsia"/>
          <w:lang w:bidi="zh-CN"/>
        </w:rPr>
        <w:t>号）《天津市司法局 天津市财政局关于印发社区矫正经费保障工作实施办法得通知》（津司发</w:t>
      </w:r>
      <w:r>
        <w:rPr>
          <w:bCs/>
          <w:szCs w:val="28"/>
        </w:rPr>
        <w:t>〔2015〕</w:t>
      </w:r>
      <w:r>
        <w:rPr>
          <w:rFonts w:hint="eastAsia"/>
          <w:bCs/>
          <w:szCs w:val="28"/>
        </w:rPr>
        <w:t>1</w:t>
      </w:r>
      <w:r>
        <w:rPr>
          <w:bCs/>
          <w:szCs w:val="28"/>
        </w:rPr>
        <w:t>40</w:t>
      </w:r>
      <w:r>
        <w:rPr>
          <w:rFonts w:hint="eastAsia"/>
          <w:bCs/>
          <w:szCs w:val="28"/>
        </w:rPr>
        <w:t>号</w:t>
      </w:r>
      <w:r>
        <w:rPr>
          <w:rFonts w:hint="eastAsia"/>
          <w:lang w:bidi="zh-CN"/>
        </w:rPr>
        <w:t>）等</w:t>
      </w:r>
      <w:r>
        <w:rPr>
          <w:rFonts w:hint="eastAsia"/>
        </w:rPr>
        <w:t>文件，与文件中</w:t>
      </w:r>
      <w:r>
        <w:rPr>
          <w:rFonts w:hint="eastAsia"/>
          <w:bCs/>
        </w:rPr>
        <w:t>“全面落实社区矫正工作基本任务，严格执行刑罚，加强监督管理、教育矫正和社会适应性帮扶，防止社区服刑人员脱管、漏管和重新违法犯罪”的要求匹配，同时符合天津市和平区司法局“贯彻执行社区矫正工作政策、规定，协调解决社区矫正工作中的问题。负责监督检查社区矫正法律、法规和政策的执行工作，指导、监督社区矫正对象的刑罚执行、管理、教育和帮扶工作，指导社会力量和志愿者参与社区矫正工作”的工作职责。</w:t>
      </w:r>
      <w:r>
        <w:rPr>
          <w:rFonts w:hint="eastAsia"/>
        </w:rPr>
        <w:t>社区矫正工作经费项目</w:t>
      </w:r>
      <w:r>
        <w:rPr>
          <w:rFonts w:hint="eastAsia"/>
          <w:bCs/>
        </w:rPr>
        <w:t>立项符合国家法律法规、国民经济发展规划和相关政策；符合行业发展规划和政策要求；与部门职责</w:t>
      </w:r>
      <w:r>
        <w:rPr>
          <w:rFonts w:hint="eastAsia"/>
        </w:rPr>
        <w:t>范围相符，属于部门履职所需；属于公共财政支持范围；未与其他部门同类项目或部门内部相关项目重复，项目立项依据充分。</w:t>
      </w:r>
    </w:p>
    <w:p>
      <w:pPr>
        <w:pStyle w:val="24"/>
        <w:ind w:firstLine="640"/>
      </w:pPr>
      <w:r>
        <w:rPr>
          <w:rFonts w:hint="eastAsia"/>
        </w:rPr>
        <w:t>（2）立项程序规范性（总分2分，得分</w:t>
      </w:r>
      <w:r>
        <w:t>2</w:t>
      </w:r>
      <w:r>
        <w:rPr>
          <w:rFonts w:hint="eastAsia"/>
        </w:rPr>
        <w:t>分）。社区矫正工作经费项目立项及实施事前经过单位“局党委会”集体研究，会议中对项目实施方案、与心理干预服务承接单位签订合同、项目资金的拨付事项进行审议，项目按照规定程序进行申请设立，预算资金申请等各项审批材料齐全，立项程序规范。</w:t>
      </w:r>
    </w:p>
    <w:p>
      <w:pPr>
        <w:pStyle w:val="24"/>
        <w:ind w:firstLine="640"/>
      </w:pPr>
      <w:r>
        <w:rPr>
          <w:rFonts w:hint="eastAsia"/>
        </w:rPr>
        <w:t>2.绩效目标</w:t>
      </w:r>
    </w:p>
    <w:p>
      <w:pPr>
        <w:pStyle w:val="24"/>
        <w:ind w:firstLine="640"/>
        <w:rPr>
          <w:bCs/>
        </w:rPr>
      </w:pPr>
      <w:r>
        <w:rPr>
          <w:rFonts w:hint="eastAsia"/>
        </w:rPr>
        <w:t>（1）绩效目标明确性（总分2分，得分</w:t>
      </w:r>
      <w:r>
        <w:t>1</w:t>
      </w:r>
      <w:r>
        <w:rPr>
          <w:rFonts w:hint="eastAsia"/>
        </w:rPr>
        <w:t>分）。</w:t>
      </w:r>
      <w:r>
        <w:rPr>
          <w:rFonts w:hint="eastAsia"/>
          <w:bCs/>
        </w:rPr>
        <w:t>根据</w:t>
      </w:r>
      <w:r>
        <w:rPr>
          <w:rFonts w:hint="eastAsia"/>
        </w:rPr>
        <w:t>《天津市财政局关于印发</w:t>
      </w:r>
      <w:r>
        <w:rPr>
          <w:rFonts w:hint="eastAsia"/>
          <w:lang w:eastAsia="zh-CN"/>
        </w:rPr>
        <w:t>〈</w:t>
      </w:r>
      <w:r>
        <w:rPr>
          <w:rFonts w:hint="eastAsia"/>
        </w:rPr>
        <w:t>天津市市级部门预算绩效目标管理办法</w:t>
      </w:r>
      <w:r>
        <w:rPr>
          <w:rFonts w:hint="eastAsia"/>
          <w:lang w:eastAsia="zh-CN"/>
        </w:rPr>
        <w:t>〉</w:t>
      </w:r>
      <w:r>
        <w:rPr>
          <w:rFonts w:hint="eastAsia"/>
        </w:rPr>
        <w:t>的通知》（津财绩效〔2020〕16号）文件要求</w:t>
      </w:r>
      <w:r>
        <w:rPr>
          <w:rFonts w:hint="eastAsia"/>
          <w:bCs/>
        </w:rPr>
        <w:t>，“绩效目标、绩效指标与项目实施内容具有相关性，绩效指标应充分细化和量化，具备可衡量性”；根据天津市和平区司法局提供的项目绩效目标申报表，项目</w:t>
      </w:r>
      <w:r>
        <w:rPr>
          <w:bCs/>
        </w:rPr>
        <w:t>绩效目标申报</w:t>
      </w:r>
      <w:r>
        <w:rPr>
          <w:rFonts w:hint="eastAsia"/>
          <w:bCs/>
        </w:rPr>
        <w:t>表</w:t>
      </w:r>
      <w:r>
        <w:rPr>
          <w:bCs/>
        </w:rPr>
        <w:t>中编</w:t>
      </w:r>
      <w:r>
        <w:rPr>
          <w:rFonts w:hint="eastAsia"/>
          <w:bCs/>
        </w:rPr>
        <w:t>制的产出指标、效益指标能体现项目预期实施内容达到的标准、水平和效果，指标值清晰可衡量，项目绩效指标内容与项目规划的工作任务内容一致。但服务对象满意度指标为“社区矫正工作人员满意度≥</w:t>
      </w:r>
      <w:r>
        <w:rPr>
          <w:bCs/>
        </w:rPr>
        <w:t>90%</w:t>
      </w:r>
      <w:r>
        <w:rPr>
          <w:rFonts w:hint="eastAsia"/>
          <w:bCs/>
        </w:rPr>
        <w:t>”，项目实施主要受益对象为社区服刑人员及其看护人，该指标内容与项目实施内容不匹配。</w:t>
      </w:r>
    </w:p>
    <w:p>
      <w:pPr>
        <w:pStyle w:val="24"/>
        <w:ind w:firstLine="640"/>
        <w:rPr>
          <w:bCs/>
        </w:rPr>
      </w:pPr>
      <w:r>
        <w:rPr>
          <w:rFonts w:hint="eastAsia"/>
          <w:bCs/>
        </w:rPr>
        <w:t>（2）绩效目标合理性（总分</w:t>
      </w:r>
      <w:r>
        <w:rPr>
          <w:bCs/>
        </w:rPr>
        <w:t>4</w:t>
      </w:r>
      <w:r>
        <w:rPr>
          <w:rFonts w:hint="eastAsia"/>
          <w:bCs/>
        </w:rPr>
        <w:t>分，得分</w:t>
      </w:r>
      <w:r>
        <w:rPr>
          <w:bCs/>
        </w:rPr>
        <w:t>4</w:t>
      </w:r>
      <w:r>
        <w:rPr>
          <w:rFonts w:hint="eastAsia"/>
          <w:bCs/>
        </w:rPr>
        <w:t>分）。根据《天津市财政局关于印发</w:t>
      </w:r>
      <w:r>
        <w:rPr>
          <w:rFonts w:hint="eastAsia"/>
          <w:bCs/>
          <w:lang w:eastAsia="zh-CN"/>
        </w:rPr>
        <w:t>〈</w:t>
      </w:r>
      <w:r>
        <w:rPr>
          <w:bCs/>
        </w:rPr>
        <w:t>天津市市级部门预算绩效目标管理办法</w:t>
      </w:r>
      <w:r>
        <w:rPr>
          <w:rFonts w:hint="eastAsia"/>
          <w:bCs/>
          <w:lang w:eastAsia="zh-CN"/>
        </w:rPr>
        <w:t>〉</w:t>
      </w:r>
      <w:r>
        <w:rPr>
          <w:bCs/>
        </w:rPr>
        <w:t>的通知》（津财绩效〔2020〕16号）文件要求“绩效目标要能清晰反映预算资金的预期产出和效果”</w:t>
      </w:r>
      <w:r>
        <w:rPr>
          <w:rFonts w:hint="eastAsia"/>
          <w:bCs/>
        </w:rPr>
        <w:t>；根据天津市和平区司法局提供的项目绩效目标申报表</w:t>
      </w:r>
      <w:r>
        <w:rPr>
          <w:bCs/>
        </w:rPr>
        <w:t>，</w:t>
      </w:r>
      <w:r>
        <w:rPr>
          <w:rFonts w:hint="eastAsia"/>
          <w:bCs/>
        </w:rPr>
        <w:t>社区矫正工作经费项目绩效目标为</w:t>
      </w:r>
      <w:r>
        <w:rPr>
          <w:bCs/>
        </w:rPr>
        <w:t>“</w:t>
      </w:r>
      <w:r>
        <w:rPr>
          <w:rFonts w:hint="eastAsia"/>
          <w:bCs/>
        </w:rPr>
        <w:t>通过开展社区矫正办公正常运转、解矫人员</w:t>
      </w:r>
      <w:r>
        <w:rPr>
          <w:rFonts w:hint="eastAsia"/>
          <w:bCs/>
          <w:lang w:eastAsia="zh-CN"/>
        </w:rPr>
        <w:t>心理</w:t>
      </w:r>
      <w:r>
        <w:rPr>
          <w:rFonts w:hint="eastAsia"/>
          <w:bCs/>
        </w:rPr>
        <w:t>测评及系统运维工作，提高社区矫正工作效率和保障社区矫正对象持续安全稳定</w:t>
      </w:r>
      <w:r>
        <w:rPr>
          <w:bCs/>
        </w:rPr>
        <w:t>”，</w:t>
      </w:r>
      <w:r>
        <w:rPr>
          <w:rFonts w:hint="eastAsia"/>
          <w:bCs/>
        </w:rPr>
        <w:t>项目绩效目标与项目实际工作内容相匹配，</w:t>
      </w:r>
      <w:r>
        <w:rPr>
          <w:rFonts w:hint="eastAsia"/>
        </w:rPr>
        <w:t>针对</w:t>
      </w:r>
      <w:r>
        <w:rPr>
          <w:rFonts w:hint="eastAsia"/>
          <w:bCs/>
        </w:rPr>
        <w:t>项目绩效目标已细化分解为具体的绩效指标，项目</w:t>
      </w:r>
      <w:r>
        <w:rPr>
          <w:bCs/>
        </w:rPr>
        <w:t>绩效目标设立的金额为105.25万元，与</w:t>
      </w:r>
      <w:r>
        <w:rPr>
          <w:rFonts w:hint="eastAsia"/>
          <w:bCs/>
        </w:rPr>
        <w:t>年初</w:t>
      </w:r>
      <w:r>
        <w:rPr>
          <w:bCs/>
        </w:rPr>
        <w:t>预算确定的资金量相匹配</w:t>
      </w:r>
      <w:r>
        <w:rPr>
          <w:rFonts w:hint="eastAsia"/>
          <w:bCs/>
        </w:rPr>
        <w:t>，项目预期产出效益符合正常的业绩水平。</w:t>
      </w:r>
    </w:p>
    <w:p>
      <w:pPr>
        <w:pStyle w:val="24"/>
        <w:ind w:firstLine="640"/>
        <w:rPr>
          <w:bCs/>
        </w:rPr>
      </w:pPr>
      <w:r>
        <w:rPr>
          <w:rFonts w:hint="eastAsia"/>
          <w:bCs/>
        </w:rPr>
        <w:t>3.预算编制</w:t>
      </w:r>
    </w:p>
    <w:p>
      <w:pPr>
        <w:pStyle w:val="24"/>
        <w:ind w:firstLine="640"/>
        <w:rPr>
          <w:bCs/>
        </w:rPr>
      </w:pPr>
      <w:r>
        <w:rPr>
          <w:rFonts w:hint="eastAsia"/>
          <w:bCs/>
        </w:rPr>
        <w:t>（1）测算内容合规性（总分2分，得分</w:t>
      </w:r>
      <w:r>
        <w:rPr>
          <w:bCs/>
        </w:rPr>
        <w:t>2</w:t>
      </w:r>
      <w:r>
        <w:rPr>
          <w:rFonts w:hint="eastAsia"/>
          <w:bCs/>
        </w:rPr>
        <w:t>分）。社区矫正工作经费项目测算内容为</w:t>
      </w:r>
      <w:r>
        <w:rPr>
          <w:bCs/>
        </w:rPr>
        <w:t>2项，</w:t>
      </w:r>
      <w:r>
        <w:rPr>
          <w:rFonts w:hint="eastAsia"/>
          <w:bCs/>
        </w:rPr>
        <w:t>包括矫正支队电费、专网宽带费、电子签章、邮寄费等日常办公费用以及监管系统运维费用</w:t>
      </w:r>
      <w:r>
        <w:rPr>
          <w:bCs/>
        </w:rPr>
        <w:t>，其内容符合《</w:t>
      </w:r>
      <w:r>
        <w:rPr>
          <w:rFonts w:hint="eastAsia"/>
          <w:bCs/>
        </w:rPr>
        <w:t>中华人民共和国社区矫正法</w:t>
      </w:r>
      <w:r>
        <w:rPr>
          <w:bCs/>
        </w:rPr>
        <w:t>》《</w:t>
      </w:r>
      <w:r>
        <w:rPr>
          <w:rFonts w:hint="eastAsia"/>
          <w:bCs/>
        </w:rPr>
        <w:t>社区矫正法实施办法</w:t>
      </w:r>
      <w:r>
        <w:rPr>
          <w:bCs/>
        </w:rPr>
        <w:t>》文件的规定范围，未发现项目的测算内容出现测算重复，测</w:t>
      </w:r>
      <w:r>
        <w:rPr>
          <w:rFonts w:hint="eastAsia"/>
          <w:bCs/>
        </w:rPr>
        <w:t>算内容合规。</w:t>
      </w:r>
    </w:p>
    <w:p>
      <w:pPr>
        <w:pStyle w:val="24"/>
        <w:ind w:firstLine="640"/>
        <w:rPr>
          <w:bCs/>
        </w:rPr>
      </w:pPr>
      <w:r>
        <w:rPr>
          <w:rFonts w:hint="eastAsia"/>
          <w:bCs/>
        </w:rPr>
        <w:t>（2）测算标准合理性（总分1分，得分</w:t>
      </w:r>
      <w:r>
        <w:rPr>
          <w:bCs/>
        </w:rPr>
        <w:t>1</w:t>
      </w:r>
      <w:r>
        <w:rPr>
          <w:rFonts w:hint="eastAsia"/>
          <w:bCs/>
        </w:rPr>
        <w:t>分）。项目预算测算经过事前询价，测算标准根据以前年度合同约定金额测算，测算标准合理可行，测算内容符合行业、领域管理标准；项目全年预算资金</w:t>
      </w:r>
      <w:r>
        <w:rPr>
          <w:bCs/>
        </w:rPr>
        <w:t>35.31万元，实际</w:t>
      </w:r>
      <w:r>
        <w:rPr>
          <w:rFonts w:hint="eastAsia"/>
          <w:bCs/>
        </w:rPr>
        <w:t>支出</w:t>
      </w:r>
      <w:r>
        <w:rPr>
          <w:bCs/>
        </w:rPr>
        <w:t>金额35.31万元，项目</w:t>
      </w:r>
      <w:r>
        <w:rPr>
          <w:rFonts w:hint="eastAsia"/>
          <w:bCs/>
        </w:rPr>
        <w:t>支出金额符合实际支出水平</w:t>
      </w:r>
      <w:r>
        <w:rPr>
          <w:bCs/>
        </w:rPr>
        <w:t>，测算标准合理。</w:t>
      </w:r>
    </w:p>
    <w:p>
      <w:pPr>
        <w:pStyle w:val="24"/>
        <w:ind w:firstLine="640"/>
      </w:pPr>
      <w:r>
        <w:rPr>
          <w:rFonts w:hint="eastAsia"/>
          <w:bCs/>
        </w:rPr>
        <w:t>（3）测算数据客观性（总分2分，得分</w:t>
      </w:r>
      <w:r>
        <w:rPr>
          <w:bCs/>
        </w:rPr>
        <w:t>2</w:t>
      </w:r>
      <w:r>
        <w:rPr>
          <w:rFonts w:hint="eastAsia"/>
          <w:bCs/>
        </w:rPr>
        <w:t>分）。项目测算内容为电费、专网宽带费、电子签章、邮寄费等日常办公费用以及监管系统运维费用</w:t>
      </w:r>
      <w:r>
        <w:rPr>
          <w:rFonts w:hint="eastAsia"/>
        </w:rPr>
        <w:t>，日常办公费用根据上一年度实际支出水平测算，监管系统运维费用按照合同约定金额测算，与历史数据具有可比性，测算内容符合客观实际需求，预算测算数据有合规佐证依据，测算数据客观。</w:t>
      </w:r>
    </w:p>
    <w:p>
      <w:pPr>
        <w:pStyle w:val="24"/>
        <w:ind w:firstLine="640"/>
        <w:rPr>
          <w:bCs/>
        </w:rPr>
      </w:pPr>
      <w:r>
        <w:rPr>
          <w:rFonts w:hint="eastAsia"/>
          <w:bCs/>
        </w:rPr>
        <w:t>（4）测算过程细化度（总分2分，得分</w:t>
      </w:r>
      <w:r>
        <w:rPr>
          <w:bCs/>
        </w:rPr>
        <w:t>2</w:t>
      </w:r>
      <w:r>
        <w:rPr>
          <w:rFonts w:hint="eastAsia"/>
          <w:bCs/>
        </w:rPr>
        <w:t>分）。项目测算内容分为电费、邮寄费、电子签章费、宽带费、监管系统运行维护费，预算测算内容中包含服务、日常办公运行等多项支出内容，测算细化程度良好。项目预算根据事权划分原则资金全部为区级资金。</w:t>
      </w:r>
    </w:p>
    <w:p>
      <w:pPr>
        <w:pStyle w:val="28"/>
        <w:ind w:firstLine="640"/>
        <w:rPr>
          <w:rFonts w:ascii="Times New Roman" w:hAnsi="Times New Roman"/>
        </w:rPr>
      </w:pPr>
      <w:bookmarkStart w:id="19" w:name="_Toc1915494465"/>
      <w:r>
        <w:rPr>
          <w:rFonts w:hint="eastAsia" w:ascii="Times New Roman" w:hAnsi="Times New Roman"/>
        </w:rPr>
        <w:t>（二）项目过程情况</w:t>
      </w:r>
      <w:bookmarkEnd w:id="19"/>
    </w:p>
    <w:p>
      <w:pPr>
        <w:pStyle w:val="24"/>
        <w:ind w:firstLine="640"/>
      </w:pPr>
      <w:r>
        <w:rPr>
          <w:rFonts w:hint="eastAsia"/>
        </w:rPr>
        <w:t>过程指标主要包括资金管理、</w:t>
      </w:r>
      <w:r>
        <w:rPr>
          <w:rFonts w:hint="eastAsia"/>
          <w:bCs/>
        </w:rPr>
        <w:t>组织实施2项二级指标，</w:t>
      </w:r>
      <w:r>
        <w:rPr>
          <w:bCs/>
        </w:rPr>
        <w:t>6</w:t>
      </w:r>
      <w:r>
        <w:rPr>
          <w:rFonts w:hint="eastAsia"/>
          <w:bCs/>
        </w:rPr>
        <w:t>项三级指标，基础总分2</w:t>
      </w:r>
      <w:r>
        <w:rPr>
          <w:bCs/>
        </w:rPr>
        <w:t>3</w:t>
      </w:r>
      <w:r>
        <w:rPr>
          <w:rFonts w:hint="eastAsia"/>
          <w:bCs/>
        </w:rPr>
        <w:t>分，合计得分</w:t>
      </w:r>
      <w:r>
        <w:rPr>
          <w:bCs/>
        </w:rPr>
        <w:t>21.6</w:t>
      </w:r>
      <w:r>
        <w:rPr>
          <w:rFonts w:hint="eastAsia"/>
          <w:bCs/>
        </w:rPr>
        <w:t>分。</w:t>
      </w:r>
    </w:p>
    <w:p>
      <w:pPr>
        <w:pStyle w:val="24"/>
        <w:ind w:firstLine="640"/>
      </w:pPr>
      <w:r>
        <w:rPr>
          <w:rFonts w:hint="eastAsia"/>
        </w:rPr>
        <w:t>1.资金管理</w:t>
      </w:r>
    </w:p>
    <w:p>
      <w:pPr>
        <w:pStyle w:val="24"/>
        <w:ind w:firstLine="640"/>
        <w:rPr>
          <w:bCs/>
        </w:rPr>
      </w:pPr>
      <w:r>
        <w:rPr>
          <w:rFonts w:hint="eastAsia"/>
        </w:rPr>
        <w:t>（1）资金到位率（总分2分，得分</w:t>
      </w:r>
      <w:r>
        <w:t>0.6</w:t>
      </w:r>
      <w:r>
        <w:rPr>
          <w:rFonts w:hint="eastAsia"/>
        </w:rPr>
        <w:t>分）。社区矫正工作经费</w:t>
      </w:r>
      <w:r>
        <w:rPr>
          <w:rFonts w:hint="eastAsia"/>
          <w:bCs/>
        </w:rPr>
        <w:t>项目共计申请区级预算资金</w:t>
      </w:r>
      <w:r>
        <w:t>105.25</w:t>
      </w:r>
      <w:r>
        <w:rPr>
          <w:rFonts w:hint="eastAsia"/>
          <w:bCs/>
        </w:rPr>
        <w:t>万元，截至2</w:t>
      </w:r>
      <w:r>
        <w:rPr>
          <w:bCs/>
        </w:rPr>
        <w:t>022</w:t>
      </w:r>
      <w:r>
        <w:rPr>
          <w:rFonts w:hint="eastAsia"/>
          <w:bCs/>
        </w:rPr>
        <w:t>年</w:t>
      </w:r>
      <w:r>
        <w:rPr>
          <w:bCs/>
        </w:rPr>
        <w:t>12</w:t>
      </w:r>
      <w:r>
        <w:rPr>
          <w:rFonts w:hint="eastAsia"/>
          <w:bCs/>
        </w:rPr>
        <w:t>月3</w:t>
      </w:r>
      <w:r>
        <w:rPr>
          <w:bCs/>
        </w:rPr>
        <w:t>1</w:t>
      </w:r>
      <w:r>
        <w:rPr>
          <w:rFonts w:hint="eastAsia"/>
          <w:bCs/>
        </w:rPr>
        <w:t>日，已下达区级</w:t>
      </w:r>
      <w:r>
        <w:rPr>
          <w:bCs/>
        </w:rPr>
        <w:t>预算资金35.31</w:t>
      </w:r>
      <w:r>
        <w:rPr>
          <w:rFonts w:hint="eastAsia"/>
        </w:rPr>
        <w:t>万元，</w:t>
      </w:r>
      <w:r>
        <w:rPr>
          <w:rFonts w:hint="eastAsia"/>
          <w:bCs/>
        </w:rPr>
        <w:t>资金到位率为</w:t>
      </w:r>
      <w:r>
        <w:rPr>
          <w:bCs/>
        </w:rPr>
        <w:t>33.54</w:t>
      </w:r>
      <w:r>
        <w:rPr>
          <w:rFonts w:hint="eastAsia"/>
          <w:bCs/>
        </w:rPr>
        <w:t>%。</w:t>
      </w:r>
    </w:p>
    <w:p>
      <w:pPr>
        <w:pStyle w:val="24"/>
        <w:ind w:firstLine="640"/>
        <w:rPr>
          <w:bCs/>
        </w:rPr>
      </w:pPr>
      <w:r>
        <w:rPr>
          <w:rFonts w:hint="eastAsia"/>
        </w:rPr>
        <w:t>（2）资金沉淀率（总分1分，得分</w:t>
      </w:r>
      <w:r>
        <w:t>1</w:t>
      </w:r>
      <w:r>
        <w:rPr>
          <w:rFonts w:hint="eastAsia"/>
        </w:rPr>
        <w:t>分）。社区矫正工作经费项目本年</w:t>
      </w:r>
      <w:r>
        <w:rPr>
          <w:rFonts w:hint="eastAsia"/>
          <w:bCs/>
        </w:rPr>
        <w:t>实际到位预算资金</w:t>
      </w:r>
      <w:r>
        <w:rPr>
          <w:bCs/>
        </w:rPr>
        <w:t>35.31</w:t>
      </w:r>
      <w:r>
        <w:rPr>
          <w:rFonts w:hint="eastAsia"/>
          <w:bCs/>
        </w:rPr>
        <w:t>万元</w:t>
      </w:r>
      <w:r>
        <w:t>，</w:t>
      </w:r>
      <w:r>
        <w:rPr>
          <w:rFonts w:hint="eastAsia"/>
        </w:rPr>
        <w:t>年末结转结余预算资金0万元，资金沉淀率为</w:t>
      </w:r>
      <w:r>
        <w:t>0%</w:t>
      </w:r>
      <w:r>
        <w:rPr>
          <w:rFonts w:hint="eastAsia"/>
          <w:bCs/>
        </w:rPr>
        <w:t>。</w:t>
      </w:r>
    </w:p>
    <w:p>
      <w:pPr>
        <w:pStyle w:val="24"/>
        <w:ind w:firstLine="640"/>
      </w:pPr>
      <w:r>
        <w:rPr>
          <w:rFonts w:hint="eastAsia"/>
        </w:rPr>
        <w:t>（3）预算执行率（总分2分，得分</w:t>
      </w:r>
      <w:r>
        <w:t>2</w:t>
      </w:r>
      <w:r>
        <w:rPr>
          <w:rFonts w:hint="eastAsia"/>
        </w:rPr>
        <w:t>分）。社区矫正工作经费项目实际到位区级资金</w:t>
      </w:r>
      <w:r>
        <w:t>35.31</w:t>
      </w:r>
      <w:r>
        <w:rPr>
          <w:rFonts w:hint="eastAsia"/>
        </w:rPr>
        <w:t>万元，根据单位额度到账通知书、财务明细台账显示</w:t>
      </w:r>
      <w:r>
        <w:rPr>
          <w:rFonts w:hint="eastAsia"/>
          <w:bCs/>
        </w:rPr>
        <w:t>，2</w:t>
      </w:r>
      <w:r>
        <w:rPr>
          <w:bCs/>
        </w:rPr>
        <w:t>02</w:t>
      </w:r>
      <w:r>
        <w:rPr>
          <w:rFonts w:hint="eastAsia"/>
          <w:bCs/>
        </w:rPr>
        <w:t>2年实际支出区级预算资金</w:t>
      </w:r>
      <w:r>
        <w:t>35.31</w:t>
      </w:r>
      <w:r>
        <w:rPr>
          <w:rFonts w:hint="eastAsia"/>
          <w:bCs/>
        </w:rPr>
        <w:t>万元，</w:t>
      </w:r>
      <w:r>
        <w:rPr>
          <w:rFonts w:hint="eastAsia"/>
        </w:rPr>
        <w:t>预算执行率为</w:t>
      </w:r>
      <w:r>
        <w:t>100%</w:t>
      </w:r>
      <w:r>
        <w:rPr>
          <w:rFonts w:hint="eastAsia"/>
        </w:rPr>
        <w:t>。</w:t>
      </w:r>
    </w:p>
    <w:p>
      <w:pPr>
        <w:pStyle w:val="24"/>
        <w:ind w:firstLine="640"/>
        <w:rPr>
          <w:bCs/>
        </w:rPr>
      </w:pPr>
      <w:r>
        <w:rPr>
          <w:rFonts w:hint="eastAsia"/>
          <w:bCs/>
        </w:rPr>
        <w:t>（4）资金使用合规性（总分</w:t>
      </w:r>
      <w:r>
        <w:rPr>
          <w:bCs/>
        </w:rPr>
        <w:t>11</w:t>
      </w:r>
      <w:r>
        <w:rPr>
          <w:rFonts w:hint="eastAsia"/>
          <w:bCs/>
        </w:rPr>
        <w:t>分，得分</w:t>
      </w:r>
      <w:r>
        <w:rPr>
          <w:bCs/>
        </w:rPr>
        <w:t>11</w:t>
      </w:r>
      <w:r>
        <w:rPr>
          <w:rFonts w:hint="eastAsia"/>
          <w:bCs/>
        </w:rPr>
        <w:t>分）。天津市和平区司法局提供的凭证及请款单据完整，财务记账符合国家财经法规和财务管理制度规定；项目资金拨付有完整的审批程序和手续，各明细项目支出有完整的请款申请及资金审批单据；支出符合预算批复和合同规定用途；项目资金不存在截留、挤占、挪用、虚列支出等情况；各项明细有严格的招标采购和比价采购程序，未有审计、巡视、财政检查等报告中提出有涉及本项目的违纪行为，资金使用合规。</w:t>
      </w:r>
    </w:p>
    <w:p>
      <w:pPr>
        <w:pStyle w:val="24"/>
        <w:ind w:firstLine="640"/>
        <w:rPr>
          <w:bCs/>
        </w:rPr>
      </w:pPr>
      <w:r>
        <w:rPr>
          <w:rFonts w:hint="eastAsia"/>
          <w:bCs/>
        </w:rPr>
        <w:t>2.组织实施</w:t>
      </w:r>
    </w:p>
    <w:p>
      <w:pPr>
        <w:pStyle w:val="24"/>
        <w:ind w:firstLine="640"/>
      </w:pPr>
      <w:r>
        <w:rPr>
          <w:rFonts w:hint="eastAsia"/>
          <w:bCs/>
        </w:rPr>
        <w:t>（1）管理制度健全性（总分2分，得分</w:t>
      </w:r>
      <w:r>
        <w:rPr>
          <w:bCs/>
        </w:rPr>
        <w:t>2</w:t>
      </w:r>
      <w:r>
        <w:rPr>
          <w:rFonts w:hint="eastAsia"/>
          <w:bCs/>
        </w:rPr>
        <w:t>分）。天津市和平区司法局作为项目主管单位及实施单位</w:t>
      </w:r>
      <w:r>
        <w:rPr>
          <w:rFonts w:hint="eastAsia"/>
        </w:rPr>
        <w:t>，具有相应的财务和业务管理制度，主要依据《天津市和平区司法局预算管理制度》《天津市和平区司法局收入管理制度》《天津市和平区司法局支出管理制度》《天津市和平区司法局资金管理制度》《天津市和平区司法局报销管理制度》《天津市和平区司法局资产管理制度》，并结合《中华人民共和国社区矫正法》制定了《矫正实施方案》对项目进行管理，财务和业务管理制度合法、合规，制度中也明确项目申报、项目实施、项目验收等环节的管理要求，项目管理制度健全。</w:t>
      </w:r>
    </w:p>
    <w:p>
      <w:pPr>
        <w:pStyle w:val="24"/>
        <w:ind w:firstLine="640"/>
        <w:rPr>
          <w:bCs/>
        </w:rPr>
      </w:pPr>
      <w:r>
        <w:rPr>
          <w:rFonts w:hint="eastAsia"/>
          <w:bCs/>
        </w:rPr>
        <w:t>（2）制度执行有效性（总分5分，得分</w:t>
      </w:r>
      <w:r>
        <w:rPr>
          <w:bCs/>
        </w:rPr>
        <w:t>5</w:t>
      </w:r>
      <w:r>
        <w:rPr>
          <w:rFonts w:hint="eastAsia"/>
          <w:bCs/>
        </w:rPr>
        <w:t>分）。根据社区矫正工作经费</w:t>
      </w:r>
      <w:r>
        <w:rPr>
          <w:rFonts w:hint="eastAsia"/>
        </w:rPr>
        <w:t>项目</w:t>
      </w:r>
      <w:r>
        <w:rPr>
          <w:rFonts w:hint="eastAsia"/>
          <w:bCs/>
        </w:rPr>
        <w:t>政府采购及项目实施环节相关资料，项目执行遵守相关法律法规和业务管理制度规定，项目采购计划、采购需求、采购预算、采购合同、项目实施过程中各项请款、付款文件、验收报告、运维记录等资料齐全并及时归档；为保障项目顺利实施，根据项目技术要求，第三方服务公司</w:t>
      </w:r>
      <w:r>
        <w:rPr>
          <w:rFonts w:hint="eastAsia"/>
          <w:bCs/>
          <w:lang w:eastAsia="zh-CN"/>
        </w:rPr>
        <w:t>组织心理</w:t>
      </w:r>
      <w:r>
        <w:rPr>
          <w:rFonts w:hint="eastAsia"/>
          <w:bCs/>
        </w:rPr>
        <w:t>咨询师每周一至周五进行岗位值班，依据第三方服务公司岗位配置信息、结项报告，项目实施的人员条件落实到位，制度执行有效。</w:t>
      </w:r>
    </w:p>
    <w:p>
      <w:pPr>
        <w:pStyle w:val="28"/>
        <w:ind w:firstLine="640"/>
        <w:rPr>
          <w:rFonts w:ascii="Times New Roman" w:hAnsi="Times New Roman"/>
        </w:rPr>
      </w:pPr>
      <w:bookmarkStart w:id="20" w:name="_Toc788121078"/>
      <w:r>
        <w:rPr>
          <w:rFonts w:hint="eastAsia" w:ascii="Times New Roman" w:hAnsi="Times New Roman"/>
        </w:rPr>
        <w:t>（三）项目产出情况</w:t>
      </w:r>
      <w:bookmarkEnd w:id="20"/>
    </w:p>
    <w:p>
      <w:pPr>
        <w:pStyle w:val="24"/>
        <w:ind w:firstLine="640"/>
      </w:pPr>
      <w:r>
        <w:rPr>
          <w:rFonts w:hint="eastAsia"/>
        </w:rPr>
        <w:t>产出指标主要包括产出数量、产出质量、产出时效和产出成本</w:t>
      </w:r>
      <w:r>
        <w:t>4</w:t>
      </w:r>
      <w:r>
        <w:rPr>
          <w:rFonts w:hint="eastAsia"/>
        </w:rPr>
        <w:t>项二级指标，</w:t>
      </w:r>
      <w:r>
        <w:t>7</w:t>
      </w:r>
      <w:r>
        <w:rPr>
          <w:rFonts w:hint="eastAsia"/>
        </w:rPr>
        <w:t>项三级指标，基础总分</w:t>
      </w:r>
      <w:r>
        <w:t>38</w:t>
      </w:r>
      <w:r>
        <w:rPr>
          <w:rFonts w:hint="eastAsia"/>
        </w:rPr>
        <w:t>分，合计得分</w:t>
      </w:r>
      <w:r>
        <w:t>35.3</w:t>
      </w:r>
      <w:r>
        <w:rPr>
          <w:rFonts w:hint="eastAsia"/>
        </w:rPr>
        <w:t>分。</w:t>
      </w:r>
    </w:p>
    <w:p>
      <w:pPr>
        <w:pStyle w:val="24"/>
        <w:ind w:firstLine="640"/>
      </w:pPr>
      <w:r>
        <w:t>1</w:t>
      </w:r>
      <w:r>
        <w:rPr>
          <w:rFonts w:hint="eastAsia"/>
        </w:rPr>
        <w:t>.产出数量</w:t>
      </w:r>
    </w:p>
    <w:p>
      <w:pPr>
        <w:pStyle w:val="24"/>
        <w:ind w:firstLine="640"/>
      </w:pPr>
      <w:r>
        <w:rPr>
          <w:rFonts w:hint="eastAsia"/>
        </w:rPr>
        <w:t>（1）</w:t>
      </w:r>
      <w:r>
        <w:rPr>
          <w:rFonts w:hint="eastAsia"/>
          <w:lang w:eastAsia="zh-CN"/>
        </w:rPr>
        <w:t>心理</w:t>
      </w:r>
      <w:r>
        <w:rPr>
          <w:rFonts w:hint="eastAsia"/>
        </w:rPr>
        <w:t>帮扶工作完成率（总分</w:t>
      </w:r>
      <w:r>
        <w:t>8</w:t>
      </w:r>
      <w:r>
        <w:rPr>
          <w:rFonts w:hint="eastAsia"/>
        </w:rPr>
        <w:t>分，得分</w:t>
      </w:r>
      <w:r>
        <w:t>5.3</w:t>
      </w:r>
      <w:r>
        <w:rPr>
          <w:rFonts w:hint="eastAsia"/>
        </w:rPr>
        <w:t>分）。根据</w:t>
      </w:r>
      <w:r>
        <w:rPr>
          <w:rFonts w:hint="eastAsia"/>
          <w:lang w:eastAsia="zh-CN"/>
        </w:rPr>
        <w:t>心理干预</w:t>
      </w:r>
      <w:r>
        <w:rPr>
          <w:rFonts w:hint="eastAsia"/>
        </w:rPr>
        <w:t>服务协议，2</w:t>
      </w:r>
      <w:r>
        <w:t>022</w:t>
      </w:r>
      <w:r>
        <w:rPr>
          <w:rFonts w:hint="eastAsia"/>
        </w:rPr>
        <w:t>年应开展三项工作，包括4</w:t>
      </w:r>
      <w:r>
        <w:t>00</w:t>
      </w:r>
      <w:r>
        <w:rPr>
          <w:rFonts w:hint="eastAsia"/>
        </w:rPr>
        <w:t>人次心理测评，1</w:t>
      </w:r>
      <w:r>
        <w:t>00</w:t>
      </w:r>
      <w:r>
        <w:rPr>
          <w:rFonts w:hint="eastAsia"/>
        </w:rPr>
        <w:t>人次一对一心理咨询服务，1</w:t>
      </w:r>
      <w:r>
        <w:t>1</w:t>
      </w:r>
      <w:r>
        <w:rPr>
          <w:rFonts w:hint="eastAsia"/>
        </w:rPr>
        <w:t>场</w:t>
      </w:r>
      <w:r>
        <w:rPr>
          <w:rFonts w:hint="eastAsia"/>
          <w:lang w:eastAsia="zh-CN"/>
        </w:rPr>
        <w:t>心理健康</w:t>
      </w:r>
      <w:r>
        <w:rPr>
          <w:rFonts w:hint="eastAsia"/>
        </w:rPr>
        <w:t>团体辅导活动。依据项目结项报告，2</w:t>
      </w:r>
      <w:r>
        <w:t>022</w:t>
      </w:r>
      <w:r>
        <w:rPr>
          <w:rFonts w:hint="eastAsia"/>
        </w:rPr>
        <w:t>年全年实际完成4</w:t>
      </w:r>
      <w:r>
        <w:t>19</w:t>
      </w:r>
      <w:r>
        <w:rPr>
          <w:rFonts w:hint="eastAsia"/>
        </w:rPr>
        <w:t>人次心理测评，1</w:t>
      </w:r>
      <w:r>
        <w:t>78</w:t>
      </w:r>
      <w:r>
        <w:rPr>
          <w:rFonts w:hint="eastAsia"/>
        </w:rPr>
        <w:t>人次一对一心理咨询服务，3场</w:t>
      </w:r>
      <w:r>
        <w:rPr>
          <w:rFonts w:hint="eastAsia"/>
          <w:lang w:eastAsia="zh-CN"/>
        </w:rPr>
        <w:t>心理健康</w:t>
      </w:r>
      <w:r>
        <w:rPr>
          <w:rFonts w:hint="eastAsia"/>
        </w:rPr>
        <w:t>团体辅导活动。</w:t>
      </w:r>
      <w:r>
        <w:rPr>
          <w:rFonts w:hint="eastAsia"/>
          <w:lang w:eastAsia="zh-CN"/>
        </w:rPr>
        <w:t>心理健康</w:t>
      </w:r>
      <w:r>
        <w:rPr>
          <w:rFonts w:hint="eastAsia"/>
        </w:rPr>
        <w:t>团体辅导活动开展次数未达预期，三项</w:t>
      </w:r>
      <w:r>
        <w:rPr>
          <w:rFonts w:hint="eastAsia"/>
          <w:lang w:eastAsia="zh-CN"/>
        </w:rPr>
        <w:t>心理</w:t>
      </w:r>
      <w:r>
        <w:rPr>
          <w:rFonts w:hint="eastAsia"/>
        </w:rPr>
        <w:t>帮扶工作完成率为6</w:t>
      </w:r>
      <w:r>
        <w:t>6.6%</w:t>
      </w:r>
      <w:r>
        <w:rPr>
          <w:rFonts w:hint="eastAsia"/>
        </w:rPr>
        <w:t>。</w:t>
      </w:r>
    </w:p>
    <w:p>
      <w:pPr>
        <w:pStyle w:val="24"/>
        <w:ind w:firstLine="640"/>
      </w:pPr>
      <w:r>
        <w:rPr>
          <w:rFonts w:hint="eastAsia"/>
        </w:rPr>
        <w:t>（2）监管系统运维工作完成率（总分</w:t>
      </w:r>
      <w:r>
        <w:t>7</w:t>
      </w:r>
      <w:r>
        <w:rPr>
          <w:rFonts w:hint="eastAsia"/>
        </w:rPr>
        <w:t>分，得分</w:t>
      </w:r>
      <w:r>
        <w:t>7</w:t>
      </w:r>
      <w:r>
        <w:rPr>
          <w:rFonts w:hint="eastAsia"/>
        </w:rPr>
        <w:t>分）。根据运维服务合同，2</w:t>
      </w:r>
      <w:r>
        <w:t>022</w:t>
      </w:r>
      <w:r>
        <w:rPr>
          <w:rFonts w:hint="eastAsia"/>
        </w:rPr>
        <w:t>年运维系统包括监控系统、远程指挥平台、远程执法平台、远程教育平台，运维内容涵盖后台操作软件升级更新、</w:t>
      </w:r>
      <w:r>
        <w:rPr>
          <w:rFonts w:hint="eastAsia"/>
          <w:lang w:eastAsia="zh-CN"/>
        </w:rPr>
        <w:t>前端</w:t>
      </w:r>
      <w:r>
        <w:rPr>
          <w:rFonts w:hint="eastAsia"/>
        </w:rPr>
        <w:t>产品升级更新等软硬件维护。依据2</w:t>
      </w:r>
      <w:r>
        <w:t>022</w:t>
      </w:r>
      <w:r>
        <w:rPr>
          <w:rFonts w:hint="eastAsia"/>
        </w:rPr>
        <w:t>年运维记录表，上述运维工作均已完成，监管系统运维工作完成率为1</w:t>
      </w:r>
      <w:r>
        <w:t>00%</w:t>
      </w:r>
      <w:r>
        <w:rPr>
          <w:rFonts w:hint="eastAsia"/>
        </w:rPr>
        <w:t>。</w:t>
      </w:r>
    </w:p>
    <w:p>
      <w:pPr>
        <w:pStyle w:val="24"/>
        <w:ind w:firstLine="640"/>
      </w:pPr>
      <w:r>
        <w:rPr>
          <w:rFonts w:hint="eastAsia"/>
        </w:rPr>
        <w:t>2.产出质量</w:t>
      </w:r>
    </w:p>
    <w:p>
      <w:pPr>
        <w:pStyle w:val="24"/>
        <w:ind w:firstLine="640"/>
      </w:pPr>
      <w:r>
        <w:rPr>
          <w:rFonts w:hint="eastAsia"/>
        </w:rPr>
        <w:t>（1）</w:t>
      </w:r>
      <w:r>
        <w:rPr>
          <w:rFonts w:hint="eastAsia"/>
          <w:lang w:eastAsia="zh-CN"/>
        </w:rPr>
        <w:t>心理干预</w:t>
      </w:r>
      <w:r>
        <w:rPr>
          <w:rFonts w:hint="eastAsia"/>
        </w:rPr>
        <w:t>服务质量达标率（总分</w:t>
      </w:r>
      <w:r>
        <w:t>5</w:t>
      </w:r>
      <w:r>
        <w:rPr>
          <w:rFonts w:hint="eastAsia"/>
        </w:rPr>
        <w:t>分，得分</w:t>
      </w:r>
      <w:r>
        <w:t>5</w:t>
      </w:r>
      <w:r>
        <w:rPr>
          <w:rFonts w:hint="eastAsia"/>
        </w:rPr>
        <w:t>分）。根据社区矫正对象干预项目结项报告，2</w:t>
      </w:r>
      <w:r>
        <w:t>022</w:t>
      </w:r>
      <w:r>
        <w:rPr>
          <w:rFonts w:hint="eastAsia"/>
        </w:rPr>
        <w:t>年心理测评包括SCL-</w:t>
      </w:r>
      <w:r>
        <w:t>90</w:t>
      </w:r>
      <w:r>
        <w:rPr>
          <w:rFonts w:hint="eastAsia"/>
        </w:rPr>
        <w:t>测评、抑郁情绪（SDS）测评、焦虑情绪（SAS）测评、心理健康测评4项测评工作，完成了4</w:t>
      </w:r>
      <w:r>
        <w:t>19</w:t>
      </w:r>
      <w:r>
        <w:rPr>
          <w:rFonts w:hint="eastAsia"/>
        </w:rPr>
        <w:t>人次心理测评，测评结果显示正常人数为3</w:t>
      </w:r>
      <w:r>
        <w:t>82</w:t>
      </w:r>
      <w:r>
        <w:rPr>
          <w:rFonts w:hint="eastAsia"/>
        </w:rPr>
        <w:t>人次，占比9</w:t>
      </w:r>
      <w:r>
        <w:t>1.17%</w:t>
      </w:r>
      <w:r>
        <w:rPr>
          <w:rFonts w:hint="eastAsia"/>
        </w:rPr>
        <w:t>，</w:t>
      </w:r>
      <w:r>
        <w:rPr>
          <w:rFonts w:hint="eastAsia"/>
          <w:lang w:eastAsia="zh-CN"/>
        </w:rPr>
        <w:t>心理干预</w:t>
      </w:r>
      <w:r>
        <w:rPr>
          <w:rFonts w:hint="eastAsia"/>
        </w:rPr>
        <w:t>服务质量达标率为1</w:t>
      </w:r>
      <w:r>
        <w:t>00%</w:t>
      </w:r>
      <w:r>
        <w:rPr>
          <w:rFonts w:hint="eastAsia"/>
        </w:rPr>
        <w:t>。</w:t>
      </w:r>
    </w:p>
    <w:p>
      <w:pPr>
        <w:pStyle w:val="24"/>
        <w:ind w:firstLine="640"/>
      </w:pPr>
      <w:r>
        <w:rPr>
          <w:rFonts w:hint="eastAsia"/>
        </w:rPr>
        <w:t>（2）系统运行稳定率（总分</w:t>
      </w:r>
      <w:r>
        <w:t>4</w:t>
      </w:r>
      <w:r>
        <w:rPr>
          <w:rFonts w:hint="eastAsia"/>
        </w:rPr>
        <w:t>分，得分</w:t>
      </w:r>
      <w:r>
        <w:t>4</w:t>
      </w:r>
      <w:r>
        <w:rPr>
          <w:rFonts w:hint="eastAsia"/>
        </w:rPr>
        <w:t>分）。2</w:t>
      </w:r>
      <w:r>
        <w:t>022</w:t>
      </w:r>
      <w:r>
        <w:rPr>
          <w:rFonts w:hint="eastAsia"/>
        </w:rPr>
        <w:t>年运维系统包括监控系统、远程指挥平台、远程执法平台、远程教育平台，依据2</w:t>
      </w:r>
      <w:r>
        <w:t>022</w:t>
      </w:r>
      <w:r>
        <w:rPr>
          <w:rFonts w:hint="eastAsia"/>
        </w:rPr>
        <w:t>年运维记录表，系统运维服务供应商每月对系统运行、服务器检查、安全补丁更新、备份检查、网络设备和链接、用户权限管理、日志和事件记录、性能监控等内容进行2到3次检查，保障系统运行安全稳定。根据调研组与系统使用人员了解系统使用情况，2</w:t>
      </w:r>
      <w:r>
        <w:t>022</w:t>
      </w:r>
      <w:r>
        <w:rPr>
          <w:rFonts w:hint="eastAsia"/>
        </w:rPr>
        <w:t>年4个系统未发生异常情况，系统运行稳定率为1</w:t>
      </w:r>
      <w:r>
        <w:t>00%</w:t>
      </w:r>
      <w:r>
        <w:rPr>
          <w:rFonts w:hint="eastAsia"/>
        </w:rPr>
        <w:t>。</w:t>
      </w:r>
    </w:p>
    <w:p>
      <w:pPr>
        <w:pStyle w:val="24"/>
        <w:ind w:firstLine="640"/>
      </w:pPr>
      <w:r>
        <w:rPr>
          <w:rFonts w:hint="eastAsia"/>
        </w:rPr>
        <w:t>3.产出时效</w:t>
      </w:r>
    </w:p>
    <w:p>
      <w:pPr>
        <w:pStyle w:val="24"/>
        <w:ind w:firstLine="640"/>
      </w:pPr>
      <w:r>
        <w:rPr>
          <w:rFonts w:hint="eastAsia"/>
        </w:rPr>
        <w:t>（1）心理干预完成及时率（总分</w:t>
      </w:r>
      <w:r>
        <w:t>5</w:t>
      </w:r>
      <w:r>
        <w:rPr>
          <w:rFonts w:hint="eastAsia"/>
        </w:rPr>
        <w:t>分，得分</w:t>
      </w:r>
      <w:r>
        <w:t>5</w:t>
      </w:r>
      <w:r>
        <w:rPr>
          <w:rFonts w:hint="eastAsia"/>
        </w:rPr>
        <w:t>分）。根据</w:t>
      </w:r>
      <w:r>
        <w:rPr>
          <w:rFonts w:hint="eastAsia"/>
          <w:lang w:eastAsia="zh-CN"/>
        </w:rPr>
        <w:t>心理干预</w:t>
      </w:r>
      <w:r>
        <w:rPr>
          <w:rFonts w:hint="eastAsia"/>
        </w:rPr>
        <w:t>服务协议，2</w:t>
      </w:r>
      <w:r>
        <w:t>022</w:t>
      </w:r>
      <w:r>
        <w:rPr>
          <w:rFonts w:hint="eastAsia"/>
        </w:rPr>
        <w:t>年应完成每个季度开展心理测评，对有问题的社区矫正对象进行1个小时的一对一心理咨询服务，2</w:t>
      </w:r>
      <w:r>
        <w:t>022</w:t>
      </w:r>
      <w:r>
        <w:rPr>
          <w:rFonts w:hint="eastAsia"/>
        </w:rPr>
        <w:t>年1</w:t>
      </w:r>
      <w:r>
        <w:t>2</w:t>
      </w:r>
      <w:r>
        <w:rPr>
          <w:rFonts w:hint="eastAsia"/>
        </w:rPr>
        <w:t>月底之前开展</w:t>
      </w:r>
      <w:r>
        <w:rPr>
          <w:rFonts w:hint="eastAsia"/>
          <w:lang w:eastAsia="zh-CN"/>
        </w:rPr>
        <w:t>心理健康</w:t>
      </w:r>
      <w:r>
        <w:rPr>
          <w:rFonts w:hint="eastAsia"/>
        </w:rPr>
        <w:t>团体辅导活动。依据项目结项报告，2</w:t>
      </w:r>
      <w:r>
        <w:t>022</w:t>
      </w:r>
      <w:r>
        <w:rPr>
          <w:rFonts w:hint="eastAsia"/>
        </w:rPr>
        <w:t>年心理测评、一对一心理咨询服务、</w:t>
      </w:r>
      <w:r>
        <w:rPr>
          <w:rFonts w:hint="eastAsia"/>
          <w:lang w:eastAsia="zh-CN"/>
        </w:rPr>
        <w:t>心理健康</w:t>
      </w:r>
      <w:r>
        <w:rPr>
          <w:rFonts w:hint="eastAsia"/>
        </w:rPr>
        <w:t>团体辅导活动3项工作均已按时开展，心理干预完成及时率为1</w:t>
      </w:r>
      <w:r>
        <w:t>00%</w:t>
      </w:r>
      <w:r>
        <w:rPr>
          <w:rFonts w:hint="eastAsia"/>
        </w:rPr>
        <w:t>。</w:t>
      </w:r>
    </w:p>
    <w:p>
      <w:pPr>
        <w:pStyle w:val="24"/>
        <w:ind w:firstLine="640"/>
      </w:pPr>
      <w:r>
        <w:rPr>
          <w:rFonts w:hint="eastAsia"/>
        </w:rPr>
        <w:t>（2）系统运维及时率（总分</w:t>
      </w:r>
      <w:r>
        <w:t>4</w:t>
      </w:r>
      <w:r>
        <w:rPr>
          <w:rFonts w:hint="eastAsia"/>
        </w:rPr>
        <w:t>分，得分</w:t>
      </w:r>
      <w:r>
        <w:t>4</w:t>
      </w:r>
      <w:r>
        <w:rPr>
          <w:rFonts w:hint="eastAsia"/>
        </w:rPr>
        <w:t>分）。根据运维服务合同，2</w:t>
      </w:r>
      <w:r>
        <w:t>022</w:t>
      </w:r>
      <w:r>
        <w:rPr>
          <w:rFonts w:hint="eastAsia"/>
        </w:rPr>
        <w:t>年运维系统包括监控系统、远程指挥平台、远程执法平台、远程教育平台，运维内容涵盖后台操作软件升级更新、</w:t>
      </w:r>
      <w:r>
        <w:rPr>
          <w:rFonts w:hint="eastAsia"/>
          <w:lang w:eastAsia="zh-CN"/>
        </w:rPr>
        <w:t>前端</w:t>
      </w:r>
      <w:r>
        <w:rPr>
          <w:rFonts w:hint="eastAsia"/>
        </w:rPr>
        <w:t>产品升级更新等软硬件维护。依据2</w:t>
      </w:r>
      <w:r>
        <w:t>022</w:t>
      </w:r>
      <w:r>
        <w:rPr>
          <w:rFonts w:hint="eastAsia"/>
        </w:rPr>
        <w:t>年运维记录表，系统运维服务单位每月对系统进行2到3次检查维护，系统运维及时率1</w:t>
      </w:r>
      <w:r>
        <w:t>00%</w:t>
      </w:r>
      <w:r>
        <w:rPr>
          <w:rFonts w:hint="eastAsia"/>
        </w:rPr>
        <w:t>。</w:t>
      </w:r>
    </w:p>
    <w:p>
      <w:pPr>
        <w:pStyle w:val="24"/>
        <w:ind w:firstLine="640"/>
      </w:pPr>
      <w:r>
        <w:rPr>
          <w:rFonts w:hint="eastAsia"/>
        </w:rPr>
        <w:t>4.产出成本</w:t>
      </w:r>
    </w:p>
    <w:p>
      <w:pPr>
        <w:pStyle w:val="24"/>
        <w:ind w:firstLine="640"/>
      </w:pPr>
      <w:r>
        <w:rPr>
          <w:rFonts w:hint="eastAsia"/>
        </w:rPr>
        <w:t>（1）社区矫正办公成本节约率（总分</w:t>
      </w:r>
      <w:r>
        <w:t>5</w:t>
      </w:r>
      <w:r>
        <w:rPr>
          <w:rFonts w:hint="eastAsia"/>
        </w:rPr>
        <w:t>分，得分</w:t>
      </w:r>
      <w:r>
        <w:t>5</w:t>
      </w:r>
      <w:r>
        <w:rPr>
          <w:rFonts w:hint="eastAsia"/>
        </w:rPr>
        <w:t>分）。根据项目预算明细、项目合同等相关资料，本</w:t>
      </w:r>
      <w:r>
        <w:t>项目</w:t>
      </w:r>
      <w:r>
        <w:rPr>
          <w:rFonts w:hint="eastAsia"/>
        </w:rPr>
        <w:t>预算支出</w:t>
      </w:r>
      <w:r>
        <w:t>金额为35.31万元，</w:t>
      </w:r>
      <w:r>
        <w:rPr>
          <w:rFonts w:hint="eastAsia"/>
        </w:rPr>
        <w:t>2</w:t>
      </w:r>
      <w:r>
        <w:t>022</w:t>
      </w:r>
      <w:r>
        <w:rPr>
          <w:rFonts w:hint="eastAsia"/>
        </w:rPr>
        <w:t>年实际支出总金额</w:t>
      </w:r>
      <w:r>
        <w:t>35.31</w:t>
      </w:r>
      <w:r>
        <w:rPr>
          <w:rFonts w:hint="eastAsia"/>
        </w:rPr>
        <w:t>万元，未超过年初预算资金，社区矫正办公成本节约率</w:t>
      </w:r>
      <w:r>
        <w:t>0%</w:t>
      </w:r>
      <w:r>
        <w:rPr>
          <w:rFonts w:hint="eastAsia"/>
        </w:rPr>
        <w:t>。</w:t>
      </w:r>
    </w:p>
    <w:p>
      <w:pPr>
        <w:pStyle w:val="28"/>
        <w:ind w:firstLine="640"/>
        <w:rPr>
          <w:rFonts w:ascii="Times New Roman" w:hAnsi="Times New Roman"/>
        </w:rPr>
      </w:pPr>
      <w:bookmarkStart w:id="21" w:name="_Toc271823250"/>
      <w:r>
        <w:rPr>
          <w:rFonts w:hint="eastAsia" w:ascii="Times New Roman" w:hAnsi="Times New Roman"/>
        </w:rPr>
        <w:t>（四）项目效益情况</w:t>
      </w:r>
      <w:bookmarkEnd w:id="21"/>
    </w:p>
    <w:p>
      <w:pPr>
        <w:pStyle w:val="24"/>
        <w:ind w:firstLine="640"/>
      </w:pPr>
      <w:r>
        <w:rPr>
          <w:rFonts w:hint="eastAsia"/>
        </w:rPr>
        <w:t>效益指标主要包括社会效益、可持续影响、服务对象满意度</w:t>
      </w:r>
      <w:r>
        <w:t>3</w:t>
      </w:r>
      <w:r>
        <w:rPr>
          <w:rFonts w:hint="eastAsia"/>
        </w:rPr>
        <w:t>项二级指标，</w:t>
      </w:r>
      <w:r>
        <w:t>5</w:t>
      </w:r>
      <w:r>
        <w:rPr>
          <w:rFonts w:hint="eastAsia"/>
        </w:rPr>
        <w:t>项三级指标，基础总分</w:t>
      </w:r>
      <w:r>
        <w:t>22</w:t>
      </w:r>
      <w:r>
        <w:rPr>
          <w:rFonts w:hint="eastAsia"/>
        </w:rPr>
        <w:t>分，合计得分</w:t>
      </w:r>
      <w:r>
        <w:t>22</w:t>
      </w:r>
      <w:r>
        <w:rPr>
          <w:rFonts w:hint="eastAsia"/>
        </w:rPr>
        <w:t>分。</w:t>
      </w:r>
    </w:p>
    <w:p>
      <w:pPr>
        <w:pStyle w:val="24"/>
        <w:ind w:firstLine="640"/>
      </w:pPr>
      <w:r>
        <w:rPr>
          <w:rFonts w:hint="eastAsia"/>
        </w:rPr>
        <w:t>1.社会效益</w:t>
      </w:r>
    </w:p>
    <w:p>
      <w:pPr>
        <w:pStyle w:val="24"/>
        <w:ind w:firstLine="640"/>
      </w:pPr>
      <w:r>
        <w:rPr>
          <w:rFonts w:hint="eastAsia"/>
        </w:rPr>
        <w:t>（1）社区矫正对象脱漏管率（总分</w:t>
      </w:r>
      <w:r>
        <w:t>5</w:t>
      </w:r>
      <w:r>
        <w:rPr>
          <w:rFonts w:hint="eastAsia"/>
        </w:rPr>
        <w:t>分，得分</w:t>
      </w:r>
      <w:r>
        <w:t>5</w:t>
      </w:r>
      <w:r>
        <w:rPr>
          <w:rFonts w:hint="eastAsia"/>
        </w:rPr>
        <w:t>分）。依据评价小组查阅单位提供的社区矫正人员册和实地调研可以得出，项目建立了信息化电子腕带监管平台，完善了电子定位设备管理、轨迹回放和围栏报警等功能，初步实现了“社区矫正对象的电子监管网络化、常态化、传输实时化”，形成了覆盖全区规范统一的社区矫正对象电子</w:t>
      </w:r>
      <w:r>
        <w:rPr>
          <w:rFonts w:hint="eastAsia"/>
          <w:lang w:eastAsia="zh-CN"/>
        </w:rPr>
        <w:t>监督管理</w:t>
      </w:r>
      <w:r>
        <w:rPr>
          <w:rFonts w:hint="eastAsia"/>
        </w:rPr>
        <w:t>平台，微信定位小程序功能要求矫正对象一天三次打卡，通过随机打卡检查矫正对象的实时位置，该平台还具有出入电子围栏预警功能，有效防止社区矫正对象未请假外出、夜不归宿等违规情况，</w:t>
      </w:r>
      <w:r>
        <w:t>2022年</w:t>
      </w:r>
      <w:r>
        <w:rPr>
          <w:rFonts w:hint="eastAsia"/>
        </w:rPr>
        <w:t>和平</w:t>
      </w:r>
      <w:r>
        <w:t>区在册列管共有115名社区矫正对象，截至年底在册列管名单除解除社区矫正人员外，其他人员一直在可监控范围内，全年未发生社区矫正对象脱管漏管的事故，2022年社区矫正对象脱管漏管率为0%，</w:t>
      </w:r>
      <w:r>
        <w:rPr>
          <w:rFonts w:hint="eastAsia"/>
        </w:rPr>
        <w:t>有效</w:t>
      </w:r>
      <w:r>
        <w:t>提升了维护社会和谐稳定的能力</w:t>
      </w:r>
      <w:r>
        <w:rPr>
          <w:rFonts w:hint="eastAsia"/>
        </w:rPr>
        <w:t>。</w:t>
      </w:r>
    </w:p>
    <w:p>
      <w:pPr>
        <w:pStyle w:val="24"/>
        <w:ind w:firstLine="640"/>
      </w:pPr>
      <w:r>
        <w:rPr>
          <w:rFonts w:hint="eastAsia"/>
        </w:rPr>
        <w:t>（2）社区矫正对象再犯罪率（总分</w:t>
      </w:r>
      <w:r>
        <w:t>5</w:t>
      </w:r>
      <w:r>
        <w:rPr>
          <w:rFonts w:hint="eastAsia"/>
        </w:rPr>
        <w:t>分，得分</w:t>
      </w:r>
      <w:r>
        <w:t>5</w:t>
      </w:r>
      <w:r>
        <w:rPr>
          <w:rFonts w:hint="eastAsia"/>
        </w:rPr>
        <w:t>分）。评价小组通过实地调研并分析</w:t>
      </w:r>
      <w:r>
        <w:t>2022年接管被矫正对象名单和2022年</w:t>
      </w:r>
      <w:r>
        <w:rPr>
          <w:rFonts w:hint="eastAsia"/>
        </w:rPr>
        <w:t>解除矫正</w:t>
      </w:r>
      <w:r>
        <w:t>人员名单得出</w:t>
      </w:r>
      <w:r>
        <w:rPr>
          <w:rFonts w:hint="eastAsia"/>
        </w:rPr>
        <w:t>，全年接收社区矫正对象</w:t>
      </w:r>
      <w:r>
        <w:t>115人，解除社区矫正对象40人，其中未出现释放人员重新犯罪的情况，2022年社区矫正对象再犯罪率为0%</w:t>
      </w:r>
      <w:r>
        <w:rPr>
          <w:rFonts w:hint="eastAsia"/>
        </w:rPr>
        <w:t>。</w:t>
      </w:r>
    </w:p>
    <w:p>
      <w:pPr>
        <w:pStyle w:val="24"/>
        <w:ind w:firstLine="640"/>
      </w:pPr>
      <w:r>
        <w:t>2</w:t>
      </w:r>
      <w:r>
        <w:rPr>
          <w:rFonts w:hint="eastAsia"/>
        </w:rPr>
        <w:t>.可持续影响</w:t>
      </w:r>
    </w:p>
    <w:p>
      <w:pPr>
        <w:pStyle w:val="24"/>
        <w:ind w:firstLine="640"/>
      </w:pPr>
      <w:r>
        <w:rPr>
          <w:rFonts w:hint="eastAsia"/>
        </w:rPr>
        <w:t>（1）社区矫正管理工作保障机制（总分</w:t>
      </w:r>
      <w:r>
        <w:t>5</w:t>
      </w:r>
      <w:r>
        <w:rPr>
          <w:rFonts w:hint="eastAsia"/>
        </w:rPr>
        <w:t>分，得分</w:t>
      </w:r>
      <w:r>
        <w:t>5</w:t>
      </w:r>
      <w:r>
        <w:rPr>
          <w:rFonts w:hint="eastAsia"/>
        </w:rPr>
        <w:t>分）。天津市和平区司法局依据《中华人民共和国社区矫正法》《中华人民共和国社区矫正实施办法》制定了矫正方案，方案中明确了矫正工作方式及内容，单位依据矫正方案开展监督管理、教育帮扶等工作，对社区矫正对象进行正面引导，从而确保矫正对象不发生脱漏管、</w:t>
      </w:r>
      <w:r>
        <w:t>再犯罪</w:t>
      </w:r>
      <w:r>
        <w:rPr>
          <w:rFonts w:hint="eastAsia"/>
        </w:rPr>
        <w:t>行为，提高了维护社会和谐稳定的能力，有效保障社区矫正工作持续开展。</w:t>
      </w:r>
    </w:p>
    <w:p>
      <w:pPr>
        <w:pStyle w:val="24"/>
        <w:ind w:firstLine="640"/>
      </w:pPr>
      <w:r>
        <w:rPr>
          <w:rFonts w:hint="eastAsia"/>
        </w:rPr>
        <w:t>（2）系统设备维护保障机制（总分</w:t>
      </w:r>
      <w:r>
        <w:t>3</w:t>
      </w:r>
      <w:r>
        <w:rPr>
          <w:rFonts w:hint="eastAsia"/>
        </w:rPr>
        <w:t>分，得分</w:t>
      </w:r>
      <w:r>
        <w:t>3</w:t>
      </w:r>
      <w:r>
        <w:rPr>
          <w:rFonts w:hint="eastAsia"/>
        </w:rPr>
        <w:t>分）。项目针对后台软件、</w:t>
      </w:r>
      <w:r>
        <w:rPr>
          <w:rFonts w:hint="eastAsia"/>
          <w:lang w:eastAsia="zh-CN"/>
        </w:rPr>
        <w:t>前端</w:t>
      </w:r>
      <w:r>
        <w:rPr>
          <w:rFonts w:hint="eastAsia"/>
        </w:rPr>
        <w:t>产品的升级更新，软</w:t>
      </w:r>
      <w:r>
        <w:rPr>
          <w:rFonts w:hint="eastAsia"/>
          <w:lang w:eastAsia="zh-CN"/>
        </w:rPr>
        <w:t>硬</w:t>
      </w:r>
      <w:r>
        <w:rPr>
          <w:rFonts w:hint="eastAsia"/>
        </w:rPr>
        <w:t>件维护制定了运维方案，依据运维方案每月按时开展了系统运行检查、服务器检查、安全补丁更新、备份检查、网络设备和连接检查、性能监控等工作，有效确保了监管系统运行稳定。</w:t>
      </w:r>
    </w:p>
    <w:p>
      <w:pPr>
        <w:pStyle w:val="24"/>
        <w:ind w:firstLine="640"/>
      </w:pPr>
      <w:r>
        <w:t>3</w:t>
      </w:r>
      <w:r>
        <w:rPr>
          <w:rFonts w:hint="eastAsia"/>
        </w:rPr>
        <w:t>.服务对象满意度</w:t>
      </w:r>
    </w:p>
    <w:p>
      <w:pPr>
        <w:pStyle w:val="24"/>
        <w:ind w:firstLine="640"/>
      </w:pPr>
      <w:r>
        <w:rPr>
          <w:rFonts w:hint="eastAsia"/>
        </w:rPr>
        <w:t>社区矫正对象及工作人员满意度（总分</w:t>
      </w:r>
      <w:r>
        <w:t>4</w:t>
      </w:r>
      <w:r>
        <w:rPr>
          <w:rFonts w:hint="eastAsia"/>
        </w:rPr>
        <w:t>分，得分</w:t>
      </w:r>
      <w:r>
        <w:t>4</w:t>
      </w:r>
      <w:r>
        <w:rPr>
          <w:rFonts w:hint="eastAsia"/>
        </w:rPr>
        <w:t>分）。根据社区矫正工作经费项目</w:t>
      </w:r>
      <w:r>
        <w:t>主要实施内容，</w:t>
      </w:r>
      <w:r>
        <w:rPr>
          <w:rFonts w:hint="eastAsia"/>
        </w:rPr>
        <w:t>社区矫正工作经费项目</w:t>
      </w:r>
      <w:r>
        <w:t>实际受益对象是</w:t>
      </w:r>
      <w:r>
        <w:rPr>
          <w:rFonts w:hint="eastAsia"/>
        </w:rPr>
        <w:t>社区矫正对象及工作人员</w:t>
      </w:r>
      <w:r>
        <w:t>，</w:t>
      </w:r>
      <w:r>
        <w:rPr>
          <w:rFonts w:hint="eastAsia"/>
        </w:rPr>
        <w:t>评价组</w:t>
      </w:r>
      <w:r>
        <w:t>对18</w:t>
      </w:r>
      <w:r>
        <w:rPr>
          <w:rFonts w:hint="eastAsia"/>
        </w:rPr>
        <w:t>名社区矫正对象及工作人员满意度</w:t>
      </w:r>
      <w:r>
        <w:t>进行随机满意度调查，共发放18份问卷，实际收回有效问卷共18份，</w:t>
      </w:r>
      <w:r>
        <w:rPr>
          <w:rFonts w:hint="eastAsia"/>
        </w:rPr>
        <w:t>针对心理干预服务是否满意、对心理干预服务产生的作用是否满意、对心理咨询公司提供的服务是否满意、对心理咨询公司服务人员是否满意、对社区矫正对象监管系统是否满意、对社区矫正对象监管系统产生的作用是否满意、对运维公司提供的服务是否满意、对运维公司服务人员是否满意等问题，社区矫正对象及工作人员满意度为</w:t>
      </w:r>
      <w:r>
        <w:t>100%</w:t>
      </w:r>
      <w:r>
        <w:rPr>
          <w:rFonts w:hint="eastAsia"/>
        </w:rPr>
        <w:t>。</w:t>
      </w:r>
    </w:p>
    <w:p>
      <w:pPr>
        <w:pStyle w:val="26"/>
      </w:pPr>
      <w:bookmarkStart w:id="22" w:name="_Toc835645581"/>
      <w:r>
        <w:rPr>
          <w:rFonts w:hint="eastAsia"/>
        </w:rPr>
        <w:t>五、存在的主要问题</w:t>
      </w:r>
      <w:bookmarkEnd w:id="22"/>
    </w:p>
    <w:p>
      <w:pPr>
        <w:pStyle w:val="28"/>
        <w:ind w:firstLine="640"/>
        <w:rPr>
          <w:rFonts w:ascii="Times New Roman" w:hAnsi="Times New Roman"/>
        </w:rPr>
      </w:pPr>
      <w:bookmarkStart w:id="23" w:name="_Toc152228487"/>
      <w:bookmarkStart w:id="24" w:name="_Hlk91875531"/>
      <w:r>
        <w:rPr>
          <w:rFonts w:hint="eastAsia" w:ascii="Times New Roman" w:hAnsi="Times New Roman"/>
        </w:rPr>
        <w:t>（一）项目绩效指标设置全面性、细化程度不足</w:t>
      </w:r>
      <w:bookmarkEnd w:id="23"/>
    </w:p>
    <w:p>
      <w:pPr>
        <w:pStyle w:val="24"/>
        <w:ind w:firstLine="640"/>
        <w:rPr>
          <w:bCs/>
        </w:rPr>
      </w:pPr>
      <w:r>
        <w:rPr>
          <w:rFonts w:hint="eastAsia"/>
          <w:bCs/>
        </w:rPr>
        <w:t>根据《天津市财政局关于印发</w:t>
      </w:r>
      <w:r>
        <w:rPr>
          <w:rFonts w:hint="eastAsia"/>
          <w:bCs/>
          <w:lang w:eastAsia="zh-CN"/>
        </w:rPr>
        <w:t>〈</w:t>
      </w:r>
      <w:r>
        <w:rPr>
          <w:bCs/>
        </w:rPr>
        <w:t>天津市市级部门预算绩效目标管理办法</w:t>
      </w:r>
      <w:r>
        <w:rPr>
          <w:rFonts w:hint="eastAsia"/>
          <w:bCs/>
          <w:lang w:eastAsia="zh-CN"/>
        </w:rPr>
        <w:t>〉</w:t>
      </w:r>
      <w:r>
        <w:rPr>
          <w:bCs/>
        </w:rPr>
        <w:t>的通知》（津财绩效〔2020〕16号）文件要求，“绩效目标、绩效指标与项目实施内容具有相关性，绩效指标应充分细化和量化，具备可衡量性”，绩效目标申报表编制的绩效指标中，服务对象满意度指标为</w:t>
      </w:r>
      <w:r>
        <w:rPr>
          <w:rFonts w:hint="eastAsia"/>
          <w:bCs/>
        </w:rPr>
        <w:t>“社区矫正工作人员满意度≥</w:t>
      </w:r>
      <w:r>
        <w:rPr>
          <w:bCs/>
        </w:rPr>
        <w:t>90%</w:t>
      </w:r>
      <w:r>
        <w:rPr>
          <w:rFonts w:hint="eastAsia"/>
          <w:bCs/>
        </w:rPr>
        <w:t>”，项目实施主要受益对象为社区服刑人员及其看护人，该指标内容与项目实施内容不匹配。</w:t>
      </w:r>
    </w:p>
    <w:p>
      <w:pPr>
        <w:pStyle w:val="28"/>
        <w:ind w:firstLine="640"/>
        <w:rPr>
          <w:rFonts w:ascii="Times New Roman" w:hAnsi="Times New Roman"/>
        </w:rPr>
      </w:pPr>
      <w:bookmarkStart w:id="25" w:name="_Toc851157432"/>
      <w:r>
        <w:rPr>
          <w:rFonts w:hint="eastAsia" w:ascii="Times New Roman" w:hAnsi="Times New Roman"/>
        </w:rPr>
        <w:t>（二）资金缺口较大，部分政策无法落实</w:t>
      </w:r>
      <w:bookmarkEnd w:id="25"/>
    </w:p>
    <w:p>
      <w:pPr>
        <w:pStyle w:val="24"/>
        <w:ind w:firstLine="640"/>
      </w:pPr>
      <w:r>
        <w:rPr>
          <w:rFonts w:hint="eastAsia"/>
        </w:rPr>
        <w:t>一是根据司法部、中央综治办、教育部、民政部、财政部、人力社保部《关于组织社会力量参与社区矫正工作的意见》（司发〔</w:t>
      </w:r>
      <w:r>
        <w:t>2014〕14号）</w:t>
      </w:r>
      <w:r>
        <w:rPr>
          <w:rFonts w:hint="eastAsia"/>
        </w:rPr>
        <w:t>、</w:t>
      </w:r>
      <w:r>
        <w:t>市司法局等6部门2015年联合下发的《进一步组织社会力量参与社区</w:t>
      </w:r>
      <w:r>
        <w:rPr>
          <w:rFonts w:hint="eastAsia"/>
        </w:rPr>
        <w:t>矫正工作意见的通知》（</w:t>
      </w:r>
      <w:r>
        <w:t>津司发〔2015〕80号</w:t>
      </w:r>
      <w:r>
        <w:rPr>
          <w:rFonts w:hint="eastAsia"/>
        </w:rPr>
        <w:t>）</w:t>
      </w:r>
      <w:r>
        <w:t>文件精神</w:t>
      </w:r>
      <w:r>
        <w:rPr>
          <w:rFonts w:hint="eastAsia"/>
        </w:rPr>
        <w:t>，</w:t>
      </w:r>
      <w:r>
        <w:t>广泛吸收社会力量参与社区矫正工作，推进社区矫正工作科学、规范、健康发展，提高社会治理</w:t>
      </w:r>
      <w:r>
        <w:rPr>
          <w:rFonts w:hint="eastAsia"/>
          <w:lang w:eastAsia="zh-CN"/>
        </w:rPr>
        <w:t>体系</w:t>
      </w:r>
      <w:r>
        <w:t>和治理体系现代化水平。</w:t>
      </w:r>
      <w:r>
        <w:rPr>
          <w:rFonts w:hint="eastAsia"/>
        </w:rPr>
        <w:t>以及</w:t>
      </w:r>
      <w:r>
        <w:t>按照《</w:t>
      </w:r>
      <w:r>
        <w:rPr>
          <w:rFonts w:hint="eastAsia"/>
        </w:rPr>
        <w:t>中华人民共和国</w:t>
      </w:r>
      <w:r>
        <w:t>社区矫正法》第五</w:t>
      </w:r>
      <w:bookmarkStart w:id="32" w:name="_GoBack"/>
      <w:bookmarkEnd w:id="32"/>
      <w:r>
        <w:t>章第三十五条要求，县级以上地方人民政府及其有关部门应当通过多种形式为教育帮扶社区矫正对象提供必要的场所和条</w:t>
      </w:r>
      <w:r>
        <w:rPr>
          <w:rFonts w:hint="eastAsia"/>
        </w:rPr>
        <w:t>件，组织动员社会力量参与教育帮扶工作，以政府购买服务的形式，引进社会组织派遣专职人员参与社区矫正工作。二是按照司法部下发的《智慧矫正总体技术规范》教育培训设施应配备</w:t>
      </w:r>
      <w:r>
        <w:t xml:space="preserve"> VR教育相关设施，通过VR等技术构建多种虚拟现实生活和监狱生活等教育场景，实现对社区矫正对象沉浸式专题教育。采集心理特征数据</w:t>
      </w:r>
      <w:r>
        <w:rPr>
          <w:rFonts w:hint="eastAsia"/>
          <w:lang w:eastAsia="zh-CN"/>
        </w:rPr>
        <w:t>，</w:t>
      </w:r>
      <w:r>
        <w:t>结合社区矫正对象家庭情况、经济情况、劳动能力和教育帮扶等信息进行智能分析，并联动相关部门，生成针对性帮扶建议，纳入个性化矫正方案，实现社区矫正对象的精准教育帮扶。VR视频已由市司法局制作完成，VR设备需由各区自行采购</w:t>
      </w:r>
      <w:r>
        <w:rPr>
          <w:rFonts w:hint="eastAsia"/>
        </w:rPr>
        <w:t>。项目年初预算批复资金1</w:t>
      </w:r>
      <w:r>
        <w:t>05.25</w:t>
      </w:r>
      <w:r>
        <w:rPr>
          <w:rFonts w:hint="eastAsia"/>
        </w:rPr>
        <w:t>万元，到位资金3</w:t>
      </w:r>
      <w:r>
        <w:t>5.31</w:t>
      </w:r>
      <w:r>
        <w:rPr>
          <w:rFonts w:hint="eastAsia"/>
        </w:rPr>
        <w:t>万元，资金到位率仅为</w:t>
      </w:r>
      <w:r>
        <w:rPr>
          <w:bCs/>
        </w:rPr>
        <w:t>33.54</w:t>
      </w:r>
      <w:r>
        <w:rPr>
          <w:rFonts w:hint="eastAsia"/>
          <w:bCs/>
        </w:rPr>
        <w:t>%，受资金影响，相关政策无法落实。</w:t>
      </w:r>
      <w:r>
        <w:t xml:space="preserve"> </w:t>
      </w:r>
    </w:p>
    <w:p>
      <w:pPr>
        <w:pStyle w:val="28"/>
        <w:ind w:firstLine="640"/>
        <w:rPr>
          <w:rFonts w:ascii="Times New Roman" w:hAnsi="Times New Roman"/>
        </w:rPr>
      </w:pPr>
      <w:bookmarkStart w:id="26" w:name="_Toc1014386957"/>
      <w:r>
        <w:rPr>
          <w:rFonts w:hint="eastAsia" w:ascii="Times New Roman" w:hAnsi="Times New Roman"/>
        </w:rPr>
        <w:t>（三）</w:t>
      </w:r>
      <w:r>
        <w:rPr>
          <w:rFonts w:hint="eastAsia" w:ascii="Times New Roman" w:hAnsi="Times New Roman"/>
          <w:lang w:eastAsia="zh-CN"/>
        </w:rPr>
        <w:t>心理健康</w:t>
      </w:r>
      <w:r>
        <w:rPr>
          <w:rFonts w:hint="eastAsia" w:ascii="Times New Roman" w:hAnsi="Times New Roman"/>
        </w:rPr>
        <w:t>团体辅导活动场次未按照合同执行</w:t>
      </w:r>
      <w:bookmarkEnd w:id="26"/>
    </w:p>
    <w:p>
      <w:pPr>
        <w:pStyle w:val="24"/>
        <w:ind w:firstLine="640"/>
      </w:pPr>
      <w:r>
        <w:rPr>
          <w:rFonts w:hint="eastAsia"/>
        </w:rPr>
        <w:t>根据心理干预服务合同，2</w:t>
      </w:r>
      <w:r>
        <w:t>022</w:t>
      </w:r>
      <w:r>
        <w:rPr>
          <w:rFonts w:hint="eastAsia"/>
        </w:rPr>
        <w:t>年应开展1</w:t>
      </w:r>
      <w:r>
        <w:t>1</w:t>
      </w:r>
      <w:r>
        <w:rPr>
          <w:rFonts w:hint="eastAsia"/>
        </w:rPr>
        <w:t>场</w:t>
      </w:r>
      <w:r>
        <w:rPr>
          <w:rFonts w:hint="eastAsia"/>
          <w:lang w:eastAsia="zh-CN"/>
        </w:rPr>
        <w:t>心理健康</w:t>
      </w:r>
      <w:r>
        <w:rPr>
          <w:rFonts w:hint="eastAsia"/>
        </w:rPr>
        <w:t>团体辅导活动，依据结项报告显示，实际完成开展3场</w:t>
      </w:r>
      <w:r>
        <w:rPr>
          <w:rFonts w:hint="eastAsia"/>
          <w:lang w:eastAsia="zh-CN"/>
        </w:rPr>
        <w:t>心理健康</w:t>
      </w:r>
      <w:r>
        <w:rPr>
          <w:rFonts w:hint="eastAsia"/>
        </w:rPr>
        <w:t>团体辅导活动，未严格按照合同内容开展，且服务验收报告中未说明相关原因。</w:t>
      </w:r>
    </w:p>
    <w:bookmarkEnd w:id="24"/>
    <w:p>
      <w:pPr>
        <w:pStyle w:val="26"/>
      </w:pPr>
      <w:bookmarkStart w:id="27" w:name="_Toc2076396413"/>
      <w:r>
        <w:rPr>
          <w:rFonts w:hint="eastAsia"/>
        </w:rPr>
        <w:t>六、相关建议</w:t>
      </w:r>
      <w:bookmarkEnd w:id="27"/>
    </w:p>
    <w:p>
      <w:pPr>
        <w:pStyle w:val="28"/>
        <w:ind w:firstLine="640"/>
        <w:rPr>
          <w:rFonts w:ascii="Times New Roman" w:hAnsi="Times New Roman"/>
        </w:rPr>
      </w:pPr>
      <w:bookmarkStart w:id="28" w:name="_Toc1385249541"/>
      <w:r>
        <w:rPr>
          <w:rFonts w:hint="eastAsia" w:ascii="Times New Roman" w:hAnsi="Times New Roman"/>
        </w:rPr>
        <w:t>（一）加强绩效理念，提升绩效管理水平</w:t>
      </w:r>
      <w:bookmarkEnd w:id="28"/>
    </w:p>
    <w:p>
      <w:pPr>
        <w:pStyle w:val="24"/>
        <w:ind w:firstLine="640"/>
      </w:pPr>
      <w:r>
        <w:rPr>
          <w:rFonts w:hint="eastAsia"/>
        </w:rPr>
        <w:t>一是建议单位在设置项目绩效目标、项目绩效指标要具有适当性，指标的设置要围绕项目立项依据和项目工作计划方案，要符合行业标准，有一定可行性。二是建议单位在设置项目绩效目标、项目绩效指标时要具有合理性，指标值要可衡量，细化指标时要覆盖全面，指标间要相互对应，规范合理的设置项目绩效目标和绩效指标。三是</w:t>
      </w:r>
      <w:r>
        <w:t>建议单位加强绩效培训力度，提高绩效工作的重视程度，强化对绩效基本概念的理解，</w:t>
      </w:r>
      <w:r>
        <w:rPr>
          <w:rFonts w:hint="eastAsia"/>
          <w:lang w:eastAsia="zh-CN"/>
        </w:rPr>
        <w:t>进而</w:t>
      </w:r>
      <w:r>
        <w:t>提高整体绩效工作质量</w:t>
      </w:r>
      <w:r>
        <w:rPr>
          <w:rFonts w:hint="eastAsia"/>
        </w:rPr>
        <w:t>，以充分发挥绩效目标对项目执行的引导约束和控制作用</w:t>
      </w:r>
      <w:r>
        <w:t>。</w:t>
      </w:r>
    </w:p>
    <w:p>
      <w:pPr>
        <w:pStyle w:val="28"/>
        <w:ind w:firstLine="640"/>
        <w:rPr>
          <w:rFonts w:ascii="Times New Roman" w:hAnsi="Times New Roman"/>
        </w:rPr>
      </w:pPr>
      <w:bookmarkStart w:id="29" w:name="_Toc1018818460"/>
      <w:r>
        <w:rPr>
          <w:rFonts w:hint="eastAsia" w:ascii="Times New Roman" w:hAnsi="Times New Roman"/>
        </w:rPr>
        <w:t>（二）强化政策落实，拓宽社会救助资金筹措渠道</w:t>
      </w:r>
      <w:bookmarkEnd w:id="29"/>
    </w:p>
    <w:p>
      <w:pPr>
        <w:spacing w:line="240" w:lineRule="auto"/>
        <w:ind w:firstLine="640"/>
        <w:jc w:val="both"/>
        <w:rPr>
          <w:rFonts w:ascii="Times New Roman" w:hAnsi="Times New Roman" w:eastAsia="仿宋_GB2312"/>
          <w:sz w:val="32"/>
        </w:rPr>
      </w:pPr>
      <w:r>
        <w:rPr>
          <w:rFonts w:hint="eastAsia" w:ascii="Times New Roman" w:hAnsi="Times New Roman" w:eastAsia="仿宋_GB2312"/>
          <w:sz w:val="32"/>
        </w:rPr>
        <w:t>一是引进社会组织派遣专职人员参与社区矫正工作是《中华人民共和国社区矫正法》要求以及司法部、市司法局提倡的矫正方式，要真正将吸收社会力量参与社区矫正工作方式落实落地，需会同相关部门共同协商制定一套切实可行和行之有效的财务报批流程和相关制度的顶层设计；二是要加大社区矫正工作的宣传力度，及时宣传社区矫正的法律、法规和政策，报道在社区矫正工作中表现突出的先进工作者以及通过社区矫正转变较为明显的典型人员，让社会和群众更加了解、支持、参与社区矫正工作，鼓励社会力量参与，拓宽社会资金筹措渠道，充分发挥社区矫正维护社会稳定的作用。三是建议单位加强与财政部门的沟通协调，加大对社区矫正工作经费的支持，确保资金及时到位，保障项目的进度与效果。</w:t>
      </w:r>
    </w:p>
    <w:p>
      <w:pPr>
        <w:pStyle w:val="28"/>
        <w:ind w:firstLine="640"/>
        <w:rPr>
          <w:rFonts w:ascii="Times New Roman" w:hAnsi="Times New Roman"/>
        </w:rPr>
      </w:pPr>
      <w:bookmarkStart w:id="30" w:name="_Toc1394739689"/>
      <w:r>
        <w:rPr>
          <w:rFonts w:hint="eastAsia" w:ascii="Times New Roman" w:hAnsi="Times New Roman"/>
        </w:rPr>
        <w:t>（三）加强合同管理及执行</w:t>
      </w:r>
      <w:bookmarkEnd w:id="30"/>
    </w:p>
    <w:p>
      <w:pPr>
        <w:spacing w:line="240" w:lineRule="auto"/>
        <w:ind w:firstLine="640"/>
        <w:jc w:val="both"/>
        <w:rPr>
          <w:rFonts w:ascii="Times New Roman" w:hAnsi="Times New Roman" w:eastAsia="仿宋_GB2312"/>
          <w:sz w:val="32"/>
        </w:rPr>
      </w:pPr>
      <w:r>
        <w:rPr>
          <w:rFonts w:hint="eastAsia" w:ascii="Times New Roman" w:hAnsi="Times New Roman" w:eastAsia="仿宋_GB2312"/>
          <w:bCs/>
          <w:sz w:val="32"/>
        </w:rPr>
        <w:t>加强合同执行和日常管理。加强对合同主体履约执行情况的监管。重点关注服务进度，防范合同履约风险。强化合同执行全过程监督检查，重点关注各阶段合同管理及执行情况，以此来提高合同价值，确保服务质量和效果。</w:t>
      </w:r>
    </w:p>
    <w:p>
      <w:pPr>
        <w:pStyle w:val="26"/>
        <w:rPr>
          <w:lang w:eastAsia="zh-Hans"/>
        </w:rPr>
      </w:pPr>
      <w:bookmarkStart w:id="31" w:name="_Toc1605946018"/>
      <w:r>
        <w:rPr>
          <w:rFonts w:hint="eastAsia"/>
          <w:lang w:eastAsia="zh-Hans"/>
        </w:rPr>
        <w:t>七、相关附件</w:t>
      </w:r>
      <w:bookmarkEnd w:id="31"/>
    </w:p>
    <w:p>
      <w:pPr>
        <w:pStyle w:val="24"/>
        <w:ind w:left="1556" w:leftChars="304" w:hanging="918" w:hangingChars="287"/>
      </w:pPr>
      <w:r>
        <w:rPr>
          <w:rFonts w:hint="eastAsia"/>
          <w:color w:val="000000" w:themeColor="text1"/>
          <w14:textFill>
            <w14:solidFill>
              <w14:schemeClr w14:val="tx1"/>
            </w14:solidFill>
          </w14:textFill>
        </w:rPr>
        <w:t>附件：天津市和平区司法局社区矫正工作经费</w:t>
      </w:r>
      <w:r>
        <w:rPr>
          <w:color w:val="000000" w:themeColor="text1"/>
          <w14:textFill>
            <w14:solidFill>
              <w14:schemeClr w14:val="tx1"/>
            </w14:solidFill>
          </w14:textFill>
        </w:rPr>
        <w:t>项目绩效评价指标体系及评分表</w:t>
      </w:r>
    </w:p>
    <w:sectPr>
      <w:footerReference r:id="rId9" w:type="default"/>
      <w:pgSz w:w="11906" w:h="16838"/>
      <w:pgMar w:top="2041" w:right="1531" w:bottom="2041" w:left="153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汉仪中等线KW">
    <w:altName w:val="宋体"/>
    <w:panose1 w:val="01010104010101010101"/>
    <w:charset w:val="86"/>
    <w:family w:val="auto"/>
    <w:pitch w:val="default"/>
    <w:sig w:usb0="00000000" w:usb1="00000000" w:usb2="00000000" w:usb3="00000000" w:csb0="00040001" w:csb1="00000000"/>
  </w:font>
  <w:font w:name="冬青黑体简体中文">
    <w:altName w:val="黑体"/>
    <w:panose1 w:val="020B0300000000000000"/>
    <w:charset w:val="86"/>
    <w:family w:val="auto"/>
    <w:pitch w:val="default"/>
    <w:sig w:usb0="00000000" w:usb1="00000000" w:usb2="00000016" w:usb3="00000000" w:csb0="00060007" w:csb1="00000000"/>
  </w:font>
  <w:font w:name="汉仪中黑KW">
    <w:altName w:val="黑体"/>
    <w:panose1 w:val="00020600040101010101"/>
    <w:charset w:val="86"/>
    <w:family w:val="auto"/>
    <w:pitch w:val="default"/>
    <w:sig w:usb0="00000000" w:usb1="00000000" w:usb2="00000016"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PingFang SC">
    <w:altName w:val="宋体"/>
    <w:panose1 w:val="020B0400000000000000"/>
    <w:charset w:val="86"/>
    <w:family w:val="auto"/>
    <w:pitch w:val="default"/>
    <w:sig w:usb0="00000000" w:usb1="00000000" w:usb2="00000017" w:usb3="00000000" w:csb0="00040001"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
                          </w:sdtPr>
                          <w:sdtContent>
                            <w:p>
                              <w:pPr>
                                <w:pStyle w:val="11"/>
                                <w:ind w:firstLine="360"/>
                                <w:jc w:val="right"/>
                              </w:pPr>
                              <w:r>
                                <w:fldChar w:fldCharType="begin"/>
                              </w:r>
                              <w:r>
                                <w:instrText xml:space="preserve">PAGE   \* MERGEFORMAT</w:instrText>
                              </w:r>
                              <w:r>
                                <w:fldChar w:fldCharType="separate"/>
                              </w:r>
                              <w:r>
                                <w:rPr>
                                  <w:lang w:val="zh-CN"/>
                                </w:rPr>
                                <w:t>18</w:t>
                              </w:r>
                              <w:r>
                                <w:fldChar w:fldCharType="end"/>
                              </w:r>
                            </w:p>
                          </w:sdtContent>
                        </w:sdt>
                        <w:p>
                          <w:pPr>
                            <w:ind w:firstLine="4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sdt>
                    <w:sdtPr>
                      <w:id w:val="-1"/>
                    </w:sdtPr>
                    <w:sdtContent>
                      <w:p>
                        <w:pPr>
                          <w:pStyle w:val="11"/>
                          <w:ind w:firstLine="360"/>
                          <w:jc w:val="right"/>
                        </w:pPr>
                        <w:r>
                          <w:fldChar w:fldCharType="begin"/>
                        </w:r>
                        <w:r>
                          <w:instrText xml:space="preserve">PAGE   \* MERGEFORMAT</w:instrText>
                        </w:r>
                        <w:r>
                          <w:fldChar w:fldCharType="separate"/>
                        </w:r>
                        <w:r>
                          <w:rPr>
                            <w:lang w:val="zh-CN"/>
                          </w:rPr>
                          <w:t>18</w:t>
                        </w:r>
                        <w:r>
                          <w:fldChar w:fldCharType="end"/>
                        </w:r>
                      </w:p>
                    </w:sdtContent>
                  </w:sdt>
                  <w:p>
                    <w:pPr>
                      <w:ind w:firstLine="420"/>
                    </w:pPr>
                  </w:p>
                </w:txbxContent>
              </v:textbox>
            </v:shape>
          </w:pict>
        </mc:Fallback>
      </mc:AlternateContent>
    </w:r>
  </w:p>
  <w:p>
    <w:pPr>
      <w:ind w:firstLine="4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853DE5"/>
    <w:multiLevelType w:val="singleLevel"/>
    <w:tmpl w:val="C1853D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kZWM4YjIxYThkNmM0YzhiZDBkMGJiNDM5ZWY2ZGQifQ=="/>
  </w:docVars>
  <w:rsids>
    <w:rsidRoot w:val="00661057"/>
    <w:rsid w:val="00010865"/>
    <w:rsid w:val="00014876"/>
    <w:rsid w:val="00015C05"/>
    <w:rsid w:val="00016C75"/>
    <w:rsid w:val="00017921"/>
    <w:rsid w:val="00021949"/>
    <w:rsid w:val="00024AFD"/>
    <w:rsid w:val="000315D7"/>
    <w:rsid w:val="000318EC"/>
    <w:rsid w:val="000320CF"/>
    <w:rsid w:val="00041A50"/>
    <w:rsid w:val="00053EC5"/>
    <w:rsid w:val="0007429F"/>
    <w:rsid w:val="000746D9"/>
    <w:rsid w:val="000751CF"/>
    <w:rsid w:val="00090B22"/>
    <w:rsid w:val="000966C1"/>
    <w:rsid w:val="000A1BC0"/>
    <w:rsid w:val="000B12D4"/>
    <w:rsid w:val="000B57FD"/>
    <w:rsid w:val="000B765C"/>
    <w:rsid w:val="000C161F"/>
    <w:rsid w:val="000C22F2"/>
    <w:rsid w:val="000C677C"/>
    <w:rsid w:val="000D0CBC"/>
    <w:rsid w:val="000D1B8A"/>
    <w:rsid w:val="000D231E"/>
    <w:rsid w:val="000D3DFD"/>
    <w:rsid w:val="000D4798"/>
    <w:rsid w:val="000D59C4"/>
    <w:rsid w:val="000E09D3"/>
    <w:rsid w:val="000E1645"/>
    <w:rsid w:val="000E60B5"/>
    <w:rsid w:val="000F5749"/>
    <w:rsid w:val="000F57C3"/>
    <w:rsid w:val="000F7D59"/>
    <w:rsid w:val="00100141"/>
    <w:rsid w:val="00100866"/>
    <w:rsid w:val="00103427"/>
    <w:rsid w:val="0010563C"/>
    <w:rsid w:val="001144A3"/>
    <w:rsid w:val="0012095D"/>
    <w:rsid w:val="00122030"/>
    <w:rsid w:val="00125993"/>
    <w:rsid w:val="00133A6C"/>
    <w:rsid w:val="0014078A"/>
    <w:rsid w:val="0014294F"/>
    <w:rsid w:val="00142FBC"/>
    <w:rsid w:val="00150419"/>
    <w:rsid w:val="00151048"/>
    <w:rsid w:val="00156000"/>
    <w:rsid w:val="00156ED8"/>
    <w:rsid w:val="00160CD3"/>
    <w:rsid w:val="00162746"/>
    <w:rsid w:val="001704F7"/>
    <w:rsid w:val="0017117B"/>
    <w:rsid w:val="0017581B"/>
    <w:rsid w:val="0017673E"/>
    <w:rsid w:val="00185478"/>
    <w:rsid w:val="001871E9"/>
    <w:rsid w:val="0019129E"/>
    <w:rsid w:val="00191749"/>
    <w:rsid w:val="00191CA8"/>
    <w:rsid w:val="00195E1D"/>
    <w:rsid w:val="001968A5"/>
    <w:rsid w:val="001A13F7"/>
    <w:rsid w:val="001A2DD7"/>
    <w:rsid w:val="001A5D0F"/>
    <w:rsid w:val="001B374D"/>
    <w:rsid w:val="001C455A"/>
    <w:rsid w:val="001C68F0"/>
    <w:rsid w:val="001D0C4F"/>
    <w:rsid w:val="001D4D25"/>
    <w:rsid w:val="001D598D"/>
    <w:rsid w:val="001E0523"/>
    <w:rsid w:val="001F768D"/>
    <w:rsid w:val="00201EAB"/>
    <w:rsid w:val="00202699"/>
    <w:rsid w:val="0020331E"/>
    <w:rsid w:val="00206ED6"/>
    <w:rsid w:val="00210763"/>
    <w:rsid w:val="00213586"/>
    <w:rsid w:val="00222E78"/>
    <w:rsid w:val="00223431"/>
    <w:rsid w:val="00231B10"/>
    <w:rsid w:val="002362E6"/>
    <w:rsid w:val="00245879"/>
    <w:rsid w:val="0025214F"/>
    <w:rsid w:val="00252F45"/>
    <w:rsid w:val="00254126"/>
    <w:rsid w:val="00254A76"/>
    <w:rsid w:val="00255788"/>
    <w:rsid w:val="00256F67"/>
    <w:rsid w:val="002606BD"/>
    <w:rsid w:val="00261AB9"/>
    <w:rsid w:val="00264F7B"/>
    <w:rsid w:val="00265D4E"/>
    <w:rsid w:val="002678A4"/>
    <w:rsid w:val="0027222E"/>
    <w:rsid w:val="00272F3A"/>
    <w:rsid w:val="002753AA"/>
    <w:rsid w:val="00280911"/>
    <w:rsid w:val="0028098D"/>
    <w:rsid w:val="002815AF"/>
    <w:rsid w:val="00282482"/>
    <w:rsid w:val="00285E85"/>
    <w:rsid w:val="00297554"/>
    <w:rsid w:val="00297E04"/>
    <w:rsid w:val="002A3D27"/>
    <w:rsid w:val="002A425C"/>
    <w:rsid w:val="002B6E5F"/>
    <w:rsid w:val="002B7021"/>
    <w:rsid w:val="002C23B2"/>
    <w:rsid w:val="002C2ECC"/>
    <w:rsid w:val="002C3E5C"/>
    <w:rsid w:val="002D741B"/>
    <w:rsid w:val="002E0D16"/>
    <w:rsid w:val="002E3C4E"/>
    <w:rsid w:val="002F077A"/>
    <w:rsid w:val="002F2542"/>
    <w:rsid w:val="002F31E3"/>
    <w:rsid w:val="002F7064"/>
    <w:rsid w:val="002F7F21"/>
    <w:rsid w:val="003029A1"/>
    <w:rsid w:val="003032A9"/>
    <w:rsid w:val="00303772"/>
    <w:rsid w:val="00303D5F"/>
    <w:rsid w:val="00304E75"/>
    <w:rsid w:val="003066BF"/>
    <w:rsid w:val="00307E6B"/>
    <w:rsid w:val="00310651"/>
    <w:rsid w:val="0031701B"/>
    <w:rsid w:val="00325B50"/>
    <w:rsid w:val="00335C30"/>
    <w:rsid w:val="0033624F"/>
    <w:rsid w:val="00342666"/>
    <w:rsid w:val="003502BF"/>
    <w:rsid w:val="00353D05"/>
    <w:rsid w:val="003606F4"/>
    <w:rsid w:val="003652D2"/>
    <w:rsid w:val="0037305E"/>
    <w:rsid w:val="0037372D"/>
    <w:rsid w:val="0038049A"/>
    <w:rsid w:val="003804F5"/>
    <w:rsid w:val="0038053D"/>
    <w:rsid w:val="00380E46"/>
    <w:rsid w:val="00381F5C"/>
    <w:rsid w:val="003854CE"/>
    <w:rsid w:val="00386038"/>
    <w:rsid w:val="00386369"/>
    <w:rsid w:val="00391796"/>
    <w:rsid w:val="003920E7"/>
    <w:rsid w:val="00395D8F"/>
    <w:rsid w:val="00396581"/>
    <w:rsid w:val="0039718C"/>
    <w:rsid w:val="003A2940"/>
    <w:rsid w:val="003A2BE1"/>
    <w:rsid w:val="003A2F91"/>
    <w:rsid w:val="003A30C9"/>
    <w:rsid w:val="003A4C86"/>
    <w:rsid w:val="003A770D"/>
    <w:rsid w:val="003B4F6C"/>
    <w:rsid w:val="003C3423"/>
    <w:rsid w:val="003C6EB1"/>
    <w:rsid w:val="003D42E6"/>
    <w:rsid w:val="003D5E93"/>
    <w:rsid w:val="003D6280"/>
    <w:rsid w:val="003E5D8A"/>
    <w:rsid w:val="003E6914"/>
    <w:rsid w:val="003E7A43"/>
    <w:rsid w:val="003E7C97"/>
    <w:rsid w:val="003F12E1"/>
    <w:rsid w:val="003F4C3B"/>
    <w:rsid w:val="003F61ED"/>
    <w:rsid w:val="00407F2A"/>
    <w:rsid w:val="004132DE"/>
    <w:rsid w:val="00416573"/>
    <w:rsid w:val="00416FA6"/>
    <w:rsid w:val="004174C2"/>
    <w:rsid w:val="0043312F"/>
    <w:rsid w:val="00434E74"/>
    <w:rsid w:val="00440EAF"/>
    <w:rsid w:val="0044253D"/>
    <w:rsid w:val="004429F6"/>
    <w:rsid w:val="00442C96"/>
    <w:rsid w:val="004440D2"/>
    <w:rsid w:val="0044422D"/>
    <w:rsid w:val="00455F34"/>
    <w:rsid w:val="00460BDF"/>
    <w:rsid w:val="0046745A"/>
    <w:rsid w:val="004746B7"/>
    <w:rsid w:val="00474782"/>
    <w:rsid w:val="00480281"/>
    <w:rsid w:val="00481085"/>
    <w:rsid w:val="0048318E"/>
    <w:rsid w:val="0048792B"/>
    <w:rsid w:val="004A312F"/>
    <w:rsid w:val="004A5987"/>
    <w:rsid w:val="004A6BE4"/>
    <w:rsid w:val="004C0450"/>
    <w:rsid w:val="004C1741"/>
    <w:rsid w:val="004C4A72"/>
    <w:rsid w:val="004C5E4A"/>
    <w:rsid w:val="004D10A8"/>
    <w:rsid w:val="004D1512"/>
    <w:rsid w:val="004D3BC4"/>
    <w:rsid w:val="004E0D4E"/>
    <w:rsid w:val="004E3972"/>
    <w:rsid w:val="004E51AA"/>
    <w:rsid w:val="004F7B1D"/>
    <w:rsid w:val="00500272"/>
    <w:rsid w:val="0050309A"/>
    <w:rsid w:val="00504039"/>
    <w:rsid w:val="00506277"/>
    <w:rsid w:val="00506514"/>
    <w:rsid w:val="00507119"/>
    <w:rsid w:val="00513E56"/>
    <w:rsid w:val="00517695"/>
    <w:rsid w:val="005227CB"/>
    <w:rsid w:val="0052280F"/>
    <w:rsid w:val="005301DF"/>
    <w:rsid w:val="00530A68"/>
    <w:rsid w:val="0053130C"/>
    <w:rsid w:val="00532532"/>
    <w:rsid w:val="005375FD"/>
    <w:rsid w:val="00541337"/>
    <w:rsid w:val="005523C9"/>
    <w:rsid w:val="00554BCA"/>
    <w:rsid w:val="005603F9"/>
    <w:rsid w:val="00560D99"/>
    <w:rsid w:val="00563B61"/>
    <w:rsid w:val="0056565F"/>
    <w:rsid w:val="00566625"/>
    <w:rsid w:val="00573B4A"/>
    <w:rsid w:val="00575954"/>
    <w:rsid w:val="00577671"/>
    <w:rsid w:val="00581A1F"/>
    <w:rsid w:val="00590B7F"/>
    <w:rsid w:val="00596FFA"/>
    <w:rsid w:val="005978EB"/>
    <w:rsid w:val="005A02D6"/>
    <w:rsid w:val="005A47C0"/>
    <w:rsid w:val="005A7556"/>
    <w:rsid w:val="005C4163"/>
    <w:rsid w:val="005C4F23"/>
    <w:rsid w:val="005C5F21"/>
    <w:rsid w:val="005C66DA"/>
    <w:rsid w:val="005D2B39"/>
    <w:rsid w:val="005E0A86"/>
    <w:rsid w:val="005E2761"/>
    <w:rsid w:val="005E3B63"/>
    <w:rsid w:val="005F6A99"/>
    <w:rsid w:val="005F72E1"/>
    <w:rsid w:val="00601702"/>
    <w:rsid w:val="0060374B"/>
    <w:rsid w:val="006103F4"/>
    <w:rsid w:val="00613EF1"/>
    <w:rsid w:val="006207A7"/>
    <w:rsid w:val="00620947"/>
    <w:rsid w:val="00622C88"/>
    <w:rsid w:val="0062507C"/>
    <w:rsid w:val="00635391"/>
    <w:rsid w:val="00642B6B"/>
    <w:rsid w:val="006509C0"/>
    <w:rsid w:val="00654C24"/>
    <w:rsid w:val="006555B4"/>
    <w:rsid w:val="00661057"/>
    <w:rsid w:val="0066490F"/>
    <w:rsid w:val="0066516C"/>
    <w:rsid w:val="006654E6"/>
    <w:rsid w:val="0066557D"/>
    <w:rsid w:val="00665A76"/>
    <w:rsid w:val="00677282"/>
    <w:rsid w:val="0068007F"/>
    <w:rsid w:val="00680FC8"/>
    <w:rsid w:val="006815AF"/>
    <w:rsid w:val="00695127"/>
    <w:rsid w:val="006A1A15"/>
    <w:rsid w:val="006A2799"/>
    <w:rsid w:val="006B33B3"/>
    <w:rsid w:val="006B6D9D"/>
    <w:rsid w:val="006B6F79"/>
    <w:rsid w:val="006C3511"/>
    <w:rsid w:val="006C45CD"/>
    <w:rsid w:val="006D0238"/>
    <w:rsid w:val="006D642B"/>
    <w:rsid w:val="006E796E"/>
    <w:rsid w:val="006F71A1"/>
    <w:rsid w:val="0071296D"/>
    <w:rsid w:val="00712F83"/>
    <w:rsid w:val="00713AFA"/>
    <w:rsid w:val="00716A48"/>
    <w:rsid w:val="00716ABF"/>
    <w:rsid w:val="0072230F"/>
    <w:rsid w:val="0072315E"/>
    <w:rsid w:val="00724F7B"/>
    <w:rsid w:val="00726B01"/>
    <w:rsid w:val="00736910"/>
    <w:rsid w:val="00740420"/>
    <w:rsid w:val="00743FB6"/>
    <w:rsid w:val="007452E9"/>
    <w:rsid w:val="00747CF7"/>
    <w:rsid w:val="00752EBF"/>
    <w:rsid w:val="0075768B"/>
    <w:rsid w:val="007630EA"/>
    <w:rsid w:val="00774788"/>
    <w:rsid w:val="00780015"/>
    <w:rsid w:val="0078073B"/>
    <w:rsid w:val="00781ADF"/>
    <w:rsid w:val="007823FB"/>
    <w:rsid w:val="00783F5D"/>
    <w:rsid w:val="007903CE"/>
    <w:rsid w:val="00792F90"/>
    <w:rsid w:val="00793670"/>
    <w:rsid w:val="00794DAB"/>
    <w:rsid w:val="007A0119"/>
    <w:rsid w:val="007A0BDB"/>
    <w:rsid w:val="007A7BE7"/>
    <w:rsid w:val="007B2584"/>
    <w:rsid w:val="007B515F"/>
    <w:rsid w:val="007B7402"/>
    <w:rsid w:val="007B7458"/>
    <w:rsid w:val="007D330F"/>
    <w:rsid w:val="007E1792"/>
    <w:rsid w:val="007F5AC1"/>
    <w:rsid w:val="007F68E4"/>
    <w:rsid w:val="007F7F99"/>
    <w:rsid w:val="00803F4C"/>
    <w:rsid w:val="008059C4"/>
    <w:rsid w:val="008104FF"/>
    <w:rsid w:val="00811D5D"/>
    <w:rsid w:val="00813245"/>
    <w:rsid w:val="00814D5C"/>
    <w:rsid w:val="0081535C"/>
    <w:rsid w:val="00816E87"/>
    <w:rsid w:val="008202A4"/>
    <w:rsid w:val="0082624D"/>
    <w:rsid w:val="0082637F"/>
    <w:rsid w:val="008329B3"/>
    <w:rsid w:val="00840466"/>
    <w:rsid w:val="00846EB9"/>
    <w:rsid w:val="008509FA"/>
    <w:rsid w:val="00855D04"/>
    <w:rsid w:val="00860004"/>
    <w:rsid w:val="00862FEA"/>
    <w:rsid w:val="00866488"/>
    <w:rsid w:val="008712EC"/>
    <w:rsid w:val="00871A31"/>
    <w:rsid w:val="0087232D"/>
    <w:rsid w:val="0087558E"/>
    <w:rsid w:val="00890929"/>
    <w:rsid w:val="008924A7"/>
    <w:rsid w:val="00895AEA"/>
    <w:rsid w:val="008A759E"/>
    <w:rsid w:val="008B0066"/>
    <w:rsid w:val="008B107F"/>
    <w:rsid w:val="008B3893"/>
    <w:rsid w:val="008B59A6"/>
    <w:rsid w:val="008D2934"/>
    <w:rsid w:val="008D2D00"/>
    <w:rsid w:val="008D7880"/>
    <w:rsid w:val="008E03DF"/>
    <w:rsid w:val="008E5E84"/>
    <w:rsid w:val="008F0212"/>
    <w:rsid w:val="008F062C"/>
    <w:rsid w:val="008F2394"/>
    <w:rsid w:val="008F417A"/>
    <w:rsid w:val="008F5986"/>
    <w:rsid w:val="008F7880"/>
    <w:rsid w:val="009040D7"/>
    <w:rsid w:val="009061EE"/>
    <w:rsid w:val="009103B4"/>
    <w:rsid w:val="00910630"/>
    <w:rsid w:val="00911344"/>
    <w:rsid w:val="00912ED4"/>
    <w:rsid w:val="00913830"/>
    <w:rsid w:val="00913E98"/>
    <w:rsid w:val="00920955"/>
    <w:rsid w:val="00925B81"/>
    <w:rsid w:val="0093158B"/>
    <w:rsid w:val="00934AD2"/>
    <w:rsid w:val="00935816"/>
    <w:rsid w:val="009363BB"/>
    <w:rsid w:val="00941CE3"/>
    <w:rsid w:val="009471EA"/>
    <w:rsid w:val="0095347B"/>
    <w:rsid w:val="00954023"/>
    <w:rsid w:val="00955B84"/>
    <w:rsid w:val="00963BEC"/>
    <w:rsid w:val="00964209"/>
    <w:rsid w:val="00973A50"/>
    <w:rsid w:val="00976240"/>
    <w:rsid w:val="00977C36"/>
    <w:rsid w:val="00982348"/>
    <w:rsid w:val="00985716"/>
    <w:rsid w:val="009866A6"/>
    <w:rsid w:val="00990F30"/>
    <w:rsid w:val="00992019"/>
    <w:rsid w:val="009B2D5B"/>
    <w:rsid w:val="009C1629"/>
    <w:rsid w:val="009C2C2E"/>
    <w:rsid w:val="009C4DCE"/>
    <w:rsid w:val="009C56EB"/>
    <w:rsid w:val="009D034F"/>
    <w:rsid w:val="009D402B"/>
    <w:rsid w:val="009E109E"/>
    <w:rsid w:val="009E204A"/>
    <w:rsid w:val="009E4267"/>
    <w:rsid w:val="009E768A"/>
    <w:rsid w:val="009E79DC"/>
    <w:rsid w:val="009F6318"/>
    <w:rsid w:val="009F74BC"/>
    <w:rsid w:val="00A061D0"/>
    <w:rsid w:val="00A06C54"/>
    <w:rsid w:val="00A207D3"/>
    <w:rsid w:val="00A25B3A"/>
    <w:rsid w:val="00A25CC2"/>
    <w:rsid w:val="00A308A4"/>
    <w:rsid w:val="00A31C1E"/>
    <w:rsid w:val="00A40188"/>
    <w:rsid w:val="00A40F5D"/>
    <w:rsid w:val="00A414FB"/>
    <w:rsid w:val="00A46147"/>
    <w:rsid w:val="00A4688B"/>
    <w:rsid w:val="00A6224E"/>
    <w:rsid w:val="00A709F4"/>
    <w:rsid w:val="00A74304"/>
    <w:rsid w:val="00A74745"/>
    <w:rsid w:val="00A75D61"/>
    <w:rsid w:val="00A76B68"/>
    <w:rsid w:val="00A77CDD"/>
    <w:rsid w:val="00A8117E"/>
    <w:rsid w:val="00A85757"/>
    <w:rsid w:val="00A86391"/>
    <w:rsid w:val="00A90D9B"/>
    <w:rsid w:val="00A91945"/>
    <w:rsid w:val="00A96AAB"/>
    <w:rsid w:val="00AA2EA0"/>
    <w:rsid w:val="00AA33D2"/>
    <w:rsid w:val="00AB2391"/>
    <w:rsid w:val="00AB3C66"/>
    <w:rsid w:val="00AB65E0"/>
    <w:rsid w:val="00AC02F2"/>
    <w:rsid w:val="00AC0D86"/>
    <w:rsid w:val="00AC223D"/>
    <w:rsid w:val="00AC3016"/>
    <w:rsid w:val="00AC41C7"/>
    <w:rsid w:val="00AD2380"/>
    <w:rsid w:val="00AE03EE"/>
    <w:rsid w:val="00AE0785"/>
    <w:rsid w:val="00AE3313"/>
    <w:rsid w:val="00AE43AB"/>
    <w:rsid w:val="00AE44A0"/>
    <w:rsid w:val="00AE4B56"/>
    <w:rsid w:val="00AE62EB"/>
    <w:rsid w:val="00AF00D2"/>
    <w:rsid w:val="00AF55D3"/>
    <w:rsid w:val="00AF57C9"/>
    <w:rsid w:val="00B002BF"/>
    <w:rsid w:val="00B00F31"/>
    <w:rsid w:val="00B03444"/>
    <w:rsid w:val="00B05616"/>
    <w:rsid w:val="00B1013E"/>
    <w:rsid w:val="00B10174"/>
    <w:rsid w:val="00B15D0A"/>
    <w:rsid w:val="00B1737E"/>
    <w:rsid w:val="00B22276"/>
    <w:rsid w:val="00B238F1"/>
    <w:rsid w:val="00B23EF4"/>
    <w:rsid w:val="00B23F0C"/>
    <w:rsid w:val="00B26714"/>
    <w:rsid w:val="00B30E93"/>
    <w:rsid w:val="00B35E24"/>
    <w:rsid w:val="00B36170"/>
    <w:rsid w:val="00B3787B"/>
    <w:rsid w:val="00B43992"/>
    <w:rsid w:val="00B4638E"/>
    <w:rsid w:val="00B5638F"/>
    <w:rsid w:val="00B6027A"/>
    <w:rsid w:val="00B60A6B"/>
    <w:rsid w:val="00B62C18"/>
    <w:rsid w:val="00B66CC2"/>
    <w:rsid w:val="00B8305E"/>
    <w:rsid w:val="00B841DD"/>
    <w:rsid w:val="00B85E86"/>
    <w:rsid w:val="00B8712D"/>
    <w:rsid w:val="00B906BE"/>
    <w:rsid w:val="00B96787"/>
    <w:rsid w:val="00B976F1"/>
    <w:rsid w:val="00BA3E3D"/>
    <w:rsid w:val="00BA532A"/>
    <w:rsid w:val="00BB25CA"/>
    <w:rsid w:val="00BB2FA2"/>
    <w:rsid w:val="00BB59FC"/>
    <w:rsid w:val="00BC5122"/>
    <w:rsid w:val="00BC7B94"/>
    <w:rsid w:val="00BE05CF"/>
    <w:rsid w:val="00BE0603"/>
    <w:rsid w:val="00BE53DB"/>
    <w:rsid w:val="00BE5B7E"/>
    <w:rsid w:val="00BE5C78"/>
    <w:rsid w:val="00BE65F5"/>
    <w:rsid w:val="00BE7FDD"/>
    <w:rsid w:val="00BF08E7"/>
    <w:rsid w:val="00BF42E6"/>
    <w:rsid w:val="00BF5F7B"/>
    <w:rsid w:val="00BF6478"/>
    <w:rsid w:val="00BF6D83"/>
    <w:rsid w:val="00C04CAE"/>
    <w:rsid w:val="00C050AE"/>
    <w:rsid w:val="00C061DB"/>
    <w:rsid w:val="00C06924"/>
    <w:rsid w:val="00C07B2B"/>
    <w:rsid w:val="00C1073E"/>
    <w:rsid w:val="00C10AC5"/>
    <w:rsid w:val="00C116C8"/>
    <w:rsid w:val="00C21A18"/>
    <w:rsid w:val="00C2225A"/>
    <w:rsid w:val="00C36200"/>
    <w:rsid w:val="00C362F8"/>
    <w:rsid w:val="00C5133E"/>
    <w:rsid w:val="00C51A5F"/>
    <w:rsid w:val="00C51B32"/>
    <w:rsid w:val="00C52CC3"/>
    <w:rsid w:val="00C53E45"/>
    <w:rsid w:val="00C54DC3"/>
    <w:rsid w:val="00C6440B"/>
    <w:rsid w:val="00C65AB2"/>
    <w:rsid w:val="00C66FD3"/>
    <w:rsid w:val="00C740CD"/>
    <w:rsid w:val="00C7706D"/>
    <w:rsid w:val="00C8126B"/>
    <w:rsid w:val="00C8219D"/>
    <w:rsid w:val="00C84297"/>
    <w:rsid w:val="00C85726"/>
    <w:rsid w:val="00C86CC8"/>
    <w:rsid w:val="00C87832"/>
    <w:rsid w:val="00C91F96"/>
    <w:rsid w:val="00C93050"/>
    <w:rsid w:val="00C96A15"/>
    <w:rsid w:val="00CA012D"/>
    <w:rsid w:val="00CA25F1"/>
    <w:rsid w:val="00CA4166"/>
    <w:rsid w:val="00CB137E"/>
    <w:rsid w:val="00CB7599"/>
    <w:rsid w:val="00CC12EF"/>
    <w:rsid w:val="00CC5CAC"/>
    <w:rsid w:val="00CC704D"/>
    <w:rsid w:val="00CD188A"/>
    <w:rsid w:val="00CD28DF"/>
    <w:rsid w:val="00CD2BE9"/>
    <w:rsid w:val="00CD4757"/>
    <w:rsid w:val="00CD6F4C"/>
    <w:rsid w:val="00CD7769"/>
    <w:rsid w:val="00CE0316"/>
    <w:rsid w:val="00CE1B8A"/>
    <w:rsid w:val="00CE3AF2"/>
    <w:rsid w:val="00CE6F29"/>
    <w:rsid w:val="00CE77D0"/>
    <w:rsid w:val="00CF0264"/>
    <w:rsid w:val="00CF22DB"/>
    <w:rsid w:val="00D02A23"/>
    <w:rsid w:val="00D054B1"/>
    <w:rsid w:val="00D07A9E"/>
    <w:rsid w:val="00D1019C"/>
    <w:rsid w:val="00D12E9B"/>
    <w:rsid w:val="00D13CE2"/>
    <w:rsid w:val="00D17CF1"/>
    <w:rsid w:val="00D20CD1"/>
    <w:rsid w:val="00D217CE"/>
    <w:rsid w:val="00D21DCB"/>
    <w:rsid w:val="00D23322"/>
    <w:rsid w:val="00D351A7"/>
    <w:rsid w:val="00D36777"/>
    <w:rsid w:val="00D42233"/>
    <w:rsid w:val="00D42400"/>
    <w:rsid w:val="00D43049"/>
    <w:rsid w:val="00D43E58"/>
    <w:rsid w:val="00D47E28"/>
    <w:rsid w:val="00D53DAF"/>
    <w:rsid w:val="00D56DD6"/>
    <w:rsid w:val="00D57A11"/>
    <w:rsid w:val="00D61993"/>
    <w:rsid w:val="00D7101A"/>
    <w:rsid w:val="00D7114A"/>
    <w:rsid w:val="00D7729E"/>
    <w:rsid w:val="00D77B0C"/>
    <w:rsid w:val="00D84F79"/>
    <w:rsid w:val="00D8540E"/>
    <w:rsid w:val="00D85EDA"/>
    <w:rsid w:val="00D870CF"/>
    <w:rsid w:val="00D92A24"/>
    <w:rsid w:val="00D96687"/>
    <w:rsid w:val="00D97F19"/>
    <w:rsid w:val="00DA0BF0"/>
    <w:rsid w:val="00DB0A45"/>
    <w:rsid w:val="00DC0184"/>
    <w:rsid w:val="00DC2003"/>
    <w:rsid w:val="00DC243B"/>
    <w:rsid w:val="00DC4555"/>
    <w:rsid w:val="00DC48BE"/>
    <w:rsid w:val="00DD15F6"/>
    <w:rsid w:val="00DF2687"/>
    <w:rsid w:val="00DF4A86"/>
    <w:rsid w:val="00DF6D0A"/>
    <w:rsid w:val="00E05FE5"/>
    <w:rsid w:val="00E06041"/>
    <w:rsid w:val="00E07F0F"/>
    <w:rsid w:val="00E11346"/>
    <w:rsid w:val="00E15243"/>
    <w:rsid w:val="00E178BD"/>
    <w:rsid w:val="00E269B8"/>
    <w:rsid w:val="00E31636"/>
    <w:rsid w:val="00E33B46"/>
    <w:rsid w:val="00E443C5"/>
    <w:rsid w:val="00E47A43"/>
    <w:rsid w:val="00E51415"/>
    <w:rsid w:val="00E564D2"/>
    <w:rsid w:val="00E56741"/>
    <w:rsid w:val="00E719AC"/>
    <w:rsid w:val="00E744B0"/>
    <w:rsid w:val="00E752B7"/>
    <w:rsid w:val="00E76319"/>
    <w:rsid w:val="00E87E19"/>
    <w:rsid w:val="00EA32EF"/>
    <w:rsid w:val="00EB012E"/>
    <w:rsid w:val="00EB35C3"/>
    <w:rsid w:val="00EC2367"/>
    <w:rsid w:val="00EC3C5A"/>
    <w:rsid w:val="00EC73A6"/>
    <w:rsid w:val="00ED153D"/>
    <w:rsid w:val="00ED5219"/>
    <w:rsid w:val="00ED6EF6"/>
    <w:rsid w:val="00ED7AA6"/>
    <w:rsid w:val="00EE23C2"/>
    <w:rsid w:val="00EE5FF0"/>
    <w:rsid w:val="00EF447D"/>
    <w:rsid w:val="00EF5680"/>
    <w:rsid w:val="00EF5DA5"/>
    <w:rsid w:val="00EF72FF"/>
    <w:rsid w:val="00F00CA5"/>
    <w:rsid w:val="00F018CD"/>
    <w:rsid w:val="00F01F08"/>
    <w:rsid w:val="00F03B0A"/>
    <w:rsid w:val="00F04803"/>
    <w:rsid w:val="00F064CE"/>
    <w:rsid w:val="00F07D83"/>
    <w:rsid w:val="00F11840"/>
    <w:rsid w:val="00F21676"/>
    <w:rsid w:val="00F22538"/>
    <w:rsid w:val="00F24D75"/>
    <w:rsid w:val="00F25493"/>
    <w:rsid w:val="00F2621D"/>
    <w:rsid w:val="00F30A44"/>
    <w:rsid w:val="00F5341C"/>
    <w:rsid w:val="00F54EC4"/>
    <w:rsid w:val="00F55003"/>
    <w:rsid w:val="00F575D6"/>
    <w:rsid w:val="00F624C0"/>
    <w:rsid w:val="00F73404"/>
    <w:rsid w:val="00F73AC3"/>
    <w:rsid w:val="00F73C16"/>
    <w:rsid w:val="00F73FEC"/>
    <w:rsid w:val="00F75B3D"/>
    <w:rsid w:val="00F8291C"/>
    <w:rsid w:val="00F82FB7"/>
    <w:rsid w:val="00F840B1"/>
    <w:rsid w:val="00F973E5"/>
    <w:rsid w:val="00FA090B"/>
    <w:rsid w:val="00FA3A53"/>
    <w:rsid w:val="00FA5929"/>
    <w:rsid w:val="00FA6A25"/>
    <w:rsid w:val="00FB2B77"/>
    <w:rsid w:val="00FB2C9E"/>
    <w:rsid w:val="00FB4D7B"/>
    <w:rsid w:val="00FB66CB"/>
    <w:rsid w:val="00FC3A6B"/>
    <w:rsid w:val="00FC408C"/>
    <w:rsid w:val="00FC7387"/>
    <w:rsid w:val="00FC77B3"/>
    <w:rsid w:val="00FD3B3A"/>
    <w:rsid w:val="00FD4D14"/>
    <w:rsid w:val="00FE27D0"/>
    <w:rsid w:val="00FF0D70"/>
    <w:rsid w:val="00FF122F"/>
    <w:rsid w:val="00FF2596"/>
    <w:rsid w:val="00FF3508"/>
    <w:rsid w:val="00FF5079"/>
    <w:rsid w:val="00FF6C22"/>
    <w:rsid w:val="193E0723"/>
    <w:rsid w:val="1C402B97"/>
    <w:rsid w:val="30564A47"/>
    <w:rsid w:val="384D3B94"/>
    <w:rsid w:val="39FFEC3F"/>
    <w:rsid w:val="506020E1"/>
    <w:rsid w:val="5E394476"/>
    <w:rsid w:val="6DBDD129"/>
    <w:rsid w:val="769FEF02"/>
    <w:rsid w:val="77DBB527"/>
    <w:rsid w:val="7C830D52"/>
    <w:rsid w:val="B7FB7EB5"/>
    <w:rsid w:val="DCFF82C6"/>
    <w:rsid w:val="DFFE46BE"/>
    <w:rsid w:val="E0FF5726"/>
    <w:rsid w:val="FFB5AE00"/>
    <w:rsid w:val="FFEBE64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name="toc 1"/>
    <w:lsdException w:qFormat="1" w:uiPriority="39" w:semiHidden="0" w:name="toc 2"/>
    <w:lsdException w:qFormat="1"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semiHidden="0" w:name="Title"/>
    <w:lsdException w:unhideWhenUsed="0" w:uiPriority="99" w:name="Closing"/>
    <w:lsdException w:unhideWhenUsed="0" w:uiPriority="99" w:name="Signature"/>
    <w:lsdException w:uiPriority="1" w:name="Default Paragraph Font"/>
    <w:lsdException w:unhideWhenUsed="0" w:uiPriority="99"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semiHidden="0"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unhideWhenUsed="0" w:uiPriority="99" w:name="Hyperlink"/>
    <w:lsdException w:unhideWhenUsed="0" w:uiPriority="99" w:name="FollowedHyperlink"/>
    <w:lsdException w:qFormat="1" w:unhideWhenUsed="0" w:uiPriority="22" w:semiHidden="0" w:name="Strong"/>
    <w:lsdException w:qFormat="1" w:unhideWhenUsed="0" w:uiPriority="20" w:semiHidden="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19"/>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0"/>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2"/>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1"/>
    <w:semiHidden/>
    <w:qFormat/>
    <w:uiPriority w:val="9"/>
    <w:pPr>
      <w:keepNext/>
      <w:keepLines/>
      <w:spacing w:before="280" w:after="290" w:line="480" w:lineRule="auto"/>
      <w:ind w:firstLine="0" w:firstLineChars="0"/>
      <w:outlineLvl w:val="4"/>
    </w:pPr>
    <w:rPr>
      <w:b/>
      <w:bCs/>
      <w:szCs w:val="28"/>
    </w:rPr>
  </w:style>
  <w:style w:type="character" w:default="1" w:styleId="14">
    <w:name w:val="Default Paragraph Font"/>
    <w:unhideWhenUsed/>
    <w:uiPriority w:val="1"/>
  </w:style>
  <w:style w:type="table" w:default="1" w:styleId="16">
    <w:name w:val="Normal Table"/>
    <w:unhideWhenUsed/>
    <w:uiPriority w:val="99"/>
    <w:tblPr>
      <w:tblLayout w:type="fixed"/>
      <w:tblCellMar>
        <w:top w:w="0" w:type="dxa"/>
        <w:left w:w="108" w:type="dxa"/>
        <w:bottom w:w="0" w:type="dxa"/>
        <w:right w:w="108" w:type="dxa"/>
      </w:tblCellMar>
    </w:tblPr>
  </w:style>
  <w:style w:type="paragraph" w:styleId="7">
    <w:name w:val="annotation subject"/>
    <w:basedOn w:val="8"/>
    <w:next w:val="8"/>
    <w:link w:val="44"/>
    <w:semiHidden/>
    <w:qFormat/>
    <w:uiPriority w:val="99"/>
    <w:rPr>
      <w:b/>
      <w:bCs/>
    </w:rPr>
  </w:style>
  <w:style w:type="paragraph" w:styleId="8">
    <w:name w:val="annotation text"/>
    <w:basedOn w:val="1"/>
    <w:link w:val="43"/>
    <w:semiHidden/>
    <w:qFormat/>
    <w:uiPriority w:val="99"/>
  </w:style>
  <w:style w:type="paragraph" w:styleId="9">
    <w:name w:val="toc 3"/>
    <w:basedOn w:val="1"/>
    <w:next w:val="1"/>
    <w:unhideWhenUsed/>
    <w:qFormat/>
    <w:uiPriority w:val="39"/>
    <w:pPr>
      <w:widowControl/>
      <w:tabs>
        <w:tab w:val="right" w:leader="dot" w:pos="8302"/>
      </w:tabs>
      <w:spacing w:after="100" w:line="259" w:lineRule="auto"/>
      <w:ind w:left="284" w:firstLine="0" w:firstLineChars="0"/>
    </w:pPr>
    <w:rPr>
      <w:rFonts w:ascii="仿宋_GB2312" w:eastAsia="仿宋_GB2312" w:cs="Times New Roman"/>
      <w:spacing w:val="-20"/>
      <w:sz w:val="32"/>
      <w:szCs w:val="32"/>
    </w:rPr>
  </w:style>
  <w:style w:type="paragraph" w:styleId="10">
    <w:name w:val="Balloon Text"/>
    <w:basedOn w:val="1"/>
    <w:link w:val="40"/>
    <w:semiHidden/>
    <w:qFormat/>
    <w:uiPriority w:val="99"/>
    <w:pPr>
      <w:spacing w:line="240" w:lineRule="auto"/>
    </w:pPr>
    <w:rPr>
      <w:sz w:val="18"/>
      <w:szCs w:val="18"/>
    </w:rPr>
  </w:style>
  <w:style w:type="paragraph" w:styleId="11">
    <w:name w:val="footer"/>
    <w:basedOn w:val="1"/>
    <w:link w:val="39"/>
    <w:qFormat/>
    <w:uiPriority w:val="99"/>
    <w:pPr>
      <w:tabs>
        <w:tab w:val="center" w:pos="4153"/>
        <w:tab w:val="right" w:pos="8306"/>
      </w:tabs>
      <w:snapToGrid w:val="0"/>
      <w:spacing w:line="240" w:lineRule="auto"/>
    </w:pPr>
    <w:rPr>
      <w:sz w:val="18"/>
      <w:szCs w:val="18"/>
    </w:rPr>
  </w:style>
  <w:style w:type="paragraph" w:styleId="12">
    <w:name w:val="toc 1"/>
    <w:basedOn w:val="1"/>
    <w:next w:val="1"/>
    <w:semiHidden/>
    <w:qFormat/>
    <w:uiPriority w:val="39"/>
  </w:style>
  <w:style w:type="paragraph" w:styleId="13">
    <w:name w:val="toc 2"/>
    <w:basedOn w:val="1"/>
    <w:next w:val="1"/>
    <w:unhideWhenUsed/>
    <w:qFormat/>
    <w:uiPriority w:val="39"/>
    <w:pPr>
      <w:widowControl/>
      <w:tabs>
        <w:tab w:val="right" w:leader="dot" w:pos="8302"/>
      </w:tabs>
      <w:spacing w:after="100" w:line="259" w:lineRule="auto"/>
      <w:ind w:firstLine="0" w:firstLineChars="0"/>
    </w:pPr>
    <w:rPr>
      <w:rFonts w:ascii="仿宋_GB2312" w:eastAsia="仿宋_GB2312" w:cs="Times New Roman"/>
      <w:b/>
      <w:kern w:val="0"/>
      <w:sz w:val="32"/>
      <w:szCs w:val="32"/>
    </w:rPr>
  </w:style>
  <w:style w:type="character" w:styleId="15">
    <w:name w:val="annotation reference"/>
    <w:basedOn w:val="14"/>
    <w:semiHidden/>
    <w:qFormat/>
    <w:uiPriority w:val="99"/>
    <w:rPr>
      <w:sz w:val="21"/>
      <w:szCs w:val="21"/>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8">
    <w:name w:val="标题 1 字符"/>
    <w:basedOn w:val="14"/>
    <w:link w:val="2"/>
    <w:semiHidden/>
    <w:qFormat/>
    <w:uiPriority w:val="9"/>
    <w:rPr>
      <w:b/>
      <w:bCs/>
      <w:kern w:val="44"/>
      <w:sz w:val="44"/>
      <w:szCs w:val="44"/>
    </w:rPr>
  </w:style>
  <w:style w:type="character" w:customStyle="1" w:styleId="19">
    <w:name w:val="标题 2 字符"/>
    <w:basedOn w:val="14"/>
    <w:link w:val="3"/>
    <w:semiHidden/>
    <w:qFormat/>
    <w:uiPriority w:val="9"/>
    <w:rPr>
      <w:rFonts w:asciiTheme="majorHAnsi" w:hAnsiTheme="majorHAnsi" w:cstheme="majorBidi"/>
      <w:b/>
      <w:bCs/>
      <w:sz w:val="32"/>
      <w:szCs w:val="32"/>
    </w:rPr>
  </w:style>
  <w:style w:type="character" w:customStyle="1" w:styleId="20">
    <w:name w:val="标题 3 字符"/>
    <w:basedOn w:val="14"/>
    <w:link w:val="4"/>
    <w:semiHidden/>
    <w:qFormat/>
    <w:uiPriority w:val="9"/>
    <w:rPr>
      <w:b/>
      <w:bCs/>
      <w:sz w:val="30"/>
      <w:szCs w:val="32"/>
    </w:rPr>
  </w:style>
  <w:style w:type="character" w:customStyle="1" w:styleId="21">
    <w:name w:val="标题 5 字符"/>
    <w:basedOn w:val="14"/>
    <w:link w:val="6"/>
    <w:semiHidden/>
    <w:qFormat/>
    <w:uiPriority w:val="9"/>
    <w:rPr>
      <w:b/>
      <w:bCs/>
      <w:szCs w:val="28"/>
    </w:rPr>
  </w:style>
  <w:style w:type="character" w:customStyle="1" w:styleId="22">
    <w:name w:val="标题 4 字符"/>
    <w:basedOn w:val="14"/>
    <w:link w:val="5"/>
    <w:semiHidden/>
    <w:qFormat/>
    <w:uiPriority w:val="9"/>
    <w:rPr>
      <w:rFonts w:asciiTheme="majorHAnsi" w:hAnsiTheme="majorHAnsi" w:eastAsiaTheme="majorEastAsia" w:cstheme="majorBidi"/>
      <w:b/>
      <w:bCs/>
      <w:sz w:val="28"/>
      <w:szCs w:val="28"/>
    </w:rPr>
  </w:style>
  <w:style w:type="paragraph" w:customStyle="1" w:styleId="23">
    <w:name w:val="市局绩效-标题"/>
    <w:basedOn w:val="2"/>
    <w:link w:val="25"/>
    <w:qFormat/>
    <w:uiPriority w:val="0"/>
    <w:pPr>
      <w:spacing w:line="600" w:lineRule="exact"/>
    </w:pPr>
    <w:rPr>
      <w:rFonts w:ascii="方正小标宋简体" w:hAnsi="方正小标宋简体" w:eastAsia="方正小标宋简体"/>
      <w:b w:val="0"/>
    </w:rPr>
  </w:style>
  <w:style w:type="paragraph" w:customStyle="1" w:styleId="24">
    <w:name w:val="市局绩效-正文"/>
    <w:basedOn w:val="1"/>
    <w:link w:val="27"/>
    <w:qFormat/>
    <w:uiPriority w:val="0"/>
    <w:pPr>
      <w:spacing w:line="600" w:lineRule="exact"/>
      <w:jc w:val="both"/>
    </w:pPr>
    <w:rPr>
      <w:rFonts w:ascii="Times New Roman" w:hAnsi="Times New Roman" w:eastAsia="仿宋_GB2312"/>
      <w:sz w:val="32"/>
    </w:rPr>
  </w:style>
  <w:style w:type="character" w:customStyle="1" w:styleId="25">
    <w:name w:val="市局绩效-标题 字符"/>
    <w:basedOn w:val="18"/>
    <w:link w:val="23"/>
    <w:qFormat/>
    <w:uiPriority w:val="0"/>
    <w:rPr>
      <w:rFonts w:ascii="方正小标宋简体" w:hAnsi="方正小标宋简体" w:eastAsia="方正小标宋简体"/>
      <w:b w:val="0"/>
      <w:kern w:val="44"/>
      <w:sz w:val="44"/>
      <w:szCs w:val="44"/>
    </w:rPr>
  </w:style>
  <w:style w:type="paragraph" w:customStyle="1" w:styleId="26">
    <w:name w:val="市局绩效-一级标题"/>
    <w:basedOn w:val="3"/>
    <w:link w:val="29"/>
    <w:qFormat/>
    <w:uiPriority w:val="0"/>
    <w:pPr>
      <w:spacing w:before="0" w:after="0" w:line="600" w:lineRule="exact"/>
      <w:ind w:firstLine="641"/>
      <w:jc w:val="both"/>
    </w:pPr>
    <w:rPr>
      <w:rFonts w:ascii="Times New Roman" w:hAnsi="Times New Roman" w:eastAsia="黑体"/>
      <w:b w:val="0"/>
    </w:rPr>
  </w:style>
  <w:style w:type="character" w:customStyle="1" w:styleId="27">
    <w:name w:val="市局绩效-正文 字符"/>
    <w:basedOn w:val="14"/>
    <w:link w:val="24"/>
    <w:qFormat/>
    <w:uiPriority w:val="0"/>
    <w:rPr>
      <w:rFonts w:ascii="Times New Roman" w:hAnsi="Times New Roman" w:eastAsia="仿宋_GB2312"/>
      <w:sz w:val="32"/>
    </w:rPr>
  </w:style>
  <w:style w:type="paragraph" w:customStyle="1" w:styleId="28">
    <w:name w:val="市局绩效-二级标题"/>
    <w:basedOn w:val="4"/>
    <w:link w:val="30"/>
    <w:qFormat/>
    <w:uiPriority w:val="0"/>
    <w:pPr>
      <w:spacing w:before="0" w:after="0" w:line="600" w:lineRule="exact"/>
      <w:ind w:firstLine="200" w:firstLineChars="200"/>
      <w:jc w:val="both"/>
    </w:pPr>
    <w:rPr>
      <w:rFonts w:eastAsia="楷体_GB2312"/>
      <w:b w:val="0"/>
      <w:sz w:val="32"/>
    </w:rPr>
  </w:style>
  <w:style w:type="character" w:customStyle="1" w:styleId="29">
    <w:name w:val="市局绩效-一级标题 字符"/>
    <w:basedOn w:val="19"/>
    <w:link w:val="26"/>
    <w:qFormat/>
    <w:uiPriority w:val="0"/>
    <w:rPr>
      <w:rFonts w:ascii="Times New Roman" w:hAnsi="Times New Roman" w:eastAsia="黑体" w:cstheme="majorBidi"/>
      <w:b w:val="0"/>
      <w:sz w:val="32"/>
      <w:szCs w:val="32"/>
    </w:rPr>
  </w:style>
  <w:style w:type="character" w:customStyle="1" w:styleId="30">
    <w:name w:val="市局绩效-二级标题 字符"/>
    <w:basedOn w:val="20"/>
    <w:link w:val="28"/>
    <w:qFormat/>
    <w:uiPriority w:val="0"/>
    <w:rPr>
      <w:rFonts w:eastAsia="楷体_GB2312"/>
      <w:b w:val="0"/>
      <w:sz w:val="32"/>
      <w:szCs w:val="32"/>
    </w:rPr>
  </w:style>
  <w:style w:type="paragraph" w:customStyle="1" w:styleId="31">
    <w:name w:val="市局绩效-表格标题"/>
    <w:basedOn w:val="1"/>
    <w:link w:val="33"/>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2">
    <w:name w:val="市局绩效-表格单位"/>
    <w:basedOn w:val="1"/>
    <w:link w:val="35"/>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3">
    <w:name w:val="市局绩效-表格标题 字符"/>
    <w:basedOn w:val="14"/>
    <w:link w:val="31"/>
    <w:qFormat/>
    <w:uiPriority w:val="0"/>
    <w:rPr>
      <w:rFonts w:ascii="Times New Roman" w:hAnsi="Times New Roman" w:eastAsia="黑体" w:cs="Times New Roman"/>
      <w:bCs/>
      <w:sz w:val="28"/>
      <w:szCs w:val="24"/>
    </w:rPr>
  </w:style>
  <w:style w:type="paragraph" w:customStyle="1" w:styleId="34">
    <w:name w:val="市局绩效-表格表头"/>
    <w:basedOn w:val="24"/>
    <w:link w:val="37"/>
    <w:qFormat/>
    <w:uiPriority w:val="0"/>
    <w:pPr>
      <w:spacing w:line="240" w:lineRule="auto"/>
      <w:ind w:firstLine="0" w:firstLineChars="0"/>
      <w:jc w:val="center"/>
    </w:pPr>
    <w:rPr>
      <w:rFonts w:eastAsia="黑体"/>
      <w:b/>
      <w:sz w:val="21"/>
    </w:rPr>
  </w:style>
  <w:style w:type="character" w:customStyle="1" w:styleId="35">
    <w:name w:val="市局绩效-表格单位 字符"/>
    <w:basedOn w:val="14"/>
    <w:link w:val="32"/>
    <w:qFormat/>
    <w:uiPriority w:val="0"/>
    <w:rPr>
      <w:rFonts w:ascii="Times New Roman" w:hAnsi="Times New Roman" w:eastAsia="宋体"/>
      <w:bCs/>
      <w:szCs w:val="18"/>
    </w:rPr>
  </w:style>
  <w:style w:type="paragraph" w:customStyle="1" w:styleId="36">
    <w:name w:val="市局绩效-表格内容"/>
    <w:basedOn w:val="24"/>
    <w:link w:val="38"/>
    <w:qFormat/>
    <w:uiPriority w:val="0"/>
    <w:pPr>
      <w:spacing w:line="360" w:lineRule="auto"/>
      <w:ind w:firstLine="0" w:firstLineChars="0"/>
      <w:jc w:val="center"/>
    </w:pPr>
    <w:rPr>
      <w:rFonts w:eastAsia="宋体"/>
      <w:sz w:val="21"/>
    </w:rPr>
  </w:style>
  <w:style w:type="character" w:customStyle="1" w:styleId="37">
    <w:name w:val="市局绩效-表格表头 字符"/>
    <w:basedOn w:val="27"/>
    <w:link w:val="34"/>
    <w:qFormat/>
    <w:uiPriority w:val="0"/>
    <w:rPr>
      <w:rFonts w:ascii="Times New Roman" w:hAnsi="Times New Roman" w:eastAsia="黑体"/>
      <w:b/>
      <w:sz w:val="32"/>
    </w:rPr>
  </w:style>
  <w:style w:type="character" w:customStyle="1" w:styleId="38">
    <w:name w:val="市局绩效-表格内容 字符"/>
    <w:basedOn w:val="27"/>
    <w:link w:val="36"/>
    <w:qFormat/>
    <w:uiPriority w:val="0"/>
    <w:rPr>
      <w:rFonts w:ascii="Times New Roman" w:hAnsi="Times New Roman" w:eastAsia="宋体"/>
      <w:sz w:val="32"/>
    </w:rPr>
  </w:style>
  <w:style w:type="character" w:customStyle="1" w:styleId="39">
    <w:name w:val="页脚 字符"/>
    <w:basedOn w:val="14"/>
    <w:link w:val="11"/>
    <w:qFormat/>
    <w:uiPriority w:val="99"/>
    <w:rPr>
      <w:sz w:val="18"/>
      <w:szCs w:val="18"/>
    </w:rPr>
  </w:style>
  <w:style w:type="character" w:customStyle="1" w:styleId="40">
    <w:name w:val="批注框文本 字符"/>
    <w:basedOn w:val="14"/>
    <w:link w:val="10"/>
    <w:semiHidden/>
    <w:qFormat/>
    <w:uiPriority w:val="99"/>
    <w:rPr>
      <w:sz w:val="18"/>
      <w:szCs w:val="18"/>
    </w:rPr>
  </w:style>
  <w:style w:type="paragraph" w:customStyle="1" w:styleId="41">
    <w:name w:val="市局绩效-注"/>
    <w:basedOn w:val="24"/>
    <w:link w:val="42"/>
    <w:qFormat/>
    <w:uiPriority w:val="0"/>
    <w:pPr>
      <w:ind w:firstLine="0" w:firstLineChars="0"/>
    </w:pPr>
    <w:rPr>
      <w:rFonts w:eastAsia="宋体"/>
      <w:bCs/>
      <w:sz w:val="21"/>
    </w:rPr>
  </w:style>
  <w:style w:type="character" w:customStyle="1" w:styleId="42">
    <w:name w:val="市局绩效-注 字符"/>
    <w:basedOn w:val="27"/>
    <w:link w:val="41"/>
    <w:qFormat/>
    <w:uiPriority w:val="0"/>
    <w:rPr>
      <w:rFonts w:ascii="Times New Roman" w:hAnsi="Times New Roman" w:eastAsia="宋体"/>
      <w:bCs/>
      <w:sz w:val="32"/>
    </w:rPr>
  </w:style>
  <w:style w:type="character" w:customStyle="1" w:styleId="43">
    <w:name w:val="批注文字 字符"/>
    <w:basedOn w:val="14"/>
    <w:link w:val="8"/>
    <w:semiHidden/>
    <w:qFormat/>
    <w:uiPriority w:val="99"/>
  </w:style>
  <w:style w:type="character" w:customStyle="1" w:styleId="44">
    <w:name w:val="批注主题 字符"/>
    <w:basedOn w:val="43"/>
    <w:link w:val="7"/>
    <w:semiHidden/>
    <w:qFormat/>
    <w:uiPriority w:val="99"/>
    <w:rPr>
      <w:b/>
      <w:bCs/>
    </w:rPr>
  </w:style>
  <w:style w:type="paragraph" w:customStyle="1" w:styleId="45">
    <w:name w:val="绩效正文"/>
    <w:basedOn w:val="1"/>
    <w:link w:val="46"/>
    <w:qFormat/>
    <w:uiPriority w:val="0"/>
    <w:pPr>
      <w:spacing w:line="480" w:lineRule="exact"/>
      <w:textAlignment w:val="baseline"/>
    </w:pPr>
    <w:rPr>
      <w:rFonts w:ascii="Times New Roman" w:hAnsi="Times New Roman" w:eastAsia="仿宋" w:cs="Times New Roman"/>
      <w:sz w:val="28"/>
      <w:szCs w:val="24"/>
    </w:rPr>
  </w:style>
  <w:style w:type="character" w:customStyle="1" w:styleId="46">
    <w:name w:val="绩效正文 字符"/>
    <w:basedOn w:val="14"/>
    <w:link w:val="45"/>
    <w:qFormat/>
    <w:uiPriority w:val="0"/>
    <w:rPr>
      <w:rFonts w:ascii="Times New Roman" w:hAnsi="Times New Roman" w:eastAsia="仿宋" w:cs="Times New Roman"/>
      <w:sz w:val="28"/>
      <w:szCs w:val="24"/>
    </w:rPr>
  </w:style>
  <w:style w:type="paragraph" w:customStyle="1" w:styleId="47">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2267</Words>
  <Characters>12922</Characters>
  <Lines>107</Lines>
  <Paragraphs>30</Paragraphs>
  <TotalTime>0</TotalTime>
  <ScaleCrop>false</ScaleCrop>
  <LinksUpToDate>false</LinksUpToDate>
  <CharactersWithSpaces>15159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2021-10-07T04:17:00Z</dcterms:created>
  <dc:creator>忠晔 张</dc:creator>
  <cp:lastModifiedBy>User</cp:lastModifiedBy>
  <cp:lastPrinted>2022-04-30T03:26:00Z</cp:lastPrinted>
  <dcterms:modified xsi:type="dcterms:W3CDTF">2024-01-08T02:19:57Z</dcterms:modified>
  <cp:revision>428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E86B9F9CC06A7D264CC8D964BE52485A_42</vt:lpwstr>
  </property>
</Properties>
</file>