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hint="eastAsia" w:ascii="Times New Roman" w:hAnsi="Times New Roman" w:eastAsia="方正小标宋简体"/>
          <w:sz w:val="52"/>
          <w:szCs w:val="52"/>
          <w:lang w:eastAsia="zh-Hans"/>
        </w:rPr>
        <w:t>项目</w:t>
      </w:r>
      <w:r>
        <w:rPr>
          <w:rFonts w:ascii="Times New Roman" w:hAnsi="Times New Roman" w:eastAsia="方正小标宋简体"/>
          <w:sz w:val="52"/>
          <w:szCs w:val="52"/>
        </w:rPr>
        <w:t>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2022</w:t>
      </w:r>
      <w:r>
        <w:rPr>
          <w:rFonts w:ascii="Times New Roman" w:hAnsi="Times New Roman" w:eastAsia="方正小标宋简体"/>
          <w:sz w:val="40"/>
          <w:szCs w:val="36"/>
        </w:rPr>
        <w:t>年度）</w:t>
      </w: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900" w:lineRule="exact"/>
        <w:ind w:firstLine="0" w:firstLineChars="0"/>
        <w:rPr>
          <w:rFonts w:ascii="Times New Roman" w:hAnsi="Times New Roman" w:eastAsia="仿宋_GB2312"/>
          <w:sz w:val="32"/>
          <w:szCs w:val="32"/>
        </w:rPr>
      </w:pPr>
      <w:r>
        <w:rPr>
          <w:rFonts w:hint="eastAsia" w:ascii="Times New Roman" w:hAnsi="Times New Roman" w:eastAsia="仿宋_GB2312"/>
          <w:sz w:val="32"/>
          <w:szCs w:val="32"/>
        </w:rPr>
        <w:t>主 管 部 门：</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r>
        <w:rPr>
          <w:rFonts w:ascii="Times New Roman" w:hAnsi="Times New Roman" w:eastAsia="仿宋_GB2312"/>
          <w:sz w:val="32"/>
          <w:szCs w:val="32"/>
          <w:u w:val="single"/>
        </w:rPr>
        <w:t>天津市和平区</w:t>
      </w:r>
      <w:r>
        <w:rPr>
          <w:rFonts w:hint="eastAsia" w:ascii="Times New Roman" w:hAnsi="Times New Roman" w:eastAsia="仿宋_GB2312"/>
          <w:sz w:val="32"/>
          <w:szCs w:val="32"/>
          <w:u w:val="single"/>
        </w:rPr>
        <w:t xml:space="preserve">文化和旅游局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p>
    <w:p>
      <w:pPr>
        <w:spacing w:line="900" w:lineRule="exact"/>
        <w:ind w:firstLine="0" w:firstLineChars="0"/>
        <w:rPr>
          <w:rFonts w:ascii="Times New Roman" w:hAnsi="Times New Roman" w:eastAsia="仿宋_GB2312" w:cs="Times New Roman"/>
          <w:spacing w:val="-20"/>
          <w:sz w:val="32"/>
          <w:szCs w:val="32"/>
          <w:u w:val="single"/>
        </w:rPr>
      </w:pPr>
      <w:r>
        <w:rPr>
          <w:rFonts w:hint="eastAsia" w:ascii="Times New Roman" w:hAnsi="Times New Roman" w:eastAsia="仿宋_GB2312"/>
          <w:sz w:val="32"/>
          <w:szCs w:val="32"/>
        </w:rPr>
        <w:t>项 目 单 位</w:t>
      </w:r>
      <w:r>
        <w:rPr>
          <w:rFonts w:ascii="Times New Roman" w:hAnsi="Times New Roman" w:eastAsia="仿宋_GB2312"/>
          <w:sz w:val="32"/>
          <w:szCs w:val="32"/>
        </w:rPr>
        <w:t>：</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r>
        <w:rPr>
          <w:rFonts w:ascii="Times New Roman" w:hAnsi="Times New Roman" w:eastAsia="仿宋_GB2312"/>
          <w:sz w:val="32"/>
          <w:szCs w:val="32"/>
          <w:u w:val="single"/>
        </w:rPr>
        <w:t>天津市和平区</w:t>
      </w:r>
      <w:r>
        <w:rPr>
          <w:rFonts w:hint="eastAsia" w:ascii="Times New Roman" w:hAnsi="Times New Roman" w:eastAsia="仿宋_GB2312"/>
          <w:sz w:val="32"/>
          <w:szCs w:val="32"/>
          <w:u w:val="single"/>
        </w:rPr>
        <w:t xml:space="preserve">文化和旅游局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项 目 名 称：</w:t>
      </w:r>
      <w:r>
        <w:rPr>
          <w:rFonts w:hint="eastAsia" w:ascii="Times New Roman" w:hAnsi="Times New Roman" w:eastAsia="仿宋_GB2312"/>
          <w:sz w:val="32"/>
          <w:szCs w:val="32"/>
          <w:u w:val="single"/>
        </w:rPr>
        <w:t xml:space="preserve"> </w:t>
      </w:r>
      <w:r>
        <w:rPr>
          <w:rFonts w:ascii="Times New Roman" w:hAnsi="Times New Roman" w:eastAsia="仿宋_GB2312"/>
          <w:spacing w:val="-23"/>
          <w:sz w:val="30"/>
          <w:szCs w:val="30"/>
          <w:u w:val="single"/>
        </w:rPr>
        <w:t>2022年中央补助地方公共文化服务体系建</w:t>
      </w:r>
      <w:r>
        <w:rPr>
          <w:rFonts w:hint="eastAsia" w:ascii="Times New Roman" w:hAnsi="Times New Roman" w:eastAsia="仿宋_GB2312"/>
          <w:spacing w:val="-23"/>
          <w:sz w:val="30"/>
          <w:szCs w:val="30"/>
          <w:u w:val="single"/>
        </w:rPr>
        <w:t>设补</w:t>
      </w:r>
      <w:r>
        <w:rPr>
          <w:rFonts w:ascii="Times New Roman" w:hAnsi="Times New Roman" w:eastAsia="仿宋_GB2312"/>
          <w:spacing w:val="-23"/>
          <w:sz w:val="30"/>
          <w:szCs w:val="30"/>
          <w:u w:val="single"/>
        </w:rPr>
        <w:t>助资金-中央</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有限公司</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07</w:t>
      </w:r>
      <w:r>
        <w:rPr>
          <w:rFonts w:hint="eastAsia" w:ascii="Times New Roman" w:hAnsi="Times New Roman" w:eastAsia="仿宋_GB2312"/>
          <w:sz w:val="32"/>
          <w:szCs w:val="32"/>
          <w:u w:val="single"/>
        </w:rPr>
        <w:t>月-</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widowControl/>
        <w:spacing w:line="240" w:lineRule="auto"/>
        <w:ind w:firstLine="0" w:firstLineChars="0"/>
        <w:rPr>
          <w:rFonts w:ascii="Times New Roman" w:hAnsi="Times New Roman" w:eastAsia="方正小标宋简体"/>
          <w:bCs/>
          <w:color w:val="000000" w:themeColor="text1"/>
          <w:kern w:val="44"/>
          <w:sz w:val="44"/>
          <w:szCs w:val="44"/>
          <w14:textFill>
            <w14:solidFill>
              <w14:schemeClr w14:val="tx1"/>
            </w14:solidFill>
          </w14:textFill>
        </w:rPr>
      </w:pPr>
      <w:r>
        <w:rPr>
          <w:rFonts w:ascii="Times New Roman" w:hAnsi="Times New Roman" w:eastAsia="方正小标宋简体"/>
          <w:bCs/>
          <w:color w:val="000000" w:themeColor="text1"/>
          <w:kern w:val="44"/>
          <w:sz w:val="44"/>
          <w:szCs w:val="44"/>
          <w14:textFill>
            <w14:solidFill>
              <w14:schemeClr w14:val="tx1"/>
            </w14:solidFill>
          </w14:textFill>
        </w:rPr>
        <w:br w:type="page"/>
      </w:r>
    </w:p>
    <w:sdt>
      <w:sdtPr>
        <w:rPr>
          <w:rFonts w:ascii="Times New Roman" w:hAnsi="Times New Roman" w:eastAsiaTheme="minorEastAsia" w:cstheme="minorBidi"/>
          <w:color w:val="auto"/>
          <w:kern w:val="2"/>
          <w:sz w:val="21"/>
          <w:szCs w:val="21"/>
          <w:lang w:val="zh-CN"/>
        </w:rPr>
        <w:id w:val="1322844121"/>
      </w:sdtPr>
      <w:sdtEndPr>
        <w:rPr>
          <w:rFonts w:ascii="Times New Roman" w:hAnsi="Times New Roman" w:eastAsiaTheme="minorEastAsia" w:cstheme="minorBidi"/>
          <w:b/>
          <w:bCs/>
          <w:color w:val="auto"/>
          <w:kern w:val="2"/>
          <w:sz w:val="21"/>
          <w:szCs w:val="21"/>
          <w:lang w:val="zh-CN"/>
        </w:rPr>
      </w:sdtEndPr>
      <w:sdtContent>
        <w:p>
          <w:pPr>
            <w:pStyle w:val="40"/>
            <w:ind w:firstLine="420"/>
            <w:jc w:val="center"/>
            <w:rPr>
              <w:rFonts w:ascii="Times New Roman" w:hAnsi="Times New Roman" w:eastAsia="黑体"/>
              <w:color w:val="auto"/>
            </w:rPr>
          </w:pPr>
          <w:r>
            <w:rPr>
              <w:rFonts w:ascii="Times New Roman" w:hAnsi="Times New Roman" w:eastAsia="黑体"/>
              <w:color w:val="auto"/>
              <w:lang w:val="zh-CN"/>
            </w:rPr>
            <w:t>目</w:t>
          </w:r>
          <w:r>
            <w:rPr>
              <w:rFonts w:hint="eastAsia" w:ascii="Times New Roman" w:hAnsi="Times New Roman" w:eastAsia="黑体"/>
              <w:color w:val="auto"/>
              <w:lang w:val="zh-CN"/>
            </w:rPr>
            <w:t xml:space="preserve"> </w:t>
          </w:r>
          <w:r>
            <w:rPr>
              <w:rFonts w:ascii="Times New Roman" w:hAnsi="Times New Roman" w:eastAsia="黑体"/>
              <w:color w:val="auto"/>
              <w:lang w:val="zh-CN"/>
            </w:rPr>
            <w:t xml:space="preserve"> 录</w:t>
          </w:r>
        </w:p>
        <w:p>
          <w:pPr>
            <w:pStyle w:val="10"/>
            <w:tabs>
              <w:tab w:val="right" w:leader="dot" w:pos="8844"/>
            </w:tabs>
            <w:ind w:firstLine="420"/>
            <w:rPr>
              <w:rFonts w:ascii="Times New Roman" w:hAnsi="Times New Roman"/>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p>
        <w:p>
          <w:pPr>
            <w:pStyle w:val="11"/>
            <w:tabs>
              <w:tab w:val="right" w:leader="dot" w:pos="8844"/>
              <w:tab w:val="clear" w:pos="8302"/>
            </w:tabs>
            <w:rPr>
              <w:rFonts w:ascii="Times New Roman" w:hAnsi="Times New Roman"/>
            </w:rPr>
          </w:pPr>
          <w:r>
            <w:fldChar w:fldCharType="begin"/>
          </w:r>
          <w:r>
            <w:instrText xml:space="preserve"> HYPERLINK \l "_Toc2143237857" </w:instrText>
          </w:r>
          <w:r>
            <w:fldChar w:fldCharType="separate"/>
          </w:r>
          <w:r>
            <w:rPr>
              <w:rFonts w:hint="eastAsia" w:ascii="Times New Roman" w:hAnsi="Times New Roman"/>
            </w:rPr>
            <w:t>一、项目基本情况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_Toc2143237857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"_Toc1655451468" </w:instrText>
          </w:r>
          <w:r>
            <w:fldChar w:fldCharType="separate"/>
          </w:r>
          <w:r>
            <w:rPr>
              <w:rFonts w:hint="eastAsia" w:ascii="Times New Roman" w:hAnsi="Times New Roman"/>
            </w:rPr>
            <w:t>（一）项目概况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_Toc1655451468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"_Toc374692144" </w:instrText>
          </w:r>
          <w:r>
            <w:fldChar w:fldCharType="separate"/>
          </w:r>
          <w:r>
            <w:rPr>
              <w:rFonts w:hint="eastAsia" w:ascii="Times New Roman" w:hAnsi="Times New Roman"/>
            </w:rPr>
            <w:t>（二）项目绩效目标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_Toc374692144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1"/>
            <w:tabs>
              <w:tab w:val="right" w:leader="dot" w:pos="8844"/>
              <w:tab w:val="clear" w:pos="8302"/>
            </w:tabs>
            <w:rPr>
              <w:rFonts w:ascii="Times New Roman" w:hAnsi="Times New Roman"/>
            </w:rPr>
          </w:pPr>
          <w:r>
            <w:fldChar w:fldCharType="begin"/>
          </w:r>
          <w:r>
            <w:instrText xml:space="preserve"> HYPERLINK \l "_Toc1028811204" </w:instrText>
          </w:r>
          <w:r>
            <w:fldChar w:fldCharType="separate"/>
          </w:r>
          <w:r>
            <w:rPr>
              <w:rFonts w:hint="eastAsia" w:ascii="Times New Roman" w:hAnsi="Times New Roman"/>
            </w:rPr>
            <w:t>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_Toc1028811204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"_Toc1839063631" </w:instrText>
          </w:r>
          <w:r>
            <w:fldChar w:fldCharType="separate"/>
          </w:r>
          <w:r>
            <w:rPr>
              <w:rFonts w:hint="eastAsia" w:ascii="Times New Roman" w:hAnsi="Times New Roman"/>
            </w:rPr>
            <w:t>（一）绩效评价的目的、对象和范围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_Toc1839063631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"_Toc410314946" </w:instrText>
          </w:r>
          <w:r>
            <w:fldChar w:fldCharType="separate"/>
          </w:r>
          <w:r>
            <w:rPr>
              <w:rFonts w:hint="eastAsia" w:ascii="Times New Roman" w:hAnsi="Times New Roman"/>
            </w:rPr>
            <w:t>（二）</w:t>
          </w:r>
          <w:r>
            <w:rPr>
              <w:rFonts w:ascii="Times New Roman" w:hAnsi="Times New Roman"/>
            </w:rPr>
            <w:t>绩效评价</w:t>
          </w:r>
          <w:r>
            <w:rPr>
              <w:rFonts w:hint="eastAsia" w:ascii="Times New Roman" w:hAnsi="Times New Roman"/>
            </w:rPr>
            <w:t>原则、评价指标体系、评价方法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_Toc410314946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"_Toc593306905" </w:instrText>
          </w:r>
          <w:r>
            <w:fldChar w:fldCharType="separate"/>
          </w:r>
          <w:r>
            <w:rPr>
              <w:rFonts w:hint="eastAsia" w:ascii="Times New Roman" w:hAnsi="Times New Roman"/>
            </w:rPr>
            <w:t>（三）绩效评价工作过程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_Toc593306905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1"/>
            <w:tabs>
              <w:tab w:val="right" w:leader="dot" w:pos="8844"/>
              <w:tab w:val="clear" w:pos="8302"/>
            </w:tabs>
            <w:rPr>
              <w:rFonts w:ascii="Times New Roman" w:hAnsi="Times New Roman"/>
            </w:rPr>
          </w:pPr>
          <w:r>
            <w:fldChar w:fldCharType="begin"/>
          </w:r>
          <w:r>
            <w:instrText xml:space="preserve"> HYPERLINK \l "_Toc942579314" </w:instrText>
          </w:r>
          <w:r>
            <w:fldChar w:fldCharType="separate"/>
          </w:r>
          <w:r>
            <w:rPr>
              <w:rFonts w:hint="eastAsia" w:ascii="Times New Roman" w:hAnsi="Times New Roman"/>
            </w:rPr>
            <w:t>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_Toc942579314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11"/>
            <w:tabs>
              <w:tab w:val="right" w:leader="dot" w:pos="8844"/>
              <w:tab w:val="clear" w:pos="8302"/>
            </w:tabs>
            <w:rPr>
              <w:rFonts w:ascii="Times New Roman" w:hAnsi="Times New Roman"/>
            </w:rPr>
          </w:pPr>
          <w:r>
            <w:fldChar w:fldCharType="begin"/>
          </w:r>
          <w:r>
            <w:instrText xml:space="preserve"> HYPERLINK \l "_Toc2091150126" </w:instrText>
          </w:r>
          <w:r>
            <w:fldChar w:fldCharType="separate"/>
          </w:r>
          <w:r>
            <w:rPr>
              <w:rFonts w:hint="eastAsia" w:ascii="Times New Roman" w:hAnsi="Times New Roman"/>
            </w:rPr>
            <w:t>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_Toc2091150126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"_Toc242800880" </w:instrText>
          </w:r>
          <w:r>
            <w:fldChar w:fldCharType="separate"/>
          </w:r>
          <w:r>
            <w:rPr>
              <w:rFonts w:hint="eastAsia" w:ascii="Times New Roman" w:hAnsi="Times New Roman"/>
            </w:rPr>
            <w:t>（一）项目决策情况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_Toc242800880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"_Toc535460860" </w:instrText>
          </w:r>
          <w:r>
            <w:fldChar w:fldCharType="separate"/>
          </w:r>
          <w:r>
            <w:rPr>
              <w:rFonts w:hint="eastAsia" w:ascii="Times New Roman" w:hAnsi="Times New Roman"/>
            </w:rPr>
            <w:t>（二）项目过程情况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_Toc535460860 \h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"_Toc1534193090" </w:instrText>
          </w:r>
          <w:r>
            <w:fldChar w:fldCharType="separate"/>
          </w:r>
          <w:r>
            <w:rPr>
              <w:rFonts w:hint="eastAsia" w:ascii="Times New Roman" w:hAnsi="Times New Roman"/>
            </w:rPr>
            <w:t>（三）项目产出情况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_Toc1534193090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"_Toc347114101" </w:instrText>
          </w:r>
          <w:r>
            <w:fldChar w:fldCharType="separate"/>
          </w:r>
          <w:r>
            <w:rPr>
              <w:rFonts w:hint="eastAsia" w:ascii="Times New Roman" w:hAnsi="Times New Roman"/>
            </w:rPr>
            <w:t>（四）项目效益情况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_Toc347114101 \h </w:instrText>
          </w:r>
          <w:r>
            <w:rPr>
              <w:rFonts w:ascii="Times New Roman" w:hAnsi="Times New Roman"/>
            </w:rPr>
            <w:fldChar w:fldCharType="separate"/>
          </w:r>
          <w:r>
            <w:rPr>
              <w:rFonts w:ascii="Times New Roman" w:hAnsi="Times New Roman"/>
            </w:rPr>
            <w:t>21</w:t>
          </w:r>
          <w:r>
            <w:rPr>
              <w:rFonts w:ascii="Times New Roman" w:hAnsi="Times New Roman"/>
            </w:rPr>
            <w:fldChar w:fldCharType="end"/>
          </w:r>
          <w:r>
            <w:rPr>
              <w:rFonts w:ascii="Times New Roman" w:hAnsi="Times New Roman"/>
            </w:rPr>
            <w:fldChar w:fldCharType="end"/>
          </w:r>
        </w:p>
        <w:p>
          <w:pPr>
            <w:pStyle w:val="11"/>
            <w:tabs>
              <w:tab w:val="right" w:leader="dot" w:pos="8844"/>
              <w:tab w:val="clear" w:pos="8302"/>
            </w:tabs>
            <w:rPr>
              <w:rFonts w:ascii="Times New Roman" w:hAnsi="Times New Roman"/>
            </w:rPr>
          </w:pPr>
          <w:r>
            <w:fldChar w:fldCharType="begin"/>
          </w:r>
          <w:r>
            <w:instrText xml:space="preserve"> HYPERLINK \l "_Toc1381110255" </w:instrText>
          </w:r>
          <w:r>
            <w:fldChar w:fldCharType="separate"/>
          </w:r>
          <w:r>
            <w:rPr>
              <w:rFonts w:hint="eastAsia" w:ascii="Times New Roman" w:hAnsi="Times New Roman"/>
            </w:rPr>
            <w:t>五、存在的主要问题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_Toc1381110255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"_Toc169315362" </w:instrText>
          </w:r>
          <w:r>
            <w:fldChar w:fldCharType="separate"/>
          </w:r>
          <w:r>
            <w:rPr>
              <w:rFonts w:hint="eastAsia" w:ascii="Times New Roman" w:hAnsi="Times New Roman"/>
            </w:rPr>
            <w:t>（一）</w:t>
          </w:r>
          <w:r>
            <w:rPr>
              <w:rFonts w:hint="eastAsia" w:ascii="Times New Roman" w:hAnsi="Times New Roman" w:cs="楷体_GB2312"/>
            </w:rPr>
            <w:t>项目绩效目标设置合理性有待加强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_Toc169315362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"_Toc267456859" </w:instrText>
          </w:r>
          <w:r>
            <w:fldChar w:fldCharType="separate"/>
          </w:r>
          <w:r>
            <w:rPr>
              <w:rFonts w:hint="eastAsia" w:ascii="Times New Roman" w:hAnsi="Times New Roman"/>
            </w:rPr>
            <w:t>（二）项目预算执行有待提升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_Toc267456859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"_Toc464156042" </w:instrText>
          </w:r>
          <w:r>
            <w:fldChar w:fldCharType="separate"/>
          </w:r>
          <w:r>
            <w:rPr>
              <w:rFonts w:hint="eastAsia" w:ascii="Times New Roman" w:hAnsi="Times New Roman"/>
            </w:rPr>
            <w:t>（三）文化活动开展保障机制有待完善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_Toc464156042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11"/>
            <w:tabs>
              <w:tab w:val="right" w:leader="dot" w:pos="8844"/>
              <w:tab w:val="clear" w:pos="8302"/>
            </w:tabs>
            <w:rPr>
              <w:rFonts w:ascii="Times New Roman" w:hAnsi="Times New Roman"/>
            </w:rPr>
          </w:pPr>
          <w:r>
            <w:fldChar w:fldCharType="begin"/>
          </w:r>
          <w:r>
            <w:instrText xml:space="preserve"> HYPERLINK \l "_Toc1409991990" </w:instrText>
          </w:r>
          <w:r>
            <w:fldChar w:fldCharType="separate"/>
          </w:r>
          <w:r>
            <w:rPr>
              <w:rFonts w:hint="eastAsia" w:ascii="Times New Roman" w:hAnsi="Times New Roman"/>
            </w:rPr>
            <w:t>六、相关建议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_Toc1409991990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"_Toc253331285" </w:instrText>
          </w:r>
          <w:r>
            <w:fldChar w:fldCharType="separate"/>
          </w:r>
          <w:r>
            <w:rPr>
              <w:rFonts w:hint="eastAsia" w:ascii="Times New Roman" w:hAnsi="Times New Roman"/>
            </w:rPr>
            <w:t>（一）加强绩效理念，提升绩效管理水平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_Toc253331285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"_Toc1426318641" </w:instrText>
          </w:r>
          <w:r>
            <w:fldChar w:fldCharType="separate"/>
          </w:r>
          <w:r>
            <w:rPr>
              <w:rFonts w:hint="eastAsia" w:ascii="Times New Roman" w:hAnsi="Times New Roman"/>
            </w:rPr>
            <w:t>（二）提高预算管理力度，保障预算执行率，降低资金沉淀率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_Toc1426318641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7"/>
            <w:tabs>
              <w:tab w:val="right" w:leader="dot" w:pos="8844"/>
              <w:tab w:val="clear" w:pos="8302"/>
            </w:tabs>
            <w:rPr>
              <w:rFonts w:ascii="Times New Roman" w:hAnsi="Times New Roman"/>
            </w:rPr>
          </w:pPr>
          <w:r>
            <w:fldChar w:fldCharType="begin"/>
          </w:r>
          <w:r>
            <w:instrText xml:space="preserve"> HYPERLINK \l "_Toc1924931473" </w:instrText>
          </w:r>
          <w:r>
            <w:fldChar w:fldCharType="separate"/>
          </w:r>
          <w:r>
            <w:rPr>
              <w:rFonts w:hint="eastAsia" w:ascii="Times New Roman" w:hAnsi="Times New Roman"/>
            </w:rPr>
            <w:t>（三）建立健全文化活动开展保障机制，提升服务保障能力</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_Toc1924931473 \h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1"/>
            <w:tabs>
              <w:tab w:val="right" w:leader="dot" w:pos="8844"/>
              <w:tab w:val="clear" w:pos="8302"/>
            </w:tabs>
            <w:rPr>
              <w:rFonts w:ascii="Times New Roman" w:hAnsi="Times New Roman"/>
            </w:rPr>
          </w:pPr>
          <w:r>
            <w:fldChar w:fldCharType="begin"/>
          </w:r>
          <w:r>
            <w:instrText xml:space="preserve"> HYPERLINK \l "_Toc482124656" </w:instrText>
          </w:r>
          <w:r>
            <w:fldChar w:fldCharType="separate"/>
          </w:r>
          <w:r>
            <w:rPr>
              <w:rFonts w:hint="eastAsia" w:ascii="Times New Roman" w:hAnsi="Times New Roman"/>
            </w:rPr>
            <w:t>七、</w:t>
          </w:r>
          <w:r>
            <w:rPr>
              <w:rFonts w:hint="eastAsia" w:ascii="Times New Roman" w:hAnsi="Times New Roman"/>
              <w:lang w:eastAsia="zh-Hans"/>
            </w:rPr>
            <w:t>相关</w:t>
          </w:r>
          <w:r>
            <w:rPr>
              <w:rFonts w:hint="eastAsia" w:ascii="Times New Roman" w:hAnsi="Times New Roman"/>
            </w:rPr>
            <w:t>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_Toc482124656 \h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ind w:firstLine="420"/>
            <w:rPr>
              <w:rFonts w:ascii="Times New Roman" w:hAnsi="Times New Roman"/>
            </w:rPr>
          </w:pPr>
          <w:r>
            <w:rPr>
              <w:rFonts w:ascii="Times New Roman" w:hAnsi="Times New Roman"/>
              <w:bCs/>
              <w:lang w:val="zh-CN"/>
            </w:rPr>
            <w:fldChar w:fldCharType="end"/>
          </w:r>
        </w:p>
      </w:sdtContent>
    </w:sdt>
    <w:p>
      <w:pPr>
        <w:pStyle w:val="23"/>
        <w:spacing w:line="560" w:lineRule="exact"/>
        <w:rPr>
          <w:rFonts w:ascii="Times New Roman" w:hAnsi="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2041" w:right="1531" w:bottom="2041" w:left="1531" w:header="851" w:footer="992" w:gutter="0"/>
          <w:cols w:space="425" w:num="1"/>
          <w:docGrid w:type="lines" w:linePitch="312" w:charSpace="0"/>
        </w:sectPr>
      </w:pPr>
      <w:bookmarkStart w:id="0" w:name="_Toc1610324993"/>
    </w:p>
    <w:p>
      <w:pPr>
        <w:pStyle w:val="23"/>
        <w:spacing w:line="560" w:lineRule="exact"/>
        <w:rPr>
          <w:rFonts w:ascii="Times New Roman" w:hAnsi="Times New Roman"/>
          <w:lang w:eastAsia="zh-Hans"/>
        </w:rPr>
      </w:pPr>
      <w:r>
        <w:rPr>
          <w:rFonts w:ascii="Times New Roman" w:hAnsi="Times New Roman"/>
        </w:rPr>
        <w:t>2022年中央补助地方公共文化服务体系建设补助资金-中央</w:t>
      </w:r>
      <w:r>
        <w:rPr>
          <w:rFonts w:hint="eastAsia" w:ascii="Times New Roman" w:hAnsi="Times New Roman"/>
          <w:lang w:eastAsia="zh-Hans"/>
        </w:rPr>
        <w:t>项目绩效评价报告</w:t>
      </w:r>
      <w:bookmarkEnd w:id="0"/>
    </w:p>
    <w:p>
      <w:pPr>
        <w:pStyle w:val="24"/>
        <w:spacing w:line="560" w:lineRule="exact"/>
        <w:ind w:firstLine="640"/>
      </w:pPr>
      <w:r>
        <w:t>为提高财政资金使用效益，合理配置公共财政资源，根据市委、市政府关于全面推进预算绩效管理的实施方案和《天津市市级财政项目支出绩效评价管理办法》（津财绩效〔2020〕12号）等文件要求，天津市</w:t>
      </w:r>
      <w:r>
        <w:rPr>
          <w:rFonts w:hint="eastAsia"/>
        </w:rPr>
        <w:t>和平区财政</w:t>
      </w:r>
      <w:r>
        <w:t>局引入第三方专业机构成立了绩效评价组，于202</w:t>
      </w:r>
      <w:r>
        <w:rPr>
          <w:rFonts w:hint="eastAsia"/>
        </w:rPr>
        <w:t>3</w:t>
      </w:r>
      <w:r>
        <w:t>年</w:t>
      </w:r>
      <w:r>
        <w:rPr>
          <w:rFonts w:hint="eastAsia"/>
        </w:rPr>
        <w:t>7</w:t>
      </w:r>
      <w:r>
        <w:t>月</w:t>
      </w:r>
      <w:r>
        <w:rPr>
          <w:rFonts w:hint="eastAsia"/>
        </w:rPr>
        <w:t>至10月</w:t>
      </w:r>
      <w:r>
        <w:t>，对20</w:t>
      </w:r>
      <w:r>
        <w:rPr>
          <w:rFonts w:hint="eastAsia"/>
        </w:rPr>
        <w:t>22年度天津市和平区文化和旅游局</w:t>
      </w:r>
      <w:r>
        <w:t>的“2022年中央补助地方公共文化服务体系建设补助资金-中央”项目开展了绩效评价。</w:t>
      </w:r>
      <w:r>
        <w:rPr>
          <w:rFonts w:hint="eastAsia"/>
        </w:rPr>
        <w:t>该</w:t>
      </w:r>
      <w:r>
        <w:t>项目评价结果为</w:t>
      </w:r>
      <w:r>
        <w:rPr>
          <w:rFonts w:hint="eastAsia"/>
        </w:rPr>
        <w:t>92</w:t>
      </w:r>
      <w:r>
        <w:t>分，评价等级为“</w:t>
      </w:r>
      <w:r>
        <w:rPr>
          <w:rFonts w:hint="eastAsia"/>
        </w:rPr>
        <w:t>优</w:t>
      </w:r>
      <w:r>
        <w:t>”，有关情况如下。</w:t>
      </w:r>
    </w:p>
    <w:p>
      <w:pPr>
        <w:pStyle w:val="27"/>
        <w:spacing w:line="560" w:lineRule="exact"/>
      </w:pPr>
      <w:bookmarkStart w:id="1" w:name="_Toc2143237857"/>
      <w:r>
        <w:rPr>
          <w:rFonts w:hint="eastAsia"/>
        </w:rPr>
        <w:t>一、项目基本情况</w:t>
      </w:r>
      <w:bookmarkEnd w:id="1"/>
    </w:p>
    <w:p>
      <w:pPr>
        <w:pStyle w:val="29"/>
        <w:spacing w:before="0" w:after="0" w:line="560" w:lineRule="exact"/>
        <w:ind w:firstLine="640"/>
        <w:rPr>
          <w:rFonts w:ascii="Times New Roman" w:hAnsi="Times New Roman"/>
        </w:rPr>
      </w:pPr>
      <w:bookmarkStart w:id="2" w:name="_Toc1655451468"/>
      <w:r>
        <w:rPr>
          <w:rFonts w:hint="eastAsia" w:ascii="Times New Roman" w:hAnsi="Times New Roman"/>
        </w:rPr>
        <w:t>（一）项目概况</w:t>
      </w:r>
      <w:bookmarkEnd w:id="2"/>
    </w:p>
    <w:p>
      <w:pPr>
        <w:pStyle w:val="24"/>
        <w:spacing w:line="560" w:lineRule="exact"/>
        <w:ind w:firstLine="640"/>
      </w:pPr>
      <w:r>
        <w:rPr>
          <w:rFonts w:hint="eastAsia"/>
        </w:rPr>
        <w:t>1.项目背景</w:t>
      </w:r>
    </w:p>
    <w:p>
      <w:pPr>
        <w:pStyle w:val="24"/>
        <w:spacing w:line="560" w:lineRule="exact"/>
        <w:ind w:firstLine="640"/>
      </w:pPr>
      <w:r>
        <w:rPr>
          <w:rFonts w:hint="eastAsia"/>
        </w:rPr>
        <w:t>公共文化服务体系建设是满足人民群众基本精神文化需求的主要途径，是建设社会主义文化强国的基础工程，是全面建成小康社会的重要内容。习近平总书记指出，要推动公共文化服务标准化、均等化，坚持政府主导、社会参与、重心下移、共建共享，完善公共文化服务体系，提高基本公共文化服务的覆盖面和适用性。2021年《中华人民共和国国民经济和社会发展第十四个五年规划和2035年远景目标纲要》提出，完善公共文化服务体系，</w:t>
      </w:r>
      <w:r>
        <w:t>广泛开展群众文艺创作和活动</w:t>
      </w:r>
      <w:r>
        <w:rPr>
          <w:rFonts w:hint="eastAsia"/>
        </w:rPr>
        <w:t>，</w:t>
      </w:r>
      <w:r>
        <w:t>实施全民艺术普及工程</w:t>
      </w:r>
      <w:r>
        <w:rPr>
          <w:rFonts w:hint="eastAsia"/>
        </w:rPr>
        <w:t>。同年3月，为充实、丰富群众文化生活，推动公共文化服务高质量发展，发布了《文化和旅游部</w:t>
      </w:r>
      <w:r>
        <w:t xml:space="preserve"> 国家发展改革委 财政部关于推动公共文化服务高质量发展的意见》（文旅公共发〔2021〕21号）</w:t>
      </w:r>
      <w:r>
        <w:rPr>
          <w:rFonts w:hint="eastAsia"/>
        </w:rPr>
        <w:t>，提出做大做强全民艺术普及品牌，鼓励举办全民艺术节，举办全国性群众文化展演、调演活动，广泛开展群众喜闻乐见的文化活动，以民相亲促进心相通。根据《中央补助地方公共文化服务体系建设专项资金管理暂行办法》（财教〔</w:t>
      </w:r>
      <w:r>
        <w:t>2015〕527号）</w:t>
      </w:r>
      <w:r>
        <w:rPr>
          <w:rFonts w:hint="eastAsia"/>
        </w:rPr>
        <w:t>《中华人民共和国国民经济和社会发展第十四个五年规划和2035年远景目标纲要》《文化和旅游部</w:t>
      </w:r>
      <w:r>
        <w:t xml:space="preserve"> 国家发展改革委 财政部关于推动公共文化服务高质量发展的意见》（文旅公共发〔2021〕21号）</w:t>
      </w:r>
      <w:r>
        <w:rPr>
          <w:rFonts w:hint="eastAsia"/>
        </w:rPr>
        <w:t>等文件，和平区文化和旅游局设立了2022年中央补助地方公共文化服务体系建设补助资金-中央项目，主要为举办群众文化活动，繁荣群众文艺，增强社会影响力。</w:t>
      </w:r>
    </w:p>
    <w:p>
      <w:pPr>
        <w:pStyle w:val="24"/>
        <w:spacing w:line="560" w:lineRule="exact"/>
        <w:ind w:firstLine="640"/>
      </w:pPr>
      <w:r>
        <w:rPr>
          <w:rFonts w:hint="eastAsia"/>
        </w:rPr>
        <w:t>2.主要内容</w:t>
      </w:r>
    </w:p>
    <w:p>
      <w:pPr>
        <w:pStyle w:val="24"/>
        <w:spacing w:line="560" w:lineRule="exact"/>
        <w:ind w:firstLine="640"/>
      </w:pPr>
      <w:r>
        <w:rPr>
          <w:rFonts w:hint="eastAsia"/>
        </w:rPr>
        <w:t>2022年中央补助地方公共文化服务体系建设补助资金主要用于举办群众喜闻乐见的文化活动，从而</w:t>
      </w:r>
      <w:r>
        <w:t>保障人民基本文化权益</w:t>
      </w:r>
      <w:r>
        <w:rPr>
          <w:rFonts w:hint="eastAsia"/>
        </w:rPr>
        <w:t>，丰富群众文化生活，满足群众日益增长的文化需求，提高群众文化创造活力。</w:t>
      </w:r>
    </w:p>
    <w:p>
      <w:pPr>
        <w:pStyle w:val="24"/>
        <w:spacing w:line="560" w:lineRule="exact"/>
        <w:ind w:firstLine="640"/>
      </w:pPr>
      <w:r>
        <w:rPr>
          <w:rFonts w:hint="eastAsia"/>
        </w:rPr>
        <w:t>3.项目组织管理</w:t>
      </w:r>
    </w:p>
    <w:p>
      <w:pPr>
        <w:pStyle w:val="24"/>
        <w:spacing w:line="560" w:lineRule="exact"/>
        <w:ind w:firstLine="640"/>
      </w:pPr>
      <w:r>
        <w:rPr>
          <w:rFonts w:hint="eastAsia"/>
        </w:rPr>
        <w:t>2022年中央补助地方公共文化服务体系建设补助资金-中央项目的主管部门和实施单位均为和平区文化和旅游局，负责项目申请设立、组织实施工作，制定项目实施方案，做好项目实施过程保障措施。负责预算资金的申请、调整、分配、使用工作。监管项目实施进度、资金执行进度。</w:t>
      </w:r>
    </w:p>
    <w:p>
      <w:pPr>
        <w:pStyle w:val="24"/>
        <w:spacing w:line="560" w:lineRule="exact"/>
        <w:ind w:firstLine="640"/>
      </w:pPr>
      <w:r>
        <w:rPr>
          <w:rFonts w:hint="eastAsia"/>
        </w:rPr>
        <w:t>4.资金投入和使用情况</w:t>
      </w:r>
    </w:p>
    <w:p>
      <w:pPr>
        <w:pStyle w:val="24"/>
        <w:spacing w:line="560" w:lineRule="exact"/>
        <w:ind w:firstLine="640"/>
        <w:rPr>
          <w:highlight w:val="yellow"/>
        </w:rPr>
      </w:pPr>
      <w:r>
        <w:rPr>
          <w:rFonts w:hint="eastAsia"/>
          <w:szCs w:val="32"/>
        </w:rPr>
        <w:t>本项目总资金</w:t>
      </w:r>
      <w:r>
        <w:t>178.7</w:t>
      </w:r>
      <w:r>
        <w:rPr>
          <w:rFonts w:hint="eastAsia"/>
        </w:rPr>
        <w:t>万元，均为中央资金，</w:t>
      </w:r>
      <w:r>
        <w:rPr>
          <w:rFonts w:hint="eastAsia"/>
          <w:szCs w:val="32"/>
        </w:rPr>
        <w:t>截至</w:t>
      </w:r>
      <w:r>
        <w:rPr>
          <w:szCs w:val="32"/>
        </w:rPr>
        <w:t>202</w:t>
      </w:r>
      <w:r>
        <w:rPr>
          <w:rFonts w:hint="eastAsia"/>
          <w:szCs w:val="32"/>
        </w:rPr>
        <w:t>2年底，</w:t>
      </w:r>
      <w:r>
        <w:rPr>
          <w:rFonts w:hint="eastAsia"/>
        </w:rPr>
        <w:t>2022年中央补助地方公共文化服务体系建设补助资金-中央项目支出资金总计100.1万元，项目预算执行率为56%。</w:t>
      </w:r>
    </w:p>
    <w:p>
      <w:pPr>
        <w:pStyle w:val="24"/>
        <w:spacing w:line="560" w:lineRule="exact"/>
        <w:ind w:firstLine="640"/>
      </w:pPr>
      <w:r>
        <w:rPr>
          <w:rFonts w:hint="eastAsia"/>
        </w:rPr>
        <w:t>资金具体情况见表1：</w:t>
      </w:r>
    </w:p>
    <w:p>
      <w:pPr>
        <w:pStyle w:val="35"/>
        <w:spacing w:line="560" w:lineRule="exact"/>
        <w:rPr>
          <w:rFonts w:eastAsia="黑体"/>
          <w:sz w:val="28"/>
        </w:rPr>
      </w:pPr>
      <w:r>
        <w:rPr>
          <w:rFonts w:eastAsia="黑体"/>
          <w:sz w:val="28"/>
        </w:rPr>
        <w:t xml:space="preserve">表1  </w:t>
      </w:r>
      <w:r>
        <w:rPr>
          <w:rFonts w:hint="eastAsia" w:eastAsia="黑体"/>
          <w:sz w:val="28"/>
        </w:rPr>
        <w:t>中央</w:t>
      </w:r>
      <w:r>
        <w:rPr>
          <w:rFonts w:eastAsia="黑体"/>
          <w:sz w:val="28"/>
        </w:rPr>
        <w:t>资金预算执行率情况表</w:t>
      </w:r>
    </w:p>
    <w:p>
      <w:pPr>
        <w:pStyle w:val="41"/>
        <w:spacing w:line="560" w:lineRule="exact"/>
        <w:ind w:firstLine="640"/>
      </w:pPr>
      <w:r>
        <w:rPr>
          <w:rFonts w:hint="eastAsia"/>
        </w:rPr>
        <w:t>单位：万元</w:t>
      </w:r>
    </w:p>
    <w:tbl>
      <w:tblPr>
        <w:tblStyle w:val="17"/>
        <w:tblW w:w="906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11"/>
        <w:gridCol w:w="1511"/>
        <w:gridCol w:w="1509"/>
        <w:gridCol w:w="1509"/>
        <w:gridCol w:w="1510"/>
        <w:gridCol w:w="151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blHeader/>
          <w:jc w:val="center"/>
        </w:trPr>
        <w:tc>
          <w:tcPr>
            <w:tcW w:w="1511" w:type="dxa"/>
            <w:vAlign w:val="center"/>
          </w:tcPr>
          <w:p>
            <w:pPr>
              <w:pStyle w:val="38"/>
              <w:bidi w:val="0"/>
            </w:pPr>
            <w:r>
              <w:rPr>
                <w:rFonts w:hint="eastAsia"/>
              </w:rPr>
              <w:t>资金计划</w:t>
            </w:r>
          </w:p>
          <w:p>
            <w:pPr>
              <w:pStyle w:val="38"/>
              <w:bidi w:val="0"/>
            </w:pPr>
            <w:r>
              <w:rPr>
                <w:rFonts w:hint="eastAsia"/>
              </w:rPr>
              <w:t>下达时间</w:t>
            </w:r>
          </w:p>
        </w:tc>
        <w:tc>
          <w:tcPr>
            <w:tcW w:w="1511" w:type="dxa"/>
            <w:vAlign w:val="center"/>
          </w:tcPr>
          <w:p>
            <w:pPr>
              <w:pStyle w:val="38"/>
              <w:bidi w:val="0"/>
            </w:pPr>
            <w:r>
              <w:rPr>
                <w:rFonts w:hint="eastAsia"/>
              </w:rPr>
              <w:t>资金计划</w:t>
            </w:r>
          </w:p>
          <w:p>
            <w:pPr>
              <w:pStyle w:val="38"/>
              <w:bidi w:val="0"/>
            </w:pPr>
            <w:r>
              <w:rPr>
                <w:rFonts w:hint="eastAsia"/>
              </w:rPr>
              <w:t>下达金额</w:t>
            </w:r>
          </w:p>
        </w:tc>
        <w:tc>
          <w:tcPr>
            <w:tcW w:w="1509" w:type="dxa"/>
            <w:vAlign w:val="center"/>
          </w:tcPr>
          <w:p>
            <w:pPr>
              <w:pStyle w:val="38"/>
              <w:bidi w:val="0"/>
            </w:pPr>
            <w:r>
              <w:rPr>
                <w:rFonts w:hint="eastAsia"/>
              </w:rPr>
              <w:t>实际到位</w:t>
            </w:r>
          </w:p>
          <w:p>
            <w:pPr>
              <w:pStyle w:val="38"/>
              <w:bidi w:val="0"/>
            </w:pPr>
            <w:r>
              <w:rPr>
                <w:rFonts w:hint="eastAsia"/>
              </w:rPr>
              <w:t>资金</w:t>
            </w:r>
          </w:p>
        </w:tc>
        <w:tc>
          <w:tcPr>
            <w:tcW w:w="1509" w:type="dxa"/>
            <w:vAlign w:val="center"/>
          </w:tcPr>
          <w:p>
            <w:pPr>
              <w:pStyle w:val="38"/>
              <w:bidi w:val="0"/>
            </w:pPr>
            <w:r>
              <w:rPr>
                <w:rFonts w:hint="eastAsia"/>
              </w:rPr>
              <w:t>资金到位率</w:t>
            </w:r>
          </w:p>
        </w:tc>
        <w:tc>
          <w:tcPr>
            <w:tcW w:w="1510" w:type="dxa"/>
            <w:vAlign w:val="center"/>
          </w:tcPr>
          <w:p>
            <w:pPr>
              <w:pStyle w:val="38"/>
              <w:bidi w:val="0"/>
            </w:pPr>
            <w:r>
              <w:rPr>
                <w:rFonts w:hint="eastAsia"/>
              </w:rPr>
              <w:t>实际支付</w:t>
            </w:r>
          </w:p>
          <w:p>
            <w:pPr>
              <w:pStyle w:val="38"/>
              <w:bidi w:val="0"/>
            </w:pPr>
            <w:r>
              <w:rPr>
                <w:rFonts w:hint="eastAsia"/>
              </w:rPr>
              <w:t>资金</w:t>
            </w:r>
          </w:p>
        </w:tc>
        <w:tc>
          <w:tcPr>
            <w:tcW w:w="1510" w:type="dxa"/>
            <w:vAlign w:val="center"/>
          </w:tcPr>
          <w:p>
            <w:pPr>
              <w:pStyle w:val="38"/>
              <w:bidi w:val="0"/>
            </w:pPr>
            <w:r>
              <w:rPr>
                <w:rFonts w:hint="eastAsia"/>
              </w:rPr>
              <w:t>预算执行率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511" w:type="dxa"/>
            <w:vAlign w:val="center"/>
          </w:tcPr>
          <w:p>
            <w:pPr>
              <w:pStyle w:val="37"/>
              <w:bidi w:val="0"/>
              <w:jc w:val="center"/>
            </w:pPr>
            <w:r>
              <w:rPr>
                <w:rFonts w:hint="eastAsia"/>
              </w:rPr>
              <w:t>2022年</w:t>
            </w:r>
          </w:p>
        </w:tc>
        <w:tc>
          <w:tcPr>
            <w:tcW w:w="1511" w:type="dxa"/>
            <w:vAlign w:val="center"/>
          </w:tcPr>
          <w:p>
            <w:pPr>
              <w:pStyle w:val="37"/>
              <w:bidi w:val="0"/>
              <w:jc w:val="center"/>
            </w:pPr>
            <w:r>
              <w:rPr>
                <w:rFonts w:hint="eastAsia"/>
              </w:rPr>
              <w:t>178.7</w:t>
            </w:r>
          </w:p>
        </w:tc>
        <w:tc>
          <w:tcPr>
            <w:tcW w:w="1509" w:type="dxa"/>
            <w:vAlign w:val="center"/>
          </w:tcPr>
          <w:p>
            <w:pPr>
              <w:pStyle w:val="37"/>
              <w:bidi w:val="0"/>
              <w:jc w:val="center"/>
            </w:pPr>
            <w:r>
              <w:rPr>
                <w:rFonts w:hint="eastAsia"/>
              </w:rPr>
              <w:t>178.7</w:t>
            </w:r>
          </w:p>
        </w:tc>
        <w:tc>
          <w:tcPr>
            <w:tcW w:w="1509" w:type="dxa"/>
            <w:vAlign w:val="center"/>
          </w:tcPr>
          <w:p>
            <w:pPr>
              <w:pStyle w:val="37"/>
              <w:bidi w:val="0"/>
              <w:jc w:val="center"/>
            </w:pPr>
            <w:r>
              <w:rPr>
                <w:rFonts w:hint="eastAsia"/>
              </w:rPr>
              <w:t>100%</w:t>
            </w:r>
          </w:p>
        </w:tc>
        <w:tc>
          <w:tcPr>
            <w:tcW w:w="1510" w:type="dxa"/>
            <w:vAlign w:val="center"/>
          </w:tcPr>
          <w:p>
            <w:pPr>
              <w:pStyle w:val="37"/>
              <w:bidi w:val="0"/>
              <w:jc w:val="center"/>
            </w:pPr>
            <w:r>
              <w:rPr>
                <w:rFonts w:hint="eastAsia"/>
              </w:rPr>
              <w:t>100.1</w:t>
            </w:r>
          </w:p>
        </w:tc>
        <w:tc>
          <w:tcPr>
            <w:tcW w:w="1510" w:type="dxa"/>
            <w:vAlign w:val="center"/>
          </w:tcPr>
          <w:p>
            <w:pPr>
              <w:pStyle w:val="37"/>
              <w:bidi w:val="0"/>
              <w:jc w:val="center"/>
            </w:pPr>
            <w:r>
              <w:rPr>
                <w:rFonts w:hint="eastAsia"/>
              </w:rPr>
              <w:t>56%</w:t>
            </w:r>
          </w:p>
        </w:tc>
      </w:tr>
    </w:tbl>
    <w:p>
      <w:pPr>
        <w:pStyle w:val="29"/>
        <w:spacing w:before="0" w:after="0" w:line="560" w:lineRule="exact"/>
        <w:ind w:firstLine="640"/>
        <w:rPr>
          <w:rFonts w:ascii="Times New Roman" w:hAnsi="Times New Roman"/>
        </w:rPr>
      </w:pPr>
      <w:bookmarkStart w:id="3" w:name="_Toc374692144"/>
      <w:r>
        <w:rPr>
          <w:rFonts w:hint="eastAsia" w:ascii="Times New Roman" w:hAnsi="Times New Roman"/>
        </w:rPr>
        <w:t>（二）项目绩效目标</w:t>
      </w:r>
      <w:bookmarkEnd w:id="3"/>
    </w:p>
    <w:p>
      <w:pPr>
        <w:pStyle w:val="24"/>
        <w:spacing w:line="560" w:lineRule="exact"/>
        <w:ind w:firstLine="640"/>
      </w:pPr>
      <w:r>
        <w:rPr>
          <w:rFonts w:hint="eastAsia"/>
        </w:rPr>
        <w:t>2022年中央补助地方公共文化服务体系建设补助资金-中央项目绩效目标为通过发放补助地方公共文化服务体系建设补助资金，开展群众文化活动</w:t>
      </w:r>
      <w:r>
        <w:rPr>
          <w:rFonts w:hint="eastAsia"/>
          <w:lang w:eastAsia="zh-CN"/>
        </w:rPr>
        <w:t>，</w:t>
      </w:r>
      <w:r>
        <w:t>丰富群众文化</w:t>
      </w:r>
      <w:r>
        <w:rPr>
          <w:rFonts w:hint="eastAsia"/>
        </w:rPr>
        <w:t>。预期产出指标4条，具体为活动开展场次不少于100场，活动参与率不低于80%，各项任务完成及时率不低于90%，项目经费支出金额不超过178.7万元。预期产出效益1条，具体为保障广大群众基本文化权益-保障。满意度指标1条，具体为观众满意度不低于80%。</w:t>
      </w:r>
    </w:p>
    <w:p>
      <w:pPr>
        <w:pStyle w:val="27"/>
        <w:spacing w:line="560" w:lineRule="exact"/>
      </w:pPr>
      <w:bookmarkStart w:id="4" w:name="_Toc1028811204"/>
      <w:r>
        <w:rPr>
          <w:rFonts w:hint="eastAsia"/>
        </w:rPr>
        <w:t>二、绩效评价工作开展情况</w:t>
      </w:r>
      <w:bookmarkEnd w:id="4"/>
    </w:p>
    <w:p>
      <w:pPr>
        <w:pStyle w:val="29"/>
        <w:spacing w:before="0" w:after="0" w:line="560" w:lineRule="exact"/>
        <w:ind w:firstLine="640"/>
        <w:rPr>
          <w:rFonts w:ascii="Times New Roman" w:hAnsi="Times New Roman"/>
        </w:rPr>
      </w:pPr>
      <w:bookmarkStart w:id="5" w:name="_Toc1839063631"/>
      <w:r>
        <w:rPr>
          <w:rFonts w:hint="eastAsia" w:ascii="Times New Roman" w:hAnsi="Times New Roman"/>
        </w:rPr>
        <w:t>（一）绩效评价的目的、对象和范围</w:t>
      </w:r>
      <w:bookmarkEnd w:id="5"/>
    </w:p>
    <w:p>
      <w:pPr>
        <w:pStyle w:val="24"/>
        <w:spacing w:line="560" w:lineRule="exact"/>
        <w:ind w:firstLine="640"/>
      </w:pPr>
      <w:r>
        <w:rPr>
          <w:rFonts w:hint="eastAsia"/>
        </w:rPr>
        <w:t>1.绩效评价目的</w:t>
      </w:r>
    </w:p>
    <w:p>
      <w:pPr>
        <w:pStyle w:val="24"/>
        <w:spacing w:line="560" w:lineRule="exact"/>
        <w:ind w:firstLine="640"/>
      </w:pPr>
      <w:r>
        <w:rPr>
          <w:rFonts w:hint="eastAsia"/>
        </w:rPr>
        <w:t>本次评价以《财政部关于印发〈项目支出绩效评价管理办法〉的通知》（</w:t>
      </w:r>
      <w:r>
        <w:rPr>
          <w:rFonts w:hint="eastAsia" w:cs="仿宋_GB2312"/>
        </w:rPr>
        <w:t>财预〔</w:t>
      </w:r>
      <w:r>
        <w:t>2020</w:t>
      </w:r>
      <w:r>
        <w:rPr>
          <w:rFonts w:hint="eastAsia" w:cs="仿宋_GB2312"/>
        </w:rPr>
        <w:t>〕</w:t>
      </w:r>
      <w:r>
        <w:rPr>
          <w:rFonts w:hint="eastAsia"/>
        </w:rPr>
        <w:t>1</w:t>
      </w:r>
      <w:r>
        <w:t>0</w:t>
      </w:r>
      <w:r>
        <w:rPr>
          <w:rFonts w:hint="eastAsia" w:cs="仿宋_GB2312"/>
        </w:rPr>
        <w:t>号</w:t>
      </w:r>
      <w:r>
        <w:rPr>
          <w:rFonts w:hint="eastAsia"/>
        </w:rPr>
        <w:t>）《中共天津市委天津市人民政府印发关于全面推进预算绩效管理的实施方案》《天津市人民政府办公厅关于转发市财政局拟定的天津市市级财政专项资金管理暂行办法的通知》（津政办发〔</w:t>
      </w:r>
      <w:r>
        <w:t>2015〕63号）</w:t>
      </w:r>
      <w:r>
        <w:rPr>
          <w:rFonts w:hint="eastAsia"/>
        </w:rPr>
        <w:t>《天津市市级财政项目支出绩效评价管理办法》（</w:t>
      </w:r>
      <w:r>
        <w:t>津财绩效〔2020〕12号</w:t>
      </w:r>
      <w:r>
        <w:rPr>
          <w:rFonts w:hint="eastAsia"/>
        </w:rPr>
        <w:t>）《中央补助地方公共文化服务体系建设专项资金管理暂行办法》（财教〔</w:t>
      </w:r>
      <w:r>
        <w:t>2015〕527号）</w:t>
      </w:r>
      <w:r>
        <w:rPr>
          <w:rFonts w:hint="eastAsia"/>
        </w:rPr>
        <w:t>《文化和旅游部</w:t>
      </w:r>
      <w:r>
        <w:t xml:space="preserve"> 国家发展改革委 财政部关于推动公共文化服务高质量发展的意见》（文旅公共发〔2021〕21号）</w:t>
      </w:r>
      <w:r>
        <w:rPr>
          <w:rFonts w:hint="eastAsia"/>
        </w:rPr>
        <w:t>等文件为依据，对2022年中央补助地方公共文化服务体系建设补助资金-中央项目财政专项资金使用绩效情况进行评价。开展此次评价工作的目的在于：</w:t>
      </w:r>
    </w:p>
    <w:p>
      <w:pPr>
        <w:pStyle w:val="24"/>
        <w:spacing w:line="560" w:lineRule="exact"/>
        <w:ind w:firstLine="640"/>
      </w:pPr>
      <w:r>
        <w:rPr>
          <w:rFonts w:hint="eastAsia"/>
        </w:rPr>
        <w:t>（</w:t>
      </w:r>
      <w:r>
        <w:t>1）通过对</w:t>
      </w:r>
      <w:r>
        <w:rPr>
          <w:rFonts w:hint="eastAsia"/>
        </w:rPr>
        <w:t>2022年中央补助地方公共文化服务体系建设补助资金-中央项目</w:t>
      </w:r>
      <w:r>
        <w:t>的实施情况进行核实评价，了解掌握项目的实施情况。</w:t>
      </w:r>
    </w:p>
    <w:p>
      <w:pPr>
        <w:pStyle w:val="24"/>
        <w:spacing w:line="560" w:lineRule="exact"/>
        <w:ind w:firstLine="640"/>
      </w:pPr>
      <w:r>
        <w:rPr>
          <w:rFonts w:hint="eastAsia"/>
        </w:rPr>
        <w:t>（</w:t>
      </w:r>
      <w:r>
        <w:t>2）根据</w:t>
      </w:r>
      <w:r>
        <w:rPr>
          <w:rFonts w:hint="eastAsia"/>
        </w:rPr>
        <w:t>2022年中央补助地方公共文化服务体系建设补助资金-中央项目</w:t>
      </w:r>
      <w:r>
        <w:t>实施的具体情况，评价其项目资金安排的科学性、合理性、规范性，完善项目管理办法，提高项目管理水平和资金的使用效率。</w:t>
      </w:r>
    </w:p>
    <w:p>
      <w:pPr>
        <w:pStyle w:val="24"/>
        <w:spacing w:line="560" w:lineRule="exact"/>
        <w:ind w:firstLine="640"/>
      </w:pPr>
      <w:r>
        <w:rPr>
          <w:rFonts w:hint="eastAsia"/>
        </w:rPr>
        <w:t>（</w:t>
      </w:r>
      <w:r>
        <w:t>3）从投入、过程、产出、效</w:t>
      </w:r>
      <w:r>
        <w:rPr>
          <w:rFonts w:hint="eastAsia"/>
        </w:rPr>
        <w:t>益</w:t>
      </w:r>
      <w:r>
        <w:t>四个方面对</w:t>
      </w:r>
      <w:r>
        <w:rPr>
          <w:rFonts w:hint="eastAsia"/>
        </w:rPr>
        <w:t>2022年中央补助地方公共文化服务体系建设补助资金-中央项目</w:t>
      </w:r>
      <w:r>
        <w:t>进行客观、公正的评价；总结项目管理与执行经验，发现项目管理和预算管理中存在的问题，提出改进意见和建议，为相关部门决策、管理提供参考依据，推动建立以绩效评价结果为导向的财政资金分配与管理制度。</w:t>
      </w:r>
    </w:p>
    <w:p>
      <w:pPr>
        <w:pStyle w:val="24"/>
        <w:spacing w:line="560" w:lineRule="exact"/>
        <w:ind w:firstLine="640"/>
      </w:pPr>
      <w:r>
        <w:rPr>
          <w:rFonts w:hint="eastAsia"/>
        </w:rPr>
        <w:t>（</w:t>
      </w:r>
      <w:r>
        <w:t>4）进一步丰富和完善</w:t>
      </w:r>
      <w:r>
        <w:rPr>
          <w:rFonts w:hint="eastAsia"/>
        </w:rPr>
        <w:t>2022年中央补助地方公共文化服务体系建设补助资金-中央项目</w:t>
      </w:r>
      <w:r>
        <w:t>绩效评价方法体系，推动建立以绩效评价结果为导向的财政资金分配与管理制度，提升财政资金科学化、精细化管理水平，为</w:t>
      </w:r>
      <w:r>
        <w:rPr>
          <w:rFonts w:hint="eastAsia"/>
        </w:rPr>
        <w:t>2022年中央补助地方公共文化服务体系建设补助资金-中央项目</w:t>
      </w:r>
      <w:r>
        <w:t>专项资金的安排提供重要依据。</w:t>
      </w:r>
    </w:p>
    <w:p>
      <w:pPr>
        <w:pStyle w:val="24"/>
        <w:spacing w:line="560" w:lineRule="exact"/>
        <w:ind w:firstLine="640"/>
      </w:pPr>
      <w:r>
        <w:rPr>
          <w:rFonts w:hint="eastAsia"/>
        </w:rPr>
        <w:t>2.绩效评价对象和范围</w:t>
      </w:r>
    </w:p>
    <w:p>
      <w:pPr>
        <w:pStyle w:val="24"/>
        <w:spacing w:line="560" w:lineRule="exact"/>
        <w:ind w:firstLine="640"/>
      </w:pPr>
      <w:r>
        <w:rPr>
          <w:rFonts w:hint="eastAsia"/>
        </w:rPr>
        <w:t>本次绩效评价针对和平区文化和旅游局2022年中央补助地方公共文化服务体系建设补助资金-中央项目展开，主要评价内容及范围如下：</w:t>
      </w:r>
    </w:p>
    <w:p>
      <w:pPr>
        <w:pStyle w:val="24"/>
        <w:spacing w:line="560" w:lineRule="exact"/>
        <w:ind w:firstLine="640"/>
      </w:pPr>
      <w:r>
        <w:rPr>
          <w:rFonts w:hint="eastAsia"/>
        </w:rPr>
        <w:t>（</w:t>
      </w:r>
      <w:r>
        <w:t>1）立项依据和立项程序情况；</w:t>
      </w:r>
    </w:p>
    <w:p>
      <w:pPr>
        <w:pStyle w:val="24"/>
        <w:spacing w:line="560" w:lineRule="exact"/>
        <w:ind w:firstLine="640"/>
      </w:pPr>
      <w:r>
        <w:rPr>
          <w:rFonts w:hint="eastAsia"/>
        </w:rPr>
        <w:t>（</w:t>
      </w:r>
      <w:r>
        <w:t>2）绩效目标和指标设定情况；</w:t>
      </w:r>
    </w:p>
    <w:p>
      <w:pPr>
        <w:pStyle w:val="24"/>
        <w:spacing w:line="560" w:lineRule="exact"/>
        <w:ind w:firstLine="640"/>
      </w:pPr>
      <w:r>
        <w:rPr>
          <w:rFonts w:hint="eastAsia"/>
        </w:rPr>
        <w:t>（</w:t>
      </w:r>
      <w:r>
        <w:t>3）预算编制和资金分配情况；</w:t>
      </w:r>
    </w:p>
    <w:p>
      <w:pPr>
        <w:pStyle w:val="24"/>
        <w:spacing w:line="560" w:lineRule="exact"/>
        <w:ind w:firstLine="640"/>
      </w:pPr>
      <w:r>
        <w:rPr>
          <w:rFonts w:hint="eastAsia"/>
        </w:rPr>
        <w:t>（</w:t>
      </w:r>
      <w:r>
        <w:t>4）资金管理和使用情况；</w:t>
      </w:r>
    </w:p>
    <w:p>
      <w:pPr>
        <w:pStyle w:val="24"/>
        <w:spacing w:line="560" w:lineRule="exact"/>
        <w:ind w:firstLine="640"/>
      </w:pPr>
      <w:r>
        <w:rPr>
          <w:rFonts w:hint="eastAsia"/>
        </w:rPr>
        <w:t>（</w:t>
      </w:r>
      <w:r>
        <w:t>5）相关制度办法的健全性及执行情况；</w:t>
      </w:r>
    </w:p>
    <w:p>
      <w:pPr>
        <w:pStyle w:val="24"/>
        <w:spacing w:line="560" w:lineRule="exact"/>
        <w:ind w:firstLine="640"/>
      </w:pPr>
      <w:r>
        <w:rPr>
          <w:rFonts w:hint="eastAsia"/>
        </w:rPr>
        <w:t>（</w:t>
      </w:r>
      <w:r>
        <w:t>6）实现的产出情况；</w:t>
      </w:r>
    </w:p>
    <w:p>
      <w:pPr>
        <w:pStyle w:val="24"/>
        <w:spacing w:line="560" w:lineRule="exact"/>
        <w:ind w:firstLine="640"/>
      </w:pPr>
      <w:r>
        <w:rPr>
          <w:rFonts w:hint="eastAsia"/>
        </w:rPr>
        <w:t>（</w:t>
      </w:r>
      <w:r>
        <w:t>7）取得的效益情况；</w:t>
      </w:r>
    </w:p>
    <w:p>
      <w:pPr>
        <w:pStyle w:val="24"/>
        <w:spacing w:line="560" w:lineRule="exact"/>
        <w:ind w:firstLine="640"/>
      </w:pPr>
      <w:r>
        <w:rPr>
          <w:rFonts w:hint="eastAsia"/>
        </w:rPr>
        <w:t>（</w:t>
      </w:r>
      <w:r>
        <w:t>8）其他相关内容。</w:t>
      </w:r>
    </w:p>
    <w:p>
      <w:pPr>
        <w:pStyle w:val="29"/>
        <w:spacing w:before="0" w:after="0" w:line="560" w:lineRule="exact"/>
        <w:ind w:firstLine="640"/>
        <w:rPr>
          <w:rFonts w:ascii="Times New Roman" w:hAnsi="Times New Roman"/>
        </w:rPr>
      </w:pPr>
      <w:bookmarkStart w:id="6" w:name="_Toc410314946"/>
      <w:r>
        <w:rPr>
          <w:rFonts w:hint="eastAsia" w:ascii="Times New Roman" w:hAnsi="Times New Roman"/>
        </w:rPr>
        <w:t>（二）</w:t>
      </w:r>
      <w:r>
        <w:rPr>
          <w:rFonts w:ascii="Times New Roman" w:hAnsi="Times New Roman"/>
        </w:rPr>
        <w:t>绩效评价</w:t>
      </w:r>
      <w:r>
        <w:rPr>
          <w:rFonts w:hint="eastAsia" w:ascii="Times New Roman" w:hAnsi="Times New Roman"/>
        </w:rPr>
        <w:t>原则、评价指标体系、评价方法</w:t>
      </w:r>
      <w:bookmarkEnd w:id="6"/>
    </w:p>
    <w:p>
      <w:pPr>
        <w:pStyle w:val="24"/>
        <w:spacing w:line="560" w:lineRule="exact"/>
        <w:ind w:firstLine="640"/>
      </w:pPr>
      <w:r>
        <w:t>1.绩效评价原则</w:t>
      </w:r>
    </w:p>
    <w:p>
      <w:pPr>
        <w:pStyle w:val="24"/>
        <w:spacing w:line="560" w:lineRule="exact"/>
        <w:ind w:firstLine="640"/>
      </w:pPr>
      <w:r>
        <w:rPr>
          <w:rFonts w:hint="eastAsia"/>
        </w:rPr>
        <w:t>（</w:t>
      </w:r>
      <w:r>
        <w:t>1）坚持科学规范的原则。此次绩效评价运用科学合理的评价指标体系和方法，按照规范的程序，对支出绩效进行客观、公正的反映。</w:t>
      </w:r>
    </w:p>
    <w:p>
      <w:pPr>
        <w:pStyle w:val="24"/>
        <w:spacing w:line="560" w:lineRule="exact"/>
        <w:ind w:firstLine="640"/>
      </w:pPr>
      <w:r>
        <w:rPr>
          <w:rFonts w:hint="eastAsia"/>
        </w:rPr>
        <w:t>（</w:t>
      </w:r>
      <w:r>
        <w:t>2</w:t>
      </w:r>
      <w:r>
        <w:rPr>
          <w:rFonts w:hint="eastAsia"/>
        </w:rPr>
        <w:t>）坚持统筹兼顾的原则。此次评价我方作为第三方受委托机构在单位自评的基础上开展。</w:t>
      </w:r>
    </w:p>
    <w:p>
      <w:pPr>
        <w:pStyle w:val="24"/>
        <w:spacing w:line="560" w:lineRule="exact"/>
        <w:ind w:firstLine="640"/>
      </w:pPr>
      <w:r>
        <w:rPr>
          <w:rFonts w:hint="eastAsia"/>
        </w:rPr>
        <w:t>（</w:t>
      </w:r>
      <w:r>
        <w:t>3</w:t>
      </w:r>
      <w:r>
        <w:rPr>
          <w:rFonts w:hint="eastAsia"/>
        </w:rPr>
        <w:t>）坚持激励约束的原则。本次绩效评价结果可以作为预算安排、政策调整、改进管理的参考。</w:t>
      </w:r>
    </w:p>
    <w:p>
      <w:pPr>
        <w:pStyle w:val="24"/>
        <w:spacing w:line="560" w:lineRule="exact"/>
        <w:ind w:firstLine="640"/>
      </w:pPr>
      <w:r>
        <w:rPr>
          <w:rFonts w:hint="eastAsia"/>
        </w:rPr>
        <w:t>（</w:t>
      </w:r>
      <w:r>
        <w:t>4</w:t>
      </w:r>
      <w:r>
        <w:rPr>
          <w:rFonts w:hint="eastAsia"/>
        </w:rPr>
        <w:t>）坚持客观公正的原则。本次绩效评价将自觉接受有关机构和社会监督，全面、客观、公正、准确反映项目实际情况。</w:t>
      </w:r>
    </w:p>
    <w:p>
      <w:pPr>
        <w:pStyle w:val="24"/>
        <w:spacing w:line="560" w:lineRule="exact"/>
        <w:ind w:firstLine="640"/>
      </w:pPr>
      <w:r>
        <w:rPr>
          <w:rFonts w:hint="eastAsia"/>
        </w:rPr>
        <w:t>（</w:t>
      </w:r>
      <w:r>
        <w:t>5）坚持综合绩效评价，定量分析与定性分析相结合的原则。</w:t>
      </w:r>
    </w:p>
    <w:p>
      <w:pPr>
        <w:pStyle w:val="24"/>
        <w:spacing w:line="560" w:lineRule="exact"/>
        <w:ind w:firstLine="640"/>
      </w:pPr>
      <w:r>
        <w:rPr>
          <w:rFonts w:hint="eastAsia"/>
        </w:rPr>
        <w:t>（</w:t>
      </w:r>
      <w:r>
        <w:t>6）坚持绩效相关性原则。此次绩效评价将针对具体支出及其产出绩效进行，评价结果将清晰反映支出和产出绩效之间的紧密对应关系。</w:t>
      </w:r>
    </w:p>
    <w:p>
      <w:pPr>
        <w:pStyle w:val="24"/>
        <w:spacing w:line="560" w:lineRule="exact"/>
        <w:ind w:firstLine="640"/>
      </w:pPr>
      <w:r>
        <w:rPr>
          <w:rFonts w:hint="eastAsia"/>
        </w:rPr>
        <w:t>2.评价指标体系</w:t>
      </w:r>
    </w:p>
    <w:p>
      <w:pPr>
        <w:pStyle w:val="24"/>
        <w:spacing w:line="560" w:lineRule="exact"/>
        <w:ind w:firstLine="640"/>
      </w:pPr>
      <w:r>
        <w:rPr>
          <w:rFonts w:hint="eastAsia"/>
        </w:rPr>
        <w:t>针对2022年中央补助地方公共文化服务体系建设补助资金-中央项目情况，从决策、过程、产出及效益四大方面拟定绩效评价指标，其中：</w:t>
      </w:r>
    </w:p>
    <w:p>
      <w:pPr>
        <w:pStyle w:val="24"/>
        <w:spacing w:line="560" w:lineRule="exact"/>
        <w:ind w:firstLine="640"/>
      </w:pPr>
      <w:r>
        <w:rPr>
          <w:rFonts w:hint="eastAsia"/>
        </w:rPr>
        <w:t>（</w:t>
      </w:r>
      <w:r>
        <w:t>1）项目决策指标</w:t>
      </w:r>
    </w:p>
    <w:p>
      <w:pPr>
        <w:pStyle w:val="24"/>
        <w:spacing w:line="560" w:lineRule="exact"/>
        <w:ind w:firstLine="640"/>
      </w:pPr>
      <w:r>
        <w:rPr>
          <w:rFonts w:hint="eastAsia"/>
        </w:rPr>
        <w:t>①项目立项</w:t>
      </w:r>
    </w:p>
    <w:p>
      <w:pPr>
        <w:pStyle w:val="24"/>
        <w:spacing w:line="560" w:lineRule="exact"/>
        <w:ind w:firstLine="640"/>
      </w:pPr>
      <w:r>
        <w:t>a.立项依据充分性。</w:t>
      </w:r>
      <w:r>
        <w:rPr>
          <w:rFonts w:hint="eastAsia"/>
        </w:rPr>
        <w:t>项目立项是否符合法律法规、相关政策、发展规划以及部门职责，用于反映和考核项目立项依据情况。</w:t>
      </w:r>
    </w:p>
    <w:p>
      <w:pPr>
        <w:pStyle w:val="24"/>
        <w:spacing w:line="560" w:lineRule="exact"/>
        <w:ind w:firstLine="640"/>
      </w:pPr>
      <w:r>
        <w:t>b.立项程序规范性。项目申请、设立过程是否符合相关要求，用以反映和考核项目立项的规范情况。</w:t>
      </w:r>
    </w:p>
    <w:p>
      <w:pPr>
        <w:pStyle w:val="24"/>
        <w:spacing w:line="560" w:lineRule="exact"/>
        <w:ind w:firstLine="640"/>
      </w:pPr>
      <w:r>
        <w:rPr>
          <w:rFonts w:hint="eastAsia"/>
        </w:rPr>
        <w:t>②绩效目标</w:t>
      </w:r>
    </w:p>
    <w:p>
      <w:pPr>
        <w:pStyle w:val="24"/>
        <w:spacing w:line="560" w:lineRule="exact"/>
        <w:ind w:firstLine="640"/>
      </w:pPr>
      <w:r>
        <w:t>a.</w:t>
      </w:r>
      <w:r>
        <w:rPr>
          <w:rFonts w:hint="eastAsia"/>
        </w:rPr>
        <w:t>绩效目标明确性</w:t>
      </w:r>
      <w:r>
        <w:t>。</w:t>
      </w:r>
      <w:r>
        <w:rPr>
          <w:rFonts w:hint="eastAsia"/>
        </w:rPr>
        <w:t>依据绩效目标设定的绩效指标是否清晰、细化、可衡量等，用以反映和考核项目绩效目标的明细化情况。</w:t>
      </w:r>
    </w:p>
    <w:p>
      <w:pPr>
        <w:pStyle w:val="24"/>
        <w:spacing w:line="560" w:lineRule="exact"/>
        <w:ind w:firstLine="640"/>
      </w:pPr>
      <w:r>
        <w:t>b.绩效目标</w:t>
      </w:r>
      <w:r>
        <w:rPr>
          <w:rFonts w:hint="eastAsia"/>
        </w:rPr>
        <w:t>合理</w:t>
      </w:r>
      <w:r>
        <w:t>性。</w:t>
      </w:r>
      <w:r>
        <w:rPr>
          <w:rFonts w:hint="eastAsia"/>
        </w:rPr>
        <w:t>项目所设定的绩效目标是否依据充分，是否符合客观实际，用以反映和考核项目绩效目标与项目实施的相符情况。</w:t>
      </w:r>
    </w:p>
    <w:p>
      <w:pPr>
        <w:pStyle w:val="24"/>
        <w:spacing w:line="560" w:lineRule="exact"/>
        <w:ind w:firstLine="640"/>
      </w:pPr>
      <w:r>
        <w:rPr>
          <w:rFonts w:hint="eastAsia"/>
        </w:rPr>
        <w:t>③测算编制</w:t>
      </w:r>
    </w:p>
    <w:p>
      <w:pPr>
        <w:pStyle w:val="24"/>
        <w:spacing w:line="560" w:lineRule="exact"/>
        <w:ind w:firstLine="640"/>
      </w:pPr>
      <w:r>
        <w:t>a.预算</w:t>
      </w:r>
      <w:r>
        <w:rPr>
          <w:rFonts w:hint="eastAsia"/>
        </w:rPr>
        <w:t>内容合规</w:t>
      </w:r>
      <w:r>
        <w:t>性。</w:t>
      </w:r>
      <w:r>
        <w:rPr>
          <w:rFonts w:hint="eastAsia"/>
        </w:rPr>
        <w:t>项目预算测算内容是否符合相关政策文件规定范围。</w:t>
      </w:r>
    </w:p>
    <w:p>
      <w:pPr>
        <w:pStyle w:val="24"/>
        <w:spacing w:line="560" w:lineRule="exact"/>
        <w:ind w:firstLine="640"/>
      </w:pPr>
      <w:r>
        <w:t>b.</w:t>
      </w:r>
      <w:r>
        <w:rPr>
          <w:rFonts w:hint="eastAsia"/>
        </w:rPr>
        <w:t>测算标准合理性</w:t>
      </w:r>
      <w:r>
        <w:t>。</w:t>
      </w:r>
      <w:r>
        <w:rPr>
          <w:rFonts w:hint="eastAsia"/>
        </w:rPr>
        <w:t>项目预算测算项目支出标准是否符合相关政策制度或行业、领域规定。</w:t>
      </w:r>
    </w:p>
    <w:p>
      <w:pPr>
        <w:pStyle w:val="24"/>
        <w:spacing w:line="560" w:lineRule="exact"/>
        <w:ind w:firstLine="640"/>
      </w:pPr>
      <w:r>
        <w:t>c.</w:t>
      </w:r>
      <w:r>
        <w:rPr>
          <w:rFonts w:hint="eastAsia"/>
        </w:rPr>
        <w:t>测算数据客观性。项目预算测算数据是否客观、真实、准确。</w:t>
      </w:r>
    </w:p>
    <w:p>
      <w:pPr>
        <w:pStyle w:val="24"/>
        <w:spacing w:line="560" w:lineRule="exact"/>
        <w:ind w:firstLine="640"/>
      </w:pPr>
      <w:r>
        <w:t>d</w:t>
      </w:r>
      <w:r>
        <w:rPr>
          <w:rFonts w:hint="eastAsia"/>
        </w:rPr>
        <w:t>.测算过程细化度。项目预算测算过程是否细化清晰。</w:t>
      </w:r>
    </w:p>
    <w:p>
      <w:pPr>
        <w:pStyle w:val="24"/>
        <w:spacing w:line="560" w:lineRule="exact"/>
        <w:ind w:firstLine="640"/>
      </w:pPr>
      <w:r>
        <w:rPr>
          <w:rFonts w:hint="eastAsia"/>
        </w:rPr>
        <w:t>（</w:t>
      </w:r>
      <w:r>
        <w:t>2）项目过程指标</w:t>
      </w:r>
    </w:p>
    <w:p>
      <w:pPr>
        <w:pStyle w:val="24"/>
        <w:spacing w:line="560" w:lineRule="exact"/>
        <w:ind w:firstLine="640"/>
      </w:pPr>
      <w:r>
        <w:rPr>
          <w:rFonts w:hint="eastAsia"/>
        </w:rPr>
        <w:t>①资金管理</w:t>
      </w:r>
    </w:p>
    <w:p>
      <w:pPr>
        <w:pStyle w:val="24"/>
        <w:spacing w:line="560" w:lineRule="exact"/>
        <w:ind w:firstLine="640"/>
      </w:pPr>
      <w:r>
        <w:t>a.资金到位率。</w:t>
      </w:r>
      <w:r>
        <w:rPr>
          <w:rFonts w:hint="eastAsia"/>
        </w:rPr>
        <w:t>实际到位资金与预算资金的比率，用以反映和考核资金落实情况对项目实施的总体保障程度。</w:t>
      </w:r>
    </w:p>
    <w:p>
      <w:pPr>
        <w:pStyle w:val="24"/>
        <w:spacing w:line="560" w:lineRule="exact"/>
        <w:ind w:firstLine="640"/>
      </w:pPr>
      <w:r>
        <w:t>b.资金</w:t>
      </w:r>
      <w:r>
        <w:rPr>
          <w:rFonts w:hint="eastAsia"/>
        </w:rPr>
        <w:t>沉淀</w:t>
      </w:r>
      <w:r>
        <w:t>率。</w:t>
      </w:r>
      <w:r>
        <w:rPr>
          <w:rFonts w:hint="eastAsia"/>
        </w:rPr>
        <w:t>项目结转结余资金与实际到位资金的比率，用以反映和考核项目资金使用效率和效益。</w:t>
      </w:r>
    </w:p>
    <w:p>
      <w:pPr>
        <w:pStyle w:val="24"/>
        <w:spacing w:line="560" w:lineRule="exact"/>
        <w:ind w:firstLine="640"/>
      </w:pPr>
      <w:r>
        <w:t>c.预算执行率。</w:t>
      </w:r>
      <w:r>
        <w:rPr>
          <w:rFonts w:hint="eastAsia"/>
        </w:rPr>
        <w:t>项目预算资金是否按照计划执行，用以反映或考核项目预算执行情况。</w:t>
      </w:r>
    </w:p>
    <w:p>
      <w:pPr>
        <w:pStyle w:val="24"/>
        <w:spacing w:line="560" w:lineRule="exact"/>
        <w:ind w:firstLine="640"/>
      </w:pPr>
      <w:r>
        <w:rPr>
          <w:rFonts w:hint="eastAsia"/>
        </w:rPr>
        <w:t>d</w:t>
      </w:r>
      <w:r>
        <w:t>.资金使用合规性。</w:t>
      </w:r>
      <w:r>
        <w:rPr>
          <w:rFonts w:hint="eastAsia"/>
        </w:rPr>
        <w:t>项目资金使用是否符合相关的财务管理制度规定，用以反映和考核项目资金的规范运行情况。</w:t>
      </w:r>
    </w:p>
    <w:p>
      <w:pPr>
        <w:pStyle w:val="24"/>
        <w:spacing w:line="560" w:lineRule="exact"/>
        <w:ind w:firstLine="640"/>
      </w:pPr>
      <w:r>
        <w:rPr>
          <w:rFonts w:hint="eastAsia"/>
        </w:rPr>
        <w:t>②组织实施</w:t>
      </w:r>
    </w:p>
    <w:p>
      <w:pPr>
        <w:pStyle w:val="24"/>
        <w:spacing w:line="560" w:lineRule="exact"/>
        <w:ind w:firstLine="640"/>
      </w:pPr>
      <w:r>
        <w:t>a.管理制度健全性。</w:t>
      </w:r>
      <w:r>
        <w:rPr>
          <w:rFonts w:hint="eastAsia"/>
        </w:rPr>
        <w:t>项目实施单位的财务和业务管理制度是否健全，用以反映和考核财务和业务管理制度对项目顺利实施的保障情况。</w:t>
      </w:r>
    </w:p>
    <w:p>
      <w:pPr>
        <w:pStyle w:val="24"/>
        <w:spacing w:line="560" w:lineRule="exact"/>
        <w:ind w:firstLine="640"/>
      </w:pPr>
      <w:r>
        <w:t>b.制度执行有效性</w:t>
      </w:r>
      <w:r>
        <w:rPr>
          <w:rFonts w:hint="eastAsia"/>
        </w:rPr>
        <w:t>。评价内容主要从项目申报、项目实施、项目结项等3</w:t>
      </w:r>
      <w:r>
        <w:t>个环节开展，结合相关管理规定进行评价</w:t>
      </w:r>
      <w:r>
        <w:rPr>
          <w:rFonts w:hint="eastAsia"/>
        </w:rPr>
        <w:t>。</w:t>
      </w:r>
    </w:p>
    <w:p>
      <w:pPr>
        <w:pStyle w:val="24"/>
        <w:spacing w:line="560" w:lineRule="exact"/>
        <w:ind w:firstLine="640"/>
      </w:pPr>
      <w:r>
        <w:rPr>
          <w:rFonts w:hint="eastAsia"/>
        </w:rPr>
        <w:t>（</w:t>
      </w:r>
      <w:r>
        <w:t>3）项目产出指标</w:t>
      </w:r>
    </w:p>
    <w:p>
      <w:pPr>
        <w:pStyle w:val="24"/>
        <w:spacing w:line="560" w:lineRule="exact"/>
        <w:ind w:firstLine="640"/>
      </w:pPr>
      <w:r>
        <w:rPr>
          <w:rFonts w:hint="eastAsia"/>
        </w:rPr>
        <w:t>①产出数量</w:t>
      </w:r>
    </w:p>
    <w:p>
      <w:pPr>
        <w:pStyle w:val="24"/>
        <w:spacing w:line="560" w:lineRule="exact"/>
        <w:ind w:firstLine="640"/>
      </w:pPr>
      <w:r>
        <w:rPr>
          <w:rFonts w:hint="eastAsia"/>
        </w:rPr>
        <w:t>文化活动举办完成率。项目实施期间实际举办文化活动的数量与计划举办文化活动的数量比对，反映文化活动举办的完成情况。</w:t>
      </w:r>
    </w:p>
    <w:p>
      <w:pPr>
        <w:pStyle w:val="24"/>
        <w:spacing w:line="560" w:lineRule="exact"/>
        <w:ind w:firstLine="640"/>
      </w:pPr>
      <w:r>
        <w:rPr>
          <w:rFonts w:hint="eastAsia"/>
        </w:rPr>
        <w:t>②产出质量</w:t>
      </w:r>
    </w:p>
    <w:p>
      <w:pPr>
        <w:pStyle w:val="24"/>
        <w:spacing w:line="560" w:lineRule="exact"/>
        <w:ind w:firstLine="640"/>
      </w:pPr>
      <w:r>
        <w:rPr>
          <w:rFonts w:hint="eastAsia"/>
        </w:rPr>
        <w:t>文化活动举办内容如期率。项目实施期间实际根据活动实施方案举办的文化活动数量与文化活动举办总数量比对，用以反映文化活动按计划开展的情况。</w:t>
      </w:r>
    </w:p>
    <w:p>
      <w:pPr>
        <w:pStyle w:val="24"/>
        <w:spacing w:line="560" w:lineRule="exact"/>
        <w:ind w:firstLine="640"/>
      </w:pPr>
      <w:r>
        <w:rPr>
          <w:rFonts w:hint="eastAsia"/>
        </w:rPr>
        <w:t>③产出时效</w:t>
      </w:r>
    </w:p>
    <w:p>
      <w:pPr>
        <w:pStyle w:val="24"/>
        <w:spacing w:line="560" w:lineRule="exact"/>
        <w:ind w:firstLine="640"/>
      </w:pPr>
      <w:r>
        <w:rPr>
          <w:rFonts w:hint="eastAsia"/>
        </w:rPr>
        <w:t>文化活动举办完成及时率。项目实施期间及时举办完成的文化活动数量与实际举办文化活动数量比对，用以反映文化活动举办完成的及时情况。</w:t>
      </w:r>
    </w:p>
    <w:p>
      <w:pPr>
        <w:pStyle w:val="24"/>
        <w:spacing w:line="560" w:lineRule="exact"/>
        <w:ind w:firstLine="640"/>
      </w:pPr>
      <w:r>
        <w:rPr>
          <w:rFonts w:hint="eastAsia"/>
        </w:rPr>
        <w:t>④产出成本</w:t>
      </w:r>
    </w:p>
    <w:p>
      <w:pPr>
        <w:pStyle w:val="24"/>
        <w:spacing w:line="560" w:lineRule="exact"/>
        <w:ind w:firstLine="640"/>
        <w:rPr>
          <w:highlight w:val="yellow"/>
        </w:rPr>
      </w:pPr>
      <w:r>
        <w:rPr>
          <w:rFonts w:hint="eastAsia"/>
        </w:rPr>
        <w:t>文化活动举办成本节约率。项目实施期间实际举办文化活动的金额与合同应支付金额对比，用以反映</w:t>
      </w:r>
      <w:r>
        <w:t>2022年中央补助地方公共文化服务体系建设补助资金-中央项目成本支出控制情况</w:t>
      </w:r>
      <w:r>
        <w:rPr>
          <w:rFonts w:hint="eastAsia"/>
        </w:rPr>
        <w:t>。</w:t>
      </w:r>
    </w:p>
    <w:p>
      <w:pPr>
        <w:pStyle w:val="24"/>
        <w:spacing w:line="560" w:lineRule="exact"/>
        <w:ind w:firstLine="640"/>
      </w:pPr>
      <w:r>
        <w:rPr>
          <w:rFonts w:hint="eastAsia"/>
        </w:rPr>
        <w:t>（</w:t>
      </w:r>
      <w:r>
        <w:t>4）项目</w:t>
      </w:r>
      <w:r>
        <w:rPr>
          <w:rFonts w:hint="eastAsia"/>
        </w:rPr>
        <w:t>效益指标</w:t>
      </w:r>
    </w:p>
    <w:p>
      <w:pPr>
        <w:pStyle w:val="24"/>
        <w:spacing w:line="560" w:lineRule="exact"/>
        <w:ind w:firstLine="640"/>
      </w:pPr>
      <w:r>
        <w:rPr>
          <w:rFonts w:hint="eastAsia"/>
        </w:rPr>
        <w:t>①社会效益</w:t>
      </w:r>
    </w:p>
    <w:p>
      <w:pPr>
        <w:pStyle w:val="24"/>
        <w:spacing w:line="560" w:lineRule="exact"/>
        <w:ind w:firstLine="640"/>
      </w:pPr>
      <w:r>
        <w:rPr>
          <w:rFonts w:hint="eastAsia"/>
        </w:rPr>
        <w:t>群众文化生活的丰富情况。文化活动举办期间，活动覆盖情况及人员参与的情况，用以反映对群众文化生活的丰富情况。</w:t>
      </w:r>
    </w:p>
    <w:p>
      <w:pPr>
        <w:pStyle w:val="24"/>
        <w:spacing w:line="560" w:lineRule="exact"/>
        <w:ind w:firstLine="640"/>
      </w:pPr>
      <w:r>
        <w:rPr>
          <w:rFonts w:hint="eastAsia"/>
        </w:rPr>
        <w:t>②可持续影响</w:t>
      </w:r>
    </w:p>
    <w:p>
      <w:pPr>
        <w:pStyle w:val="24"/>
        <w:spacing w:line="560" w:lineRule="exact"/>
        <w:ind w:firstLine="640"/>
        <w:rPr>
          <w:highlight w:val="yellow"/>
        </w:rPr>
      </w:pPr>
      <w:r>
        <w:rPr>
          <w:rFonts w:hint="eastAsia"/>
        </w:rPr>
        <w:t>建立健全文化活动开展保障机制。文化活动开展保障制度的建立健全情况，用以反映对文化活动开展的保障程度。</w:t>
      </w:r>
    </w:p>
    <w:p>
      <w:pPr>
        <w:pStyle w:val="24"/>
        <w:spacing w:line="560" w:lineRule="exact"/>
        <w:ind w:firstLine="640"/>
      </w:pPr>
      <w:r>
        <w:rPr>
          <w:rFonts w:hint="eastAsia"/>
        </w:rPr>
        <w:t>③服务对象满意度</w:t>
      </w:r>
    </w:p>
    <w:p>
      <w:pPr>
        <w:pStyle w:val="24"/>
        <w:spacing w:line="560" w:lineRule="exact"/>
        <w:ind w:firstLine="640"/>
      </w:pPr>
      <w:r>
        <w:rPr>
          <w:rFonts w:hint="eastAsia"/>
        </w:rPr>
        <w:t>文化活动参与人员满意度。通过调查问卷中文化活动参与人员满意的人数与调查总人数的比率，反映文化活动参与人员对本项目的满意程度。</w:t>
      </w:r>
    </w:p>
    <w:p>
      <w:pPr>
        <w:pStyle w:val="24"/>
        <w:spacing w:line="560" w:lineRule="exact"/>
        <w:ind w:firstLine="640"/>
      </w:pPr>
      <w:r>
        <w:rPr>
          <w:rFonts w:hint="eastAsia"/>
        </w:rPr>
        <w:t>3</w:t>
      </w:r>
      <w:r>
        <w:t>.</w:t>
      </w:r>
      <w:r>
        <w:rPr>
          <w:rFonts w:hint="eastAsia"/>
        </w:rPr>
        <w:t>绩效评价方法</w:t>
      </w:r>
    </w:p>
    <w:p>
      <w:pPr>
        <w:pStyle w:val="24"/>
        <w:spacing w:line="560" w:lineRule="exact"/>
        <w:ind w:firstLine="640"/>
      </w:pPr>
      <w:r>
        <w:rPr>
          <w:rFonts w:hint="eastAsia"/>
        </w:rPr>
        <w:t>结合项目具体情况，本次绩效评价主要运用指标分析法、结合比较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并对和平区文化和旅游局2022年中央补助地方公共文化服务体系建设补助资金-中央项目</w:t>
      </w:r>
      <w:r>
        <w:t>进行了现场评价</w:t>
      </w:r>
      <w:r>
        <w:rPr>
          <w:rFonts w:hint="eastAsia"/>
        </w:rPr>
        <w:t>，</w:t>
      </w:r>
      <w:r>
        <w:t>绩效评价指标体系详见附件。</w:t>
      </w:r>
    </w:p>
    <w:p>
      <w:pPr>
        <w:pStyle w:val="29"/>
        <w:spacing w:before="0" w:after="0" w:line="560" w:lineRule="exact"/>
        <w:ind w:firstLine="640"/>
        <w:rPr>
          <w:rFonts w:ascii="Times New Roman" w:hAnsi="Times New Roman"/>
        </w:rPr>
      </w:pPr>
      <w:bookmarkStart w:id="7" w:name="_Toc593306905"/>
      <w:r>
        <w:rPr>
          <w:rFonts w:hint="eastAsia" w:ascii="Times New Roman" w:hAnsi="Times New Roman"/>
        </w:rPr>
        <w:t>（三）绩效评价工作过程</w:t>
      </w:r>
      <w:bookmarkEnd w:id="7"/>
    </w:p>
    <w:p>
      <w:pPr>
        <w:pStyle w:val="24"/>
        <w:spacing w:line="560" w:lineRule="exact"/>
        <w:ind w:firstLine="640"/>
      </w:pPr>
      <w:r>
        <w:rPr>
          <w:rFonts w:hint="eastAsia"/>
        </w:rPr>
        <w:t>1.前期准备阶段</w:t>
      </w:r>
    </w:p>
    <w:p>
      <w:pPr>
        <w:pStyle w:val="24"/>
        <w:spacing w:line="560" w:lineRule="exact"/>
        <w:ind w:firstLine="640"/>
      </w:pPr>
      <w:r>
        <w:rPr>
          <w:rFonts w:hint="eastAsia"/>
        </w:rPr>
        <w:t>（</w:t>
      </w:r>
      <w:r>
        <w:t>1）接受委托，成立绩效评价项目组</w:t>
      </w:r>
    </w:p>
    <w:p>
      <w:pPr>
        <w:pStyle w:val="24"/>
        <w:spacing w:line="560" w:lineRule="exact"/>
        <w:ind w:firstLine="640"/>
      </w:pPr>
      <w:r>
        <w:rPr>
          <w:rFonts w:hint="eastAsia"/>
        </w:rPr>
        <w:t>天津市和平区财政局</w:t>
      </w:r>
      <w:r>
        <w:t>委托我司对</w:t>
      </w:r>
      <w:r>
        <w:rPr>
          <w:rFonts w:hint="eastAsia"/>
        </w:rPr>
        <w:t>2022年中央补助地方公共文化服务体系建设补助资金-中央项目</w:t>
      </w:r>
      <w:r>
        <w:t>进行绩效评价工作。</w:t>
      </w:r>
    </w:p>
    <w:p>
      <w:pPr>
        <w:pStyle w:val="24"/>
        <w:spacing w:line="560" w:lineRule="exact"/>
        <w:ind w:firstLine="640"/>
      </w:pPr>
      <w:r>
        <w:rPr>
          <w:rFonts w:hint="eastAsia"/>
        </w:rPr>
        <w:t>2023年7月10日，</w:t>
      </w:r>
      <w:r>
        <w:t>绩效评价项目组（以下简称“评价组”）赴</w:t>
      </w:r>
      <w:r>
        <w:rPr>
          <w:rFonts w:hint="eastAsia"/>
        </w:rPr>
        <w:t>和平区文化和旅游局</w:t>
      </w:r>
      <w:r>
        <w:t>参加了项目见面会，听取了该单位对“</w:t>
      </w:r>
      <w:r>
        <w:rPr>
          <w:rFonts w:hint="eastAsia"/>
        </w:rPr>
        <w:t>2022年中央补助地方公共文化服务体系建设补助资金-中央项目</w:t>
      </w:r>
      <w:r>
        <w:t>”的申请立项、资金落实、业务管理、财务管理、项目产出、项目效益等方面的情况介绍，并对项目后续评价工作的基本原则及所需的各类资料文件提出了要求。</w:t>
      </w:r>
    </w:p>
    <w:p>
      <w:pPr>
        <w:pStyle w:val="24"/>
        <w:spacing w:line="560" w:lineRule="exact"/>
        <w:ind w:firstLine="640"/>
      </w:pPr>
      <w:r>
        <w:rPr>
          <w:rFonts w:hint="eastAsia"/>
        </w:rPr>
        <w:t>（</w:t>
      </w:r>
      <w:r>
        <w:t>2）制定绩效评价方案</w:t>
      </w:r>
    </w:p>
    <w:p>
      <w:pPr>
        <w:pStyle w:val="24"/>
        <w:spacing w:line="560" w:lineRule="exact"/>
        <w:ind w:firstLine="640"/>
      </w:pPr>
      <w:r>
        <w:rPr>
          <w:rFonts w:hint="eastAsia"/>
        </w:rPr>
        <w:t>根据有关文件要求，评价项目组制定了《天津市和平区文化和旅游局2022年中央补助地方公共文化服务体系建设补助资金-中央项目</w:t>
      </w:r>
      <w:r>
        <w:t>绩效评价实施方案》，并经</w:t>
      </w:r>
      <w:r>
        <w:rPr>
          <w:rFonts w:hint="eastAsia"/>
        </w:rPr>
        <w:t>和平区文化和旅游局</w:t>
      </w:r>
      <w:r>
        <w:t>审定后实施。</w:t>
      </w:r>
    </w:p>
    <w:p>
      <w:pPr>
        <w:pStyle w:val="24"/>
        <w:spacing w:line="560" w:lineRule="exact"/>
        <w:ind w:firstLine="640"/>
      </w:pPr>
      <w:r>
        <w:rPr>
          <w:rFonts w:hint="eastAsia"/>
        </w:rPr>
        <w:t>（</w:t>
      </w:r>
      <w:r>
        <w:t>3）指标体系设计</w:t>
      </w:r>
    </w:p>
    <w:p>
      <w:pPr>
        <w:pStyle w:val="24"/>
        <w:spacing w:line="560" w:lineRule="exact"/>
        <w:ind w:firstLine="640"/>
      </w:pPr>
      <w:r>
        <w:rPr>
          <w:rFonts w:hint="eastAsia"/>
        </w:rPr>
        <w:t>根据和平区文化和旅游局2022年中央补助地方公共文化服务体系建设补助资金-中央项目</w:t>
      </w:r>
      <w:r>
        <w:t>绩效目标及实际工作需要，从决策、过程、产出、效益四个维度出发，设立项目立项、绩效目标、</w:t>
      </w:r>
      <w:r>
        <w:rPr>
          <w:rFonts w:hint="eastAsia"/>
        </w:rPr>
        <w:t>预算编制</w:t>
      </w:r>
      <w:r>
        <w:t>、资金管理、组织实施、产出数量、产出质量、产出时效、产出成本、</w:t>
      </w:r>
      <w:r>
        <w:rPr>
          <w:rFonts w:hint="eastAsia"/>
        </w:rPr>
        <w:t>社会效益</w:t>
      </w:r>
      <w:r>
        <w:t>、</w:t>
      </w:r>
      <w:r>
        <w:rPr>
          <w:rFonts w:hint="eastAsia"/>
        </w:rPr>
        <w:t>可持续影响、服务对象满意度</w:t>
      </w:r>
      <w:r>
        <w:t>1</w:t>
      </w:r>
      <w:r>
        <w:rPr>
          <w:rFonts w:hint="eastAsia"/>
        </w:rPr>
        <w:t>2项</w:t>
      </w:r>
      <w:r>
        <w:t>二级指标和</w:t>
      </w:r>
      <w:r>
        <w:rPr>
          <w:rFonts w:hint="eastAsia"/>
        </w:rPr>
        <w:t>21项</w:t>
      </w:r>
      <w:r>
        <w:t>三级指标，采取指标分值百分制，将</w:t>
      </w:r>
      <w:r>
        <w:rPr>
          <w:rFonts w:hint="eastAsia"/>
        </w:rPr>
        <w:t>21项</w:t>
      </w:r>
      <w:r>
        <w:t>指标量化为100分，分值权重在征求被评单位意见的基础上确定，详见附</w:t>
      </w:r>
      <w:r>
        <w:rPr>
          <w:rFonts w:hint="eastAsia"/>
        </w:rPr>
        <w:t>件</w:t>
      </w:r>
      <w:r>
        <w:t>。</w:t>
      </w:r>
    </w:p>
    <w:p>
      <w:pPr>
        <w:pStyle w:val="24"/>
        <w:spacing w:line="560" w:lineRule="exact"/>
        <w:ind w:firstLine="640"/>
      </w:pPr>
      <w:r>
        <w:rPr>
          <w:rFonts w:hint="eastAsia"/>
        </w:rPr>
        <w:t>2.评价实施阶段</w:t>
      </w:r>
    </w:p>
    <w:p>
      <w:pPr>
        <w:pStyle w:val="24"/>
        <w:spacing w:line="560" w:lineRule="exact"/>
        <w:ind w:firstLine="640"/>
      </w:pPr>
      <w:r>
        <w:rPr>
          <w:rFonts w:hint="eastAsia"/>
        </w:rPr>
        <w:t>（</w:t>
      </w:r>
      <w:r>
        <w:t>1）正式进驻。</w:t>
      </w:r>
    </w:p>
    <w:p>
      <w:pPr>
        <w:pStyle w:val="24"/>
        <w:spacing w:line="560" w:lineRule="exact"/>
        <w:ind w:firstLine="640"/>
        <w:rPr>
          <w:highlight w:val="yellow"/>
        </w:rPr>
      </w:pPr>
      <w:r>
        <w:rPr>
          <w:rFonts w:hint="eastAsia"/>
        </w:rPr>
        <w:t>评价组于2023年7月10日</w:t>
      </w:r>
      <w:r>
        <w:t>正式进驻</w:t>
      </w:r>
      <w:r>
        <w:rPr>
          <w:rFonts w:hint="eastAsia"/>
        </w:rPr>
        <w:t>和平区文化和旅游局</w:t>
      </w:r>
      <w:r>
        <w:t>实施评价工作。</w:t>
      </w:r>
    </w:p>
    <w:p>
      <w:pPr>
        <w:pStyle w:val="24"/>
        <w:spacing w:line="560" w:lineRule="exact"/>
        <w:ind w:firstLine="640"/>
      </w:pPr>
      <w:r>
        <w:t>（2）全面审查。</w:t>
      </w:r>
    </w:p>
    <w:p>
      <w:pPr>
        <w:pStyle w:val="24"/>
        <w:spacing w:line="560" w:lineRule="exact"/>
        <w:ind w:firstLine="640"/>
      </w:pPr>
      <w:r>
        <w:t>评价过程中，评价组</w:t>
      </w:r>
      <w:r>
        <w:rPr>
          <w:rFonts w:hint="eastAsia"/>
        </w:rPr>
        <w:t>对2022年中央补助地方公共文化服务体系建设补助资金-中央项目</w:t>
      </w:r>
      <w:r>
        <w:t>的文件依据、预算编制、制度执行、资金拨付、资金使用情况、产生效益等方面进行了全面梳理。评价组根据</w:t>
      </w:r>
      <w:r>
        <w:rPr>
          <w:rFonts w:hint="eastAsia"/>
        </w:rPr>
        <w:t>《中央补助地方公共文化服务体系建设专项资金管理暂行办法》（财教〔</w:t>
      </w:r>
      <w:r>
        <w:t>2015〕527号）</w:t>
      </w:r>
      <w:r>
        <w:rPr>
          <w:rFonts w:hint="eastAsia"/>
        </w:rPr>
        <w:t>《文化和旅游部</w:t>
      </w:r>
      <w:r>
        <w:t xml:space="preserve"> 国家发展改革委 财政部关于推动公共文化服务高质量发展的意见》（文旅公共发〔2021〕21号）</w:t>
      </w:r>
      <w:r>
        <w:rPr>
          <w:rFonts w:hint="eastAsia"/>
        </w:rPr>
        <w:t>《天津市财政局关于提前下达</w:t>
      </w:r>
      <w:r>
        <w:t>2022年中央补助地方公共文化服务体系建设补助资金预算的通知》（津财教指</w:t>
      </w:r>
      <w:r>
        <w:rPr>
          <w:rFonts w:hint="eastAsia"/>
        </w:rPr>
        <w:t>〔</w:t>
      </w:r>
      <w:r>
        <w:t>2021〕145号）等文件，对专项经费的到位情况、预算编制、</w:t>
      </w:r>
      <w:r>
        <w:rPr>
          <w:rFonts w:hint="eastAsia"/>
        </w:rPr>
        <w:t>项目</w:t>
      </w:r>
      <w:r>
        <w:t>经费拨付等相关业务文件进行了核查。</w:t>
      </w:r>
    </w:p>
    <w:p>
      <w:pPr>
        <w:pStyle w:val="24"/>
        <w:spacing w:line="560" w:lineRule="exact"/>
        <w:ind w:firstLine="640"/>
      </w:pPr>
      <w:r>
        <w:t>（3）实地核查。</w:t>
      </w:r>
    </w:p>
    <w:p>
      <w:pPr>
        <w:pStyle w:val="24"/>
        <w:spacing w:line="560" w:lineRule="exact"/>
        <w:ind w:firstLine="640"/>
      </w:pPr>
      <w:r>
        <w:t>评价组对</w:t>
      </w:r>
      <w:r>
        <w:rPr>
          <w:rFonts w:hint="eastAsia"/>
        </w:rPr>
        <w:t>和平区文化和旅游局2022年中央补助地方公共文化服务体系建设补助资金-中央项目资金使用情况进行实地核查</w:t>
      </w:r>
      <w:r>
        <w:t>。通过现场实际勘察，了解</w:t>
      </w:r>
      <w:r>
        <w:rPr>
          <w:rFonts w:hint="eastAsia"/>
        </w:rPr>
        <w:t>到2022年中央补助地方公共文化服务体系建设补助资金-中央项目资金的</w:t>
      </w:r>
      <w:r>
        <w:t>实际情况，完成调查表</w:t>
      </w:r>
      <w:r>
        <w:rPr>
          <w:rFonts w:hint="eastAsia"/>
        </w:rPr>
        <w:t>，并</w:t>
      </w:r>
      <w:r>
        <w:t>对</w:t>
      </w:r>
      <w:r>
        <w:rPr>
          <w:rFonts w:hint="eastAsia"/>
        </w:rPr>
        <w:t>参与文化活动人员</w:t>
      </w:r>
      <w:r>
        <w:t>进行满意度调查</w:t>
      </w:r>
      <w:r>
        <w:rPr>
          <w:rFonts w:hint="eastAsia"/>
        </w:rPr>
        <w:t>。</w:t>
      </w:r>
    </w:p>
    <w:p>
      <w:pPr>
        <w:pStyle w:val="24"/>
        <w:spacing w:line="560" w:lineRule="exact"/>
        <w:ind w:firstLine="640"/>
      </w:pPr>
      <w:r>
        <w:t>（4）评价打分。</w:t>
      </w:r>
    </w:p>
    <w:p>
      <w:pPr>
        <w:pStyle w:val="24"/>
        <w:spacing w:line="560" w:lineRule="exact"/>
        <w:ind w:firstLine="640"/>
      </w:pPr>
      <w:r>
        <w:t>按照绩效评价指标体系编制了工作底稿，并对各绩效评价指标进行了评分。</w:t>
      </w:r>
    </w:p>
    <w:p>
      <w:pPr>
        <w:pStyle w:val="24"/>
        <w:spacing w:line="560" w:lineRule="exact"/>
        <w:ind w:firstLine="640"/>
      </w:pPr>
      <w:r>
        <w:t>（5）编制报告。</w:t>
      </w:r>
    </w:p>
    <w:p>
      <w:pPr>
        <w:pStyle w:val="24"/>
        <w:spacing w:line="560" w:lineRule="exact"/>
        <w:ind w:firstLine="640"/>
      </w:pPr>
      <w:r>
        <w:t>评价组根据实地核查、评价打分编制绩效评价报告，全面梳理</w:t>
      </w:r>
      <w:r>
        <w:rPr>
          <w:rFonts w:hint="eastAsia"/>
        </w:rPr>
        <w:t>2022年中央补助地方公共文化服务体系建设补助资金-中央项目</w:t>
      </w:r>
      <w:r>
        <w:t>在决策依据、过程管理、产出情况、取得效益等方面存在的问题及工作建议。</w:t>
      </w:r>
    </w:p>
    <w:p>
      <w:pPr>
        <w:pStyle w:val="27"/>
        <w:spacing w:line="560" w:lineRule="exact"/>
      </w:pPr>
      <w:bookmarkStart w:id="8" w:name="_Toc942579314"/>
      <w:r>
        <w:rPr>
          <w:rFonts w:hint="eastAsia"/>
        </w:rPr>
        <w:t>三、综合评价情况及评价结论</w:t>
      </w:r>
      <w:bookmarkEnd w:id="8"/>
    </w:p>
    <w:p>
      <w:pPr>
        <w:pStyle w:val="24"/>
        <w:spacing w:line="560" w:lineRule="exact"/>
        <w:ind w:firstLine="640"/>
      </w:pPr>
      <w:r>
        <w:rPr>
          <w:rFonts w:hint="eastAsia"/>
        </w:rPr>
        <w:t>经过综合评价，2022年中央补助地方公共文化服务体系建设补助资金-中央项目得分92</w:t>
      </w:r>
      <w:r>
        <w:t>分，评价等级为“</w:t>
      </w:r>
      <w:r>
        <w:rPr>
          <w:rFonts w:hint="eastAsia"/>
        </w:rPr>
        <w:t>优</w:t>
      </w:r>
      <w:r>
        <w:t>”。其中，项目决策</w:t>
      </w:r>
      <w:r>
        <w:rPr>
          <w:rFonts w:hint="eastAsia"/>
        </w:rPr>
        <w:t>16</w:t>
      </w:r>
      <w:r>
        <w:t>分，项目过程</w:t>
      </w:r>
      <w:r>
        <w:rPr>
          <w:rFonts w:hint="eastAsia"/>
        </w:rPr>
        <w:t>20</w:t>
      </w:r>
      <w:r>
        <w:t>分，项目产出</w:t>
      </w:r>
      <w:r>
        <w:rPr>
          <w:rFonts w:hint="eastAsia"/>
        </w:rPr>
        <w:t>38</w:t>
      </w:r>
      <w:r>
        <w:t>分，项目效益</w:t>
      </w:r>
      <w:r>
        <w:rPr>
          <w:rFonts w:hint="eastAsia"/>
        </w:rPr>
        <w:t>18</w:t>
      </w:r>
      <w:r>
        <w:t>分</w:t>
      </w:r>
      <w:r>
        <w:rPr>
          <w:rFonts w:hint="eastAsia"/>
        </w:rPr>
        <w:t>。</w:t>
      </w:r>
    </w:p>
    <w:p>
      <w:pPr>
        <w:pStyle w:val="24"/>
        <w:spacing w:line="560" w:lineRule="exact"/>
        <w:ind w:firstLine="640"/>
      </w:pPr>
      <w:r>
        <w:rPr>
          <w:rFonts w:hint="eastAsia"/>
        </w:rPr>
        <w:t>具体情况见表2所示</w:t>
      </w:r>
      <w:r>
        <w:t>：</w:t>
      </w:r>
    </w:p>
    <w:p>
      <w:pPr>
        <w:pStyle w:val="24"/>
        <w:spacing w:line="560" w:lineRule="exact"/>
        <w:ind w:firstLine="0" w:firstLineChars="0"/>
        <w:jc w:val="center"/>
        <w:rPr>
          <w:rFonts w:eastAsia="黑体" w:cs="黑体"/>
          <w:sz w:val="28"/>
          <w:szCs w:val="28"/>
        </w:rPr>
      </w:pPr>
      <w:r>
        <w:rPr>
          <w:rFonts w:hint="eastAsia" w:eastAsia="黑体" w:cs="黑体"/>
          <w:sz w:val="28"/>
          <w:szCs w:val="28"/>
        </w:rPr>
        <w:t>表2  2022年中央补助地方公共文化服务体系建设补助资金-中央项目绩效得分情况表</w:t>
      </w:r>
    </w:p>
    <w:tbl>
      <w:tblPr>
        <w:tblStyle w:val="17"/>
        <w:tblW w:w="9056"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00"/>
        <w:gridCol w:w="1499"/>
        <w:gridCol w:w="1501"/>
        <w:gridCol w:w="1533"/>
        <w:gridCol w:w="1501"/>
        <w:gridCol w:w="15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exact"/>
          <w:tblHeader/>
          <w:jc w:val="center"/>
        </w:trPr>
        <w:tc>
          <w:tcPr>
            <w:tcW w:w="1500" w:type="dxa"/>
            <w:vAlign w:val="center"/>
          </w:tcPr>
          <w:p>
            <w:pPr>
              <w:pStyle w:val="38"/>
              <w:spacing w:line="560" w:lineRule="exact"/>
              <w:rPr>
                <w:rFonts w:cs="宋体"/>
                <w:kern w:val="0"/>
              </w:rPr>
            </w:pPr>
            <w:r>
              <w:rPr>
                <w:rFonts w:hint="eastAsia" w:cs="宋体"/>
                <w:kern w:val="0"/>
              </w:rPr>
              <w:t>指标</w:t>
            </w:r>
          </w:p>
        </w:tc>
        <w:tc>
          <w:tcPr>
            <w:tcW w:w="1499" w:type="dxa"/>
            <w:vAlign w:val="center"/>
          </w:tcPr>
          <w:p>
            <w:pPr>
              <w:pStyle w:val="38"/>
              <w:spacing w:line="560" w:lineRule="exact"/>
              <w:rPr>
                <w:rFonts w:cs="宋体"/>
                <w:kern w:val="0"/>
              </w:rPr>
            </w:pPr>
            <w:r>
              <w:rPr>
                <w:rFonts w:hint="eastAsia" w:cs="宋体"/>
                <w:kern w:val="0"/>
              </w:rPr>
              <w:t>项目决策</w:t>
            </w:r>
          </w:p>
        </w:tc>
        <w:tc>
          <w:tcPr>
            <w:tcW w:w="1501" w:type="dxa"/>
            <w:vAlign w:val="center"/>
          </w:tcPr>
          <w:p>
            <w:pPr>
              <w:pStyle w:val="38"/>
              <w:spacing w:line="560" w:lineRule="exact"/>
              <w:rPr>
                <w:rFonts w:cs="宋体"/>
                <w:kern w:val="0"/>
              </w:rPr>
            </w:pPr>
            <w:r>
              <w:rPr>
                <w:rFonts w:hint="eastAsia" w:cs="宋体"/>
                <w:kern w:val="0"/>
              </w:rPr>
              <w:t>项目过程</w:t>
            </w:r>
          </w:p>
        </w:tc>
        <w:tc>
          <w:tcPr>
            <w:tcW w:w="1533" w:type="dxa"/>
            <w:vAlign w:val="center"/>
          </w:tcPr>
          <w:p>
            <w:pPr>
              <w:pStyle w:val="38"/>
              <w:spacing w:line="560" w:lineRule="exact"/>
              <w:rPr>
                <w:rFonts w:cs="宋体"/>
                <w:kern w:val="0"/>
              </w:rPr>
            </w:pPr>
            <w:r>
              <w:rPr>
                <w:rFonts w:hint="eastAsia" w:cs="宋体"/>
                <w:kern w:val="0"/>
              </w:rPr>
              <w:t>项目产出</w:t>
            </w:r>
          </w:p>
        </w:tc>
        <w:tc>
          <w:tcPr>
            <w:tcW w:w="1501" w:type="dxa"/>
            <w:vAlign w:val="center"/>
          </w:tcPr>
          <w:p>
            <w:pPr>
              <w:pStyle w:val="38"/>
              <w:spacing w:line="560" w:lineRule="exact"/>
              <w:rPr>
                <w:rFonts w:cs="宋体"/>
                <w:kern w:val="0"/>
              </w:rPr>
            </w:pPr>
            <w:r>
              <w:rPr>
                <w:rFonts w:hint="eastAsia" w:cs="宋体"/>
                <w:kern w:val="0"/>
              </w:rPr>
              <w:t>项目效益</w:t>
            </w:r>
          </w:p>
        </w:tc>
        <w:tc>
          <w:tcPr>
            <w:tcW w:w="1522" w:type="dxa"/>
            <w:vAlign w:val="center"/>
          </w:tcPr>
          <w:p>
            <w:pPr>
              <w:pStyle w:val="38"/>
              <w:spacing w:line="560" w:lineRule="exact"/>
              <w:rPr>
                <w:rFonts w:cs="宋体"/>
                <w:kern w:val="0"/>
              </w:rPr>
            </w:pPr>
            <w:r>
              <w:rPr>
                <w:rFonts w:hint="eastAsia" w:cs="宋体"/>
                <w:kern w:val="0"/>
              </w:rPr>
              <w:t>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exact"/>
          <w:jc w:val="center"/>
        </w:trPr>
        <w:tc>
          <w:tcPr>
            <w:tcW w:w="1500" w:type="dxa"/>
            <w:vAlign w:val="center"/>
          </w:tcPr>
          <w:p>
            <w:pPr>
              <w:pStyle w:val="37"/>
              <w:spacing w:line="560" w:lineRule="exact"/>
              <w:jc w:val="center"/>
              <w:rPr>
                <w:kern w:val="0"/>
              </w:rPr>
            </w:pPr>
            <w:r>
              <w:rPr>
                <w:rFonts w:hint="eastAsia"/>
                <w:kern w:val="0"/>
              </w:rPr>
              <w:t>分值</w:t>
            </w:r>
          </w:p>
        </w:tc>
        <w:tc>
          <w:tcPr>
            <w:tcW w:w="1499" w:type="dxa"/>
            <w:vAlign w:val="center"/>
          </w:tcPr>
          <w:p>
            <w:pPr>
              <w:pStyle w:val="37"/>
              <w:spacing w:line="560" w:lineRule="exact"/>
              <w:jc w:val="center"/>
              <w:rPr>
                <w:kern w:val="0"/>
              </w:rPr>
            </w:pPr>
            <w:r>
              <w:rPr>
                <w:kern w:val="0"/>
              </w:rPr>
              <w:t>17</w:t>
            </w:r>
          </w:p>
        </w:tc>
        <w:tc>
          <w:tcPr>
            <w:tcW w:w="1501" w:type="dxa"/>
            <w:vAlign w:val="center"/>
          </w:tcPr>
          <w:p>
            <w:pPr>
              <w:pStyle w:val="37"/>
              <w:spacing w:line="560" w:lineRule="exact"/>
              <w:jc w:val="center"/>
              <w:rPr>
                <w:kern w:val="0"/>
              </w:rPr>
            </w:pPr>
            <w:r>
              <w:rPr>
                <w:kern w:val="0"/>
              </w:rPr>
              <w:t>23</w:t>
            </w:r>
          </w:p>
        </w:tc>
        <w:tc>
          <w:tcPr>
            <w:tcW w:w="1533" w:type="dxa"/>
            <w:vAlign w:val="center"/>
          </w:tcPr>
          <w:p>
            <w:pPr>
              <w:pStyle w:val="37"/>
              <w:spacing w:line="560" w:lineRule="exact"/>
              <w:jc w:val="center"/>
              <w:rPr>
                <w:kern w:val="0"/>
              </w:rPr>
            </w:pPr>
            <w:r>
              <w:rPr>
                <w:rFonts w:hint="eastAsia"/>
                <w:kern w:val="0"/>
              </w:rPr>
              <w:t>38</w:t>
            </w:r>
          </w:p>
        </w:tc>
        <w:tc>
          <w:tcPr>
            <w:tcW w:w="1501" w:type="dxa"/>
            <w:vAlign w:val="center"/>
          </w:tcPr>
          <w:p>
            <w:pPr>
              <w:pStyle w:val="37"/>
              <w:spacing w:line="560" w:lineRule="exact"/>
              <w:jc w:val="center"/>
              <w:rPr>
                <w:kern w:val="0"/>
              </w:rPr>
            </w:pPr>
            <w:r>
              <w:rPr>
                <w:kern w:val="0"/>
              </w:rPr>
              <w:t>2</w:t>
            </w:r>
            <w:r>
              <w:rPr>
                <w:rFonts w:hint="eastAsia"/>
                <w:kern w:val="0"/>
              </w:rPr>
              <w:t>2</w:t>
            </w:r>
          </w:p>
        </w:tc>
        <w:tc>
          <w:tcPr>
            <w:tcW w:w="1522" w:type="dxa"/>
            <w:vAlign w:val="center"/>
          </w:tcPr>
          <w:p>
            <w:pPr>
              <w:pStyle w:val="37"/>
              <w:spacing w:line="560" w:lineRule="exact"/>
              <w:jc w:val="center"/>
              <w:rPr>
                <w:kern w:val="0"/>
              </w:rPr>
            </w:pPr>
            <w:r>
              <w:rPr>
                <w:kern w:val="0"/>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exact"/>
          <w:jc w:val="center"/>
        </w:trPr>
        <w:tc>
          <w:tcPr>
            <w:tcW w:w="1500" w:type="dxa"/>
            <w:vAlign w:val="center"/>
          </w:tcPr>
          <w:p>
            <w:pPr>
              <w:pStyle w:val="37"/>
              <w:spacing w:line="560" w:lineRule="exact"/>
              <w:jc w:val="center"/>
              <w:rPr>
                <w:kern w:val="0"/>
              </w:rPr>
            </w:pPr>
            <w:r>
              <w:rPr>
                <w:rFonts w:hint="eastAsia"/>
                <w:kern w:val="0"/>
              </w:rPr>
              <w:t>得分</w:t>
            </w:r>
          </w:p>
        </w:tc>
        <w:tc>
          <w:tcPr>
            <w:tcW w:w="1499" w:type="dxa"/>
            <w:vAlign w:val="center"/>
          </w:tcPr>
          <w:p>
            <w:pPr>
              <w:pStyle w:val="37"/>
              <w:spacing w:line="560" w:lineRule="exact"/>
              <w:jc w:val="center"/>
              <w:rPr>
                <w:kern w:val="0"/>
              </w:rPr>
            </w:pPr>
            <w:r>
              <w:rPr>
                <w:rFonts w:hint="eastAsia"/>
                <w:kern w:val="0"/>
              </w:rPr>
              <w:t>16</w:t>
            </w:r>
          </w:p>
        </w:tc>
        <w:tc>
          <w:tcPr>
            <w:tcW w:w="1501" w:type="dxa"/>
            <w:vAlign w:val="center"/>
          </w:tcPr>
          <w:p>
            <w:pPr>
              <w:pStyle w:val="37"/>
              <w:spacing w:line="560" w:lineRule="exact"/>
              <w:jc w:val="center"/>
              <w:rPr>
                <w:kern w:val="0"/>
              </w:rPr>
            </w:pPr>
            <w:r>
              <w:rPr>
                <w:rFonts w:hint="eastAsia"/>
                <w:kern w:val="0"/>
              </w:rPr>
              <w:t>20</w:t>
            </w:r>
          </w:p>
        </w:tc>
        <w:tc>
          <w:tcPr>
            <w:tcW w:w="1533" w:type="dxa"/>
            <w:vAlign w:val="center"/>
          </w:tcPr>
          <w:p>
            <w:pPr>
              <w:pStyle w:val="37"/>
              <w:spacing w:line="560" w:lineRule="exact"/>
              <w:jc w:val="center"/>
              <w:rPr>
                <w:kern w:val="0"/>
              </w:rPr>
            </w:pPr>
            <w:r>
              <w:rPr>
                <w:rFonts w:hint="eastAsia"/>
                <w:kern w:val="0"/>
              </w:rPr>
              <w:t>38</w:t>
            </w:r>
          </w:p>
        </w:tc>
        <w:tc>
          <w:tcPr>
            <w:tcW w:w="1501" w:type="dxa"/>
            <w:vAlign w:val="center"/>
          </w:tcPr>
          <w:p>
            <w:pPr>
              <w:pStyle w:val="37"/>
              <w:spacing w:line="560" w:lineRule="exact"/>
              <w:jc w:val="center"/>
              <w:rPr>
                <w:kern w:val="0"/>
              </w:rPr>
            </w:pPr>
            <w:r>
              <w:rPr>
                <w:rFonts w:hint="eastAsia"/>
                <w:kern w:val="0"/>
              </w:rPr>
              <w:t>18</w:t>
            </w:r>
          </w:p>
        </w:tc>
        <w:tc>
          <w:tcPr>
            <w:tcW w:w="1522" w:type="dxa"/>
            <w:vAlign w:val="center"/>
          </w:tcPr>
          <w:p>
            <w:pPr>
              <w:pStyle w:val="37"/>
              <w:spacing w:line="560" w:lineRule="exact"/>
              <w:jc w:val="center"/>
              <w:rPr>
                <w:kern w:val="0"/>
              </w:rPr>
            </w:pPr>
            <w:r>
              <w:rPr>
                <w:rFonts w:hint="eastAsia"/>
                <w:kern w:val="0"/>
              </w:rPr>
              <w:t>92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exact"/>
          <w:jc w:val="center"/>
        </w:trPr>
        <w:tc>
          <w:tcPr>
            <w:tcW w:w="1500" w:type="dxa"/>
            <w:vAlign w:val="center"/>
          </w:tcPr>
          <w:p>
            <w:pPr>
              <w:pStyle w:val="37"/>
              <w:spacing w:line="560" w:lineRule="exact"/>
              <w:jc w:val="center"/>
              <w:rPr>
                <w:kern w:val="0"/>
              </w:rPr>
            </w:pPr>
            <w:r>
              <w:rPr>
                <w:rFonts w:hint="eastAsia"/>
                <w:kern w:val="0"/>
              </w:rPr>
              <w:t>得分率</w:t>
            </w:r>
          </w:p>
        </w:tc>
        <w:tc>
          <w:tcPr>
            <w:tcW w:w="1499" w:type="dxa"/>
            <w:vAlign w:val="center"/>
          </w:tcPr>
          <w:p>
            <w:pPr>
              <w:pStyle w:val="37"/>
              <w:spacing w:line="560" w:lineRule="exact"/>
              <w:jc w:val="center"/>
              <w:rPr>
                <w:kern w:val="0"/>
              </w:rPr>
            </w:pPr>
            <w:r>
              <w:rPr>
                <w:rFonts w:hint="eastAsia"/>
                <w:kern w:val="0"/>
              </w:rPr>
              <w:t>94.1</w:t>
            </w:r>
            <w:r>
              <w:rPr>
                <w:kern w:val="0"/>
              </w:rPr>
              <w:t>%</w:t>
            </w:r>
          </w:p>
        </w:tc>
        <w:tc>
          <w:tcPr>
            <w:tcW w:w="1501" w:type="dxa"/>
            <w:vAlign w:val="center"/>
          </w:tcPr>
          <w:p>
            <w:pPr>
              <w:pStyle w:val="37"/>
              <w:spacing w:line="560" w:lineRule="exact"/>
              <w:jc w:val="center"/>
              <w:rPr>
                <w:kern w:val="0"/>
              </w:rPr>
            </w:pPr>
            <w:r>
              <w:rPr>
                <w:rFonts w:hint="eastAsia"/>
                <w:kern w:val="0"/>
              </w:rPr>
              <w:t>87</w:t>
            </w:r>
            <w:r>
              <w:rPr>
                <w:kern w:val="0"/>
              </w:rPr>
              <w:t>%</w:t>
            </w:r>
          </w:p>
        </w:tc>
        <w:tc>
          <w:tcPr>
            <w:tcW w:w="1533" w:type="dxa"/>
            <w:vAlign w:val="center"/>
          </w:tcPr>
          <w:p>
            <w:pPr>
              <w:pStyle w:val="37"/>
              <w:spacing w:line="560" w:lineRule="exact"/>
              <w:jc w:val="center"/>
              <w:rPr>
                <w:kern w:val="0"/>
              </w:rPr>
            </w:pPr>
            <w:r>
              <w:rPr>
                <w:rFonts w:hint="eastAsia"/>
                <w:kern w:val="0"/>
              </w:rPr>
              <w:t>100</w:t>
            </w:r>
            <w:r>
              <w:rPr>
                <w:kern w:val="0"/>
              </w:rPr>
              <w:t>%</w:t>
            </w:r>
          </w:p>
        </w:tc>
        <w:tc>
          <w:tcPr>
            <w:tcW w:w="1501" w:type="dxa"/>
            <w:vAlign w:val="center"/>
          </w:tcPr>
          <w:p>
            <w:pPr>
              <w:pStyle w:val="37"/>
              <w:spacing w:line="560" w:lineRule="exact"/>
              <w:jc w:val="center"/>
              <w:rPr>
                <w:kern w:val="0"/>
              </w:rPr>
            </w:pPr>
            <w:r>
              <w:rPr>
                <w:rFonts w:hint="eastAsia"/>
                <w:kern w:val="0"/>
              </w:rPr>
              <w:t>81.8</w:t>
            </w:r>
            <w:r>
              <w:rPr>
                <w:kern w:val="0"/>
              </w:rPr>
              <w:t>%</w:t>
            </w:r>
          </w:p>
        </w:tc>
        <w:tc>
          <w:tcPr>
            <w:tcW w:w="1522" w:type="dxa"/>
            <w:vAlign w:val="center"/>
          </w:tcPr>
          <w:p>
            <w:pPr>
              <w:pStyle w:val="37"/>
              <w:spacing w:line="560" w:lineRule="exact"/>
              <w:jc w:val="center"/>
              <w:rPr>
                <w:kern w:val="0"/>
              </w:rPr>
            </w:pPr>
            <w:r>
              <w:rPr>
                <w:rFonts w:hint="eastAsia"/>
                <w:kern w:val="0"/>
              </w:rPr>
              <w:t>92</w:t>
            </w:r>
            <w:r>
              <w:rPr>
                <w:kern w:val="0"/>
              </w:rPr>
              <w:t>%</w:t>
            </w:r>
          </w:p>
        </w:tc>
      </w:tr>
    </w:tbl>
    <w:p>
      <w:pPr>
        <w:pStyle w:val="24"/>
        <w:spacing w:line="560" w:lineRule="exact"/>
        <w:ind w:firstLine="640"/>
        <w:rPr>
          <w:rFonts w:cs="仿宋_GB2312"/>
        </w:rPr>
      </w:pPr>
      <w:r>
        <w:rPr>
          <w:rFonts w:hint="eastAsia" w:cs="仿宋_GB2312"/>
        </w:rPr>
        <w:t>评价结论：一是项目决策方面，</w:t>
      </w:r>
      <w:r>
        <w:rPr>
          <w:rFonts w:hint="eastAsia"/>
        </w:rPr>
        <w:t>2022年中央补助地方公共文化服务体系建设补助资金-中央项目</w:t>
      </w:r>
      <w:r>
        <w:rPr>
          <w:rFonts w:hint="eastAsia" w:cs="仿宋_GB2312"/>
        </w:rPr>
        <w:t>立项依据充分，立项程序规范，预算编制测算数据合理，测算标准客观，符合项目需求，但是存在项目绩效目标设置不明确、不合理</w:t>
      </w:r>
      <w:r>
        <w:rPr>
          <w:rFonts w:hint="eastAsia"/>
        </w:rPr>
        <w:t>的问题；</w:t>
      </w:r>
      <w:r>
        <w:rPr>
          <w:rFonts w:hint="eastAsia"/>
          <w:szCs w:val="32"/>
          <w:shd w:val="clear" w:color="auto" w:fill="FFFFFF"/>
        </w:rPr>
        <w:t>二是项目过程方面，财政资金到位及时，管理制度和办法健全，资金使用合理规范，但项目预算执行率较低，资金沉淀率高；</w:t>
      </w:r>
      <w:r>
        <w:rPr>
          <w:rFonts w:hint="eastAsia" w:cs="仿宋_GB2312"/>
        </w:rPr>
        <w:t>三是项目产出方面，按照活动实施方案及时完成了预期活动的举办。四是项目效益方面，通过举办文化活动，有效丰富了群众文化生活，满足群众日益增长的文化需求</w:t>
      </w:r>
      <w:r>
        <w:rPr>
          <w:rFonts w:hint="eastAsia"/>
          <w:szCs w:val="32"/>
          <w:shd w:val="clear" w:color="auto" w:fill="FFFFFF"/>
        </w:rPr>
        <w:t>。</w:t>
      </w:r>
      <w:r>
        <w:rPr>
          <w:rFonts w:hint="eastAsia" w:cs="仿宋_GB2312"/>
        </w:rPr>
        <w:t>但未建立健全文化活动开展保障机制，对活动开展的流程、风险情况等没有把控，不利于文化活动的长效开展，还有待进一步提升。</w:t>
      </w:r>
    </w:p>
    <w:p>
      <w:pPr>
        <w:pStyle w:val="27"/>
        <w:spacing w:line="560" w:lineRule="exact"/>
      </w:pPr>
      <w:bookmarkStart w:id="9" w:name="_Toc2091150126"/>
      <w:r>
        <w:rPr>
          <w:rFonts w:hint="eastAsia"/>
        </w:rPr>
        <w:t>四、绩效评价指标分析</w:t>
      </w:r>
      <w:bookmarkEnd w:id="9"/>
    </w:p>
    <w:p>
      <w:pPr>
        <w:pStyle w:val="29"/>
        <w:spacing w:before="0" w:after="0" w:line="560" w:lineRule="exact"/>
        <w:ind w:firstLine="640"/>
        <w:rPr>
          <w:rFonts w:ascii="Times New Roman" w:hAnsi="Times New Roman"/>
        </w:rPr>
      </w:pPr>
      <w:bookmarkStart w:id="10" w:name="_Toc242800880"/>
      <w:r>
        <w:rPr>
          <w:rFonts w:hint="eastAsia" w:ascii="Times New Roman" w:hAnsi="Times New Roman"/>
        </w:rPr>
        <w:t>（一）项目决策情况</w:t>
      </w:r>
      <w:bookmarkEnd w:id="10"/>
    </w:p>
    <w:p>
      <w:pPr>
        <w:pStyle w:val="24"/>
        <w:spacing w:line="560" w:lineRule="exact"/>
        <w:ind w:firstLine="640"/>
      </w:pPr>
      <w:r>
        <w:rPr>
          <w:rFonts w:hint="eastAsia"/>
        </w:rPr>
        <w:t>决策指标主要包括项目立项、绩效目标、预算编制</w:t>
      </w:r>
      <w:r>
        <w:t>3</w:t>
      </w:r>
      <w:r>
        <w:rPr>
          <w:rFonts w:hint="eastAsia"/>
        </w:rPr>
        <w:t>项</w:t>
      </w:r>
      <w:r>
        <w:t>二级指标，8项三级指标，基础总分17分，合计得分1</w:t>
      </w:r>
      <w:r>
        <w:rPr>
          <w:rFonts w:hint="eastAsia"/>
        </w:rPr>
        <w:t>6</w:t>
      </w:r>
      <w:r>
        <w:t>分。</w:t>
      </w:r>
    </w:p>
    <w:p>
      <w:pPr>
        <w:pStyle w:val="24"/>
        <w:spacing w:line="560" w:lineRule="exact"/>
        <w:ind w:firstLine="640"/>
      </w:pPr>
      <w:r>
        <w:t>1.项目立项</w:t>
      </w:r>
    </w:p>
    <w:p>
      <w:pPr>
        <w:pStyle w:val="24"/>
        <w:spacing w:line="560" w:lineRule="exact"/>
        <w:ind w:firstLine="640"/>
      </w:pPr>
      <w:r>
        <w:rPr>
          <w:rFonts w:hint="eastAsia"/>
        </w:rPr>
        <w:t>（</w:t>
      </w:r>
      <w:r>
        <w:t>1）立项依据充分性（总分2分，得分2分）。2022年中央补助地方公共文化服务体系建设补助资金-中央项目立项符合《中央补助地方公共文化服务体系建设专项资金管理暂行办法》（财教〔2015〕527号）《文化和旅游部 国家发展改革委 财政部关于推动公共文化服务高质量发展的意见》（文旅公共发〔2021〕21号）</w:t>
      </w:r>
      <w:r>
        <w:rPr>
          <w:rFonts w:hint="eastAsia"/>
        </w:rPr>
        <w:t>中“</w:t>
      </w:r>
      <w:r>
        <w:t>保障人民基本文化权益，丰富群众文化生活，满足人民日益增长的文化需求</w:t>
      </w:r>
      <w:r>
        <w:rPr>
          <w:rFonts w:hint="eastAsia"/>
        </w:rPr>
        <w:t>”的要求</w:t>
      </w:r>
      <w:r>
        <w:t>，属于公共财政支持范围，符合公共文化行业发展规划；项目立项与本部门“负责公共文化事业发展，推进公共文化和旅游服务体系建设。”职责范围相符，属于部门履职所需，立项依据充分。</w:t>
      </w:r>
    </w:p>
    <w:p>
      <w:pPr>
        <w:pStyle w:val="24"/>
        <w:spacing w:line="560" w:lineRule="exact"/>
        <w:ind w:firstLine="640"/>
      </w:pPr>
      <w:r>
        <w:rPr>
          <w:rFonts w:hint="eastAsia"/>
        </w:rPr>
        <w:t>（</w:t>
      </w:r>
      <w:r>
        <w:t>2）立项程序规范性（总分2分，得分2分）。2022年中央补助地方公共文化服务体系建设补助资金-中央项目立项依据《中央补助地方公共文化服务体系建设专项资金管理暂行办法》（财教〔2015〕527号）文件规定的程序申请设立，项目事前经和平区文化和旅游局党委会研究讨论，审议通过后确定项目申请立项，有完整的会议纪录，审批文件、材料，符合规定要求，项目立项程序规范</w:t>
      </w:r>
      <w:r>
        <w:rPr>
          <w:rFonts w:hint="eastAsia"/>
          <w:szCs w:val="32"/>
        </w:rPr>
        <w:t>。</w:t>
      </w:r>
    </w:p>
    <w:p>
      <w:pPr>
        <w:pStyle w:val="24"/>
        <w:tabs>
          <w:tab w:val="right" w:pos="8204"/>
        </w:tabs>
        <w:spacing w:line="560" w:lineRule="exact"/>
        <w:ind w:firstLine="640"/>
      </w:pPr>
      <w:r>
        <w:t>2.绩效目标</w:t>
      </w:r>
      <w:r>
        <w:rPr>
          <w:rFonts w:hint="eastAsia"/>
        </w:rPr>
        <w:tab/>
      </w:r>
    </w:p>
    <w:p>
      <w:pPr>
        <w:pStyle w:val="24"/>
        <w:spacing w:line="560" w:lineRule="exact"/>
        <w:ind w:firstLine="640"/>
      </w:pPr>
      <w:r>
        <w:rPr>
          <w:rFonts w:hint="eastAsia"/>
        </w:rPr>
        <w:t>（</w:t>
      </w:r>
      <w:r>
        <w:t>1）</w:t>
      </w:r>
      <w:r>
        <w:rPr>
          <w:rFonts w:hint="eastAsia"/>
        </w:rPr>
        <w:t>绩效目标明确性</w:t>
      </w:r>
      <w:r>
        <w:t>（总分2分，得分</w:t>
      </w:r>
      <w:r>
        <w:rPr>
          <w:rFonts w:hint="eastAsia"/>
        </w:rPr>
        <w:t>2</w:t>
      </w:r>
      <w:r>
        <w:t>分）。2022年中央补助地方公共文化服务体系建设补助资金-中央项目制定的绩效指标与绩效目标任务数相对应，产出指标、效益指标、满意度指标均围绕实际工作内容制定，能够清晰、可衡量的反映绩效目标“通过发放补助地方公共文化服务体系建设补助资金，开展群众文化活动</w:t>
      </w:r>
      <w:r>
        <w:rPr>
          <w:rFonts w:hint="eastAsia"/>
          <w:lang w:eastAsia="zh-CN"/>
        </w:rPr>
        <w:t>，</w:t>
      </w:r>
      <w:r>
        <w:t>丰富群众文化。”的工作内容，与本项目的实际完成效益相契合。绩效目标明确。</w:t>
      </w:r>
    </w:p>
    <w:p>
      <w:pPr>
        <w:pStyle w:val="24"/>
        <w:spacing w:line="560" w:lineRule="exact"/>
        <w:ind w:firstLine="640"/>
      </w:pPr>
      <w:r>
        <w:rPr>
          <w:rFonts w:hint="eastAsia"/>
        </w:rPr>
        <w:t>（</w:t>
      </w:r>
      <w:r>
        <w:t>2）</w:t>
      </w:r>
      <w:r>
        <w:rPr>
          <w:rFonts w:hint="eastAsia"/>
        </w:rPr>
        <w:t>绩效目标合理性</w:t>
      </w:r>
      <w:r>
        <w:t>（总分4分，得分</w:t>
      </w:r>
      <w:r>
        <w:rPr>
          <w:rFonts w:hint="eastAsia"/>
        </w:rPr>
        <w:t>3</w:t>
      </w:r>
      <w:r>
        <w:t>分）。</w:t>
      </w:r>
      <w:r>
        <w:rPr>
          <w:rFonts w:hint="eastAsia"/>
        </w:rPr>
        <w:t>和平区文化和旅游局</w:t>
      </w:r>
      <w:r>
        <w:t>2022年中央补助地方公共文化服务体系建设补助资金-中央项目的绩效目标与和平区文化和旅游局实际工作内容、预算确定的项目投资额相匹配，包含具体工作内容及预期效益，设置合理，项目预期产出效益和效果符合正常的业绩水平。已将项目绩效目标细化分解为具体的绩效指标，但存在部分指标内容不准确、不可衡量的情况，质量指标“活动参与率</w:t>
      </w:r>
      <w:r>
        <w:rPr>
          <w:rFonts w:hint="eastAsia"/>
        </w:rPr>
        <w:t>≥</w:t>
      </w:r>
      <w:r>
        <w:t>80%”，和平区文化和旅游局不涉及对活动预期参与人员数量的测算，所以活动参与率无法计量</w:t>
      </w:r>
      <w:r>
        <w:rPr>
          <w:rFonts w:hint="eastAsia"/>
        </w:rPr>
        <w:t>。</w:t>
      </w:r>
    </w:p>
    <w:p>
      <w:pPr>
        <w:pStyle w:val="24"/>
        <w:spacing w:line="560" w:lineRule="exact"/>
        <w:ind w:firstLine="640"/>
      </w:pPr>
      <w:r>
        <w:t>3.</w:t>
      </w:r>
      <w:r>
        <w:rPr>
          <w:rFonts w:hint="eastAsia"/>
        </w:rPr>
        <w:t>预算编制</w:t>
      </w:r>
    </w:p>
    <w:p>
      <w:pPr>
        <w:pStyle w:val="24"/>
        <w:spacing w:line="560" w:lineRule="exact"/>
        <w:ind w:firstLine="640"/>
        <w:rPr>
          <w:highlight w:val="yellow"/>
        </w:rPr>
      </w:pPr>
      <w:r>
        <w:rPr>
          <w:rFonts w:hint="eastAsia"/>
        </w:rPr>
        <w:t>（</w:t>
      </w:r>
      <w:r>
        <w:t>1）</w:t>
      </w:r>
      <w:r>
        <w:rPr>
          <w:rFonts w:hint="eastAsia"/>
        </w:rPr>
        <w:t>测算内容合规性</w:t>
      </w:r>
      <w:r>
        <w:t>（总分2分，得分2分）。2022年中央补助地方公共文化服务体系建设补助资金-中央项目测算内容为2022年举办文化活动经费，丰富群众文化</w:t>
      </w:r>
      <w:r>
        <w:rPr>
          <w:rFonts w:hint="eastAsia"/>
        </w:rPr>
        <w:t>生活</w:t>
      </w:r>
      <w:r>
        <w:t>。其内容符合《中央补助地方公共文化服务体系建设专项资金管理暂行办法》（财教〔2015〕527号）文件规定的“基本公共文化服务项目具体支出范围包括读书看报、收听广播、观看电视、观赏电影、送地方戏、设施开放服务以及开展文体活动等。”支出范围，未发现项目测算内容出现重复测算，测算内容合规。</w:t>
      </w:r>
    </w:p>
    <w:p>
      <w:pPr>
        <w:pStyle w:val="24"/>
        <w:spacing w:line="560" w:lineRule="exact"/>
        <w:ind w:firstLine="640"/>
      </w:pPr>
      <w:r>
        <w:rPr>
          <w:rFonts w:hint="eastAsia"/>
        </w:rPr>
        <w:t>（</w:t>
      </w:r>
      <w:r>
        <w:t>2）</w:t>
      </w:r>
      <w:r>
        <w:rPr>
          <w:rFonts w:hint="eastAsia"/>
        </w:rPr>
        <w:t>测算标准合理性</w:t>
      </w:r>
      <w:r>
        <w:t>（总分1分，得分1分）。2022年中央补助地方公共文化服务体系建设补助资金-中央项目测算内容符合相关文件规定和领域管理标准，测算依据《中央补助地方公共文化服务体系建设专项资金管理暂行办法》（财教〔2015〕527号），符合上级管理部门的标准及社会实际支出水平，测算标准合理</w:t>
      </w:r>
      <w:r>
        <w:rPr>
          <w:rFonts w:hint="eastAsia"/>
        </w:rPr>
        <w:t>。</w:t>
      </w:r>
    </w:p>
    <w:p>
      <w:pPr>
        <w:pStyle w:val="24"/>
        <w:spacing w:line="560" w:lineRule="exact"/>
        <w:ind w:firstLine="640"/>
        <w:rPr>
          <w:highlight w:val="yellow"/>
        </w:rPr>
      </w:pPr>
      <w:r>
        <w:rPr>
          <w:rFonts w:hint="eastAsia"/>
        </w:rPr>
        <w:t>（</w:t>
      </w:r>
      <w:r>
        <w:t>3）</w:t>
      </w:r>
      <w:r>
        <w:rPr>
          <w:rFonts w:hint="eastAsia"/>
        </w:rPr>
        <w:t>测算数据客观性</w:t>
      </w:r>
      <w:r>
        <w:t>（总分2分，得分2分）。2022年中央补助地方公共文化服务体系建设补助资金-中央项目测算数据符合《中央补助地方公共文化服务体系建设专项资金管理暂行办法》（财教〔2015〕527号）文件要求，活动经费测算与以前年度同活动经费具有可比性，测算数据客观。</w:t>
      </w:r>
    </w:p>
    <w:p>
      <w:pPr>
        <w:pStyle w:val="24"/>
        <w:spacing w:line="560" w:lineRule="exact"/>
        <w:ind w:firstLine="640"/>
      </w:pPr>
      <w:r>
        <w:rPr>
          <w:rFonts w:hint="eastAsia"/>
        </w:rPr>
        <w:t>（</w:t>
      </w:r>
      <w:r>
        <w:t>4）</w:t>
      </w:r>
      <w:r>
        <w:rPr>
          <w:rFonts w:hint="eastAsia"/>
        </w:rPr>
        <w:t>测算过程细化度</w:t>
      </w:r>
      <w:r>
        <w:t>（总分2分，得分2分）。</w:t>
      </w:r>
      <w:r>
        <w:rPr>
          <w:rFonts w:hint="eastAsia"/>
        </w:rPr>
        <w:t>和平区文化和旅游局预算编制已按照事权划分准确核定</w:t>
      </w:r>
      <w:r>
        <w:t>2022年中央补助地方公共文化服务体系建设补助资金-中央项目</w:t>
      </w:r>
      <w:r>
        <w:rPr>
          <w:rFonts w:hint="eastAsia"/>
        </w:rPr>
        <w:t>资金</w:t>
      </w:r>
      <w:r>
        <w:t>，均属于</w:t>
      </w:r>
      <w:r>
        <w:rPr>
          <w:rFonts w:hint="eastAsia"/>
        </w:rPr>
        <w:t>中央</w:t>
      </w:r>
      <w:r>
        <w:t>财政支出范围；预算按照项目内容分别对第十六届“和平杯”京剧票友邀请赛、第36届和平纳凉晚会、“和平杯”天津市第七届合唱艺术节等</w:t>
      </w:r>
      <w:r>
        <w:rPr>
          <w:rFonts w:hint="eastAsia"/>
        </w:rPr>
        <w:t>3个</w:t>
      </w:r>
      <w:r>
        <w:t>活动进行细化测算，项目测算过程细化程度良好。</w:t>
      </w:r>
    </w:p>
    <w:p>
      <w:pPr>
        <w:pStyle w:val="29"/>
        <w:spacing w:before="0" w:after="0" w:line="560" w:lineRule="exact"/>
        <w:ind w:firstLine="640"/>
        <w:rPr>
          <w:rFonts w:ascii="Times New Roman" w:hAnsi="Times New Roman"/>
        </w:rPr>
      </w:pPr>
      <w:bookmarkStart w:id="11" w:name="_Toc535460860"/>
      <w:r>
        <w:rPr>
          <w:rFonts w:hint="eastAsia" w:ascii="Times New Roman" w:hAnsi="Times New Roman"/>
        </w:rPr>
        <w:t>（二）项目过程情况</w:t>
      </w:r>
      <w:bookmarkEnd w:id="11"/>
    </w:p>
    <w:p>
      <w:pPr>
        <w:pStyle w:val="24"/>
        <w:spacing w:line="560" w:lineRule="exact"/>
        <w:ind w:firstLine="640"/>
      </w:pPr>
      <w:r>
        <w:rPr>
          <w:rFonts w:hint="eastAsia"/>
        </w:rPr>
        <w:t>过程指标主要包括资金管理、组织实施</w:t>
      </w:r>
      <w:r>
        <w:t>2</w:t>
      </w:r>
      <w:r>
        <w:rPr>
          <w:rFonts w:hint="eastAsia"/>
        </w:rPr>
        <w:t>项</w:t>
      </w:r>
      <w:r>
        <w:t>二级指标，6项三级指标，基础总分23分，合计得分</w:t>
      </w:r>
      <w:r>
        <w:rPr>
          <w:rFonts w:hint="eastAsia"/>
        </w:rPr>
        <w:t>20</w:t>
      </w:r>
      <w:r>
        <w:t>分。</w:t>
      </w:r>
    </w:p>
    <w:p>
      <w:pPr>
        <w:pStyle w:val="24"/>
        <w:spacing w:line="560" w:lineRule="exact"/>
        <w:ind w:firstLine="640"/>
      </w:pPr>
      <w:r>
        <w:t>1.资金管理</w:t>
      </w:r>
    </w:p>
    <w:p>
      <w:pPr>
        <w:pStyle w:val="24"/>
        <w:spacing w:line="560" w:lineRule="exact"/>
        <w:ind w:firstLine="640"/>
      </w:pPr>
      <w:r>
        <w:rPr>
          <w:rFonts w:hint="eastAsia"/>
        </w:rPr>
        <w:t>（</w:t>
      </w:r>
      <w:r>
        <w:t>1）资金到位率（总分2分，得分</w:t>
      </w:r>
      <w:r>
        <w:rPr>
          <w:rFonts w:hint="eastAsia"/>
        </w:rPr>
        <w:t>2</w:t>
      </w:r>
      <w:r>
        <w:t>分）。2022年中央补助地方公共文化服务体系建设补助资金-中央项目预算总金额为178.7万元，均为</w:t>
      </w:r>
      <w:r>
        <w:rPr>
          <w:rFonts w:hint="eastAsia"/>
        </w:rPr>
        <w:t>中央</w:t>
      </w:r>
      <w:r>
        <w:t>预算资金，实际到位总计178.7万元，资金到位率为100%。</w:t>
      </w:r>
    </w:p>
    <w:p>
      <w:pPr>
        <w:pStyle w:val="24"/>
        <w:spacing w:line="560" w:lineRule="exact"/>
        <w:ind w:firstLine="640"/>
      </w:pPr>
      <w:r>
        <w:rPr>
          <w:rFonts w:hint="eastAsia"/>
        </w:rPr>
        <w:t>（</w:t>
      </w:r>
      <w:r>
        <w:t>2）资金</w:t>
      </w:r>
      <w:r>
        <w:rPr>
          <w:rFonts w:hint="eastAsia"/>
        </w:rPr>
        <w:t>沉淀</w:t>
      </w:r>
      <w:r>
        <w:t>率（总分</w:t>
      </w:r>
      <w:r>
        <w:rPr>
          <w:rFonts w:hint="eastAsia"/>
        </w:rPr>
        <w:t>1</w:t>
      </w:r>
      <w:r>
        <w:t>分，得分</w:t>
      </w:r>
      <w:r>
        <w:rPr>
          <w:rFonts w:hint="eastAsia"/>
        </w:rPr>
        <w:t>0</w:t>
      </w:r>
      <w:r>
        <w:t>分）。</w:t>
      </w:r>
      <w:r>
        <w:rPr>
          <w:rFonts w:hint="eastAsia"/>
        </w:rPr>
        <w:t>依据《天津市财政局关于提前下达</w:t>
      </w:r>
      <w:r>
        <w:t>2022年中央补助地方公共文化服务体系建设补助资金预算的通知》（津财教指〔2021〕145号），2022年中央补助地方公共文化服务体系建设补助资金-中央项目的结转结余资金为78.6万元，实际到位资金为178.7万元，资金沉淀率为44%。</w:t>
      </w:r>
    </w:p>
    <w:p>
      <w:pPr>
        <w:pStyle w:val="24"/>
        <w:spacing w:line="560" w:lineRule="exact"/>
        <w:ind w:firstLine="640"/>
        <w:rPr>
          <w:highlight w:val="yellow"/>
        </w:rPr>
      </w:pPr>
      <w:r>
        <w:rPr>
          <w:rFonts w:hint="eastAsia"/>
        </w:rPr>
        <w:t>（</w:t>
      </w:r>
      <w:r>
        <w:t>3）</w:t>
      </w:r>
      <w:r>
        <w:rPr>
          <w:rFonts w:hint="eastAsia"/>
        </w:rPr>
        <w:t>预算执行</w:t>
      </w:r>
      <w:r>
        <w:t>率（总分2分，得分</w:t>
      </w:r>
      <w:r>
        <w:rPr>
          <w:rFonts w:hint="eastAsia"/>
        </w:rPr>
        <w:t>0</w:t>
      </w:r>
      <w:r>
        <w:t>分）。2022年中央补助地方公共文化服务体系建设补助资金-中央项目实际到位资金共计178.7万元，均为</w:t>
      </w:r>
      <w:r>
        <w:rPr>
          <w:rFonts w:hint="eastAsia"/>
        </w:rPr>
        <w:t>中央</w:t>
      </w:r>
      <w:r>
        <w:t>资金。依据资金支付系统及单位提供的明细台账得出，实际支出资金100.1万元，预算执行率为56%。</w:t>
      </w:r>
    </w:p>
    <w:p>
      <w:pPr>
        <w:pStyle w:val="24"/>
        <w:spacing w:line="560" w:lineRule="exact"/>
        <w:ind w:firstLine="640"/>
      </w:pPr>
      <w:r>
        <w:rPr>
          <w:rFonts w:hint="eastAsia"/>
        </w:rPr>
        <w:t>具体情况见表3</w:t>
      </w:r>
      <w:r>
        <w:t>：</w:t>
      </w:r>
    </w:p>
    <w:p>
      <w:pPr>
        <w:pStyle w:val="24"/>
        <w:spacing w:line="560" w:lineRule="exact"/>
        <w:ind w:firstLine="560"/>
        <w:jc w:val="center"/>
        <w:rPr>
          <w:rFonts w:eastAsia="黑体" w:cs="宋体"/>
          <w:kern w:val="0"/>
          <w:sz w:val="28"/>
          <w:szCs w:val="28"/>
        </w:rPr>
      </w:pPr>
      <w:r>
        <w:rPr>
          <w:rFonts w:hint="eastAsia" w:eastAsia="黑体" w:cs="宋体"/>
          <w:kern w:val="0"/>
          <w:sz w:val="28"/>
          <w:szCs w:val="28"/>
        </w:rPr>
        <w:t>表3</w:t>
      </w:r>
      <w:r>
        <w:rPr>
          <w:rFonts w:eastAsia="黑体" w:cs="宋体"/>
          <w:kern w:val="0"/>
          <w:sz w:val="28"/>
          <w:szCs w:val="28"/>
        </w:rPr>
        <w:t xml:space="preserve">  </w:t>
      </w:r>
      <w:r>
        <w:rPr>
          <w:rFonts w:hint="eastAsia" w:eastAsia="黑体" w:cs="宋体"/>
          <w:kern w:val="0"/>
          <w:sz w:val="28"/>
          <w:szCs w:val="28"/>
        </w:rPr>
        <w:t>2022年中央补助地方公共文化服务体系建设补助资金-中央项目预算执行情况表</w:t>
      </w:r>
    </w:p>
    <w:p>
      <w:pPr>
        <w:pStyle w:val="6"/>
        <w:spacing w:line="560" w:lineRule="exact"/>
        <w:ind w:firstLine="420"/>
        <w:jc w:val="center"/>
        <w:rPr>
          <w:rFonts w:cs="宋体"/>
          <w:b/>
          <w:sz w:val="21"/>
          <w:szCs w:val="21"/>
        </w:rPr>
      </w:pPr>
      <w:r>
        <w:rPr>
          <w:rFonts w:hint="eastAsia" w:eastAsia="黑体" w:cs="宋体"/>
          <w:sz w:val="28"/>
          <w:szCs w:val="28"/>
        </w:rPr>
        <w:t xml:space="preserve">                                                   </w:t>
      </w:r>
      <w:r>
        <w:rPr>
          <w:rFonts w:hint="eastAsia" w:cs="宋体"/>
          <w:b/>
          <w:sz w:val="21"/>
          <w:szCs w:val="21"/>
        </w:rPr>
        <w:t>单位：万元</w:t>
      </w:r>
    </w:p>
    <w:tbl>
      <w:tblPr>
        <w:tblStyle w:val="17"/>
        <w:tblW w:w="715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3630"/>
        <w:gridCol w:w="1765"/>
        <w:gridCol w:w="176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blHeader/>
          <w:jc w:val="center"/>
        </w:trPr>
        <w:tc>
          <w:tcPr>
            <w:tcW w:w="3630" w:type="dxa"/>
            <w:vAlign w:val="center"/>
          </w:tcPr>
          <w:p>
            <w:pPr>
              <w:widowControl/>
              <w:snapToGrid w:val="0"/>
              <w:spacing w:line="560" w:lineRule="exact"/>
              <w:ind w:firstLine="0" w:firstLineChars="0"/>
              <w:jc w:val="center"/>
              <w:rPr>
                <w:rFonts w:ascii="Times New Roman" w:hAnsi="Times New Roman" w:eastAsia="宋体" w:cs="宋体"/>
                <w:b/>
                <w:kern w:val="0"/>
              </w:rPr>
            </w:pPr>
            <w:r>
              <w:rPr>
                <w:rFonts w:hint="eastAsia" w:ascii="Times New Roman" w:hAnsi="Times New Roman" w:eastAsia="宋体" w:cs="宋体"/>
                <w:b/>
                <w:kern w:val="0"/>
              </w:rPr>
              <w:t>资金性质</w:t>
            </w:r>
          </w:p>
        </w:tc>
        <w:tc>
          <w:tcPr>
            <w:tcW w:w="1765" w:type="dxa"/>
            <w:vAlign w:val="center"/>
          </w:tcPr>
          <w:p>
            <w:pPr>
              <w:widowControl/>
              <w:snapToGrid w:val="0"/>
              <w:spacing w:line="560" w:lineRule="exact"/>
              <w:ind w:firstLine="0" w:firstLineChars="0"/>
              <w:jc w:val="center"/>
              <w:rPr>
                <w:rFonts w:ascii="Times New Roman" w:hAnsi="Times New Roman" w:eastAsia="宋体" w:cs="宋体"/>
                <w:b/>
                <w:kern w:val="0"/>
              </w:rPr>
            </w:pPr>
            <w:r>
              <w:rPr>
                <w:rFonts w:hint="eastAsia" w:ascii="Times New Roman" w:hAnsi="Times New Roman" w:eastAsia="宋体" w:cs="宋体"/>
                <w:b/>
                <w:kern w:val="0"/>
              </w:rPr>
              <w:t>资金总计</w:t>
            </w:r>
          </w:p>
        </w:tc>
        <w:tc>
          <w:tcPr>
            <w:tcW w:w="1764" w:type="dxa"/>
            <w:vAlign w:val="center"/>
          </w:tcPr>
          <w:p>
            <w:pPr>
              <w:widowControl/>
              <w:snapToGrid w:val="0"/>
              <w:spacing w:line="560" w:lineRule="exact"/>
              <w:ind w:firstLine="0" w:firstLineChars="0"/>
              <w:jc w:val="center"/>
              <w:rPr>
                <w:rFonts w:ascii="Times New Roman" w:hAnsi="Times New Roman" w:eastAsia="宋体" w:cs="宋体"/>
                <w:b/>
                <w:kern w:val="0"/>
              </w:rPr>
            </w:pPr>
            <w:r>
              <w:rPr>
                <w:rFonts w:hint="eastAsia" w:ascii="Times New Roman" w:hAnsi="Times New Roman" w:eastAsia="宋体" w:cs="宋体"/>
                <w:b/>
                <w:kern w:val="0"/>
              </w:rPr>
              <w:t>中央资金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blHeader/>
          <w:jc w:val="center"/>
        </w:trPr>
        <w:tc>
          <w:tcPr>
            <w:tcW w:w="3630" w:type="dxa"/>
            <w:vAlign w:val="center"/>
          </w:tcPr>
          <w:p>
            <w:pPr>
              <w:widowControl/>
              <w:snapToGrid w:val="0"/>
              <w:spacing w:line="560" w:lineRule="exact"/>
              <w:ind w:firstLine="0" w:firstLineChars="0"/>
              <w:jc w:val="center"/>
              <w:rPr>
                <w:rFonts w:ascii="Times New Roman" w:hAnsi="Times New Roman" w:eastAsia="宋体" w:cs="宋体"/>
                <w:b/>
                <w:bCs/>
                <w:kern w:val="0"/>
              </w:rPr>
            </w:pPr>
            <w:r>
              <w:rPr>
                <w:rFonts w:hint="eastAsia" w:ascii="Times New Roman" w:hAnsi="Times New Roman" w:eastAsia="宋体"/>
                <w:kern w:val="0"/>
              </w:rPr>
              <w:t>实际到位金额</w:t>
            </w:r>
          </w:p>
        </w:tc>
        <w:tc>
          <w:tcPr>
            <w:tcW w:w="1765" w:type="dxa"/>
            <w:vAlign w:val="center"/>
          </w:tcPr>
          <w:p>
            <w:pPr>
              <w:widowControl/>
              <w:snapToGrid w:val="0"/>
              <w:spacing w:line="560" w:lineRule="exact"/>
              <w:ind w:firstLine="0" w:firstLineChars="0"/>
              <w:jc w:val="center"/>
              <w:rPr>
                <w:rFonts w:ascii="Times New Roman" w:hAnsi="Times New Roman" w:eastAsia="宋体" w:cs="Times New Roman"/>
                <w:kern w:val="0"/>
              </w:rPr>
            </w:pPr>
            <w:r>
              <w:rPr>
                <w:rFonts w:hint="eastAsia" w:ascii="Times New Roman" w:hAnsi="Times New Roman" w:eastAsia="宋体" w:cs="Times New Roman"/>
                <w:kern w:val="0"/>
              </w:rPr>
              <w:t>178.7</w:t>
            </w:r>
          </w:p>
        </w:tc>
        <w:tc>
          <w:tcPr>
            <w:tcW w:w="1764" w:type="dxa"/>
            <w:vAlign w:val="center"/>
          </w:tcPr>
          <w:p>
            <w:pPr>
              <w:widowControl/>
              <w:snapToGrid w:val="0"/>
              <w:spacing w:line="560" w:lineRule="exact"/>
              <w:ind w:firstLine="0" w:firstLineChars="0"/>
              <w:jc w:val="center"/>
              <w:rPr>
                <w:rFonts w:ascii="Times New Roman" w:hAnsi="Times New Roman" w:eastAsia="宋体" w:cs="Times New Roman"/>
                <w:kern w:val="0"/>
              </w:rPr>
            </w:pPr>
            <w:r>
              <w:rPr>
                <w:rFonts w:hint="eastAsia" w:ascii="Times New Roman" w:hAnsi="Times New Roman" w:eastAsia="宋体" w:cs="Times New Roman"/>
                <w:kern w:val="0"/>
              </w:rPr>
              <w:t>178.7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blHeader/>
          <w:jc w:val="center"/>
        </w:trPr>
        <w:tc>
          <w:tcPr>
            <w:tcW w:w="3630" w:type="dxa"/>
            <w:vAlign w:val="center"/>
          </w:tcPr>
          <w:p>
            <w:pPr>
              <w:widowControl/>
              <w:snapToGrid w:val="0"/>
              <w:spacing w:line="560" w:lineRule="exact"/>
              <w:ind w:firstLine="0" w:firstLineChars="0"/>
              <w:jc w:val="center"/>
              <w:rPr>
                <w:rFonts w:ascii="Times New Roman" w:hAnsi="Times New Roman" w:eastAsia="宋体"/>
                <w:kern w:val="0"/>
              </w:rPr>
            </w:pPr>
            <w:r>
              <w:rPr>
                <w:rFonts w:hint="eastAsia" w:ascii="Times New Roman" w:hAnsi="Times New Roman" w:eastAsia="宋体"/>
                <w:kern w:val="0"/>
              </w:rPr>
              <w:t>实际支出金额</w:t>
            </w:r>
          </w:p>
        </w:tc>
        <w:tc>
          <w:tcPr>
            <w:tcW w:w="1765" w:type="dxa"/>
            <w:vAlign w:val="center"/>
          </w:tcPr>
          <w:p>
            <w:pPr>
              <w:widowControl/>
              <w:snapToGrid w:val="0"/>
              <w:spacing w:line="560" w:lineRule="exact"/>
              <w:ind w:firstLine="0" w:firstLineChars="0"/>
              <w:jc w:val="center"/>
              <w:rPr>
                <w:rFonts w:ascii="Times New Roman" w:hAnsi="Times New Roman" w:eastAsia="宋体" w:cs="Times New Roman"/>
                <w:kern w:val="0"/>
              </w:rPr>
            </w:pPr>
            <w:r>
              <w:rPr>
                <w:rFonts w:hint="eastAsia" w:ascii="Times New Roman" w:hAnsi="Times New Roman" w:eastAsia="宋体" w:cs="Times New Roman"/>
                <w:kern w:val="0"/>
              </w:rPr>
              <w:t>100.1</w:t>
            </w:r>
          </w:p>
        </w:tc>
        <w:tc>
          <w:tcPr>
            <w:tcW w:w="1764" w:type="dxa"/>
            <w:vAlign w:val="center"/>
          </w:tcPr>
          <w:p>
            <w:pPr>
              <w:widowControl/>
              <w:snapToGrid w:val="0"/>
              <w:spacing w:line="560" w:lineRule="exact"/>
              <w:ind w:firstLine="0" w:firstLineChars="0"/>
              <w:jc w:val="center"/>
              <w:rPr>
                <w:rFonts w:ascii="Times New Roman" w:hAnsi="Times New Roman" w:eastAsia="宋体" w:cs="Times New Roman"/>
                <w:kern w:val="0"/>
              </w:rPr>
            </w:pPr>
            <w:r>
              <w:rPr>
                <w:rFonts w:hint="eastAsia" w:ascii="Times New Roman" w:hAnsi="Times New Roman" w:eastAsia="宋体" w:cs="Times New Roman"/>
                <w:kern w:val="0"/>
              </w:rPr>
              <w:t>100.1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blHeader/>
          <w:jc w:val="center"/>
        </w:trPr>
        <w:tc>
          <w:tcPr>
            <w:tcW w:w="3630" w:type="dxa"/>
            <w:vAlign w:val="center"/>
          </w:tcPr>
          <w:p>
            <w:pPr>
              <w:widowControl/>
              <w:snapToGrid w:val="0"/>
              <w:spacing w:line="560" w:lineRule="exact"/>
              <w:ind w:firstLine="0" w:firstLineChars="0"/>
              <w:jc w:val="center"/>
              <w:rPr>
                <w:rFonts w:ascii="Times New Roman" w:hAnsi="Times New Roman" w:eastAsia="宋体"/>
                <w:kern w:val="0"/>
              </w:rPr>
            </w:pPr>
            <w:r>
              <w:rPr>
                <w:rFonts w:hint="eastAsia" w:ascii="Times New Roman" w:hAnsi="Times New Roman" w:eastAsia="宋体"/>
                <w:kern w:val="0"/>
              </w:rPr>
              <w:t>预算执行率</w:t>
            </w:r>
          </w:p>
        </w:tc>
        <w:tc>
          <w:tcPr>
            <w:tcW w:w="1765" w:type="dxa"/>
            <w:vAlign w:val="center"/>
          </w:tcPr>
          <w:p>
            <w:pPr>
              <w:widowControl/>
              <w:snapToGrid w:val="0"/>
              <w:spacing w:line="560" w:lineRule="exact"/>
              <w:ind w:firstLine="0" w:firstLineChars="0"/>
              <w:jc w:val="center"/>
              <w:rPr>
                <w:rFonts w:ascii="Times New Roman" w:hAnsi="Times New Roman" w:eastAsia="宋体" w:cs="Times New Roman"/>
                <w:kern w:val="0"/>
              </w:rPr>
            </w:pPr>
            <w:r>
              <w:rPr>
                <w:rFonts w:hint="eastAsia" w:ascii="Times New Roman" w:hAnsi="Times New Roman" w:eastAsia="宋体" w:cs="Times New Roman"/>
                <w:kern w:val="0"/>
              </w:rPr>
              <w:t>56</w:t>
            </w:r>
            <w:r>
              <w:rPr>
                <w:rFonts w:ascii="Times New Roman" w:hAnsi="Times New Roman" w:eastAsia="宋体" w:cs="Times New Roman"/>
                <w:kern w:val="0"/>
              </w:rPr>
              <w:t>%</w:t>
            </w:r>
          </w:p>
        </w:tc>
        <w:tc>
          <w:tcPr>
            <w:tcW w:w="1764" w:type="dxa"/>
            <w:vAlign w:val="center"/>
          </w:tcPr>
          <w:p>
            <w:pPr>
              <w:widowControl/>
              <w:snapToGrid w:val="0"/>
              <w:spacing w:line="560" w:lineRule="exact"/>
              <w:ind w:firstLine="0" w:firstLineChars="0"/>
              <w:jc w:val="center"/>
              <w:rPr>
                <w:rFonts w:ascii="Times New Roman" w:hAnsi="Times New Roman" w:eastAsia="宋体" w:cs="Times New Roman"/>
                <w:kern w:val="0"/>
              </w:rPr>
            </w:pPr>
            <w:r>
              <w:rPr>
                <w:rFonts w:hint="eastAsia" w:ascii="Times New Roman" w:hAnsi="Times New Roman" w:eastAsia="宋体" w:cs="Times New Roman"/>
                <w:kern w:val="0"/>
              </w:rPr>
              <w:t>56</w:t>
            </w:r>
            <w:r>
              <w:rPr>
                <w:rFonts w:ascii="Times New Roman" w:hAnsi="Times New Roman" w:eastAsia="宋体" w:cs="Times New Roman"/>
                <w:kern w:val="0"/>
              </w:rPr>
              <w:t>%</w:t>
            </w:r>
          </w:p>
        </w:tc>
      </w:tr>
    </w:tbl>
    <w:p>
      <w:pPr>
        <w:pStyle w:val="24"/>
        <w:spacing w:line="560" w:lineRule="exact"/>
        <w:ind w:firstLine="640"/>
        <w:rPr>
          <w:highlight w:val="yellow"/>
        </w:rPr>
      </w:pPr>
      <w:r>
        <w:rPr>
          <w:rFonts w:hint="eastAsia"/>
        </w:rPr>
        <w:t>（</w:t>
      </w:r>
      <w:r>
        <w:t>4）</w:t>
      </w:r>
      <w:r>
        <w:rPr>
          <w:rFonts w:hint="eastAsia"/>
        </w:rPr>
        <w:t>资金使用合规性</w:t>
      </w:r>
      <w:r>
        <w:t>（总分1</w:t>
      </w:r>
      <w:r>
        <w:rPr>
          <w:rFonts w:hint="eastAsia"/>
        </w:rPr>
        <w:t>1</w:t>
      </w:r>
      <w:r>
        <w:t>分，得分</w:t>
      </w:r>
      <w:r>
        <w:rPr>
          <w:rFonts w:hint="eastAsia"/>
        </w:rPr>
        <w:t>11</w:t>
      </w:r>
      <w:r>
        <w:t>分）。2022年中央补助地方公共文化服务体系建设补助资金-中央项目资金使用方面符合《中央补助地方公共文化服务体系建设专项资金管理暂行办法》（财教〔2015〕527号）以及国家财经法规和财务管理制度等的规定，项目资金的拨付具有完整的资金申请及批复程序，具有党委会会议纪要，经核实本项目资金用途与项目预算一致，未发现有截留、挤占、挪用、虚列支出等情况，资金使用方面无违纪行为。项目申请资金所达到的效益与举办文化活动，丰富群众文化生活，满足人民日益增长的文化需求相匹配，资金使用合规。</w:t>
      </w:r>
    </w:p>
    <w:p>
      <w:pPr>
        <w:pStyle w:val="24"/>
        <w:spacing w:line="560" w:lineRule="exact"/>
        <w:ind w:firstLine="640"/>
      </w:pPr>
      <w:r>
        <w:t>2.</w:t>
      </w:r>
      <w:r>
        <w:rPr>
          <w:rFonts w:hint="eastAsia"/>
        </w:rPr>
        <w:t>组织实施</w:t>
      </w:r>
    </w:p>
    <w:p>
      <w:pPr>
        <w:pStyle w:val="24"/>
        <w:spacing w:line="560" w:lineRule="exact"/>
        <w:ind w:firstLine="640"/>
        <w:rPr>
          <w:highlight w:val="yellow"/>
        </w:rPr>
      </w:pPr>
      <w:r>
        <w:rPr>
          <w:rFonts w:hint="eastAsia"/>
        </w:rPr>
        <w:t>（</w:t>
      </w:r>
      <w:r>
        <w:t>1）</w:t>
      </w:r>
      <w:r>
        <w:rPr>
          <w:rFonts w:hint="eastAsia"/>
        </w:rPr>
        <w:t>管理制度健全性</w:t>
      </w:r>
      <w:r>
        <w:t>（总分2分，得分2分）。</w:t>
      </w:r>
      <w:r>
        <w:rPr>
          <w:rFonts w:hint="eastAsia"/>
        </w:rPr>
        <w:t>和平区文化和旅游局主要依据《中央补助地方公共文化服务体系建设专项资金管理暂行办法》（财教〔</w:t>
      </w:r>
      <w:r>
        <w:t>2015〕527号）对2022年中央补助地方公共文化服务体系建设补助资金-中央项目进行管理，包含资金支出范围，资金使用管理，相关制度与上位法要求相符，具有规范的内部控制管理制度，财务和业务管理制度合法、合规，制度中明确了对项目申报、项目实施、项目结项等3个环节的管理要求，项目管理制度健全。</w:t>
      </w:r>
    </w:p>
    <w:p>
      <w:pPr>
        <w:pStyle w:val="24"/>
        <w:spacing w:line="560" w:lineRule="exact"/>
        <w:ind w:firstLine="640"/>
      </w:pPr>
      <w:r>
        <w:rPr>
          <w:rFonts w:hint="eastAsia"/>
        </w:rPr>
        <w:t>（</w:t>
      </w:r>
      <w:r>
        <w:t>2）</w:t>
      </w:r>
      <w:r>
        <w:rPr>
          <w:rFonts w:hint="eastAsia"/>
        </w:rPr>
        <w:t>制度执行有效性</w:t>
      </w:r>
      <w:r>
        <w:t>（总分5分，得分</w:t>
      </w:r>
      <w:r>
        <w:rPr>
          <w:rFonts w:hint="eastAsia"/>
        </w:rPr>
        <w:t>5</w:t>
      </w:r>
      <w:r>
        <w:t>分）</w:t>
      </w:r>
      <w:r>
        <w:rPr>
          <w:rFonts w:hint="eastAsia"/>
        </w:rPr>
        <w:t>。</w:t>
      </w:r>
      <w:r>
        <w:t>2022年中央补助地方公共文化服务体系建设补助资金-中央项目严格</w:t>
      </w:r>
      <w:r>
        <w:rPr>
          <w:rFonts w:hint="eastAsia"/>
        </w:rPr>
        <w:t>按照</w:t>
      </w:r>
      <w:r>
        <w:t>《中央补助地方公共文化服务体系建设专项资金管理暂行办法》（财教〔2015〕527号）</w:t>
      </w:r>
      <w:r>
        <w:rPr>
          <w:rFonts w:hint="eastAsia"/>
        </w:rPr>
        <w:t>实施</w:t>
      </w:r>
      <w:r>
        <w:t>，项目相关审批资料、资金拨付资料齐全，并及时归档，项目调整及支出调整手续齐全完备，项目实施过程中各项请款、付款文件齐全并及时归档。各活动开展依据活动实施方案，实施方案有效可行。项目开展符合项目申报、项目实施、项目结项等3个环节的管理要求，制度执行有效</w:t>
      </w:r>
      <w:r>
        <w:rPr>
          <w:rFonts w:hint="eastAsia"/>
        </w:rPr>
        <w:t>。</w:t>
      </w:r>
    </w:p>
    <w:p>
      <w:pPr>
        <w:pStyle w:val="29"/>
        <w:spacing w:before="0" w:after="0" w:line="560" w:lineRule="exact"/>
        <w:ind w:firstLine="640"/>
        <w:rPr>
          <w:rFonts w:ascii="Times New Roman" w:hAnsi="Times New Roman"/>
        </w:rPr>
      </w:pPr>
      <w:bookmarkStart w:id="12" w:name="_Toc1534193090"/>
      <w:r>
        <w:rPr>
          <w:rFonts w:hint="eastAsia" w:ascii="Times New Roman" w:hAnsi="Times New Roman"/>
        </w:rPr>
        <w:t>（三）项目产出情况</w:t>
      </w:r>
      <w:bookmarkEnd w:id="12"/>
    </w:p>
    <w:p>
      <w:pPr>
        <w:pStyle w:val="24"/>
        <w:spacing w:line="560" w:lineRule="exact"/>
        <w:ind w:firstLine="640"/>
      </w:pPr>
      <w:r>
        <w:rPr>
          <w:rFonts w:hint="eastAsia"/>
        </w:rPr>
        <w:t>产出指标主要包括产出数量、产出质量、产出时效、产出成本</w:t>
      </w:r>
      <w:r>
        <w:t>4</w:t>
      </w:r>
      <w:r>
        <w:rPr>
          <w:rFonts w:hint="eastAsia"/>
        </w:rPr>
        <w:t>项</w:t>
      </w:r>
      <w:r>
        <w:t>二级指标，</w:t>
      </w:r>
      <w:r>
        <w:rPr>
          <w:rFonts w:hint="eastAsia"/>
        </w:rPr>
        <w:t>4</w:t>
      </w:r>
      <w:r>
        <w:t>项三级指标，基础总分</w:t>
      </w:r>
      <w:r>
        <w:rPr>
          <w:rFonts w:hint="eastAsia"/>
        </w:rPr>
        <w:t>38</w:t>
      </w:r>
      <w:r>
        <w:t>分，合计得分</w:t>
      </w:r>
      <w:r>
        <w:rPr>
          <w:rFonts w:hint="eastAsia"/>
        </w:rPr>
        <w:t>38</w:t>
      </w:r>
      <w:r>
        <w:t>分。</w:t>
      </w:r>
    </w:p>
    <w:p>
      <w:pPr>
        <w:pStyle w:val="24"/>
        <w:spacing w:line="560" w:lineRule="exact"/>
        <w:ind w:firstLine="640"/>
      </w:pPr>
      <w:r>
        <w:t>1.产出数量</w:t>
      </w:r>
    </w:p>
    <w:p>
      <w:pPr>
        <w:pStyle w:val="24"/>
        <w:spacing w:line="560" w:lineRule="exact"/>
        <w:ind w:firstLine="640"/>
      </w:pPr>
      <w:r>
        <w:rPr>
          <w:rFonts w:hint="eastAsia"/>
        </w:rPr>
        <w:t>文化活动举办完成率</w:t>
      </w:r>
      <w:r>
        <w:t>（总分</w:t>
      </w:r>
      <w:r>
        <w:rPr>
          <w:rFonts w:hint="eastAsia"/>
        </w:rPr>
        <w:t>9分</w:t>
      </w:r>
      <w:r>
        <w:t>，得分</w:t>
      </w:r>
      <w:r>
        <w:rPr>
          <w:rFonts w:hint="eastAsia"/>
        </w:rPr>
        <w:t>9</w:t>
      </w:r>
      <w:r>
        <w:t>分）。</w:t>
      </w:r>
      <w:r>
        <w:rPr>
          <w:rFonts w:hint="eastAsia"/>
        </w:rPr>
        <w:t>2022年度中央补助地方公共文化服务体系建设补助资金-中央项目计划举办文化活动3个，实际全部举办完成，文化活动举办完成率100%。</w:t>
      </w:r>
    </w:p>
    <w:p>
      <w:pPr>
        <w:pStyle w:val="24"/>
        <w:spacing w:line="560" w:lineRule="exact"/>
        <w:ind w:firstLine="640"/>
      </w:pPr>
      <w:r>
        <w:rPr>
          <w:rFonts w:hint="eastAsia"/>
        </w:rPr>
        <w:t>具体情况见表4</w:t>
      </w:r>
      <w:r>
        <w:t>：</w:t>
      </w:r>
    </w:p>
    <w:p>
      <w:pPr>
        <w:spacing w:line="560" w:lineRule="exact"/>
        <w:ind w:firstLine="420"/>
        <w:jc w:val="center"/>
        <w:rPr>
          <w:rFonts w:ascii="Times New Roman" w:hAnsi="Times New Roman" w:eastAsia="黑体" w:cs="黑体"/>
          <w:sz w:val="28"/>
          <w:szCs w:val="28"/>
        </w:rPr>
      </w:pPr>
      <w:r>
        <w:rPr>
          <w:rFonts w:hint="eastAsia" w:ascii="Times New Roman" w:hAnsi="Times New Roman"/>
        </w:rPr>
        <w:t xml:space="preserve"> </w:t>
      </w:r>
      <w:r>
        <w:rPr>
          <w:rFonts w:hint="eastAsia" w:ascii="Times New Roman" w:hAnsi="Times New Roman" w:eastAsia="黑体" w:cs="黑体"/>
          <w:sz w:val="28"/>
          <w:szCs w:val="28"/>
        </w:rPr>
        <w:t>表4 举办文化活动情况表</w:t>
      </w:r>
    </w:p>
    <w:tbl>
      <w:tblPr>
        <w:tblStyle w:val="17"/>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1"/>
        <w:gridCol w:w="4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tblHeader/>
        </w:trPr>
        <w:tc>
          <w:tcPr>
            <w:tcW w:w="4531" w:type="dxa"/>
            <w:vAlign w:val="center"/>
          </w:tcPr>
          <w:p>
            <w:pPr>
              <w:pStyle w:val="38"/>
              <w:spacing w:line="560" w:lineRule="exact"/>
            </w:pPr>
            <w:r>
              <w:rPr>
                <w:rFonts w:hint="eastAsia"/>
              </w:rPr>
              <w:t>计划举办活动</w:t>
            </w:r>
          </w:p>
        </w:tc>
        <w:tc>
          <w:tcPr>
            <w:tcW w:w="4527" w:type="dxa"/>
            <w:vAlign w:val="center"/>
          </w:tcPr>
          <w:p>
            <w:pPr>
              <w:pStyle w:val="38"/>
              <w:spacing w:line="560" w:lineRule="exact"/>
            </w:pPr>
            <w:r>
              <w:rPr>
                <w:rFonts w:hint="eastAsia"/>
              </w:rPr>
              <w:t>实际举办活动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531" w:type="dxa"/>
            <w:vAlign w:val="center"/>
          </w:tcPr>
          <w:p>
            <w:pPr>
              <w:spacing w:line="560" w:lineRule="exact"/>
              <w:ind w:firstLine="420"/>
              <w:jc w:val="center"/>
              <w:rPr>
                <w:rFonts w:ascii="Times New Roman" w:hAnsi="Times New Roman" w:eastAsia="宋体"/>
              </w:rPr>
            </w:pPr>
            <w:r>
              <w:rPr>
                <w:rFonts w:hint="eastAsia" w:ascii="Times New Roman" w:hAnsi="Times New Roman" w:eastAsia="宋体"/>
              </w:rPr>
              <w:t>第十六届“和平杯”京剧票友邀请赛</w:t>
            </w:r>
          </w:p>
        </w:tc>
        <w:tc>
          <w:tcPr>
            <w:tcW w:w="4527" w:type="dxa"/>
            <w:vAlign w:val="center"/>
          </w:tcPr>
          <w:p>
            <w:pPr>
              <w:spacing w:line="560" w:lineRule="exact"/>
              <w:ind w:firstLine="420"/>
              <w:jc w:val="center"/>
              <w:rPr>
                <w:rFonts w:ascii="Times New Roman" w:hAnsi="Times New Roman" w:eastAsia="宋体" w:cs="Times New Roman"/>
              </w:rPr>
            </w:pPr>
            <w:r>
              <w:rPr>
                <w:rFonts w:hint="eastAsia" w:ascii="Times New Roman" w:hAnsi="Times New Roman" w:eastAsia="宋体"/>
              </w:rPr>
              <w:t>第十六届“和平杯”京剧票友邀请赛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531" w:type="dxa"/>
            <w:vAlign w:val="center"/>
          </w:tcPr>
          <w:p>
            <w:pPr>
              <w:spacing w:line="560" w:lineRule="exact"/>
              <w:ind w:firstLine="420"/>
              <w:jc w:val="center"/>
              <w:rPr>
                <w:rFonts w:ascii="Times New Roman" w:hAnsi="Times New Roman" w:eastAsia="宋体" w:cs="Times New Roman"/>
              </w:rPr>
            </w:pPr>
            <w:r>
              <w:rPr>
                <w:rFonts w:hint="eastAsia" w:ascii="Times New Roman" w:hAnsi="Times New Roman" w:eastAsia="宋体" w:cs="Times New Roman"/>
              </w:rPr>
              <w:t>第</w:t>
            </w:r>
            <w:r>
              <w:rPr>
                <w:rFonts w:ascii="Times New Roman" w:hAnsi="Times New Roman" w:eastAsia="宋体" w:cs="Times New Roman"/>
              </w:rPr>
              <w:t>36届和平纳凉晚会</w:t>
            </w:r>
          </w:p>
        </w:tc>
        <w:tc>
          <w:tcPr>
            <w:tcW w:w="4527" w:type="dxa"/>
            <w:vAlign w:val="center"/>
          </w:tcPr>
          <w:p>
            <w:pPr>
              <w:spacing w:line="560" w:lineRule="exact"/>
              <w:ind w:firstLine="420"/>
              <w:jc w:val="center"/>
              <w:rPr>
                <w:rFonts w:ascii="Times New Roman" w:hAnsi="Times New Roman" w:eastAsia="宋体" w:cs="Times New Roman"/>
              </w:rPr>
            </w:pPr>
            <w:r>
              <w:rPr>
                <w:rFonts w:hint="eastAsia" w:ascii="Times New Roman" w:hAnsi="Times New Roman" w:eastAsia="宋体" w:cs="Times New Roman"/>
              </w:rPr>
              <w:t>第</w:t>
            </w:r>
            <w:r>
              <w:rPr>
                <w:rFonts w:ascii="Times New Roman" w:hAnsi="Times New Roman" w:eastAsia="宋体" w:cs="Times New Roman"/>
              </w:rPr>
              <w:t>36届和平纳凉晚会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531" w:type="dxa"/>
            <w:vAlign w:val="center"/>
          </w:tcPr>
          <w:p>
            <w:pPr>
              <w:spacing w:line="560" w:lineRule="exact"/>
              <w:ind w:firstLine="420"/>
              <w:jc w:val="center"/>
              <w:rPr>
                <w:rFonts w:ascii="Times New Roman" w:hAnsi="Times New Roman" w:eastAsia="宋体" w:cs="Times New Roman"/>
              </w:rPr>
            </w:pPr>
            <w:r>
              <w:rPr>
                <w:rFonts w:hint="eastAsia" w:ascii="Times New Roman" w:hAnsi="Times New Roman" w:eastAsia="宋体" w:cs="Times New Roman"/>
              </w:rPr>
              <w:t>“和平杯”天津市第七届合唱艺术节</w:t>
            </w:r>
          </w:p>
        </w:tc>
        <w:tc>
          <w:tcPr>
            <w:tcW w:w="4527" w:type="dxa"/>
            <w:vAlign w:val="center"/>
          </w:tcPr>
          <w:p>
            <w:pPr>
              <w:spacing w:line="560" w:lineRule="exact"/>
              <w:ind w:firstLine="420"/>
              <w:jc w:val="center"/>
              <w:rPr>
                <w:rFonts w:ascii="Times New Roman" w:hAnsi="Times New Roman" w:eastAsia="宋体" w:cs="Times New Roman"/>
              </w:rPr>
            </w:pPr>
            <w:r>
              <w:rPr>
                <w:rFonts w:hint="eastAsia" w:ascii="Times New Roman" w:hAnsi="Times New Roman" w:eastAsia="宋体" w:cs="Times New Roman"/>
              </w:rPr>
              <w:t>“和平杯”天津市第七届合唱艺术节</w:t>
            </w:r>
          </w:p>
        </w:tc>
      </w:tr>
    </w:tbl>
    <w:p>
      <w:pPr>
        <w:pStyle w:val="24"/>
        <w:spacing w:line="560" w:lineRule="exact"/>
        <w:ind w:firstLine="640"/>
        <w:jc w:val="center"/>
      </w:pPr>
    </w:p>
    <w:p>
      <w:pPr>
        <w:pStyle w:val="24"/>
        <w:spacing w:line="560" w:lineRule="exact"/>
        <w:ind w:firstLine="640"/>
      </w:pPr>
      <w:r>
        <w:t>2.产出</w:t>
      </w:r>
      <w:r>
        <w:rPr>
          <w:rFonts w:hint="eastAsia"/>
        </w:rPr>
        <w:t>质量</w:t>
      </w:r>
    </w:p>
    <w:p>
      <w:pPr>
        <w:pStyle w:val="24"/>
        <w:spacing w:line="560" w:lineRule="exact"/>
        <w:ind w:firstLine="640"/>
      </w:pPr>
      <w:r>
        <w:rPr>
          <w:rFonts w:hint="eastAsia"/>
        </w:rPr>
        <w:t>文化活动举办内容如期率</w:t>
      </w:r>
      <w:r>
        <w:t>（总分</w:t>
      </w:r>
      <w:r>
        <w:rPr>
          <w:rFonts w:hint="eastAsia"/>
        </w:rPr>
        <w:t>9</w:t>
      </w:r>
      <w:r>
        <w:t>分，得分</w:t>
      </w:r>
      <w:r>
        <w:rPr>
          <w:rFonts w:hint="eastAsia"/>
        </w:rPr>
        <w:t>9</w:t>
      </w:r>
      <w:r>
        <w:t>分）。</w:t>
      </w:r>
      <w:r>
        <w:rPr>
          <w:rFonts w:hint="eastAsia"/>
        </w:rPr>
        <w:t>根据</w:t>
      </w:r>
      <w:r>
        <w:t>第十六届“和平杯”京剧票友邀请赛综述、</w:t>
      </w:r>
      <w:r>
        <w:rPr>
          <w:rFonts w:hint="eastAsia"/>
        </w:rPr>
        <w:t>第</w:t>
      </w:r>
      <w:r>
        <w:t>36届“和平纳凉晚会”活动方案</w:t>
      </w:r>
      <w:r>
        <w:rPr>
          <w:rFonts w:hint="eastAsia"/>
        </w:rPr>
        <w:t>、</w:t>
      </w:r>
      <w:r>
        <w:t>“和平杯”天津市第七届合唱艺术节活动总结</w:t>
      </w:r>
      <w:r>
        <w:rPr>
          <w:rFonts w:hint="eastAsia"/>
        </w:rPr>
        <w:t>等文件，3个文化活动实际开展内容与该活动方案一致，活动开展符合预期。文化活动举办内容如期率100%。</w:t>
      </w:r>
    </w:p>
    <w:p>
      <w:pPr>
        <w:pStyle w:val="24"/>
        <w:spacing w:line="560" w:lineRule="exact"/>
        <w:ind w:firstLine="640"/>
      </w:pPr>
      <w:r>
        <w:t>3.产出</w:t>
      </w:r>
      <w:r>
        <w:rPr>
          <w:rFonts w:hint="eastAsia"/>
        </w:rPr>
        <w:t>时效</w:t>
      </w:r>
    </w:p>
    <w:p>
      <w:pPr>
        <w:pStyle w:val="24"/>
        <w:spacing w:line="560" w:lineRule="exact"/>
        <w:ind w:firstLine="640"/>
      </w:pPr>
      <w:r>
        <w:rPr>
          <w:rFonts w:hint="eastAsia"/>
        </w:rPr>
        <w:t>文化活动举办完成及时率（</w:t>
      </w:r>
      <w:r>
        <w:t>总分</w:t>
      </w:r>
      <w:r>
        <w:rPr>
          <w:rFonts w:hint="eastAsia"/>
        </w:rPr>
        <w:t>10</w:t>
      </w:r>
      <w:r>
        <w:t>分，得分</w:t>
      </w:r>
      <w:r>
        <w:rPr>
          <w:rFonts w:hint="eastAsia"/>
        </w:rPr>
        <w:t>10</w:t>
      </w:r>
      <w:r>
        <w:t>分）。</w:t>
      </w:r>
      <w:r>
        <w:rPr>
          <w:rFonts w:hint="eastAsia"/>
        </w:rPr>
        <w:t>依据</w:t>
      </w:r>
      <w:r>
        <w:t>第十六届“和平杯”京剧票友邀请赛综述、</w:t>
      </w:r>
      <w:r>
        <w:rPr>
          <w:rFonts w:hint="eastAsia"/>
        </w:rPr>
        <w:t>第</w:t>
      </w:r>
      <w:r>
        <w:t>36届“和平纳凉晚会”活动方案</w:t>
      </w:r>
      <w:r>
        <w:rPr>
          <w:rFonts w:hint="eastAsia"/>
        </w:rPr>
        <w:t>、</w:t>
      </w:r>
      <w:r>
        <w:t>“和平杯”天津市第七届合唱艺术节活动总结</w:t>
      </w:r>
      <w:r>
        <w:rPr>
          <w:rFonts w:hint="eastAsia"/>
        </w:rPr>
        <w:t>等文件，3个文化活动的计划举办时间与实际举办时间一致，均及时完成。文化活动举办完成及时率100%。</w:t>
      </w:r>
    </w:p>
    <w:p>
      <w:pPr>
        <w:pStyle w:val="24"/>
        <w:spacing w:line="560" w:lineRule="exact"/>
        <w:ind w:firstLine="640"/>
      </w:pPr>
      <w:r>
        <w:rPr>
          <w:rFonts w:hint="eastAsia"/>
        </w:rPr>
        <w:t>具体情况见表5</w:t>
      </w:r>
      <w:r>
        <w:t>：</w:t>
      </w:r>
    </w:p>
    <w:p>
      <w:pPr>
        <w:pStyle w:val="24"/>
        <w:spacing w:line="560" w:lineRule="exact"/>
        <w:ind w:firstLine="560"/>
        <w:jc w:val="center"/>
        <w:rPr>
          <w:rFonts w:eastAsia="黑体" w:cs="宋体"/>
          <w:kern w:val="0"/>
          <w:sz w:val="28"/>
          <w:szCs w:val="28"/>
        </w:rPr>
      </w:pPr>
      <w:r>
        <w:rPr>
          <w:rFonts w:hint="eastAsia" w:eastAsia="黑体" w:cs="宋体"/>
          <w:kern w:val="0"/>
          <w:sz w:val="28"/>
          <w:szCs w:val="28"/>
        </w:rPr>
        <w:t>表5</w:t>
      </w:r>
      <w:r>
        <w:rPr>
          <w:rFonts w:eastAsia="黑体" w:cs="宋体"/>
          <w:kern w:val="0"/>
          <w:sz w:val="28"/>
          <w:szCs w:val="28"/>
        </w:rPr>
        <w:t xml:space="preserve">  </w:t>
      </w:r>
      <w:r>
        <w:rPr>
          <w:rFonts w:hint="eastAsia" w:eastAsia="黑体" w:cs="宋体"/>
          <w:kern w:val="0"/>
          <w:sz w:val="28"/>
          <w:szCs w:val="28"/>
        </w:rPr>
        <w:t>文化活动举办时间明细表</w:t>
      </w:r>
    </w:p>
    <w:tbl>
      <w:tblPr>
        <w:tblStyle w:val="1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3702"/>
        <w:gridCol w:w="2243"/>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656" w:type="dxa"/>
            <w:vAlign w:val="center"/>
          </w:tcPr>
          <w:p>
            <w:pPr>
              <w:pStyle w:val="24"/>
              <w:spacing w:line="560" w:lineRule="exact"/>
              <w:ind w:firstLine="0" w:firstLineChars="0"/>
              <w:jc w:val="center"/>
              <w:rPr>
                <w:rFonts w:eastAsia="宋体" w:cs="宋体"/>
                <w:b/>
                <w:bCs/>
                <w:sz w:val="21"/>
              </w:rPr>
            </w:pPr>
            <w:r>
              <w:rPr>
                <w:rFonts w:hint="eastAsia" w:eastAsia="宋体" w:cs="宋体"/>
                <w:b/>
                <w:bCs/>
                <w:sz w:val="21"/>
              </w:rPr>
              <w:t>序号</w:t>
            </w:r>
          </w:p>
        </w:tc>
        <w:tc>
          <w:tcPr>
            <w:tcW w:w="3702" w:type="dxa"/>
            <w:vAlign w:val="center"/>
          </w:tcPr>
          <w:p>
            <w:pPr>
              <w:pStyle w:val="24"/>
              <w:spacing w:line="560" w:lineRule="exact"/>
              <w:ind w:firstLine="0" w:firstLineChars="0"/>
              <w:jc w:val="center"/>
              <w:rPr>
                <w:rFonts w:eastAsia="宋体" w:cs="宋体"/>
                <w:b/>
                <w:bCs/>
                <w:sz w:val="21"/>
              </w:rPr>
            </w:pPr>
            <w:r>
              <w:rPr>
                <w:rFonts w:hint="eastAsia" w:eastAsia="宋体" w:cs="宋体"/>
                <w:b/>
                <w:bCs/>
                <w:sz w:val="21"/>
              </w:rPr>
              <w:t>文化活动</w:t>
            </w:r>
          </w:p>
        </w:tc>
        <w:tc>
          <w:tcPr>
            <w:tcW w:w="2243" w:type="dxa"/>
          </w:tcPr>
          <w:p>
            <w:pPr>
              <w:pStyle w:val="24"/>
              <w:spacing w:line="560" w:lineRule="exact"/>
              <w:ind w:firstLine="0" w:firstLineChars="0"/>
              <w:jc w:val="center"/>
              <w:rPr>
                <w:rFonts w:eastAsia="宋体" w:cs="宋体"/>
                <w:b/>
                <w:bCs/>
                <w:sz w:val="21"/>
              </w:rPr>
            </w:pPr>
            <w:r>
              <w:rPr>
                <w:rFonts w:hint="eastAsia" w:eastAsia="宋体" w:cs="宋体"/>
                <w:b/>
                <w:bCs/>
                <w:sz w:val="21"/>
              </w:rPr>
              <w:t>计划举办时间</w:t>
            </w:r>
          </w:p>
        </w:tc>
        <w:tc>
          <w:tcPr>
            <w:tcW w:w="2459" w:type="dxa"/>
          </w:tcPr>
          <w:p>
            <w:pPr>
              <w:pStyle w:val="24"/>
              <w:spacing w:line="560" w:lineRule="exact"/>
              <w:ind w:firstLine="0" w:firstLineChars="0"/>
              <w:jc w:val="center"/>
              <w:rPr>
                <w:rFonts w:eastAsia="宋体" w:cs="宋体"/>
                <w:b/>
                <w:bCs/>
                <w:sz w:val="21"/>
              </w:rPr>
            </w:pPr>
            <w:r>
              <w:rPr>
                <w:rFonts w:hint="eastAsia" w:eastAsia="宋体" w:cs="宋体"/>
                <w:b/>
                <w:bCs/>
                <w:sz w:val="21"/>
              </w:rPr>
              <w:t>实际举办时间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56" w:type="dxa"/>
            <w:vAlign w:val="center"/>
          </w:tcPr>
          <w:p>
            <w:pPr>
              <w:pStyle w:val="37"/>
              <w:spacing w:line="560" w:lineRule="exact"/>
              <w:jc w:val="center"/>
            </w:pPr>
            <w:r>
              <w:rPr>
                <w:rFonts w:hint="eastAsia"/>
              </w:rPr>
              <w:t>1</w:t>
            </w:r>
          </w:p>
        </w:tc>
        <w:tc>
          <w:tcPr>
            <w:tcW w:w="3702" w:type="dxa"/>
            <w:vAlign w:val="center"/>
          </w:tcPr>
          <w:p>
            <w:pPr>
              <w:pStyle w:val="37"/>
              <w:spacing w:line="560" w:lineRule="exact"/>
              <w:jc w:val="center"/>
            </w:pPr>
            <w:r>
              <w:rPr>
                <w:rFonts w:hint="eastAsia"/>
              </w:rPr>
              <w:t>第十六届“和平杯”京剧票友邀请赛</w:t>
            </w:r>
          </w:p>
        </w:tc>
        <w:tc>
          <w:tcPr>
            <w:tcW w:w="2243" w:type="dxa"/>
            <w:vAlign w:val="center"/>
          </w:tcPr>
          <w:p>
            <w:pPr>
              <w:pStyle w:val="37"/>
              <w:spacing w:line="560" w:lineRule="exact"/>
              <w:jc w:val="center"/>
              <w:rPr>
                <w:sz w:val="22"/>
                <w:szCs w:val="22"/>
              </w:rPr>
            </w:pPr>
            <w:r>
              <w:rPr>
                <w:rFonts w:hint="eastAsia"/>
                <w:sz w:val="22"/>
                <w:szCs w:val="22"/>
              </w:rPr>
              <w:t>2022年5月</w:t>
            </w:r>
          </w:p>
        </w:tc>
        <w:tc>
          <w:tcPr>
            <w:tcW w:w="2459" w:type="dxa"/>
            <w:vAlign w:val="center"/>
          </w:tcPr>
          <w:p>
            <w:pPr>
              <w:pStyle w:val="37"/>
              <w:spacing w:line="560" w:lineRule="exact"/>
              <w:jc w:val="center"/>
              <w:rPr>
                <w:sz w:val="22"/>
                <w:szCs w:val="22"/>
              </w:rPr>
            </w:pPr>
            <w:r>
              <w:rPr>
                <w:rFonts w:hint="eastAsia"/>
                <w:sz w:val="22"/>
                <w:szCs w:val="22"/>
              </w:rPr>
              <w:t>2022年5月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56" w:type="dxa"/>
            <w:vAlign w:val="center"/>
          </w:tcPr>
          <w:p>
            <w:pPr>
              <w:pStyle w:val="37"/>
              <w:spacing w:line="560" w:lineRule="exact"/>
              <w:jc w:val="center"/>
            </w:pPr>
            <w:r>
              <w:rPr>
                <w:rFonts w:hint="eastAsia"/>
              </w:rPr>
              <w:t>2</w:t>
            </w:r>
          </w:p>
        </w:tc>
        <w:tc>
          <w:tcPr>
            <w:tcW w:w="3702" w:type="dxa"/>
            <w:vAlign w:val="center"/>
          </w:tcPr>
          <w:p>
            <w:pPr>
              <w:pStyle w:val="37"/>
              <w:spacing w:line="560" w:lineRule="exact"/>
              <w:jc w:val="center"/>
            </w:pPr>
            <w:r>
              <w:rPr>
                <w:rFonts w:hint="eastAsia"/>
              </w:rPr>
              <w:t>第</w:t>
            </w:r>
            <w:r>
              <w:t>36届和平纳凉晚会</w:t>
            </w:r>
          </w:p>
        </w:tc>
        <w:tc>
          <w:tcPr>
            <w:tcW w:w="2243" w:type="dxa"/>
            <w:vAlign w:val="center"/>
          </w:tcPr>
          <w:p>
            <w:pPr>
              <w:pStyle w:val="37"/>
              <w:spacing w:line="560" w:lineRule="exact"/>
              <w:jc w:val="center"/>
              <w:rPr>
                <w:sz w:val="22"/>
                <w:szCs w:val="22"/>
              </w:rPr>
            </w:pPr>
            <w:r>
              <w:rPr>
                <w:rFonts w:hint="eastAsia"/>
                <w:sz w:val="22"/>
                <w:szCs w:val="22"/>
              </w:rPr>
              <w:t>2022年7月</w:t>
            </w:r>
          </w:p>
        </w:tc>
        <w:tc>
          <w:tcPr>
            <w:tcW w:w="2459" w:type="dxa"/>
            <w:vAlign w:val="center"/>
          </w:tcPr>
          <w:p>
            <w:pPr>
              <w:pStyle w:val="37"/>
              <w:spacing w:line="560" w:lineRule="exact"/>
              <w:jc w:val="center"/>
              <w:rPr>
                <w:sz w:val="22"/>
                <w:szCs w:val="22"/>
              </w:rPr>
            </w:pPr>
            <w:r>
              <w:rPr>
                <w:rFonts w:hint="eastAsia"/>
                <w:sz w:val="22"/>
                <w:szCs w:val="22"/>
              </w:rPr>
              <w:t>2022年7月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56" w:type="dxa"/>
            <w:vAlign w:val="center"/>
          </w:tcPr>
          <w:p>
            <w:pPr>
              <w:pStyle w:val="37"/>
              <w:spacing w:line="560" w:lineRule="exact"/>
              <w:jc w:val="center"/>
            </w:pPr>
            <w:r>
              <w:rPr>
                <w:rFonts w:hint="eastAsia"/>
              </w:rPr>
              <w:t>3</w:t>
            </w:r>
          </w:p>
        </w:tc>
        <w:tc>
          <w:tcPr>
            <w:tcW w:w="3702" w:type="dxa"/>
            <w:vAlign w:val="center"/>
          </w:tcPr>
          <w:p>
            <w:pPr>
              <w:pStyle w:val="37"/>
              <w:spacing w:line="560" w:lineRule="exact"/>
              <w:jc w:val="center"/>
            </w:pPr>
            <w:r>
              <w:rPr>
                <w:rFonts w:hint="eastAsia"/>
              </w:rPr>
              <w:t>“和平杯”天津市第七届合唱艺术节</w:t>
            </w:r>
          </w:p>
        </w:tc>
        <w:tc>
          <w:tcPr>
            <w:tcW w:w="2243" w:type="dxa"/>
            <w:vAlign w:val="center"/>
          </w:tcPr>
          <w:p>
            <w:pPr>
              <w:pStyle w:val="37"/>
              <w:spacing w:line="560" w:lineRule="exact"/>
              <w:jc w:val="center"/>
              <w:rPr>
                <w:sz w:val="22"/>
                <w:szCs w:val="22"/>
              </w:rPr>
            </w:pPr>
            <w:r>
              <w:rPr>
                <w:rFonts w:hint="eastAsia"/>
                <w:sz w:val="22"/>
                <w:szCs w:val="22"/>
              </w:rPr>
              <w:t>2022年8月</w:t>
            </w:r>
          </w:p>
        </w:tc>
        <w:tc>
          <w:tcPr>
            <w:tcW w:w="2459" w:type="dxa"/>
            <w:vAlign w:val="center"/>
          </w:tcPr>
          <w:p>
            <w:pPr>
              <w:pStyle w:val="37"/>
              <w:spacing w:line="560" w:lineRule="exact"/>
              <w:jc w:val="center"/>
              <w:rPr>
                <w:sz w:val="22"/>
                <w:szCs w:val="22"/>
              </w:rPr>
            </w:pPr>
            <w:r>
              <w:rPr>
                <w:rFonts w:hint="eastAsia"/>
                <w:sz w:val="22"/>
                <w:szCs w:val="22"/>
              </w:rPr>
              <w:t>2022年8月</w:t>
            </w:r>
          </w:p>
        </w:tc>
      </w:tr>
    </w:tbl>
    <w:p>
      <w:pPr>
        <w:pStyle w:val="24"/>
        <w:spacing w:line="560" w:lineRule="exact"/>
        <w:ind w:firstLine="640"/>
      </w:pPr>
    </w:p>
    <w:p>
      <w:pPr>
        <w:pStyle w:val="24"/>
        <w:spacing w:line="560" w:lineRule="exact"/>
        <w:ind w:firstLine="640"/>
      </w:pPr>
      <w:r>
        <w:t>4.产出</w:t>
      </w:r>
      <w:r>
        <w:rPr>
          <w:rFonts w:hint="eastAsia"/>
        </w:rPr>
        <w:t>成本</w:t>
      </w:r>
    </w:p>
    <w:p>
      <w:pPr>
        <w:pStyle w:val="24"/>
        <w:spacing w:line="560" w:lineRule="exact"/>
        <w:ind w:firstLine="640"/>
      </w:pPr>
      <w:r>
        <w:rPr>
          <w:rFonts w:hint="eastAsia"/>
        </w:rPr>
        <w:t>文化活动举办成本节约率</w:t>
      </w:r>
      <w:r>
        <w:t>（总分</w:t>
      </w:r>
      <w:r>
        <w:rPr>
          <w:rFonts w:hint="eastAsia"/>
        </w:rPr>
        <w:t>10</w:t>
      </w:r>
      <w:r>
        <w:t>分，得分</w:t>
      </w:r>
      <w:r>
        <w:rPr>
          <w:rFonts w:hint="eastAsia"/>
        </w:rPr>
        <w:t>10</w:t>
      </w:r>
      <w:r>
        <w:t>分）。</w:t>
      </w:r>
      <w:r>
        <w:rPr>
          <w:rFonts w:hint="eastAsia"/>
        </w:rPr>
        <w:t>根据《天津市财政局关于提前下达</w:t>
      </w:r>
      <w:r>
        <w:t>2022年中央补助地方公共文化服务体系建设补助资金预算的通知》（津财教指</w:t>
      </w:r>
      <w:r>
        <w:rPr>
          <w:rFonts w:hint="eastAsia"/>
        </w:rPr>
        <w:t>〔</w:t>
      </w:r>
      <w:r>
        <w:t>2021〕145号）、资金拨付单据等资料，实际举办文化活动的金额为100.1万元，合同应支付金额为100.1万元，文化活动举办成本节约率为0%。</w:t>
      </w:r>
    </w:p>
    <w:p>
      <w:pPr>
        <w:pStyle w:val="29"/>
        <w:spacing w:before="0" w:after="0" w:line="560" w:lineRule="exact"/>
        <w:ind w:firstLine="640"/>
        <w:rPr>
          <w:rFonts w:ascii="Times New Roman" w:hAnsi="Times New Roman"/>
        </w:rPr>
      </w:pPr>
      <w:bookmarkStart w:id="13" w:name="_Toc347114101"/>
      <w:r>
        <w:rPr>
          <w:rFonts w:hint="eastAsia" w:ascii="Times New Roman" w:hAnsi="Times New Roman"/>
        </w:rPr>
        <w:t>（四）项目效益情况</w:t>
      </w:r>
      <w:bookmarkEnd w:id="13"/>
    </w:p>
    <w:p>
      <w:pPr>
        <w:pStyle w:val="24"/>
        <w:spacing w:line="560" w:lineRule="exact"/>
        <w:ind w:firstLine="640"/>
      </w:pPr>
      <w:r>
        <w:rPr>
          <w:rFonts w:hint="eastAsia"/>
        </w:rPr>
        <w:t>效益指标主要包括社会效益、可持续影响、服务对象满意度3项</w:t>
      </w:r>
      <w:r>
        <w:t>二级指标，</w:t>
      </w:r>
      <w:r>
        <w:rPr>
          <w:rFonts w:hint="eastAsia"/>
        </w:rPr>
        <w:t>3</w:t>
      </w:r>
      <w:r>
        <w:t>项三级指标，基础总分</w:t>
      </w:r>
      <w:r>
        <w:rPr>
          <w:rFonts w:hint="eastAsia"/>
        </w:rPr>
        <w:t>22</w:t>
      </w:r>
      <w:r>
        <w:t>分，合计得分</w:t>
      </w:r>
      <w:r>
        <w:rPr>
          <w:rFonts w:hint="eastAsia"/>
        </w:rPr>
        <w:t>18</w:t>
      </w:r>
      <w:r>
        <w:t>分。</w:t>
      </w:r>
    </w:p>
    <w:p>
      <w:pPr>
        <w:pStyle w:val="24"/>
        <w:spacing w:line="560" w:lineRule="exact"/>
        <w:ind w:firstLine="640"/>
      </w:pPr>
      <w:r>
        <w:t>1.</w:t>
      </w:r>
      <w:r>
        <w:rPr>
          <w:rFonts w:hint="eastAsia"/>
        </w:rPr>
        <w:t>社会效益</w:t>
      </w:r>
    </w:p>
    <w:p>
      <w:pPr>
        <w:pStyle w:val="24"/>
        <w:spacing w:line="560" w:lineRule="exact"/>
        <w:ind w:firstLine="640"/>
      </w:pPr>
      <w:r>
        <w:rPr>
          <w:rFonts w:hint="eastAsia"/>
        </w:rPr>
        <w:t>群众文化生活的丰富情况</w:t>
      </w:r>
      <w:r>
        <w:t>（总分</w:t>
      </w:r>
      <w:r>
        <w:rPr>
          <w:rFonts w:hint="eastAsia"/>
        </w:rPr>
        <w:t>9</w:t>
      </w:r>
      <w:r>
        <w:t>分，得分</w:t>
      </w:r>
      <w:r>
        <w:rPr>
          <w:rFonts w:hint="eastAsia"/>
        </w:rPr>
        <w:t>9</w:t>
      </w:r>
      <w:r>
        <w:t>分）。</w:t>
      </w:r>
      <w:r>
        <w:rPr>
          <w:rFonts w:hint="eastAsia"/>
        </w:rPr>
        <w:t>根据第十六届“和平杯”京剧票友邀请赛综述、第</w:t>
      </w:r>
      <w:r>
        <w:t>36届“和平纳凉晚会”活动方案、“和平杯”天津市第七届合唱艺术节活动总结等文件</w:t>
      </w:r>
      <w:r>
        <w:rPr>
          <w:rFonts w:hint="eastAsia"/>
        </w:rPr>
        <w:t>，具体情况如下：</w:t>
      </w:r>
    </w:p>
    <w:p>
      <w:pPr>
        <w:pStyle w:val="24"/>
        <w:spacing w:line="560" w:lineRule="exact"/>
        <w:ind w:firstLine="640"/>
      </w:pPr>
      <w:r>
        <w:rPr>
          <w:rFonts w:hint="eastAsia"/>
        </w:rPr>
        <w:t>（1）第十六届“和平杯”京剧票友邀请赛以线上线下相结合的方式进行，通过各地初赛，30个省、自治区、直辖市/省区市/省（区、市）/省（自治区、直辖市）/省、区、市</w:t>
      </w:r>
      <w:bookmarkStart w:id="23" w:name="_GoBack"/>
      <w:bookmarkEnd w:id="23"/>
      <w:r>
        <w:rPr>
          <w:rFonts w:hint="eastAsia"/>
        </w:rPr>
        <w:t>踊跃报名参赛，遴选出229人进入复赛。</w:t>
      </w:r>
      <w:r>
        <w:t>第十六届“和平杯”京剧票友邀请赛复赛于8月8日至12日在天津举行，遴选出75名海内外选手及20个团体节目进入决赛</w:t>
      </w:r>
      <w:r>
        <w:rPr>
          <w:rFonts w:hint="eastAsia"/>
        </w:rPr>
        <w:t>，决赛于9月8日上午八点在爱奇艺网站、京剧艺术网、和平杯官微等平台同时上线开赛，据统计，截至9月21日上午11时，“云上”观众已超过43万人次，反映出“和平杯”作为我国公共文化的著名品牌，对群众有着极大的关注度和影响力。</w:t>
      </w:r>
    </w:p>
    <w:p>
      <w:pPr>
        <w:pStyle w:val="24"/>
        <w:spacing w:line="560" w:lineRule="exact"/>
        <w:ind w:firstLine="640"/>
      </w:pPr>
      <w:r>
        <w:rPr>
          <w:rFonts w:hint="eastAsia"/>
        </w:rPr>
        <w:t>（2）</w:t>
      </w:r>
      <w:r>
        <w:t>第36届“和平纳凉晚会”活动</w:t>
      </w:r>
      <w:r>
        <w:rPr>
          <w:rFonts w:hint="eastAsia"/>
        </w:rPr>
        <w:t>整场节目内容丰富多彩，舞蹈、歌曲、京剧、快板、曲艺、歌曲、诗朗诵等轮番上演。完成了在各街道专场演出1场，每个社区至少演出1场的计划，在炎炎夏日给市民群众带来艺术享受，有效活跃了群众夏季文化生活。</w:t>
      </w:r>
    </w:p>
    <w:p>
      <w:pPr>
        <w:pStyle w:val="24"/>
        <w:spacing w:line="560" w:lineRule="exact"/>
        <w:ind w:firstLine="640"/>
      </w:pPr>
      <w:r>
        <w:rPr>
          <w:rFonts w:hint="eastAsia"/>
        </w:rPr>
        <w:t>（3）</w:t>
      </w:r>
      <w:r>
        <w:t>“和平杯”天津市第七届合唱艺术节活动</w:t>
      </w:r>
      <w:r>
        <w:rPr>
          <w:rFonts w:hint="eastAsia"/>
        </w:rPr>
        <w:t>经各区初赛严格遴选，共有90支参赛团队入围复赛；在“线上”复赛中，共产生14支团队将“决赛入场券”收入囊中。艺术节以“合唱”艺术为载体，不断为广大合唱爱好者及合唱团队搭建一个既能够展示、竞技、学习，又能够在交流中结交“同道挚友”的平台。曾被列入到和平区20项民心工程之一，持续受到新华网、天津日报、今晚报等众多主流媒体跟踪报道。艺术节的举办有效丰富了群众文化生活、推广普及合唱艺术、提高我市群众合唱水平。</w:t>
      </w:r>
    </w:p>
    <w:p>
      <w:pPr>
        <w:pStyle w:val="24"/>
        <w:spacing w:line="560" w:lineRule="exact"/>
        <w:ind w:firstLine="640"/>
      </w:pPr>
      <w:r>
        <w:rPr>
          <w:rFonts w:hint="eastAsia"/>
        </w:rPr>
        <w:t>第十六届“和平杯”京剧票友邀请赛综述、第</w:t>
      </w:r>
      <w:r>
        <w:t>36届“和平纳凉晚会”活动方案、“和平杯”天津市第七届合唱艺术节</w:t>
      </w:r>
      <w:r>
        <w:rPr>
          <w:rFonts w:hint="eastAsia"/>
        </w:rPr>
        <w:t>等三个活动均按照活动方案开展，活动覆盖率100%，人员参与情况符合预期，保障群众基本文化权益的同时，</w:t>
      </w:r>
      <w:r>
        <w:rPr>
          <w:rFonts w:hint="eastAsia" w:cs="仿宋_GB2312"/>
          <w:szCs w:val="32"/>
        </w:rPr>
        <w:t>促进基本公共文化服务均等化</w:t>
      </w:r>
      <w:r>
        <w:rPr>
          <w:rFonts w:hint="eastAsia"/>
        </w:rPr>
        <w:t>。</w:t>
      </w:r>
    </w:p>
    <w:p>
      <w:pPr>
        <w:pStyle w:val="24"/>
        <w:spacing w:line="560" w:lineRule="exact"/>
        <w:ind w:firstLine="640"/>
      </w:pPr>
      <w:r>
        <w:t>2.</w:t>
      </w:r>
      <w:r>
        <w:rPr>
          <w:rFonts w:hint="eastAsia"/>
        </w:rPr>
        <w:t>可持续影响</w:t>
      </w:r>
    </w:p>
    <w:p>
      <w:pPr>
        <w:pStyle w:val="24"/>
        <w:spacing w:line="560" w:lineRule="exact"/>
        <w:ind w:firstLine="640"/>
      </w:pPr>
      <w:r>
        <w:rPr>
          <w:rFonts w:hint="eastAsia"/>
        </w:rPr>
        <w:t>建立</w:t>
      </w:r>
      <w:r>
        <w:rPr>
          <w:rFonts w:hint="eastAsia"/>
          <w:shd w:val="clear" w:color="auto" w:fill="FFFFFF"/>
        </w:rPr>
        <w:t>健全支持开展群众性文化活动机制</w:t>
      </w:r>
      <w:r>
        <w:rPr>
          <w:rFonts w:hint="eastAsia"/>
          <w:szCs w:val="32"/>
        </w:rPr>
        <w:t>（</w:t>
      </w:r>
      <w:r>
        <w:t>总分</w:t>
      </w:r>
      <w:r>
        <w:rPr>
          <w:rFonts w:hint="eastAsia"/>
        </w:rPr>
        <w:t>8</w:t>
      </w:r>
      <w:r>
        <w:t>分，得分</w:t>
      </w:r>
      <w:r>
        <w:rPr>
          <w:rFonts w:hint="eastAsia"/>
        </w:rPr>
        <w:t>4</w:t>
      </w:r>
      <w:r>
        <w:t>分）。</w:t>
      </w:r>
      <w:r>
        <w:rPr>
          <w:rFonts w:hint="eastAsia"/>
        </w:rPr>
        <w:t>依据《中央补助地方公共文化服务体系建设专项资金管理暂行办法》（财教〔</w:t>
      </w:r>
      <w:r>
        <w:t>2015〕527号）</w:t>
      </w:r>
      <w:r>
        <w:rPr>
          <w:rFonts w:hint="eastAsia"/>
        </w:rPr>
        <w:t>、</w:t>
      </w:r>
      <w:r>
        <w:t>国家公共文化服务体系示范区公共文化服务体系绩效评价指标分解表等文件，和平区被评为国家公共文化服务体系示范区。表中对文化和旅游公共服务领域落实安全生产责任制情况提出要求，要杜绝重大安全生产事故的发生。</w:t>
      </w:r>
      <w:r>
        <w:rPr>
          <w:rFonts w:hint="eastAsia"/>
        </w:rPr>
        <w:t>同时，《文化和旅游部</w:t>
      </w:r>
      <w:r>
        <w:t xml:space="preserve"> 国家发展改革委 财政部关于推动公共文化服务高质量发展的意见》（文旅公共发〔2021〕21号）</w:t>
      </w:r>
      <w:r>
        <w:rPr>
          <w:rFonts w:hint="eastAsia"/>
        </w:rPr>
        <w:t>也提出要</w:t>
      </w:r>
      <w:r>
        <w:rPr>
          <w:rFonts w:hint="eastAsia"/>
          <w:shd w:val="clear" w:color="auto" w:fill="FFFFFF"/>
        </w:rPr>
        <w:t>健全支持开展群众性文化活动机制。</w:t>
      </w:r>
      <w:r>
        <w:t>安全是一切活动的基础，是一切活动的前提，是</w:t>
      </w:r>
      <w:r>
        <w:rPr>
          <w:rFonts w:hint="eastAsia"/>
          <w:lang w:eastAsia="zh-CN"/>
        </w:rPr>
        <w:t>不可逾越</w:t>
      </w:r>
      <w:r>
        <w:t>的先决条件</w:t>
      </w:r>
      <w:r>
        <w:rPr>
          <w:rFonts w:hint="eastAsia"/>
        </w:rPr>
        <w:t>，建立健全文化活动开展保障机制是有必要的。</w:t>
      </w:r>
      <w:r>
        <w:t>根据评价组实地调研，和平区文化和旅游局实际工作中涉及对文化活动的保障工作，各项保障工作实施到位，但未建立健全文化活动开展保障机制，对活动开展的流程、风险情况等没有</w:t>
      </w:r>
      <w:r>
        <w:rPr>
          <w:rFonts w:hint="eastAsia"/>
        </w:rPr>
        <w:t>把控，不利于文化活动的长效开展</w:t>
      </w:r>
      <w:r>
        <w:rPr>
          <w:rFonts w:hint="eastAsia"/>
          <w:szCs w:val="32"/>
        </w:rPr>
        <w:t>。</w:t>
      </w:r>
    </w:p>
    <w:p>
      <w:pPr>
        <w:pStyle w:val="24"/>
        <w:spacing w:line="560" w:lineRule="exact"/>
        <w:ind w:firstLine="640"/>
      </w:pPr>
      <w:r>
        <w:rPr>
          <w:rFonts w:hint="eastAsia"/>
        </w:rPr>
        <w:t>3</w:t>
      </w:r>
      <w:r>
        <w:t>.</w:t>
      </w:r>
      <w:r>
        <w:rPr>
          <w:rFonts w:hint="eastAsia"/>
        </w:rPr>
        <w:t>服务对象满意度</w:t>
      </w:r>
    </w:p>
    <w:p>
      <w:pPr>
        <w:pStyle w:val="24"/>
        <w:spacing w:line="560" w:lineRule="exact"/>
        <w:ind w:firstLine="640"/>
      </w:pPr>
      <w:r>
        <w:rPr>
          <w:rFonts w:hint="eastAsia"/>
        </w:rPr>
        <w:t>文化活动参与人员满意度</w:t>
      </w:r>
      <w:r>
        <w:rPr>
          <w:rFonts w:hint="eastAsia"/>
          <w:szCs w:val="32"/>
        </w:rPr>
        <w:t>（</w:t>
      </w:r>
      <w:r>
        <w:t>总分</w:t>
      </w:r>
      <w:r>
        <w:rPr>
          <w:rFonts w:hint="eastAsia"/>
        </w:rPr>
        <w:t>5</w:t>
      </w:r>
      <w:r>
        <w:t>分，得分</w:t>
      </w:r>
      <w:r>
        <w:rPr>
          <w:rFonts w:hint="eastAsia"/>
        </w:rPr>
        <w:t>5</w:t>
      </w:r>
      <w:r>
        <w:t>分）。</w:t>
      </w:r>
      <w:r>
        <w:rPr>
          <w:rFonts w:hint="eastAsia"/>
        </w:rPr>
        <w:t>依据</w:t>
      </w:r>
      <w:r>
        <w:t>2022年中央补助地方公共文化服务体系建设补助资金-中央项目主要实施内容，对文化活动参与人员发放满意度调查问卷，共计发放</w:t>
      </w:r>
      <w:r>
        <w:rPr>
          <w:rFonts w:hint="eastAsia"/>
        </w:rPr>
        <w:t>100</w:t>
      </w:r>
      <w:r>
        <w:t>份。调查问卷针对文化活动举办内容是否满意、文化活动举办时间是否满意、文化活动工作人员的服务是否满意、文化活动总体是否满意等问题做出调查，调查结果显示，满意度分别为94%、95%、96%、95%，综合满意度为95%</w:t>
      </w:r>
      <w:r>
        <w:rPr>
          <w:rFonts w:hint="eastAsia"/>
        </w:rPr>
        <w:t>。</w:t>
      </w:r>
    </w:p>
    <w:p>
      <w:pPr>
        <w:pStyle w:val="27"/>
        <w:spacing w:line="560" w:lineRule="exact"/>
      </w:pPr>
      <w:bookmarkStart w:id="14" w:name="_Toc1381110255"/>
      <w:r>
        <w:rPr>
          <w:rFonts w:hint="eastAsia"/>
        </w:rPr>
        <w:t>五、存在的主要问题</w:t>
      </w:r>
      <w:bookmarkEnd w:id="14"/>
    </w:p>
    <w:p>
      <w:pPr>
        <w:pStyle w:val="29"/>
        <w:spacing w:before="0" w:after="0" w:line="560" w:lineRule="exact"/>
        <w:ind w:firstLine="640"/>
        <w:rPr>
          <w:rFonts w:ascii="Times New Roman" w:hAnsi="Times New Roman"/>
        </w:rPr>
      </w:pPr>
      <w:bookmarkStart w:id="15" w:name="_Toc169315362"/>
      <w:r>
        <w:rPr>
          <w:rFonts w:hint="eastAsia" w:ascii="Times New Roman" w:hAnsi="Times New Roman"/>
        </w:rPr>
        <w:t>（一）</w:t>
      </w:r>
      <w:r>
        <w:rPr>
          <w:rFonts w:hint="eastAsia" w:ascii="Times New Roman" w:hAnsi="Times New Roman" w:cs="楷体_GB2312"/>
        </w:rPr>
        <w:t>项目绩效目标设置合理性有待加强</w:t>
      </w:r>
      <w:bookmarkEnd w:id="15"/>
    </w:p>
    <w:p>
      <w:pPr>
        <w:pStyle w:val="24"/>
        <w:spacing w:line="560" w:lineRule="exact"/>
        <w:ind w:firstLine="640"/>
        <w:rPr>
          <w:highlight w:val="yellow"/>
        </w:rPr>
      </w:pPr>
      <w:r>
        <w:t>存在部分指标内容不准确、不可衡量的情况，质量指标“活动参与率</w:t>
      </w:r>
      <w:r>
        <w:rPr>
          <w:rFonts w:hint="eastAsia"/>
        </w:rPr>
        <w:t>≥</w:t>
      </w:r>
      <w:r>
        <w:t>80%”，和平区文化和旅游局不涉及对活动预期参与人员数量的测算，所以活动参与率无法计量。</w:t>
      </w:r>
    </w:p>
    <w:p>
      <w:pPr>
        <w:pStyle w:val="29"/>
        <w:spacing w:before="0" w:after="0" w:line="560" w:lineRule="exact"/>
        <w:ind w:firstLine="640"/>
        <w:rPr>
          <w:rFonts w:ascii="Times New Roman" w:hAnsi="Times New Roman"/>
        </w:rPr>
      </w:pPr>
      <w:bookmarkStart w:id="16" w:name="_Toc267456859"/>
      <w:r>
        <w:rPr>
          <w:rFonts w:hint="eastAsia" w:ascii="Times New Roman" w:hAnsi="Times New Roman"/>
        </w:rPr>
        <w:t>（二）项目预算执行有待提升</w:t>
      </w:r>
      <w:bookmarkEnd w:id="16"/>
    </w:p>
    <w:p>
      <w:pPr>
        <w:pStyle w:val="24"/>
        <w:spacing w:line="560" w:lineRule="exact"/>
        <w:ind w:firstLine="640"/>
      </w:pPr>
      <w:r>
        <w:t>2022年中央补助地方公共文化服务体系建设补助资金-中央项目</w:t>
      </w:r>
      <w:r>
        <w:rPr>
          <w:rFonts w:hint="eastAsia"/>
        </w:rPr>
        <w:t>2022年申报预算178.7万元，</w:t>
      </w:r>
      <w:r>
        <w:t>实际到位资金178.7万元，实际支出资金100.1万元，</w:t>
      </w:r>
      <w:r>
        <w:rPr>
          <w:rFonts w:hint="eastAsia"/>
        </w:rPr>
        <w:t>结转结余资金78.6万元，</w:t>
      </w:r>
      <w:r>
        <w:t>预算执行率为56%</w:t>
      </w:r>
      <w:r>
        <w:rPr>
          <w:rFonts w:hint="eastAsia"/>
        </w:rPr>
        <w:t>，预算执行率偏低，资金沉淀率为44%，沉淀率较高。</w:t>
      </w:r>
    </w:p>
    <w:p>
      <w:pPr>
        <w:pStyle w:val="29"/>
        <w:spacing w:before="0" w:after="0" w:line="560" w:lineRule="exact"/>
        <w:ind w:firstLine="640"/>
        <w:rPr>
          <w:rFonts w:ascii="Times New Roman" w:hAnsi="Times New Roman"/>
        </w:rPr>
      </w:pPr>
      <w:bookmarkStart w:id="17" w:name="_Toc464156042"/>
      <w:r>
        <w:rPr>
          <w:rFonts w:hint="eastAsia" w:ascii="Times New Roman" w:hAnsi="Times New Roman"/>
        </w:rPr>
        <w:t>（三）文化活动开展保障机制有待完善</w:t>
      </w:r>
      <w:bookmarkEnd w:id="17"/>
    </w:p>
    <w:p>
      <w:pPr>
        <w:pStyle w:val="24"/>
        <w:spacing w:line="560" w:lineRule="exact"/>
        <w:ind w:firstLine="640"/>
      </w:pPr>
      <w:r>
        <w:t>和平区文化和旅游局实际工作中涉及对文化活动的保障工作，各项保障工作实施到位，但未建立健全文化活动开展保障机制，对活动开展的流程、风险情况等没有</w:t>
      </w:r>
      <w:r>
        <w:rPr>
          <w:rFonts w:hint="eastAsia"/>
        </w:rPr>
        <w:t>把控，不利于文化活动的长效开展。</w:t>
      </w:r>
    </w:p>
    <w:p>
      <w:pPr>
        <w:pStyle w:val="27"/>
        <w:spacing w:line="560" w:lineRule="exact"/>
      </w:pPr>
      <w:bookmarkStart w:id="18" w:name="_Toc1409991990"/>
      <w:r>
        <w:rPr>
          <w:rFonts w:hint="eastAsia"/>
        </w:rPr>
        <w:t>六、相关建议</w:t>
      </w:r>
      <w:bookmarkEnd w:id="18"/>
    </w:p>
    <w:p>
      <w:pPr>
        <w:pStyle w:val="29"/>
        <w:spacing w:before="0" w:after="0" w:line="560" w:lineRule="exact"/>
        <w:ind w:firstLine="640"/>
        <w:rPr>
          <w:rFonts w:ascii="Times New Roman" w:hAnsi="Times New Roman"/>
        </w:rPr>
      </w:pPr>
      <w:bookmarkStart w:id="19" w:name="_Toc253331285"/>
      <w:r>
        <w:rPr>
          <w:rFonts w:hint="eastAsia" w:ascii="Times New Roman" w:hAnsi="Times New Roman"/>
        </w:rPr>
        <w:t>（一）加强绩效理念，提升绩效管理水平</w:t>
      </w:r>
      <w:bookmarkEnd w:id="19"/>
    </w:p>
    <w:p>
      <w:pPr>
        <w:pStyle w:val="24"/>
        <w:spacing w:line="560" w:lineRule="exact"/>
        <w:ind w:firstLine="640"/>
      </w:pPr>
      <w:r>
        <w:rPr>
          <w:rFonts w:hint="eastAsia"/>
        </w:rPr>
        <w:t>建议</w:t>
      </w:r>
      <w:r>
        <w:t>和平区文化和旅游局</w:t>
      </w:r>
      <w:r>
        <w:rPr>
          <w:rFonts w:hint="eastAsia"/>
        </w:rPr>
        <w:t>一是设置项目绩效目标、项目绩效指标时要具有合理性，指标值制定要结合项目实际情况，确保指标内容准确可衡量。二是建议加强绩效培训力度，定期开展预算绩效管理培训，深化理解预算绩效管理工作必要性，提高绩效工作的重视程度，强化对绩效基本概念的理解，</w:t>
      </w:r>
      <w:r>
        <w:rPr>
          <w:rFonts w:hint="eastAsia"/>
          <w:lang w:eastAsia="zh-CN"/>
        </w:rPr>
        <w:t>进而</w:t>
      </w:r>
      <w:r>
        <w:rPr>
          <w:rFonts w:hint="eastAsia"/>
        </w:rPr>
        <w:t>提高整体绩效工作质量。</w:t>
      </w:r>
    </w:p>
    <w:p>
      <w:pPr>
        <w:pStyle w:val="29"/>
        <w:spacing w:before="0" w:after="0" w:line="560" w:lineRule="exact"/>
        <w:ind w:firstLine="640"/>
        <w:rPr>
          <w:rFonts w:ascii="Times New Roman" w:hAnsi="Times New Roman"/>
        </w:rPr>
      </w:pPr>
      <w:bookmarkStart w:id="20" w:name="_Toc1426318641"/>
      <w:r>
        <w:rPr>
          <w:rFonts w:hint="eastAsia" w:ascii="Times New Roman" w:hAnsi="Times New Roman"/>
        </w:rPr>
        <w:t>（二）提高预算管理力度，保障预算执行率，降低资金沉淀率</w:t>
      </w:r>
      <w:bookmarkEnd w:id="20"/>
    </w:p>
    <w:p>
      <w:pPr>
        <w:pStyle w:val="24"/>
        <w:spacing w:line="560" w:lineRule="exact"/>
        <w:ind w:firstLine="640"/>
      </w:pPr>
      <w:r>
        <w:t>建议和平区文化和旅游局</w:t>
      </w:r>
      <w:r>
        <w:rPr>
          <w:rFonts w:hint="eastAsia"/>
        </w:rPr>
        <w:t>一是根据当年项目开展内容，细化测算项目预算，明确项目测算标准，做好预算调整。二是根据当年实际情况，针对不可抗力因素，及时调整活动开展形式及活动实施方案，比如将线下活动改为线上开展，减少项目资金结余，保障单位资金的使用效率与财政部门的分配效率。</w:t>
      </w:r>
    </w:p>
    <w:p>
      <w:pPr>
        <w:pStyle w:val="29"/>
        <w:spacing w:before="0" w:after="0" w:line="560" w:lineRule="exact"/>
        <w:ind w:firstLine="640"/>
        <w:rPr>
          <w:rFonts w:ascii="Times New Roman" w:hAnsi="Times New Roman"/>
        </w:rPr>
      </w:pPr>
      <w:bookmarkStart w:id="21" w:name="_Toc1924931473"/>
      <w:r>
        <w:rPr>
          <w:rFonts w:hint="eastAsia" w:ascii="Times New Roman" w:hAnsi="Times New Roman"/>
        </w:rPr>
        <w:t>（三）建立健全文化活动开展保障机制，提升服务保障能力</w:t>
      </w:r>
      <w:bookmarkEnd w:id="21"/>
    </w:p>
    <w:p>
      <w:pPr>
        <w:pStyle w:val="24"/>
        <w:spacing w:line="560" w:lineRule="exact"/>
        <w:ind w:firstLine="640"/>
      </w:pPr>
      <w:r>
        <w:rPr>
          <w:rFonts w:hint="eastAsia"/>
        </w:rPr>
        <w:t>建议</w:t>
      </w:r>
      <w:r>
        <w:t>和平区文化和旅游局</w:t>
      </w:r>
      <w:r>
        <w:rPr>
          <w:rFonts w:hint="eastAsia"/>
        </w:rPr>
        <w:t>建立健全文化活动开展保障机制，明确各环节管理责任主体，对监管职责、活动流程、活动风险等具体工作</w:t>
      </w:r>
      <w:r>
        <w:rPr>
          <w:rFonts w:hint="eastAsia"/>
          <w:lang w:eastAsia="zh-CN"/>
        </w:rPr>
        <w:t>作出</w:t>
      </w:r>
      <w:r>
        <w:rPr>
          <w:rFonts w:hint="eastAsia"/>
        </w:rPr>
        <w:t>相关要求，固化完善筹办和服务保障活动的经验。对标服务保障文化活动的实战标准，细化明确各相关单位的重点建设任务，把基础保障能力建设有机融入各部门日常工作中，为战时的动员转换打下坚实基础。未来通过文化活动开展保障机制开展工作，能够有效降低活动中重大安全生产事故的发生，保障文化活动开展的长效性。</w:t>
      </w:r>
    </w:p>
    <w:p>
      <w:pPr>
        <w:pStyle w:val="27"/>
        <w:spacing w:line="560" w:lineRule="exact"/>
      </w:pPr>
      <w:bookmarkStart w:id="22" w:name="_Toc482124656"/>
      <w:r>
        <w:rPr>
          <w:rFonts w:hint="eastAsia"/>
        </w:rPr>
        <w:t>七、</w:t>
      </w:r>
      <w:r>
        <w:rPr>
          <w:rFonts w:hint="eastAsia"/>
          <w:lang w:eastAsia="zh-Hans"/>
        </w:rPr>
        <w:t>相关</w:t>
      </w:r>
      <w:r>
        <w:rPr>
          <w:rFonts w:hint="eastAsia"/>
        </w:rPr>
        <w:t>附件</w:t>
      </w:r>
      <w:bookmarkEnd w:id="22"/>
    </w:p>
    <w:p>
      <w:pPr>
        <w:pStyle w:val="24"/>
        <w:spacing w:line="560" w:lineRule="exact"/>
        <w:ind w:left="1556" w:leftChars="304" w:hanging="918" w:hangingChars="287"/>
        <w:rPr>
          <w:color w:val="000000" w:themeColor="text1"/>
          <w14:textFill>
            <w14:solidFill>
              <w14:schemeClr w14:val="tx1"/>
            </w14:solidFill>
          </w14:textFill>
        </w:rPr>
      </w:pPr>
      <w:r>
        <w:rPr>
          <w:rFonts w:hint="eastAsia"/>
          <w:color w:val="000000" w:themeColor="text1"/>
          <w14:textFill>
            <w14:solidFill>
              <w14:schemeClr w14:val="tx1"/>
            </w14:solidFill>
          </w14:textFill>
        </w:rPr>
        <w:t>附件：天津市和平区文化和旅游局2022年中央补助地方公共文化服务体系建设补助资金-中央项目绩效评价指标体系及评分表</w:t>
      </w:r>
    </w:p>
    <w:p>
      <w:pPr>
        <w:pStyle w:val="24"/>
        <w:spacing w:line="240" w:lineRule="auto"/>
        <w:ind w:firstLine="0" w:firstLineChars="0"/>
        <w:jc w:val="center"/>
        <w:rPr>
          <w:rFonts w:cs="Times New Roman"/>
          <w:szCs w:val="32"/>
        </w:rPr>
      </w:pPr>
    </w:p>
    <w:sectPr>
      <w:footerReference r:id="rId9" w:type="default"/>
      <w:pgSz w:w="11906" w:h="16838"/>
      <w:pgMar w:top="2041" w:right="1531" w:bottom="2041"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汉仪中等线KW">
    <w:altName w:val="宋体"/>
    <w:panose1 w:val="01010104010101010101"/>
    <w:charset w:val="86"/>
    <w:family w:val="auto"/>
    <w:pitch w:val="default"/>
    <w:sig w:usb0="00000000" w:usb1="00000000" w:usb2="00000000" w:usb3="00000000" w:csb0="00040001" w:csb1="00000000"/>
  </w:font>
  <w:font w:name="冬青黑体简体中文">
    <w:altName w:val="黑体"/>
    <w:panose1 w:val="020B0300000000000000"/>
    <w:charset w:val="86"/>
    <w:family w:val="auto"/>
    <w:pitch w:val="default"/>
    <w:sig w:usb0="00000000" w:usb1="00000000" w:usb2="00000016" w:usb3="00000000" w:csb0="00060007" w:csb1="00000000"/>
  </w:font>
  <w:font w:name="汉仪书宋二KW">
    <w:altName w:val="宋体"/>
    <w:panose1 w:val="00020600040101010101"/>
    <w:charset w:val="86"/>
    <w:family w:val="auto"/>
    <w:pitch w:val="default"/>
    <w:sig w:usb0="00000000" w:usb1="00000000" w:usb2="00000016" w:usb3="00000000" w:csb0="00040000" w:csb1="00000000"/>
  </w:font>
  <w:font w:name="汉仪中黑KW">
    <w:altName w:val="黑体"/>
    <w:panose1 w:val="00020600040101010101"/>
    <w:charset w:val="86"/>
    <w:family w:val="auto"/>
    <w:pitch w:val="default"/>
    <w:sig w:usb0="00000000" w:usb1="00000000" w:usb2="00000016" w:usb3="00000000" w:csb0="00040000" w:csb1="00000000"/>
  </w:font>
  <w:font w:name="PingFang SC">
    <w:altName w:val="宋体"/>
    <w:panose1 w:val="020B0400000000000000"/>
    <w:charset w:val="86"/>
    <w:family w:val="auto"/>
    <w:pitch w:val="default"/>
    <w:sig w:usb0="00000000" w:usb1="00000000" w:usb2="00000017" w:usb3="00000000" w:csb0="00040001" w:csb1="00000000"/>
  </w:font>
  <w:font w:name="Tahoma">
    <w:panose1 w:val="020B0604030504040204"/>
    <w:charset w:val="00"/>
    <w:family w:val="auto"/>
    <w:pitch w:val="default"/>
    <w:sig w:usb0="E1002EFF" w:usb1="C000605B" w:usb2="00000029" w:usb3="00000000" w:csb0="200101FF" w:csb1="20280000"/>
  </w:font>
  <w:font w:name="Kingsoft Sign">
    <w:altName w:val="Segoe Print"/>
    <w:panose1 w:val="05050102010706020507"/>
    <w:charset w:val="00"/>
    <w:family w:val="auto"/>
    <w:pitch w:val="default"/>
    <w:sig w:usb0="00000000" w:usb1="00000000" w:usb2="00000000" w:usb3="00000000" w:csb0="00000001" w:csb1="00000000"/>
  </w:font>
  <w:font w:name="Helvetica Neue">
    <w:altName w:val="Corbel"/>
    <w:panose1 w:val="02000503000000020004"/>
    <w:charset w:val="00"/>
    <w:family w:val="auto"/>
    <w:pitch w:val="default"/>
    <w:sig w:usb0="00000000" w:usb1="00000000" w:usb2="0000001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Corbel">
    <w:panose1 w:val="020B0503020204020204"/>
    <w:charset w:val="00"/>
    <w:family w:val="auto"/>
    <w:pitch w:val="default"/>
    <w:sig w:usb0="A00002EF" w:usb1="40002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0646232"/>
    </w:sdtPr>
    <w:sdtEndPr>
      <w:rPr>
        <w:rFonts w:ascii="宋体" w:hAnsi="宋体" w:eastAsia="宋体"/>
        <w:sz w:val="22"/>
        <w:szCs w:val="22"/>
      </w:rPr>
    </w:sdtEndPr>
    <w:sdtContent>
      <w:p>
        <w:pPr>
          <w:ind w:firstLine="420"/>
          <w:jc w:val="center"/>
          <w:rPr>
            <w:rFonts w:ascii="宋体" w:hAnsi="宋体" w:eastAsia="宋体"/>
            <w:sz w:val="22"/>
            <w:szCs w:val="22"/>
          </w:rPr>
        </w:pPr>
        <w:r>
          <w:rPr>
            <w:rFonts w:ascii="宋体" w:hAnsi="宋体" w:eastAsia="宋体"/>
            <w:sz w:val="22"/>
            <w:szCs w:val="22"/>
          </w:rPr>
          <w:fldChar w:fldCharType="begin"/>
        </w:r>
        <w:r>
          <w:rPr>
            <w:rFonts w:ascii="宋体" w:hAnsi="宋体" w:eastAsia="宋体"/>
            <w:sz w:val="22"/>
            <w:szCs w:val="22"/>
          </w:rPr>
          <w:instrText xml:space="preserve">PAGE   \* MERGEFORMAT</w:instrText>
        </w:r>
        <w:r>
          <w:rPr>
            <w:rFonts w:ascii="宋体" w:hAnsi="宋体" w:eastAsia="宋体"/>
            <w:sz w:val="22"/>
            <w:szCs w:val="22"/>
          </w:rPr>
          <w:fldChar w:fldCharType="separate"/>
        </w:r>
        <w:r>
          <w:rPr>
            <w:rFonts w:ascii="宋体" w:hAnsi="宋体" w:eastAsia="宋体"/>
            <w:sz w:val="22"/>
            <w:szCs w:val="22"/>
            <w:lang w:val="zh-CN"/>
          </w:rPr>
          <w:t>29</w:t>
        </w:r>
        <w:r>
          <w:rPr>
            <w:rFonts w:ascii="宋体" w:hAnsi="宋体" w:eastAsia="宋体"/>
            <w:sz w:val="22"/>
            <w:szCs w:val="22"/>
          </w:rPr>
          <w:fldChar w:fldCharType="end"/>
        </w:r>
      </w:p>
    </w:sdtContent>
  </w:sdt>
  <w:p>
    <w:pPr>
      <w:ind w:firstLine="4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kZWM4YjIxYThkNmM0YzhiZDBkMGJiNDM5ZWY2ZGQifQ=="/>
  </w:docVars>
  <w:rsids>
    <w:rsidRoot w:val="0072406C"/>
    <w:rsid w:val="00003403"/>
    <w:rsid w:val="00003EED"/>
    <w:rsid w:val="0000687D"/>
    <w:rsid w:val="000071AB"/>
    <w:rsid w:val="00010D37"/>
    <w:rsid w:val="00016A7D"/>
    <w:rsid w:val="00017280"/>
    <w:rsid w:val="0003160C"/>
    <w:rsid w:val="00035AD0"/>
    <w:rsid w:val="000454E8"/>
    <w:rsid w:val="000462C4"/>
    <w:rsid w:val="00064E5E"/>
    <w:rsid w:val="000660C2"/>
    <w:rsid w:val="00092A16"/>
    <w:rsid w:val="00097A45"/>
    <w:rsid w:val="000A0529"/>
    <w:rsid w:val="000A196F"/>
    <w:rsid w:val="000B0374"/>
    <w:rsid w:val="000B5067"/>
    <w:rsid w:val="000B63D6"/>
    <w:rsid w:val="000B6545"/>
    <w:rsid w:val="000B6868"/>
    <w:rsid w:val="000C0EE1"/>
    <w:rsid w:val="000C2A30"/>
    <w:rsid w:val="000C3C34"/>
    <w:rsid w:val="000C5CEF"/>
    <w:rsid w:val="000D538A"/>
    <w:rsid w:val="000E0999"/>
    <w:rsid w:val="000E15F7"/>
    <w:rsid w:val="000E3264"/>
    <w:rsid w:val="000E4B75"/>
    <w:rsid w:val="000F382F"/>
    <w:rsid w:val="000F5948"/>
    <w:rsid w:val="000F5F68"/>
    <w:rsid w:val="000F7CD6"/>
    <w:rsid w:val="001139D2"/>
    <w:rsid w:val="00114B99"/>
    <w:rsid w:val="0011581D"/>
    <w:rsid w:val="00120DF6"/>
    <w:rsid w:val="001309AF"/>
    <w:rsid w:val="00134279"/>
    <w:rsid w:val="00135FD0"/>
    <w:rsid w:val="00140220"/>
    <w:rsid w:val="00141969"/>
    <w:rsid w:val="00147CAB"/>
    <w:rsid w:val="00153816"/>
    <w:rsid w:val="00156C42"/>
    <w:rsid w:val="00164380"/>
    <w:rsid w:val="0016710F"/>
    <w:rsid w:val="00171CC1"/>
    <w:rsid w:val="00171D10"/>
    <w:rsid w:val="00172F22"/>
    <w:rsid w:val="00187AB6"/>
    <w:rsid w:val="001B36BD"/>
    <w:rsid w:val="001B48F2"/>
    <w:rsid w:val="001C45E9"/>
    <w:rsid w:val="001C6E2E"/>
    <w:rsid w:val="001C6F11"/>
    <w:rsid w:val="001D4D23"/>
    <w:rsid w:val="001F0684"/>
    <w:rsid w:val="001F69DC"/>
    <w:rsid w:val="00201151"/>
    <w:rsid w:val="0020128D"/>
    <w:rsid w:val="00201BEB"/>
    <w:rsid w:val="00205C2B"/>
    <w:rsid w:val="00205CBE"/>
    <w:rsid w:val="00206E0A"/>
    <w:rsid w:val="00214B4D"/>
    <w:rsid w:val="002175ED"/>
    <w:rsid w:val="00220E11"/>
    <w:rsid w:val="002222B6"/>
    <w:rsid w:val="00226649"/>
    <w:rsid w:val="002345E2"/>
    <w:rsid w:val="002436E1"/>
    <w:rsid w:val="00251577"/>
    <w:rsid w:val="00252577"/>
    <w:rsid w:val="00253F8E"/>
    <w:rsid w:val="002640A6"/>
    <w:rsid w:val="0026479E"/>
    <w:rsid w:val="00266C8F"/>
    <w:rsid w:val="002758BE"/>
    <w:rsid w:val="00287100"/>
    <w:rsid w:val="002A623D"/>
    <w:rsid w:val="002B785A"/>
    <w:rsid w:val="002C16C1"/>
    <w:rsid w:val="002C2FA1"/>
    <w:rsid w:val="002C43B0"/>
    <w:rsid w:val="002C4A92"/>
    <w:rsid w:val="002C4E8C"/>
    <w:rsid w:val="002C7632"/>
    <w:rsid w:val="002D01E3"/>
    <w:rsid w:val="002D0C5B"/>
    <w:rsid w:val="002D0CBB"/>
    <w:rsid w:val="002D12EA"/>
    <w:rsid w:val="002D637A"/>
    <w:rsid w:val="002D76A4"/>
    <w:rsid w:val="002E1CDE"/>
    <w:rsid w:val="002F2BC4"/>
    <w:rsid w:val="00303739"/>
    <w:rsid w:val="00312AD8"/>
    <w:rsid w:val="00315181"/>
    <w:rsid w:val="0031558F"/>
    <w:rsid w:val="00320718"/>
    <w:rsid w:val="0033312D"/>
    <w:rsid w:val="003421E2"/>
    <w:rsid w:val="003459D8"/>
    <w:rsid w:val="003543CC"/>
    <w:rsid w:val="003623F8"/>
    <w:rsid w:val="00364CAE"/>
    <w:rsid w:val="003659D1"/>
    <w:rsid w:val="00374B93"/>
    <w:rsid w:val="00381FC6"/>
    <w:rsid w:val="003830F7"/>
    <w:rsid w:val="003858DE"/>
    <w:rsid w:val="00391BE1"/>
    <w:rsid w:val="00396B72"/>
    <w:rsid w:val="003973AD"/>
    <w:rsid w:val="003A6080"/>
    <w:rsid w:val="003A6237"/>
    <w:rsid w:val="003A6773"/>
    <w:rsid w:val="003C2621"/>
    <w:rsid w:val="003C7C59"/>
    <w:rsid w:val="003D5A98"/>
    <w:rsid w:val="003D6BF5"/>
    <w:rsid w:val="003E11B9"/>
    <w:rsid w:val="003E23B6"/>
    <w:rsid w:val="003E7873"/>
    <w:rsid w:val="003F7429"/>
    <w:rsid w:val="00400F29"/>
    <w:rsid w:val="0040151A"/>
    <w:rsid w:val="00402702"/>
    <w:rsid w:val="00402DBD"/>
    <w:rsid w:val="00410CD9"/>
    <w:rsid w:val="004146B0"/>
    <w:rsid w:val="00416020"/>
    <w:rsid w:val="0042330C"/>
    <w:rsid w:val="004234B5"/>
    <w:rsid w:val="00427B57"/>
    <w:rsid w:val="004327B7"/>
    <w:rsid w:val="004341D2"/>
    <w:rsid w:val="00441F72"/>
    <w:rsid w:val="00441F74"/>
    <w:rsid w:val="00446A03"/>
    <w:rsid w:val="004709F7"/>
    <w:rsid w:val="00472518"/>
    <w:rsid w:val="00472E33"/>
    <w:rsid w:val="004777DA"/>
    <w:rsid w:val="004811D8"/>
    <w:rsid w:val="00486F89"/>
    <w:rsid w:val="0049213A"/>
    <w:rsid w:val="004921B6"/>
    <w:rsid w:val="00494E8B"/>
    <w:rsid w:val="004A00D2"/>
    <w:rsid w:val="004A5DA1"/>
    <w:rsid w:val="004A6222"/>
    <w:rsid w:val="004A6A46"/>
    <w:rsid w:val="004B238B"/>
    <w:rsid w:val="004B7F1B"/>
    <w:rsid w:val="004D02C8"/>
    <w:rsid w:val="004D7381"/>
    <w:rsid w:val="004E1293"/>
    <w:rsid w:val="004E7677"/>
    <w:rsid w:val="004F2929"/>
    <w:rsid w:val="004F4E23"/>
    <w:rsid w:val="004F66FE"/>
    <w:rsid w:val="004F7581"/>
    <w:rsid w:val="00505460"/>
    <w:rsid w:val="00505B77"/>
    <w:rsid w:val="00507C90"/>
    <w:rsid w:val="005109C5"/>
    <w:rsid w:val="005156ED"/>
    <w:rsid w:val="0052550C"/>
    <w:rsid w:val="005333A3"/>
    <w:rsid w:val="00533ADB"/>
    <w:rsid w:val="005514F8"/>
    <w:rsid w:val="00551E1B"/>
    <w:rsid w:val="00560D5D"/>
    <w:rsid w:val="00564FC9"/>
    <w:rsid w:val="0057239D"/>
    <w:rsid w:val="0057702D"/>
    <w:rsid w:val="00577407"/>
    <w:rsid w:val="005776A2"/>
    <w:rsid w:val="005878C5"/>
    <w:rsid w:val="005911FC"/>
    <w:rsid w:val="00591CDF"/>
    <w:rsid w:val="00592448"/>
    <w:rsid w:val="00592AA6"/>
    <w:rsid w:val="005A2AEE"/>
    <w:rsid w:val="005A7F3E"/>
    <w:rsid w:val="005B5774"/>
    <w:rsid w:val="005B6F0F"/>
    <w:rsid w:val="005C0D08"/>
    <w:rsid w:val="005C77DD"/>
    <w:rsid w:val="005D3F85"/>
    <w:rsid w:val="005D583F"/>
    <w:rsid w:val="005D78B1"/>
    <w:rsid w:val="005E1574"/>
    <w:rsid w:val="005E3982"/>
    <w:rsid w:val="005E77B0"/>
    <w:rsid w:val="005E7FA6"/>
    <w:rsid w:val="005F251B"/>
    <w:rsid w:val="005F6718"/>
    <w:rsid w:val="006011FD"/>
    <w:rsid w:val="006017C0"/>
    <w:rsid w:val="00601A72"/>
    <w:rsid w:val="00605CF7"/>
    <w:rsid w:val="006102C8"/>
    <w:rsid w:val="00614EFA"/>
    <w:rsid w:val="006210E1"/>
    <w:rsid w:val="00625B1E"/>
    <w:rsid w:val="00626863"/>
    <w:rsid w:val="0063268C"/>
    <w:rsid w:val="00634ECC"/>
    <w:rsid w:val="00636CF4"/>
    <w:rsid w:val="00636FB3"/>
    <w:rsid w:val="00643D64"/>
    <w:rsid w:val="0064674B"/>
    <w:rsid w:val="00657987"/>
    <w:rsid w:val="00662D17"/>
    <w:rsid w:val="0066480E"/>
    <w:rsid w:val="006665A9"/>
    <w:rsid w:val="00676193"/>
    <w:rsid w:val="00677394"/>
    <w:rsid w:val="006967A5"/>
    <w:rsid w:val="006A2B64"/>
    <w:rsid w:val="006A3BAA"/>
    <w:rsid w:val="006B0538"/>
    <w:rsid w:val="006B1997"/>
    <w:rsid w:val="006C1CB6"/>
    <w:rsid w:val="006C4C90"/>
    <w:rsid w:val="006D1526"/>
    <w:rsid w:val="006D7A3E"/>
    <w:rsid w:val="006E060F"/>
    <w:rsid w:val="006E0DFA"/>
    <w:rsid w:val="006E1572"/>
    <w:rsid w:val="006E63F6"/>
    <w:rsid w:val="006E6795"/>
    <w:rsid w:val="006E7AB3"/>
    <w:rsid w:val="006F56CF"/>
    <w:rsid w:val="0071642A"/>
    <w:rsid w:val="007206F7"/>
    <w:rsid w:val="0072406C"/>
    <w:rsid w:val="00726F38"/>
    <w:rsid w:val="00740878"/>
    <w:rsid w:val="007424CC"/>
    <w:rsid w:val="00751669"/>
    <w:rsid w:val="00753FA6"/>
    <w:rsid w:val="0076580B"/>
    <w:rsid w:val="00783409"/>
    <w:rsid w:val="00783805"/>
    <w:rsid w:val="00784A99"/>
    <w:rsid w:val="007951ED"/>
    <w:rsid w:val="007A0161"/>
    <w:rsid w:val="007A5764"/>
    <w:rsid w:val="007A5FD6"/>
    <w:rsid w:val="007B2C41"/>
    <w:rsid w:val="007C1AE6"/>
    <w:rsid w:val="007C5F51"/>
    <w:rsid w:val="007C6774"/>
    <w:rsid w:val="007D17F5"/>
    <w:rsid w:val="007D3329"/>
    <w:rsid w:val="007E6151"/>
    <w:rsid w:val="007F01BF"/>
    <w:rsid w:val="007F2332"/>
    <w:rsid w:val="007F3F9A"/>
    <w:rsid w:val="007F630B"/>
    <w:rsid w:val="007F6735"/>
    <w:rsid w:val="00800323"/>
    <w:rsid w:val="00812724"/>
    <w:rsid w:val="00823A92"/>
    <w:rsid w:val="00824934"/>
    <w:rsid w:val="00827376"/>
    <w:rsid w:val="00835C74"/>
    <w:rsid w:val="00845757"/>
    <w:rsid w:val="00846FB6"/>
    <w:rsid w:val="00846FFF"/>
    <w:rsid w:val="00885E16"/>
    <w:rsid w:val="0088742E"/>
    <w:rsid w:val="00887A5E"/>
    <w:rsid w:val="00894CFC"/>
    <w:rsid w:val="00896773"/>
    <w:rsid w:val="00897D20"/>
    <w:rsid w:val="00897DD5"/>
    <w:rsid w:val="008A440C"/>
    <w:rsid w:val="008B0BBD"/>
    <w:rsid w:val="008B4381"/>
    <w:rsid w:val="008B76DA"/>
    <w:rsid w:val="008C4946"/>
    <w:rsid w:val="008D087D"/>
    <w:rsid w:val="008D63F7"/>
    <w:rsid w:val="008D7AE6"/>
    <w:rsid w:val="008E0CC0"/>
    <w:rsid w:val="008E33E9"/>
    <w:rsid w:val="008E6689"/>
    <w:rsid w:val="008E77B6"/>
    <w:rsid w:val="00900F36"/>
    <w:rsid w:val="00906D3C"/>
    <w:rsid w:val="009201B4"/>
    <w:rsid w:val="00923E52"/>
    <w:rsid w:val="0094643D"/>
    <w:rsid w:val="009615EB"/>
    <w:rsid w:val="00961BE4"/>
    <w:rsid w:val="00977283"/>
    <w:rsid w:val="00983D64"/>
    <w:rsid w:val="00984DA3"/>
    <w:rsid w:val="0099067C"/>
    <w:rsid w:val="00991549"/>
    <w:rsid w:val="009927AF"/>
    <w:rsid w:val="00993B57"/>
    <w:rsid w:val="00993DF8"/>
    <w:rsid w:val="009B28C5"/>
    <w:rsid w:val="009B39E1"/>
    <w:rsid w:val="009B6B5C"/>
    <w:rsid w:val="009B75E5"/>
    <w:rsid w:val="009C13F6"/>
    <w:rsid w:val="009C15D1"/>
    <w:rsid w:val="009C1658"/>
    <w:rsid w:val="009C3848"/>
    <w:rsid w:val="009C556C"/>
    <w:rsid w:val="009C60F3"/>
    <w:rsid w:val="009D2257"/>
    <w:rsid w:val="009D2F7D"/>
    <w:rsid w:val="009E10FD"/>
    <w:rsid w:val="009E2B0D"/>
    <w:rsid w:val="009E6E90"/>
    <w:rsid w:val="00A03025"/>
    <w:rsid w:val="00A05B9A"/>
    <w:rsid w:val="00A0797F"/>
    <w:rsid w:val="00A12936"/>
    <w:rsid w:val="00A13D4B"/>
    <w:rsid w:val="00A20D6B"/>
    <w:rsid w:val="00A24956"/>
    <w:rsid w:val="00A30155"/>
    <w:rsid w:val="00A3023A"/>
    <w:rsid w:val="00A321A3"/>
    <w:rsid w:val="00A345FA"/>
    <w:rsid w:val="00A42C9E"/>
    <w:rsid w:val="00A471D1"/>
    <w:rsid w:val="00A5056E"/>
    <w:rsid w:val="00A50613"/>
    <w:rsid w:val="00A50E6E"/>
    <w:rsid w:val="00A52AEF"/>
    <w:rsid w:val="00A565D9"/>
    <w:rsid w:val="00A56B1A"/>
    <w:rsid w:val="00A602CD"/>
    <w:rsid w:val="00A64DC6"/>
    <w:rsid w:val="00A66B26"/>
    <w:rsid w:val="00A71026"/>
    <w:rsid w:val="00A712E4"/>
    <w:rsid w:val="00A71F4E"/>
    <w:rsid w:val="00A844A3"/>
    <w:rsid w:val="00A92835"/>
    <w:rsid w:val="00A96580"/>
    <w:rsid w:val="00AA3EF0"/>
    <w:rsid w:val="00AA6DDD"/>
    <w:rsid w:val="00AB4DD8"/>
    <w:rsid w:val="00AC1FEE"/>
    <w:rsid w:val="00AC390A"/>
    <w:rsid w:val="00AC503E"/>
    <w:rsid w:val="00AD0709"/>
    <w:rsid w:val="00AD6D29"/>
    <w:rsid w:val="00AE6A91"/>
    <w:rsid w:val="00AF4234"/>
    <w:rsid w:val="00AF5D8A"/>
    <w:rsid w:val="00B0353B"/>
    <w:rsid w:val="00B10852"/>
    <w:rsid w:val="00B1249E"/>
    <w:rsid w:val="00B1308C"/>
    <w:rsid w:val="00B226DE"/>
    <w:rsid w:val="00B22B61"/>
    <w:rsid w:val="00B261C1"/>
    <w:rsid w:val="00B305B3"/>
    <w:rsid w:val="00B31529"/>
    <w:rsid w:val="00B32979"/>
    <w:rsid w:val="00B32DC3"/>
    <w:rsid w:val="00B33A94"/>
    <w:rsid w:val="00B34329"/>
    <w:rsid w:val="00B35967"/>
    <w:rsid w:val="00B409EC"/>
    <w:rsid w:val="00B41ED4"/>
    <w:rsid w:val="00B43271"/>
    <w:rsid w:val="00B5025F"/>
    <w:rsid w:val="00B62521"/>
    <w:rsid w:val="00B6657A"/>
    <w:rsid w:val="00B667F1"/>
    <w:rsid w:val="00B72200"/>
    <w:rsid w:val="00B75545"/>
    <w:rsid w:val="00BA2DE2"/>
    <w:rsid w:val="00BA4201"/>
    <w:rsid w:val="00BA5E86"/>
    <w:rsid w:val="00BB02FE"/>
    <w:rsid w:val="00BB6BFE"/>
    <w:rsid w:val="00BC136E"/>
    <w:rsid w:val="00BC3654"/>
    <w:rsid w:val="00BD07CD"/>
    <w:rsid w:val="00BD0828"/>
    <w:rsid w:val="00BD3E7B"/>
    <w:rsid w:val="00BE4610"/>
    <w:rsid w:val="00BE4C42"/>
    <w:rsid w:val="00BF41CB"/>
    <w:rsid w:val="00BF4934"/>
    <w:rsid w:val="00C0041C"/>
    <w:rsid w:val="00C01FB7"/>
    <w:rsid w:val="00C1014C"/>
    <w:rsid w:val="00C144DC"/>
    <w:rsid w:val="00C154F0"/>
    <w:rsid w:val="00C22157"/>
    <w:rsid w:val="00C40830"/>
    <w:rsid w:val="00C64544"/>
    <w:rsid w:val="00C656A3"/>
    <w:rsid w:val="00C768DE"/>
    <w:rsid w:val="00C82181"/>
    <w:rsid w:val="00C82906"/>
    <w:rsid w:val="00C83B44"/>
    <w:rsid w:val="00C90262"/>
    <w:rsid w:val="00C94042"/>
    <w:rsid w:val="00C95D32"/>
    <w:rsid w:val="00CA179D"/>
    <w:rsid w:val="00CA3C15"/>
    <w:rsid w:val="00CB6A59"/>
    <w:rsid w:val="00CB74BC"/>
    <w:rsid w:val="00CC6461"/>
    <w:rsid w:val="00CD1F3B"/>
    <w:rsid w:val="00CD31AF"/>
    <w:rsid w:val="00CD497A"/>
    <w:rsid w:val="00CD6496"/>
    <w:rsid w:val="00CE2357"/>
    <w:rsid w:val="00CE2D8A"/>
    <w:rsid w:val="00CE7D77"/>
    <w:rsid w:val="00D066FB"/>
    <w:rsid w:val="00D2122D"/>
    <w:rsid w:val="00D2162C"/>
    <w:rsid w:val="00D24802"/>
    <w:rsid w:val="00D25274"/>
    <w:rsid w:val="00D3086F"/>
    <w:rsid w:val="00D333DD"/>
    <w:rsid w:val="00D516DE"/>
    <w:rsid w:val="00D52978"/>
    <w:rsid w:val="00D532F4"/>
    <w:rsid w:val="00D91A15"/>
    <w:rsid w:val="00DA3B99"/>
    <w:rsid w:val="00DB195D"/>
    <w:rsid w:val="00DC3577"/>
    <w:rsid w:val="00DC4D39"/>
    <w:rsid w:val="00DC53E4"/>
    <w:rsid w:val="00DC7306"/>
    <w:rsid w:val="00DD0D0A"/>
    <w:rsid w:val="00DD141B"/>
    <w:rsid w:val="00DD511F"/>
    <w:rsid w:val="00DD6BF8"/>
    <w:rsid w:val="00DE0885"/>
    <w:rsid w:val="00DE2226"/>
    <w:rsid w:val="00DE4F63"/>
    <w:rsid w:val="00DE7348"/>
    <w:rsid w:val="00DF14EA"/>
    <w:rsid w:val="00DF692E"/>
    <w:rsid w:val="00DF7250"/>
    <w:rsid w:val="00E00EBE"/>
    <w:rsid w:val="00E07932"/>
    <w:rsid w:val="00E10BCF"/>
    <w:rsid w:val="00E327FA"/>
    <w:rsid w:val="00E346F7"/>
    <w:rsid w:val="00E369E9"/>
    <w:rsid w:val="00E3766E"/>
    <w:rsid w:val="00E43751"/>
    <w:rsid w:val="00E506AB"/>
    <w:rsid w:val="00E549F1"/>
    <w:rsid w:val="00E602E6"/>
    <w:rsid w:val="00E612E6"/>
    <w:rsid w:val="00E6298B"/>
    <w:rsid w:val="00E65960"/>
    <w:rsid w:val="00E67938"/>
    <w:rsid w:val="00E728F4"/>
    <w:rsid w:val="00E72C15"/>
    <w:rsid w:val="00E813D3"/>
    <w:rsid w:val="00E81575"/>
    <w:rsid w:val="00E825C0"/>
    <w:rsid w:val="00E82CE8"/>
    <w:rsid w:val="00E87BE6"/>
    <w:rsid w:val="00EA1E1E"/>
    <w:rsid w:val="00EC111F"/>
    <w:rsid w:val="00EC2A20"/>
    <w:rsid w:val="00ED1795"/>
    <w:rsid w:val="00ED2197"/>
    <w:rsid w:val="00ED6A4E"/>
    <w:rsid w:val="00ED73E4"/>
    <w:rsid w:val="00EF1CF0"/>
    <w:rsid w:val="00EF316A"/>
    <w:rsid w:val="00EF357B"/>
    <w:rsid w:val="00F13B53"/>
    <w:rsid w:val="00F317C7"/>
    <w:rsid w:val="00F3439B"/>
    <w:rsid w:val="00F36445"/>
    <w:rsid w:val="00F45910"/>
    <w:rsid w:val="00F50A64"/>
    <w:rsid w:val="00F56277"/>
    <w:rsid w:val="00F74B1C"/>
    <w:rsid w:val="00F80A4C"/>
    <w:rsid w:val="00F80F31"/>
    <w:rsid w:val="00F80F4F"/>
    <w:rsid w:val="00F81803"/>
    <w:rsid w:val="00F92768"/>
    <w:rsid w:val="00FA28FB"/>
    <w:rsid w:val="00FA3FC4"/>
    <w:rsid w:val="00FA56AE"/>
    <w:rsid w:val="00FB4E0C"/>
    <w:rsid w:val="00FB6586"/>
    <w:rsid w:val="00FB6E63"/>
    <w:rsid w:val="00FC14ED"/>
    <w:rsid w:val="00FC41BA"/>
    <w:rsid w:val="00FC46D4"/>
    <w:rsid w:val="00FD6D05"/>
    <w:rsid w:val="00FE19D0"/>
    <w:rsid w:val="00FE6D5B"/>
    <w:rsid w:val="00FF27D3"/>
    <w:rsid w:val="00FF4789"/>
    <w:rsid w:val="01807812"/>
    <w:rsid w:val="01B51227"/>
    <w:rsid w:val="01E352E0"/>
    <w:rsid w:val="029013CB"/>
    <w:rsid w:val="03347179"/>
    <w:rsid w:val="045750A6"/>
    <w:rsid w:val="04A91076"/>
    <w:rsid w:val="057813B0"/>
    <w:rsid w:val="06C441CB"/>
    <w:rsid w:val="082A67B3"/>
    <w:rsid w:val="096969C0"/>
    <w:rsid w:val="0A0F4BBF"/>
    <w:rsid w:val="0A2B5004"/>
    <w:rsid w:val="0B390560"/>
    <w:rsid w:val="0B5A1F4D"/>
    <w:rsid w:val="0B782A20"/>
    <w:rsid w:val="0BD07B44"/>
    <w:rsid w:val="0CDA78B8"/>
    <w:rsid w:val="0D47054B"/>
    <w:rsid w:val="0E92603E"/>
    <w:rsid w:val="10D95F27"/>
    <w:rsid w:val="11B76A0B"/>
    <w:rsid w:val="11C9291D"/>
    <w:rsid w:val="120F0437"/>
    <w:rsid w:val="12D55429"/>
    <w:rsid w:val="16330182"/>
    <w:rsid w:val="16FF77AD"/>
    <w:rsid w:val="174165D4"/>
    <w:rsid w:val="1832783F"/>
    <w:rsid w:val="19D919D4"/>
    <w:rsid w:val="1B561A90"/>
    <w:rsid w:val="1F731145"/>
    <w:rsid w:val="1F9130AA"/>
    <w:rsid w:val="20095F39"/>
    <w:rsid w:val="200E34D5"/>
    <w:rsid w:val="203E1D46"/>
    <w:rsid w:val="21E13ACA"/>
    <w:rsid w:val="22DC27E6"/>
    <w:rsid w:val="230E719A"/>
    <w:rsid w:val="2392389F"/>
    <w:rsid w:val="244A0E17"/>
    <w:rsid w:val="26A567FB"/>
    <w:rsid w:val="28D45E0B"/>
    <w:rsid w:val="2A605906"/>
    <w:rsid w:val="2C130CFC"/>
    <w:rsid w:val="2C2359F5"/>
    <w:rsid w:val="2D1537B0"/>
    <w:rsid w:val="2D2B33A6"/>
    <w:rsid w:val="2D7001CE"/>
    <w:rsid w:val="2FFD8104"/>
    <w:rsid w:val="305B02AF"/>
    <w:rsid w:val="30B7727C"/>
    <w:rsid w:val="30BD60C7"/>
    <w:rsid w:val="3257018C"/>
    <w:rsid w:val="32BA3C86"/>
    <w:rsid w:val="33AD5D48"/>
    <w:rsid w:val="340053F5"/>
    <w:rsid w:val="34D76FBE"/>
    <w:rsid w:val="37AB2AB5"/>
    <w:rsid w:val="39024890"/>
    <w:rsid w:val="3C232409"/>
    <w:rsid w:val="3D1965EA"/>
    <w:rsid w:val="3D924F99"/>
    <w:rsid w:val="3E0D1093"/>
    <w:rsid w:val="3E791163"/>
    <w:rsid w:val="3FCB52B4"/>
    <w:rsid w:val="41B14BE6"/>
    <w:rsid w:val="42922459"/>
    <w:rsid w:val="45EF3A7C"/>
    <w:rsid w:val="46712CEF"/>
    <w:rsid w:val="48525131"/>
    <w:rsid w:val="489E0F8C"/>
    <w:rsid w:val="48DC0CE9"/>
    <w:rsid w:val="49731409"/>
    <w:rsid w:val="4BB0676E"/>
    <w:rsid w:val="4C91667A"/>
    <w:rsid w:val="4CF03104"/>
    <w:rsid w:val="4D29209E"/>
    <w:rsid w:val="4D593CBD"/>
    <w:rsid w:val="4EE2682A"/>
    <w:rsid w:val="4F661BE2"/>
    <w:rsid w:val="4F930DFF"/>
    <w:rsid w:val="4FB6A9D5"/>
    <w:rsid w:val="513A088F"/>
    <w:rsid w:val="52DE2A78"/>
    <w:rsid w:val="53E71F5F"/>
    <w:rsid w:val="54CF4F42"/>
    <w:rsid w:val="56354E9C"/>
    <w:rsid w:val="57047CC8"/>
    <w:rsid w:val="589A51BD"/>
    <w:rsid w:val="5B743CB1"/>
    <w:rsid w:val="5C510BC7"/>
    <w:rsid w:val="5F014F0A"/>
    <w:rsid w:val="605009EC"/>
    <w:rsid w:val="61305CDE"/>
    <w:rsid w:val="636071A6"/>
    <w:rsid w:val="642E4714"/>
    <w:rsid w:val="64B16747"/>
    <w:rsid w:val="655610E0"/>
    <w:rsid w:val="664B1ADC"/>
    <w:rsid w:val="665060C9"/>
    <w:rsid w:val="67DE2007"/>
    <w:rsid w:val="69907583"/>
    <w:rsid w:val="6A17205B"/>
    <w:rsid w:val="6A5C6A9D"/>
    <w:rsid w:val="6A9B2EB3"/>
    <w:rsid w:val="6C5C5BAA"/>
    <w:rsid w:val="6E7920FD"/>
    <w:rsid w:val="70067B8E"/>
    <w:rsid w:val="7032062B"/>
    <w:rsid w:val="714A338F"/>
    <w:rsid w:val="742C72CA"/>
    <w:rsid w:val="776B64C8"/>
    <w:rsid w:val="78FE7E0E"/>
    <w:rsid w:val="790D1C70"/>
    <w:rsid w:val="7B975348"/>
    <w:rsid w:val="7C7911A0"/>
    <w:rsid w:val="7E596408"/>
    <w:rsid w:val="7FBF947C"/>
    <w:rsid w:val="AFFFF98D"/>
    <w:rsid w:val="EBDF7A69"/>
    <w:rsid w:val="FEBAC74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link w:val="43"/>
    <w:unhideWhenUsed/>
    <w:qFormat/>
    <w:uiPriority w:val="99"/>
  </w:style>
  <w:style w:type="paragraph" w:styleId="6">
    <w:name w:val="Body Text"/>
    <w:basedOn w:val="1"/>
    <w:link w:val="22"/>
    <w:qFormat/>
    <w:uiPriority w:val="99"/>
    <w:pPr>
      <w:spacing w:after="120" w:line="240" w:lineRule="auto"/>
      <w:ind w:firstLine="0" w:firstLineChars="0"/>
      <w:jc w:val="both"/>
    </w:pPr>
    <w:rPr>
      <w:rFonts w:ascii="Times New Roman" w:hAnsi="Times New Roman" w:eastAsia="宋体" w:cs="Times New Roman"/>
      <w:kern w:val="0"/>
      <w:sz w:val="32"/>
      <w:szCs w:val="32"/>
    </w:rPr>
  </w:style>
  <w:style w:type="paragraph" w:styleId="7">
    <w:name w:val="toc 3"/>
    <w:basedOn w:val="1"/>
    <w:next w:val="1"/>
    <w:unhideWhenUsed/>
    <w:qFormat/>
    <w:uiPriority w:val="39"/>
    <w:pPr>
      <w:widowControl/>
      <w:tabs>
        <w:tab w:val="right" w:leader="dot" w:pos="8302"/>
      </w:tabs>
      <w:spacing w:after="100" w:line="259" w:lineRule="auto"/>
      <w:ind w:left="284" w:firstLine="0" w:firstLineChars="0"/>
    </w:pPr>
    <w:rPr>
      <w:rFonts w:ascii="仿宋_GB2312" w:eastAsia="仿宋_GB2312" w:cs="Times New Roman"/>
      <w:spacing w:val="-20"/>
      <w:sz w:val="32"/>
      <w:szCs w:val="32"/>
    </w:rPr>
  </w:style>
  <w:style w:type="paragraph" w:styleId="8">
    <w:name w:val="footer"/>
    <w:basedOn w:val="1"/>
    <w:link w:val="21"/>
    <w:unhideWhenUsed/>
    <w:qFormat/>
    <w:uiPriority w:val="99"/>
    <w:pPr>
      <w:tabs>
        <w:tab w:val="center" w:pos="4153"/>
        <w:tab w:val="right" w:pos="8306"/>
      </w:tabs>
      <w:snapToGrid w:val="0"/>
      <w:spacing w:line="240" w:lineRule="auto"/>
      <w:ind w:firstLine="0" w:firstLineChars="0"/>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spacing w:line="240" w:lineRule="auto"/>
      <w:ind w:firstLine="0" w:firstLineChars="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widowControl/>
      <w:tabs>
        <w:tab w:val="right" w:leader="dot" w:pos="8302"/>
      </w:tabs>
      <w:spacing w:after="100" w:line="259" w:lineRule="auto"/>
      <w:ind w:firstLine="0" w:firstLineChars="0"/>
    </w:pPr>
    <w:rPr>
      <w:rFonts w:ascii="仿宋_GB2312" w:eastAsia="仿宋_GB2312" w:cs="Times New Roman"/>
      <w:b/>
      <w:kern w:val="0"/>
      <w:sz w:val="32"/>
      <w:szCs w:val="32"/>
    </w:rPr>
  </w:style>
  <w:style w:type="character" w:styleId="13">
    <w:name w:val="Strong"/>
    <w:basedOn w:val="12"/>
    <w:qFormat/>
    <w:uiPriority w:val="22"/>
    <w:rPr>
      <w:b/>
      <w:bCs/>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styleId="15">
    <w:name w:val="annotation reference"/>
    <w:basedOn w:val="12"/>
    <w:unhideWhenUsed/>
    <w:qFormat/>
    <w:uiPriority w:val="99"/>
    <w:rPr>
      <w:sz w:val="21"/>
      <w:szCs w:val="21"/>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8">
    <w:name w:val="绩效正文"/>
    <w:basedOn w:val="1"/>
    <w:link w:val="19"/>
    <w:qFormat/>
    <w:uiPriority w:val="0"/>
    <w:pPr>
      <w:spacing w:line="480" w:lineRule="exact"/>
      <w:textAlignment w:val="baseline"/>
    </w:pPr>
    <w:rPr>
      <w:rFonts w:ascii="Times New Roman" w:hAnsi="Times New Roman" w:eastAsia="仿宋_GB2312" w:cs="Times New Roman"/>
      <w:sz w:val="32"/>
      <w:szCs w:val="24"/>
    </w:rPr>
  </w:style>
  <w:style w:type="character" w:customStyle="1" w:styleId="19">
    <w:name w:val="绩效正文 字符"/>
    <w:basedOn w:val="12"/>
    <w:link w:val="18"/>
    <w:qFormat/>
    <w:uiPriority w:val="0"/>
    <w:rPr>
      <w:rFonts w:ascii="Times New Roman" w:hAnsi="Times New Roman" w:eastAsia="仿宋_GB2312" w:cs="Times New Roman"/>
      <w:sz w:val="32"/>
      <w:szCs w:val="24"/>
    </w:rPr>
  </w:style>
  <w:style w:type="character" w:customStyle="1" w:styleId="20">
    <w:name w:val="页眉 字符"/>
    <w:basedOn w:val="12"/>
    <w:link w:val="9"/>
    <w:qFormat/>
    <w:uiPriority w:val="99"/>
    <w:rPr>
      <w:sz w:val="18"/>
      <w:szCs w:val="18"/>
    </w:rPr>
  </w:style>
  <w:style w:type="character" w:customStyle="1" w:styleId="21">
    <w:name w:val="页脚 字符"/>
    <w:basedOn w:val="12"/>
    <w:link w:val="8"/>
    <w:qFormat/>
    <w:uiPriority w:val="99"/>
    <w:rPr>
      <w:sz w:val="18"/>
      <w:szCs w:val="18"/>
    </w:rPr>
  </w:style>
  <w:style w:type="character" w:customStyle="1" w:styleId="22">
    <w:name w:val="正文文本 字符"/>
    <w:basedOn w:val="12"/>
    <w:link w:val="6"/>
    <w:qFormat/>
    <w:uiPriority w:val="99"/>
    <w:rPr>
      <w:rFonts w:ascii="Times New Roman" w:hAnsi="Times New Roman" w:eastAsia="宋体" w:cs="Times New Roman"/>
      <w:kern w:val="0"/>
      <w:sz w:val="32"/>
      <w:szCs w:val="32"/>
    </w:rPr>
  </w:style>
  <w:style w:type="paragraph" w:customStyle="1" w:styleId="23">
    <w:name w:val="市局绩效-标题"/>
    <w:basedOn w:val="2"/>
    <w:link w:val="25"/>
    <w:qFormat/>
    <w:uiPriority w:val="0"/>
    <w:pPr>
      <w:spacing w:line="600" w:lineRule="exact"/>
      <w:ind w:firstLine="0" w:firstLineChars="0"/>
      <w:jc w:val="center"/>
    </w:pPr>
    <w:rPr>
      <w:rFonts w:ascii="方正小标宋简体" w:hAnsi="方正小标宋简体" w:eastAsia="方正小标宋简体"/>
      <w:b w:val="0"/>
    </w:rPr>
  </w:style>
  <w:style w:type="paragraph" w:customStyle="1" w:styleId="24">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5">
    <w:name w:val="市局绩效-标题 字符"/>
    <w:basedOn w:val="26"/>
    <w:link w:val="23"/>
    <w:qFormat/>
    <w:uiPriority w:val="0"/>
    <w:rPr>
      <w:rFonts w:ascii="方正小标宋简体" w:hAnsi="方正小标宋简体" w:eastAsia="方正小标宋简体"/>
      <w:b w:val="0"/>
      <w:kern w:val="44"/>
      <w:sz w:val="44"/>
      <w:szCs w:val="44"/>
    </w:rPr>
  </w:style>
  <w:style w:type="character" w:customStyle="1" w:styleId="26">
    <w:name w:val="标题 1 字符"/>
    <w:basedOn w:val="12"/>
    <w:link w:val="2"/>
    <w:qFormat/>
    <w:uiPriority w:val="9"/>
    <w:rPr>
      <w:b/>
      <w:bCs/>
      <w:kern w:val="44"/>
      <w:sz w:val="44"/>
      <w:szCs w:val="44"/>
    </w:rPr>
  </w:style>
  <w:style w:type="paragraph" w:customStyle="1" w:styleId="27">
    <w:name w:val="市局绩效-一级标题"/>
    <w:basedOn w:val="3"/>
    <w:link w:val="30"/>
    <w:qFormat/>
    <w:uiPriority w:val="0"/>
    <w:pPr>
      <w:spacing w:line="600" w:lineRule="exact"/>
      <w:ind w:firstLine="641" w:firstLineChars="0"/>
      <w:jc w:val="both"/>
    </w:pPr>
    <w:rPr>
      <w:rFonts w:ascii="Times New Roman" w:hAnsi="Times New Roman" w:eastAsia="黑体"/>
      <w:b w:val="0"/>
    </w:rPr>
  </w:style>
  <w:style w:type="character" w:customStyle="1" w:styleId="28">
    <w:name w:val="市局绩效-正文 字符"/>
    <w:basedOn w:val="12"/>
    <w:link w:val="24"/>
    <w:qFormat/>
    <w:uiPriority w:val="0"/>
    <w:rPr>
      <w:rFonts w:ascii="Times New Roman" w:hAnsi="Times New Roman" w:eastAsia="仿宋_GB2312"/>
      <w:sz w:val="32"/>
      <w:szCs w:val="21"/>
    </w:rPr>
  </w:style>
  <w:style w:type="paragraph" w:customStyle="1" w:styleId="29">
    <w:name w:val="市局绩效-二级标题"/>
    <w:basedOn w:val="4"/>
    <w:link w:val="32"/>
    <w:qFormat/>
    <w:uiPriority w:val="0"/>
    <w:pPr>
      <w:spacing w:line="600" w:lineRule="exact"/>
      <w:jc w:val="both"/>
    </w:pPr>
    <w:rPr>
      <w:rFonts w:eastAsia="楷体_GB2312"/>
      <w:b w:val="0"/>
    </w:rPr>
  </w:style>
  <w:style w:type="character" w:customStyle="1" w:styleId="30">
    <w:name w:val="市局绩效-一级标题 字符"/>
    <w:basedOn w:val="31"/>
    <w:link w:val="27"/>
    <w:qFormat/>
    <w:uiPriority w:val="0"/>
    <w:rPr>
      <w:rFonts w:ascii="Times New Roman" w:hAnsi="Times New Roman" w:eastAsia="黑体" w:cstheme="majorBidi"/>
      <w:b w:val="0"/>
      <w:sz w:val="32"/>
      <w:szCs w:val="32"/>
    </w:rPr>
  </w:style>
  <w:style w:type="character" w:customStyle="1" w:styleId="31">
    <w:name w:val="标题 2 字符"/>
    <w:basedOn w:val="12"/>
    <w:link w:val="3"/>
    <w:semiHidden/>
    <w:qFormat/>
    <w:uiPriority w:val="9"/>
    <w:rPr>
      <w:rFonts w:asciiTheme="majorHAnsi" w:hAnsiTheme="majorHAnsi" w:eastAsiaTheme="majorEastAsia" w:cstheme="majorBidi"/>
      <w:b/>
      <w:bCs/>
      <w:sz w:val="32"/>
      <w:szCs w:val="32"/>
    </w:rPr>
  </w:style>
  <w:style w:type="character" w:customStyle="1" w:styleId="32">
    <w:name w:val="市局绩效-二级标题 字符"/>
    <w:basedOn w:val="33"/>
    <w:link w:val="29"/>
    <w:qFormat/>
    <w:uiPriority w:val="0"/>
    <w:rPr>
      <w:rFonts w:eastAsia="楷体_GB2312"/>
      <w:b w:val="0"/>
      <w:sz w:val="32"/>
      <w:szCs w:val="32"/>
    </w:rPr>
  </w:style>
  <w:style w:type="character" w:customStyle="1" w:styleId="33">
    <w:name w:val="标题 3 字符"/>
    <w:basedOn w:val="12"/>
    <w:link w:val="4"/>
    <w:semiHidden/>
    <w:qFormat/>
    <w:uiPriority w:val="9"/>
    <w:rPr>
      <w:b/>
      <w:bCs/>
      <w:sz w:val="32"/>
      <w:szCs w:val="32"/>
    </w:rPr>
  </w:style>
  <w:style w:type="character" w:customStyle="1" w:styleId="34">
    <w:name w:val="市局绩效-表格标题 字符"/>
    <w:basedOn w:val="12"/>
    <w:link w:val="35"/>
    <w:qFormat/>
    <w:locked/>
    <w:uiPriority w:val="0"/>
    <w:rPr>
      <w:rFonts w:ascii="Times New Roman" w:hAnsi="Times New Roman" w:eastAsia="宋体" w:cs="Times New Roman"/>
      <w:bCs/>
      <w:sz w:val="24"/>
      <w:szCs w:val="24"/>
    </w:rPr>
  </w:style>
  <w:style w:type="paragraph" w:customStyle="1" w:styleId="35">
    <w:name w:val="市局绩效-表格标题"/>
    <w:basedOn w:val="1"/>
    <w:link w:val="34"/>
    <w:qFormat/>
    <w:uiPriority w:val="0"/>
    <w:pPr>
      <w:widowControl/>
      <w:spacing w:line="240" w:lineRule="auto"/>
      <w:ind w:firstLine="0" w:firstLineChars="0"/>
      <w:jc w:val="center"/>
    </w:pPr>
    <w:rPr>
      <w:rFonts w:ascii="Times New Roman" w:hAnsi="Times New Roman" w:eastAsia="宋体" w:cs="Times New Roman"/>
      <w:bCs/>
      <w:sz w:val="24"/>
      <w:szCs w:val="24"/>
    </w:rPr>
  </w:style>
  <w:style w:type="character" w:customStyle="1" w:styleId="36">
    <w:name w:val="市局绩效-表格内容 字符"/>
    <w:basedOn w:val="28"/>
    <w:link w:val="37"/>
    <w:qFormat/>
    <w:locked/>
    <w:uiPriority w:val="0"/>
    <w:rPr>
      <w:rFonts w:ascii="Times New Roman" w:hAnsi="Times New Roman" w:eastAsia="宋体" w:cs="Times New Roman"/>
      <w:kern w:val="2"/>
      <w:sz w:val="21"/>
      <w:szCs w:val="21"/>
    </w:rPr>
  </w:style>
  <w:style w:type="paragraph" w:customStyle="1" w:styleId="37">
    <w:name w:val="市局绩效-表格内容"/>
    <w:basedOn w:val="24"/>
    <w:link w:val="36"/>
    <w:qFormat/>
    <w:uiPriority w:val="0"/>
    <w:pPr>
      <w:spacing w:line="240" w:lineRule="auto"/>
      <w:ind w:firstLine="0" w:firstLineChars="0"/>
    </w:pPr>
    <w:rPr>
      <w:rFonts w:eastAsia="宋体" w:cs="Times New Roman"/>
      <w:sz w:val="21"/>
    </w:rPr>
  </w:style>
  <w:style w:type="paragraph" w:customStyle="1" w:styleId="38">
    <w:name w:val="市局绩效-表格表头"/>
    <w:basedOn w:val="24"/>
    <w:link w:val="39"/>
    <w:qFormat/>
    <w:uiPriority w:val="0"/>
    <w:pPr>
      <w:spacing w:line="240" w:lineRule="auto"/>
      <w:ind w:firstLine="0" w:firstLineChars="0"/>
      <w:jc w:val="center"/>
    </w:pPr>
    <w:rPr>
      <w:rFonts w:eastAsia="宋体"/>
      <w:b/>
      <w:sz w:val="21"/>
    </w:rPr>
  </w:style>
  <w:style w:type="character" w:customStyle="1" w:styleId="39">
    <w:name w:val="市局绩效-表格表头 字符"/>
    <w:basedOn w:val="28"/>
    <w:link w:val="38"/>
    <w:qFormat/>
    <w:uiPriority w:val="0"/>
    <w:rPr>
      <w:rFonts w:ascii="Times New Roman" w:hAnsi="Times New Roman" w:eastAsia="宋体"/>
      <w:b/>
      <w:kern w:val="2"/>
      <w:sz w:val="21"/>
      <w:szCs w:val="21"/>
    </w:rPr>
  </w:style>
  <w:style w:type="paragraph" w:customStyle="1" w:styleId="40">
    <w:name w:val="TOC 标题1"/>
    <w:basedOn w:val="2"/>
    <w:next w:val="1"/>
    <w:unhideWhenUsed/>
    <w:qFormat/>
    <w:uiPriority w:val="39"/>
    <w:pPr>
      <w:widowControl/>
      <w:spacing w:before="240" w:after="0" w:line="259" w:lineRule="auto"/>
      <w:ind w:firstLine="0" w:firstLineChars="0"/>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41">
    <w:name w:val="市局绩效-表格单位"/>
    <w:basedOn w:val="1"/>
    <w:link w:val="42"/>
    <w:qFormat/>
    <w:uiPriority w:val="0"/>
    <w:pPr>
      <w:widowControl/>
      <w:spacing w:line="240" w:lineRule="auto"/>
      <w:ind w:firstLine="0" w:firstLineChars="0"/>
      <w:jc w:val="right"/>
    </w:pPr>
    <w:rPr>
      <w:rFonts w:ascii="Times New Roman" w:hAnsi="Times New Roman" w:eastAsia="宋体"/>
      <w:bCs/>
      <w:szCs w:val="18"/>
    </w:rPr>
  </w:style>
  <w:style w:type="character" w:customStyle="1" w:styleId="42">
    <w:name w:val="市局绩效-表格单位 字符"/>
    <w:basedOn w:val="12"/>
    <w:link w:val="41"/>
    <w:qFormat/>
    <w:uiPriority w:val="0"/>
    <w:rPr>
      <w:rFonts w:ascii="Times New Roman" w:hAnsi="Times New Roman" w:eastAsia="宋体"/>
      <w:bCs/>
      <w:kern w:val="2"/>
      <w:sz w:val="21"/>
      <w:szCs w:val="18"/>
    </w:rPr>
  </w:style>
  <w:style w:type="character" w:customStyle="1" w:styleId="43">
    <w:name w:val="批注文字 字符"/>
    <w:basedOn w:val="12"/>
    <w:link w:val="5"/>
    <w:semiHidden/>
    <w:qFormat/>
    <w:uiPriority w:val="99"/>
    <w:rPr>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2158</Words>
  <Characters>12302</Characters>
  <Lines>102</Lines>
  <Paragraphs>28</Paragraphs>
  <TotalTime>0</TotalTime>
  <ScaleCrop>false</ScaleCrop>
  <LinksUpToDate>false</LinksUpToDate>
  <CharactersWithSpaces>14432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2022-04-29T02:22:00Z</dcterms:created>
  <dc:creator>Userlyz</dc:creator>
  <cp:lastModifiedBy>User</cp:lastModifiedBy>
  <dcterms:modified xsi:type="dcterms:W3CDTF">2024-01-08T02:12:29Z</dcterms:modified>
  <cp:revision>514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269EB73BC9FB4FD5A1F79FA57F177EE8</vt:lpwstr>
  </property>
</Properties>
</file>