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rPr>
        <w:t>部门整体</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u w:val="single"/>
        </w:rPr>
      </w:pPr>
      <w:r>
        <w:rPr>
          <w:rFonts w:hint="eastAsia" w:ascii="Times New Roman" w:hAnsi="Times New Roman" w:eastAsia="仿宋_GB2312"/>
          <w:sz w:val="32"/>
          <w:szCs w:val="32"/>
        </w:rPr>
        <w:t>部 门 名 称：</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z w:val="32"/>
          <w:szCs w:val="32"/>
          <w:u w:val="single"/>
        </w:rPr>
        <w:t xml:space="preserve">         天津市和平区应急管理局                                        </w:t>
      </w:r>
      <w:r>
        <w:rPr>
          <w:rFonts w:hint="eastAsia"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评 价 机 构：</w:t>
      </w:r>
      <w:r>
        <w:rPr>
          <w:rFonts w:hint="eastAsia" w:ascii="Times New Roman" w:hAnsi="Times New Roman" w:eastAsia="仿宋_GB2312"/>
          <w:sz w:val="32"/>
          <w:szCs w:val="32"/>
          <w:u w:val="single"/>
        </w:rPr>
        <w:t xml:space="preserve">         天津安信管理咨询有限公司         </w:t>
      </w:r>
    </w:p>
    <w:p>
      <w:pPr>
        <w:spacing w:line="900" w:lineRule="exact"/>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hint="eastAsia" w:ascii="Times New Roman" w:hAnsi="Times New Roman" w:eastAsia="仿宋_GB2312"/>
          <w:sz w:val="32"/>
          <w:szCs w:val="32"/>
        </w:rPr>
        <w:t>评 价 日 期：</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hint="eastAsia" w:ascii="Times New Roman" w:hAnsi="Times New Roman" w:eastAsia="仿宋_GB2312" w:cs="Times New Roman"/>
          <w:sz w:val="32"/>
          <w:szCs w:val="32"/>
          <w:u w:val="single"/>
        </w:rPr>
        <w:t>7</w:t>
      </w:r>
      <w:r>
        <w:rPr>
          <w:rFonts w:hint="eastAsia" w:ascii="Times New Roman" w:hAnsi="Times New Roman" w:eastAsia="仿宋_GB2312"/>
          <w:sz w:val="32"/>
          <w:szCs w:val="32"/>
          <w:u w:val="single"/>
        </w:rPr>
        <w:t>月- 2023年</w:t>
      </w:r>
      <w:r>
        <w:rPr>
          <w:rFonts w:hint="eastAsia" w:ascii="Times New Roman" w:hAnsi="Times New Roman" w:eastAsia="仿宋_GB2312" w:cs="Times New Roman"/>
          <w:sz w:val="32"/>
          <w:szCs w:val="32"/>
          <w:u w:val="single"/>
        </w:rPr>
        <w:t>8</w:t>
      </w:r>
      <w:r>
        <w:rPr>
          <w:rFonts w:hint="eastAsia" w:ascii="Times New Roman" w:hAnsi="Times New Roman" w:eastAsia="仿宋_GB2312"/>
          <w:sz w:val="32"/>
          <w:szCs w:val="32"/>
          <w:u w:val="single"/>
        </w:rPr>
        <w:t xml:space="preserve">月           </w:t>
      </w:r>
      <w:r>
        <w:rPr>
          <w:rFonts w:ascii="Times New Roman" w:hAnsi="Times New Roman" w:eastAsia="仿宋_GB2312"/>
          <w:sz w:val="32"/>
          <w:szCs w:val="32"/>
          <w:u w:val="single"/>
        </w:rPr>
        <w:t xml:space="preserve">      </w:t>
      </w: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
      </w:sdtPr>
      <w:sdtEndPr>
        <w:rPr>
          <w:rFonts w:ascii="Times New Roman" w:hAnsi="Times New Roman" w:eastAsiaTheme="majorEastAsia" w:cstheme="majorBidi"/>
          <w:b/>
          <w:bCs/>
          <w:color w:val="2F5597" w:themeColor="accent1" w:themeShade="BF"/>
          <w:kern w:val="0"/>
          <w:sz w:val="32"/>
          <w:szCs w:val="32"/>
          <w:lang w:val="zh-CN"/>
        </w:rPr>
      </w:sdtEndPr>
      <w:sdtContent>
        <w:p>
          <w:pPr>
            <w:pStyle w:val="47"/>
            <w:spacing w:line="600" w:lineRule="exact"/>
            <w:ind w:firstLine="420"/>
            <w:jc w:val="center"/>
          </w:pPr>
          <w:r>
            <w:rPr>
              <w:rFonts w:hint="eastAsia" w:ascii="Times New Roman" w:hAnsi="Times New Roman" w:eastAsia="黑体" w:cs="黑体"/>
              <w:color w:val="auto"/>
            </w:rPr>
            <w:t>目  录</w:t>
          </w:r>
          <w:r>
            <w:rPr>
              <w:rFonts w:ascii="Times New Roman" w:hAnsi="Times New Roman" w:eastAsia="黑体" w:cs="黑体"/>
              <w:color w:val="auto"/>
            </w:rPr>
            <w:fldChar w:fldCharType="begin"/>
          </w:r>
          <w:r>
            <w:rPr>
              <w:rFonts w:ascii="Times New Roman" w:hAnsi="Times New Roman" w:eastAsia="黑体" w:cs="黑体"/>
              <w:color w:val="auto"/>
            </w:rPr>
            <w:instrText xml:space="preserve"> </w:instrText>
          </w:r>
          <w:r>
            <w:rPr>
              <w:rFonts w:hint="eastAsia" w:ascii="Times New Roman" w:hAnsi="Times New Roman" w:eastAsia="黑体" w:cs="黑体"/>
              <w:color w:val="auto"/>
            </w:rPr>
            <w:instrText xml:space="preserve">TOC \o "1-3" \h \z \u</w:instrText>
          </w:r>
          <w:r>
            <w:rPr>
              <w:rFonts w:ascii="Times New Roman" w:hAnsi="Times New Roman" w:eastAsia="黑体" w:cs="黑体"/>
              <w:color w:val="auto"/>
            </w:rPr>
            <w:instrText xml:space="preserve"> </w:instrText>
          </w:r>
          <w:r>
            <w:rPr>
              <w:rFonts w:ascii="Times New Roman" w:hAnsi="Times New Roman" w:eastAsia="黑体" w:cs="黑体"/>
              <w:color w:val="auto"/>
            </w:rPr>
            <w:fldChar w:fldCharType="separate"/>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"_Toc151427033" </w:instrText>
          </w:r>
          <w:r>
            <w:fldChar w:fldCharType="separate"/>
          </w:r>
          <w:r>
            <w:rPr>
              <w:rStyle w:val="16"/>
            </w:rPr>
            <w:t>一、部门概况</w:t>
          </w:r>
          <w:r>
            <w:tab/>
          </w:r>
          <w:r>
            <w:fldChar w:fldCharType="begin"/>
          </w:r>
          <w:r>
            <w:instrText xml:space="preserve"> PAGEREF _Toc151427033 \h </w:instrText>
          </w:r>
          <w:r>
            <w:fldChar w:fldCharType="separate"/>
          </w:r>
          <w:r>
            <w:t>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"_Toc151427034" </w:instrText>
          </w:r>
          <w:r>
            <w:fldChar w:fldCharType="separate"/>
          </w:r>
          <w:r>
            <w:rPr>
              <w:rStyle w:val="16"/>
              <w:rFonts w:ascii="Times New Roman" w:hAnsi="Times New Roman"/>
            </w:rPr>
            <w:t>（一）基本情况</w:t>
          </w:r>
          <w:r>
            <w:tab/>
          </w:r>
          <w:r>
            <w:fldChar w:fldCharType="begin"/>
          </w:r>
          <w:r>
            <w:instrText xml:space="preserve"> PAGEREF _Toc151427034 \h </w:instrText>
          </w:r>
          <w:r>
            <w:fldChar w:fldCharType="separate"/>
          </w:r>
          <w:r>
            <w:t>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"_Toc151427035" </w:instrText>
          </w:r>
          <w:r>
            <w:fldChar w:fldCharType="separate"/>
          </w:r>
          <w:r>
            <w:rPr>
              <w:rStyle w:val="16"/>
              <w:rFonts w:ascii="Times New Roman" w:hAnsi="Times New Roman"/>
            </w:rPr>
            <w:t>（二）主要职责</w:t>
          </w:r>
          <w:r>
            <w:tab/>
          </w:r>
          <w:r>
            <w:fldChar w:fldCharType="begin"/>
          </w:r>
          <w:r>
            <w:instrText xml:space="preserve"> PAGEREF _Toc151427035 \h </w:instrText>
          </w:r>
          <w:r>
            <w:fldChar w:fldCharType="separate"/>
          </w:r>
          <w:r>
            <w:t>5</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"_Toc151427036" </w:instrText>
          </w:r>
          <w:r>
            <w:fldChar w:fldCharType="separate"/>
          </w:r>
          <w:r>
            <w:rPr>
              <w:rStyle w:val="16"/>
              <w:rFonts w:ascii="Times New Roman" w:hAnsi="Times New Roman"/>
            </w:rPr>
            <w:t>（三）年度计划</w:t>
          </w:r>
          <w:r>
            <w:tab/>
          </w:r>
          <w:r>
            <w:fldChar w:fldCharType="begin"/>
          </w:r>
          <w:r>
            <w:instrText xml:space="preserve"> PAGEREF _Toc151427036 \h </w:instrText>
          </w:r>
          <w:r>
            <w:fldChar w:fldCharType="separate"/>
          </w:r>
          <w:r>
            <w:t>8</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"_Toc151427037" </w:instrText>
          </w:r>
          <w:r>
            <w:fldChar w:fldCharType="separate"/>
          </w:r>
          <w:r>
            <w:rPr>
              <w:rStyle w:val="16"/>
              <w:rFonts w:ascii="Times New Roman" w:hAnsi="Times New Roman"/>
            </w:rPr>
            <w:t>（四）部门整体支出情况</w:t>
          </w:r>
          <w:r>
            <w:tab/>
          </w:r>
          <w:r>
            <w:fldChar w:fldCharType="begin"/>
          </w:r>
          <w:r>
            <w:instrText xml:space="preserve"> PAGEREF _Toc151427037 \h </w:instrText>
          </w:r>
          <w:r>
            <w:fldChar w:fldCharType="separate"/>
          </w:r>
          <w:r>
            <w:t>9</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"_Toc151427038" </w:instrText>
          </w:r>
          <w:r>
            <w:fldChar w:fldCharType="separate"/>
          </w:r>
          <w:r>
            <w:rPr>
              <w:rStyle w:val="16"/>
              <w:rFonts w:ascii="Times New Roman" w:hAnsi="Times New Roman"/>
            </w:rPr>
            <w:t>（五）部门整体绩效目标</w:t>
          </w:r>
          <w:r>
            <w:tab/>
          </w:r>
          <w:r>
            <w:fldChar w:fldCharType="begin"/>
          </w:r>
          <w:r>
            <w:instrText xml:space="preserve"> PAGEREF _Toc151427038 \h </w:instrText>
          </w:r>
          <w:r>
            <w:fldChar w:fldCharType="separate"/>
          </w:r>
          <w:r>
            <w:t>9</w:t>
          </w:r>
          <w:r>
            <w:fldChar w:fldCharType="end"/>
          </w:r>
          <w:r>
            <w:fldChar w:fldCharType="end"/>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"_Toc151427039" </w:instrText>
          </w:r>
          <w:r>
            <w:fldChar w:fldCharType="separate"/>
          </w:r>
          <w:r>
            <w:rPr>
              <w:rStyle w:val="16"/>
            </w:rPr>
            <w:t>二、绩效评价实施过程</w:t>
          </w:r>
          <w:r>
            <w:tab/>
          </w:r>
          <w:r>
            <w:fldChar w:fldCharType="begin"/>
          </w:r>
          <w:r>
            <w:instrText xml:space="preserve"> PAGEREF _Toc151427039 \h </w:instrText>
          </w:r>
          <w:r>
            <w:fldChar w:fldCharType="separate"/>
          </w:r>
          <w:r>
            <w:t>10</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"_Toc151427040" </w:instrText>
          </w:r>
          <w:r>
            <w:fldChar w:fldCharType="separate"/>
          </w:r>
          <w:r>
            <w:rPr>
              <w:rStyle w:val="16"/>
              <w:rFonts w:ascii="Times New Roman" w:hAnsi="Times New Roman"/>
            </w:rPr>
            <w:t>（一）评价原则和方法</w:t>
          </w:r>
          <w:r>
            <w:tab/>
          </w:r>
          <w:r>
            <w:fldChar w:fldCharType="begin"/>
          </w:r>
          <w:r>
            <w:instrText xml:space="preserve"> PAGEREF _Toc151427040 \h </w:instrText>
          </w:r>
          <w:r>
            <w:fldChar w:fldCharType="separate"/>
          </w:r>
          <w:r>
            <w:t>10</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"_Toc151427041" </w:instrText>
          </w:r>
          <w:r>
            <w:fldChar w:fldCharType="separate"/>
          </w:r>
          <w:r>
            <w:rPr>
              <w:rStyle w:val="16"/>
              <w:rFonts w:ascii="Times New Roman" w:hAnsi="Times New Roman"/>
            </w:rPr>
            <w:t>（二）评价依据</w:t>
          </w:r>
          <w:r>
            <w:tab/>
          </w:r>
          <w:r>
            <w:fldChar w:fldCharType="begin"/>
          </w:r>
          <w:r>
            <w:instrText xml:space="preserve"> PAGEREF _Toc151427041 \h </w:instrText>
          </w:r>
          <w:r>
            <w:fldChar w:fldCharType="separate"/>
          </w:r>
          <w:r>
            <w:t>11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"_Toc151427042" </w:instrText>
          </w:r>
          <w:r>
            <w:fldChar w:fldCharType="separate"/>
          </w:r>
          <w:r>
            <w:rPr>
              <w:rStyle w:val="16"/>
              <w:rFonts w:ascii="Times New Roman" w:hAnsi="Times New Roman"/>
            </w:rPr>
            <w:t>（三）评价目的</w:t>
          </w:r>
          <w:r>
            <w:tab/>
          </w:r>
          <w:r>
            <w:fldChar w:fldCharType="begin"/>
          </w:r>
          <w:r>
            <w:instrText xml:space="preserve"> PAGEREF _Toc151427042 \h </w:instrText>
          </w:r>
          <w:r>
            <w:fldChar w:fldCharType="separate"/>
          </w:r>
          <w:r>
            <w:t>13</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"_Toc151427043" </w:instrText>
          </w:r>
          <w:r>
            <w:fldChar w:fldCharType="separate"/>
          </w:r>
          <w:r>
            <w:rPr>
              <w:rStyle w:val="16"/>
              <w:rFonts w:ascii="Times New Roman" w:hAnsi="Times New Roman"/>
            </w:rPr>
            <w:t>（五）评价思路</w:t>
          </w:r>
          <w:r>
            <w:tab/>
          </w:r>
          <w:r>
            <w:fldChar w:fldCharType="begin"/>
          </w:r>
          <w:r>
            <w:instrText xml:space="preserve"> PAGEREF _Toc151427043 \h </w:instrText>
          </w:r>
          <w:r>
            <w:fldChar w:fldCharType="separate"/>
          </w:r>
          <w:r>
            <w:t>14</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"_Toc151427044" </w:instrText>
          </w:r>
          <w:r>
            <w:fldChar w:fldCharType="separate"/>
          </w:r>
          <w:r>
            <w:rPr>
              <w:rStyle w:val="16"/>
              <w:rFonts w:ascii="Times New Roman" w:hAnsi="Times New Roman"/>
            </w:rPr>
            <w:t>（六）评价流程</w:t>
          </w:r>
          <w:r>
            <w:tab/>
          </w:r>
          <w:r>
            <w:fldChar w:fldCharType="begin"/>
          </w:r>
          <w:r>
            <w:instrText xml:space="preserve"> PAGEREF _Toc151427044 \h </w:instrText>
          </w:r>
          <w:r>
            <w:fldChar w:fldCharType="separate"/>
          </w:r>
          <w:r>
            <w:t>16</w:t>
          </w:r>
          <w:r>
            <w:fldChar w:fldCharType="end"/>
          </w:r>
          <w:r>
            <w:fldChar w:fldCharType="end"/>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"_Toc151427045" </w:instrText>
          </w:r>
          <w:r>
            <w:fldChar w:fldCharType="separate"/>
          </w:r>
          <w:r>
            <w:rPr>
              <w:rStyle w:val="16"/>
            </w:rPr>
            <w:t>三、绩效指标分析</w:t>
          </w:r>
          <w:r>
            <w:tab/>
          </w:r>
          <w:r>
            <w:fldChar w:fldCharType="begin"/>
          </w:r>
          <w:r>
            <w:instrText xml:space="preserve"> PAGEREF _Toc151427045 \h </w:instrText>
          </w:r>
          <w:r>
            <w:fldChar w:fldCharType="separate"/>
          </w:r>
          <w:r>
            <w:t>18</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"_Toc151427046" </w:instrText>
          </w:r>
          <w:r>
            <w:fldChar w:fldCharType="separate"/>
          </w:r>
          <w:r>
            <w:rPr>
              <w:rStyle w:val="16"/>
              <w:rFonts w:ascii="Times New Roman" w:hAnsi="Times New Roman"/>
            </w:rPr>
            <w:t>（一）绩效评价设计思路</w:t>
          </w:r>
          <w:r>
            <w:tab/>
          </w:r>
          <w:r>
            <w:fldChar w:fldCharType="begin"/>
          </w:r>
          <w:r>
            <w:instrText xml:space="preserve"> PAGEREF _Toc151427046 \h </w:instrText>
          </w:r>
          <w:r>
            <w:fldChar w:fldCharType="separate"/>
          </w:r>
          <w:r>
            <w:t>18</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"_Toc151427047" </w:instrText>
          </w:r>
          <w:r>
            <w:fldChar w:fldCharType="separate"/>
          </w:r>
          <w:r>
            <w:rPr>
              <w:rStyle w:val="16"/>
              <w:rFonts w:ascii="Times New Roman" w:hAnsi="Times New Roman"/>
            </w:rPr>
            <w:t>（二）绩效指标分析</w:t>
          </w:r>
          <w:r>
            <w:tab/>
          </w:r>
          <w:r>
            <w:fldChar w:fldCharType="begin"/>
          </w:r>
          <w:r>
            <w:instrText xml:space="preserve"> PAGEREF _Toc151427047 \h </w:instrText>
          </w:r>
          <w:r>
            <w:fldChar w:fldCharType="separate"/>
          </w:r>
          <w:r>
            <w:t>19</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"_Toc151427048" </w:instrText>
          </w:r>
          <w:r>
            <w:fldChar w:fldCharType="separate"/>
          </w:r>
          <w:r>
            <w:rPr>
              <w:rStyle w:val="16"/>
              <w:rFonts w:ascii="Times New Roman" w:hAnsi="Times New Roman"/>
            </w:rPr>
            <w:t>（三）指标详细分析</w:t>
          </w:r>
          <w:r>
            <w:tab/>
          </w:r>
          <w:r>
            <w:fldChar w:fldCharType="begin"/>
          </w:r>
          <w:r>
            <w:instrText xml:space="preserve"> PAGEREF _Toc151427048 \h </w:instrText>
          </w:r>
          <w:r>
            <w:fldChar w:fldCharType="separate"/>
          </w:r>
          <w:r>
            <w:t>21</w:t>
          </w:r>
          <w:r>
            <w:fldChar w:fldCharType="end"/>
          </w:r>
          <w:r>
            <w:fldChar w:fldCharType="end"/>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"_Toc151427049" </w:instrText>
          </w:r>
          <w:r>
            <w:fldChar w:fldCharType="separate"/>
          </w:r>
          <w:r>
            <w:rPr>
              <w:rStyle w:val="16"/>
            </w:rPr>
            <w:t>四、存在问题</w:t>
          </w:r>
          <w:r>
            <w:tab/>
          </w:r>
          <w:r>
            <w:fldChar w:fldCharType="begin"/>
          </w:r>
          <w:r>
            <w:instrText xml:space="preserve"> PAGEREF _Toc151427049 \h </w:instrText>
          </w:r>
          <w:r>
            <w:fldChar w:fldCharType="separate"/>
          </w:r>
          <w:r>
            <w:t>51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"_Toc151427050" </w:instrText>
          </w:r>
          <w:r>
            <w:fldChar w:fldCharType="separate"/>
          </w:r>
          <w:r>
            <w:rPr>
              <w:rStyle w:val="16"/>
              <w:rFonts w:ascii="Times New Roman" w:hAnsi="Times New Roman"/>
            </w:rPr>
            <w:t>（一）部门整体绩效目标与预算资金匹配性不足</w:t>
          </w:r>
          <w:r>
            <w:tab/>
          </w:r>
          <w:r>
            <w:fldChar w:fldCharType="begin"/>
          </w:r>
          <w:r>
            <w:instrText xml:space="preserve"> PAGEREF _Toc151427050 \h </w:instrText>
          </w:r>
          <w:r>
            <w:fldChar w:fldCharType="separate"/>
          </w:r>
          <w:r>
            <w:t>51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"_Toc151427051" </w:instrText>
          </w:r>
          <w:r>
            <w:fldChar w:fldCharType="separate"/>
          </w:r>
          <w:r>
            <w:rPr>
              <w:rStyle w:val="16"/>
              <w:rFonts w:ascii="Times New Roman" w:hAnsi="Times New Roman"/>
            </w:rPr>
            <w:t>（二）预算调整浮动较大</w:t>
          </w:r>
          <w:r>
            <w:tab/>
          </w:r>
          <w:r>
            <w:fldChar w:fldCharType="begin"/>
          </w:r>
          <w:r>
            <w:instrText xml:space="preserve"> PAGEREF _Toc151427051 \h </w:instrText>
          </w:r>
          <w:r>
            <w:fldChar w:fldCharType="separate"/>
          </w:r>
          <w:r>
            <w:t>51</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"_Toc151427052" </w:instrText>
          </w:r>
          <w:r>
            <w:fldChar w:fldCharType="separate"/>
          </w:r>
          <w:r>
            <w:rPr>
              <w:rStyle w:val="16"/>
              <w:rFonts w:ascii="Times New Roman" w:hAnsi="Times New Roman"/>
            </w:rPr>
            <w:t>（三）部门绩效管理机构和制度建设不完善</w:t>
          </w:r>
          <w:r>
            <w:tab/>
          </w:r>
          <w:r>
            <w:fldChar w:fldCharType="begin"/>
          </w:r>
          <w:r>
            <w:instrText xml:space="preserve"> PAGEREF _Toc151427052 \h </w:instrText>
          </w:r>
          <w:r>
            <w:fldChar w:fldCharType="separate"/>
          </w:r>
          <w:r>
            <w:t>51</w:t>
          </w:r>
          <w:r>
            <w:fldChar w:fldCharType="end"/>
          </w:r>
          <w:r>
            <w:fldChar w:fldCharType="end"/>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"_Toc151427053" </w:instrText>
          </w:r>
          <w:r>
            <w:fldChar w:fldCharType="separate"/>
          </w:r>
          <w:r>
            <w:rPr>
              <w:rStyle w:val="16"/>
            </w:rPr>
            <w:t>五、相关建议</w:t>
          </w:r>
          <w:r>
            <w:tab/>
          </w:r>
          <w:r>
            <w:fldChar w:fldCharType="begin"/>
          </w:r>
          <w:r>
            <w:instrText xml:space="preserve"> PAGEREF _Toc151427053 \h </w:instrText>
          </w:r>
          <w:r>
            <w:fldChar w:fldCharType="separate"/>
          </w:r>
          <w:r>
            <w:t>52</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"_Toc151427054" </w:instrText>
          </w:r>
          <w:r>
            <w:fldChar w:fldCharType="separate"/>
          </w:r>
          <w:r>
            <w:rPr>
              <w:rStyle w:val="16"/>
              <w:rFonts w:ascii="Times New Roman" w:hAnsi="Times New Roman"/>
            </w:rPr>
            <w:t>（一）加强绩效理念，提升绩效审查工作水平</w:t>
          </w:r>
          <w:r>
            <w:tab/>
          </w:r>
          <w:r>
            <w:fldChar w:fldCharType="begin"/>
          </w:r>
          <w:r>
            <w:instrText xml:space="preserve"> PAGEREF _Toc151427054 \h </w:instrText>
          </w:r>
          <w:r>
            <w:fldChar w:fldCharType="separate"/>
          </w:r>
          <w:r>
            <w:t>52</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"_Toc151427055" </w:instrText>
          </w:r>
          <w:r>
            <w:fldChar w:fldCharType="separate"/>
          </w:r>
          <w:r>
            <w:rPr>
              <w:rStyle w:val="16"/>
              <w:rFonts w:ascii="Times New Roman" w:hAnsi="Times New Roman"/>
            </w:rPr>
            <w:t>（二）加强部门预算管理，提高财政资金使用效率</w:t>
          </w:r>
          <w:r>
            <w:tab/>
          </w:r>
          <w:r>
            <w:fldChar w:fldCharType="begin"/>
          </w:r>
          <w:r>
            <w:instrText xml:space="preserve"> PAGEREF _Toc151427055 \h </w:instrText>
          </w:r>
          <w:r>
            <w:fldChar w:fldCharType="separate"/>
          </w:r>
          <w:r>
            <w:t>52</w:t>
          </w:r>
          <w:r>
            <w:fldChar w:fldCharType="end"/>
          </w:r>
          <w:r>
            <w:fldChar w:fldCharType="end"/>
          </w:r>
        </w:p>
        <w:p>
          <w:pPr>
            <w:pStyle w:val="10"/>
            <w:ind w:left="1131" w:hanging="845"/>
            <w:rPr>
              <w:rFonts w:eastAsiaTheme="minorEastAsia"/>
              <w:sz w:val="21"/>
              <w:szCs w:val="22"/>
              <w14:ligatures w14:val="standardContextual"/>
            </w:rPr>
          </w:pPr>
          <w:r>
            <w:fldChar w:fldCharType="begin"/>
          </w:r>
          <w:r>
            <w:instrText xml:space="preserve"> HYPERLINK \l "_Toc151427056" </w:instrText>
          </w:r>
          <w:r>
            <w:fldChar w:fldCharType="separate"/>
          </w:r>
          <w:r>
            <w:rPr>
              <w:rStyle w:val="16"/>
              <w:rFonts w:ascii="Times New Roman" w:hAnsi="Times New Roman"/>
            </w:rPr>
            <w:t>（三）健全绩效管理工作，确保部门年度预期目标实现</w:t>
          </w:r>
          <w:r>
            <w:tab/>
          </w:r>
          <w:r>
            <w:fldChar w:fldCharType="begin"/>
          </w:r>
          <w:r>
            <w:instrText xml:space="preserve"> PAGEREF _Toc151427056 \h </w:instrText>
          </w:r>
          <w:r>
            <w:fldChar w:fldCharType="separate"/>
          </w:r>
          <w:r>
            <w:t>52</w:t>
          </w:r>
          <w:r>
            <w:fldChar w:fldCharType="end"/>
          </w:r>
          <w:r>
            <w:fldChar w:fldCharType="end"/>
          </w:r>
        </w:p>
        <w:p>
          <w:pPr>
            <w:pStyle w:val="14"/>
            <w:ind w:left="643" w:hanging="643"/>
            <w:rPr>
              <w:rFonts w:asciiTheme="minorHAnsi" w:hAnsiTheme="minorHAnsi" w:eastAsiaTheme="minorEastAsia"/>
              <w:b w:val="0"/>
              <w:sz w:val="21"/>
              <w:szCs w:val="22"/>
              <w14:ligatures w14:val="standardContextual"/>
            </w:rPr>
          </w:pPr>
          <w:r>
            <w:fldChar w:fldCharType="begin"/>
          </w:r>
          <w:r>
            <w:instrText xml:space="preserve"> HYPERLINK \l "_Toc151427057" </w:instrText>
          </w:r>
          <w:r>
            <w:fldChar w:fldCharType="separate"/>
          </w:r>
          <w:r>
            <w:rPr>
              <w:rStyle w:val="16"/>
            </w:rPr>
            <w:t>六、相关附件</w:t>
          </w:r>
          <w:r>
            <w:tab/>
          </w:r>
          <w:r>
            <w:fldChar w:fldCharType="begin"/>
          </w:r>
          <w:r>
            <w:instrText xml:space="preserve"> PAGEREF _Toc151427057 \h </w:instrText>
          </w:r>
          <w:r>
            <w:fldChar w:fldCharType="separate"/>
          </w:r>
          <w:r>
            <w:t>53</w:t>
          </w:r>
          <w:r>
            <w:fldChar w:fldCharType="end"/>
          </w:r>
          <w:r>
            <w:fldChar w:fldCharType="end"/>
          </w:r>
        </w:p>
        <w:p>
          <w:pPr>
            <w:pStyle w:val="47"/>
            <w:spacing w:line="600" w:lineRule="exact"/>
            <w:ind w:firstLine="420"/>
            <w:jc w:val="center"/>
            <w:rPr>
              <w:rFonts w:ascii="Times New Roman" w:hAnsi="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2268" w:right="1531" w:bottom="1701" w:left="1531" w:header="851" w:footer="992" w:gutter="0"/>
              <w:cols w:space="425" w:num="1"/>
              <w:docGrid w:type="lines" w:linePitch="312" w:charSpace="0"/>
            </w:sectPr>
          </w:pPr>
          <w:r>
            <w:rPr>
              <w:rFonts w:ascii="Times New Roman" w:hAnsi="Times New Roman" w:eastAsia="黑体" w:cs="黑体"/>
              <w:color w:val="auto"/>
            </w:rPr>
            <w:fldChar w:fldCharType="end"/>
          </w:r>
        </w:p>
      </w:sdtContent>
    </w:sdt>
    <w:p>
      <w:pPr>
        <w:pStyle w:val="26"/>
        <w:ind w:firstLine="640"/>
      </w:pPr>
      <w:bookmarkStart w:id="0" w:name="_Toc108288181"/>
      <w:bookmarkEnd w:id="0"/>
      <w:bookmarkStart w:id="1" w:name="_Hlk91875411"/>
      <w:r>
        <w:rPr>
          <w:rFonts w:hint="eastAsia"/>
        </w:rPr>
        <w:t>为加强天津市和平区财政资金管理，强化支出责任和效率意识，建立科学、合理的财政支出绩效评价管理体系，提高和平区财政资金的使用效益，根据财政部《财政支出绩效评价管理暂行办法的通知》（财预〔2011〕285号）、天津市财政局关于印发《天津市市级部门（单位）整体支出绩效目标管理办法（试行）》的通知（津财预〔2015〕102号）等文件精神，天津安信管理咨询有限公司受天津市和平区财政局委托，对天津市和平区应急管理局20</w:t>
      </w:r>
      <w:r>
        <w:t>22</w:t>
      </w:r>
      <w:r>
        <w:rPr>
          <w:rFonts w:hint="eastAsia"/>
        </w:rPr>
        <w:t>年度部门整体支出绩效进行评价。</w:t>
      </w:r>
    </w:p>
    <w:p>
      <w:pPr>
        <w:pStyle w:val="26"/>
        <w:ind w:firstLine="640"/>
      </w:pPr>
      <w:r>
        <w:rPr>
          <w:rFonts w:hint="eastAsia"/>
        </w:rPr>
        <w:t>本次评价遵循“科学规范、公平公正、分类管理、绩效相关”原则，运用科学合理的绩效评价指标、评价标准和评价方法，对天津市和平区应急管理局20</w:t>
      </w:r>
      <w:r>
        <w:t>22</w:t>
      </w:r>
      <w:r>
        <w:rPr>
          <w:rFonts w:hint="eastAsia"/>
        </w:rPr>
        <w:t>年度部门整体支出进行了客观公正的分析。经综合评价，该部门绩效评价得分为</w:t>
      </w:r>
      <w:r>
        <w:t>92.5</w:t>
      </w:r>
      <w:r>
        <w:rPr>
          <w:rFonts w:hint="eastAsia"/>
        </w:rPr>
        <w:t>分，</w:t>
      </w:r>
      <w:r>
        <w:t>评价等级为“</w:t>
      </w:r>
      <w:r>
        <w:rPr>
          <w:rFonts w:hint="eastAsia"/>
        </w:rPr>
        <w:t>优</w:t>
      </w:r>
      <w:r>
        <w:t>”，有关情况如下。</w:t>
      </w:r>
    </w:p>
    <w:bookmarkEnd w:id="1"/>
    <w:p>
      <w:pPr>
        <w:pStyle w:val="28"/>
      </w:pPr>
      <w:bookmarkStart w:id="2" w:name="_Toc151427033"/>
      <w:r>
        <w:rPr>
          <w:rFonts w:hint="eastAsia"/>
        </w:rPr>
        <w:t>一、部门概况</w:t>
      </w:r>
      <w:bookmarkEnd w:id="2"/>
    </w:p>
    <w:p>
      <w:pPr>
        <w:pStyle w:val="30"/>
        <w:ind w:firstLine="640"/>
        <w:rPr>
          <w:rFonts w:ascii="Times New Roman" w:hAnsi="Times New Roman"/>
        </w:rPr>
      </w:pPr>
      <w:bookmarkStart w:id="3" w:name="_Toc151427034"/>
      <w:r>
        <w:rPr>
          <w:rFonts w:hint="eastAsia" w:ascii="Times New Roman" w:hAnsi="Times New Roman"/>
        </w:rPr>
        <w:t>（一）基本情况</w:t>
      </w:r>
      <w:bookmarkEnd w:id="3"/>
    </w:p>
    <w:p>
      <w:pPr>
        <w:pStyle w:val="26"/>
        <w:ind w:firstLine="640"/>
      </w:pPr>
      <w:r>
        <w:rPr>
          <w:rFonts w:hint="eastAsia"/>
        </w:rPr>
        <w:t>天津市和平区应急管理局（以下简称“区应急局”）是区政府工作部门，为正处级。</w:t>
      </w:r>
    </w:p>
    <w:p>
      <w:pPr>
        <w:pStyle w:val="26"/>
        <w:ind w:firstLine="640"/>
      </w:pPr>
      <w:r>
        <w:rPr>
          <w:rFonts w:hint="eastAsia"/>
        </w:rPr>
        <w:t>区应急局行政编制2</w:t>
      </w:r>
      <w:r>
        <w:t>4</w:t>
      </w:r>
      <w:r>
        <w:rPr>
          <w:rFonts w:hint="eastAsia"/>
        </w:rPr>
        <w:t>名，其中设局长1名，副局长4名，科级领导职数6正。参公事业编制21名。截至2022年末实有在职人员37人，其中实有行政人员23人，参公事业人员14名。</w:t>
      </w:r>
    </w:p>
    <w:p>
      <w:pPr>
        <w:pStyle w:val="26"/>
        <w:ind w:firstLine="640"/>
      </w:pPr>
      <w:r>
        <w:rPr>
          <w:rFonts w:hint="eastAsia"/>
        </w:rPr>
        <w:t>区应急局共设置6个内设机构：</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办公室（网络安全和信息化办公室）：负责文电、会务、机要、档案、后勤保障等日常工作。负责本单位财务、政府采购、固定资产管理工作。负责党建、纪检、党风廉政建设、统战等日常工作。负责干部人事、机构编制、劳动工资、离退休干部等工作。负责思想政治建设和干部队伍建设工作。承担信息、信访、建议提案、安全保卫、保密、工会、共青团、妇女、精神文明建设、政务公开、政府信息公开、重要文稿起草等工作。负责</w:t>
      </w:r>
      <w:r>
        <w:rPr>
          <w:rFonts w:ascii="Times New Roman" w:hAnsi="Times New Roman" w:eastAsia="仿宋_GB2312"/>
          <w:sz w:val="32"/>
        </w:rPr>
        <w:t>12345、12350举报平台的运维管理工作</w:t>
      </w:r>
      <w:r>
        <w:rPr>
          <w:rFonts w:hint="eastAsia" w:ascii="Times New Roman" w:hAnsi="Times New Roman" w:eastAsia="仿宋_GB2312"/>
          <w:sz w:val="32"/>
        </w:rPr>
        <w:t>。</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综合协调科：</w:t>
      </w:r>
      <w:r>
        <w:rPr>
          <w:rFonts w:hint="eastAsia" w:ascii="Times New Roman" w:hAnsi="Times New Roman" w:eastAsia="仿宋_GB2312"/>
          <w:sz w:val="34"/>
          <w:szCs w:val="34"/>
        </w:rPr>
        <w:t>拟订安全生产有关文件。指导、协调和监督区政府有关部门的安全生产工作。组织开展安全生产大检查和专项整治等工作。承担应急管理及安全生产专项资金的管理。承担应急管理和安全生产新闻宣传、新闻发布、舆情应对、文化建设等工作。负责公众应急管理和安全生产知识普及工作。拟订安全生产巡查、督查、考核规章制度、规划计划、工作方案，并组织实施。负责督查、评估应急管理工作的落实情况。承担区安全生产委员会办公室的日常工作</w:t>
      </w:r>
      <w:r>
        <w:rPr>
          <w:rFonts w:hint="eastAsia" w:ascii="Times New Roman" w:hAnsi="Times New Roman" w:eastAsia="仿宋_GB2312"/>
          <w:sz w:val="32"/>
        </w:rPr>
        <w:t>。</w:t>
      </w:r>
    </w:p>
    <w:p>
      <w:pPr>
        <w:spacing w:line="600" w:lineRule="exact"/>
        <w:ind w:firstLine="680"/>
        <w:jc w:val="both"/>
        <w:rPr>
          <w:rFonts w:ascii="Times New Roman" w:hAnsi="Times New Roman" w:eastAsia="仿宋_GB2312"/>
          <w:sz w:val="34"/>
          <w:szCs w:val="34"/>
        </w:rPr>
      </w:pPr>
      <w:r>
        <w:rPr>
          <w:rFonts w:hint="eastAsia" w:ascii="Times New Roman" w:hAnsi="Times New Roman" w:eastAsia="仿宋_GB2312"/>
          <w:sz w:val="34"/>
          <w:szCs w:val="34"/>
        </w:rPr>
        <w:t>法制科：承担行政应诉、听证等工作。负责重大行政执法决策法制审核工作。负责依法行政考核等执法监督综合性工作。负责组织建立应急管理和安全生产信用体系建设。指导落实应急管理和安全生产、防灾减灾救灾地方性法规和政府规章。开展法治建设，推进依法行政、应急管理、防灾减灾和安全生产法律法规的普法宣教工作。负责组织应急管理行政执法人员业务培训。负责局里规范性文件的合法性审查。负责制定并组织实施本系统年度执法计划，监督指导本系统执法计划执行情况。负责执法人员信息动态管理、执法着装规范管理等工作。组织生产安全事故调查处理，监督事故查处和责任追究落实情况。负责局微信公众号运维管理工作。</w:t>
      </w:r>
    </w:p>
    <w:p>
      <w:pPr>
        <w:spacing w:line="600" w:lineRule="exact"/>
        <w:ind w:firstLine="680"/>
        <w:jc w:val="both"/>
        <w:rPr>
          <w:rFonts w:ascii="Times New Roman" w:hAnsi="Times New Roman" w:eastAsia="仿宋_GB2312"/>
          <w:sz w:val="34"/>
          <w:szCs w:val="34"/>
        </w:rPr>
      </w:pPr>
      <w:r>
        <w:rPr>
          <w:rFonts w:hint="eastAsia" w:ascii="Times New Roman" w:hAnsi="Times New Roman" w:eastAsia="仿宋_GB2312"/>
          <w:sz w:val="34"/>
          <w:szCs w:val="34"/>
        </w:rPr>
        <w:t>应急管理科：拟订应急管理体系建设、安全生产和综合防灾减灾规划草案。推动应急避难设施建设。组织指导协调安全生产类、自然灾害类等突发事件应急救援，统一协调指挥各类应急专业队伍，参与应急救援工作。发布预警和灾情信息。负责防灾、减灾宣传工作。指导应急预案体系建设，建立完善事故灾难和自然灾害分级应对制度。编制总体应急预案和安全生产类、自然灾害类专项预案。综合协调应急预案衔接工作，组织开展预案演练，统筹应急救援力量建设。负责应急管理信息化建设工作。负责应急指挥平台的管理和维护。负责应急管理装备和统计分析工作。负责防汛抗旱指挥部的工作。</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监督检查科:</w:t>
      </w:r>
      <w:r>
        <w:rPr>
          <w:rFonts w:hint="eastAsia" w:ascii="Times New Roman" w:hAnsi="Times New Roman" w:eastAsia="仿宋_GB2312"/>
          <w:sz w:val="34"/>
          <w:szCs w:val="34"/>
        </w:rPr>
        <w:t xml:space="preserve"> 负责危险化学品、烟花爆竹、工矿商贸企业的安全生产监督管理工作。牵头组织相关部门监督检查行业生产经营单位安全生产工作。承担危险化学品类安全监督管理工作。负责非药品类易制毒化学品经营备案及管理工作。监督检查危险化学品、工矿商贸企业的安全生产条件和有关设备（特种设备除外）、材料、劳动防护用品的安全生产管理工作。监督检查新建、改建、扩建工程项目的安全设施与主体工程同时设计、同时施工、同时投产使用情况。依法查处不具备安全生产条件的生产经营单位。指导监督安全生产标准化、安全预防控制体系建设等工作。建立重大安全生产风险监测预警和评估论证机制。</w:t>
      </w:r>
    </w:p>
    <w:p>
      <w:pPr>
        <w:pStyle w:val="26"/>
        <w:ind w:firstLine="640"/>
        <w:rPr>
          <w:bCs/>
          <w:szCs w:val="32"/>
        </w:rPr>
      </w:pPr>
      <w:r>
        <w:rPr>
          <w:rFonts w:hint="eastAsia"/>
        </w:rPr>
        <w:t>综合防治科：</w:t>
      </w:r>
      <w:r>
        <w:rPr>
          <w:rFonts w:hint="eastAsia"/>
          <w:sz w:val="34"/>
          <w:szCs w:val="34"/>
        </w:rPr>
        <w:t>指导协调水旱灾害、地震等防治救援工作。负责自然灾害综合监测预警工作，建立监测预警和灾情报告制度。拟订消防工作计划，指导各部门各单位消防监督、火灾预防、火灾扑救工作。组织指导灾情核查、损失评估、救灾捐赠工作，管理、分配救灾款物，并监督使用。制定应急物资储备和应急救援装备计划，并组织实施。建立健全应急物资信息平台和调拨制度。开展自然灾害综合风险与减灾能力、自然灾害类突发事件调查评估工作。承担区防震减灾工作领导小组办公室的日常工作。承担区减灾委员会办公室日常工作</w:t>
      </w:r>
      <w:r>
        <w:rPr>
          <w:rFonts w:hint="eastAsia"/>
          <w:bCs/>
          <w:szCs w:val="32"/>
        </w:rPr>
        <w:t>。</w:t>
      </w:r>
    </w:p>
    <w:p>
      <w:pPr>
        <w:pStyle w:val="30"/>
        <w:ind w:firstLine="640"/>
        <w:rPr>
          <w:rFonts w:ascii="Times New Roman" w:hAnsi="Times New Roman" w:eastAsia="仿宋_GB2312"/>
        </w:rPr>
      </w:pPr>
      <w:bookmarkStart w:id="4" w:name="_Toc151427035"/>
      <w:r>
        <w:rPr>
          <w:rFonts w:hint="eastAsia" w:ascii="Times New Roman" w:hAnsi="Times New Roman" w:eastAsia="仿宋_GB2312"/>
        </w:rPr>
        <w:t>（二）主要职责</w:t>
      </w:r>
      <w:bookmarkEnd w:id="4"/>
    </w:p>
    <w:p>
      <w:pPr>
        <w:pStyle w:val="26"/>
        <w:ind w:firstLine="640"/>
      </w:pPr>
      <w:r>
        <w:rPr>
          <w:rFonts w:hint="eastAsia"/>
        </w:rPr>
        <w:t>1.贯彻执行国家和市有关应急管理方面法律、法规、规章和方针、政策，拟订应急体系建设、安全生产和综合防灾减灾规划、年度计划，并组织实施。</w:t>
      </w:r>
    </w:p>
    <w:p>
      <w:pPr>
        <w:pStyle w:val="26"/>
        <w:ind w:firstLine="640"/>
      </w:pPr>
      <w:r>
        <w:rPr>
          <w:rFonts w:hint="eastAsia"/>
        </w:rPr>
        <w:t>2.负责应急管理工作。指导各部门应对安全生产类、自然灾害类等突发事件和综合防灾减灾救灾工作。负责督查、评估应急管理工作的落实情况。负责安全生产综合监督管理和工矿商贸行业安全生产监督管理工作。</w:t>
      </w:r>
    </w:p>
    <w:p>
      <w:pPr>
        <w:pStyle w:val="26"/>
        <w:ind w:firstLine="640"/>
      </w:pPr>
      <w:r>
        <w:rPr>
          <w:rFonts w:hint="eastAsia"/>
        </w:rPr>
        <w:t>3.指导应急预案体系建设。落实事故灾难和自然灾害分级应对制度。组织编制、修订总体应急预案和安全生产类、自然灾害类专项预案。综合协调应急预案衔接工作，组织开展预案演练，推动应急避难设施建设。</w:t>
      </w:r>
    </w:p>
    <w:p>
      <w:pPr>
        <w:pStyle w:val="26"/>
        <w:ind w:firstLine="640"/>
      </w:pPr>
      <w:r>
        <w:rPr>
          <w:rFonts w:hint="eastAsia"/>
        </w:rPr>
        <w:t>4.负责组织建立统一的应急管理信息系统，建立预警和灾情报告制度，健全自然灾害信息资源获取和共享机制。负责收集分析有关应急管理工作信息，分析和预测应急形势，发布安全生产信息。</w:t>
      </w:r>
    </w:p>
    <w:p>
      <w:pPr>
        <w:pStyle w:val="26"/>
        <w:ind w:firstLine="640"/>
      </w:pPr>
      <w:r>
        <w:rPr>
          <w:rFonts w:hint="eastAsia"/>
        </w:rPr>
        <w:t>5.组织指导协调安全生产类、自然灾害类等突发应急救援工作，综合研判突发事件发展态势，并提出应对建议。组织各类灾害应急处理工作。</w:t>
      </w:r>
    </w:p>
    <w:p>
      <w:pPr>
        <w:pStyle w:val="26"/>
        <w:ind w:firstLine="640"/>
      </w:pPr>
      <w:r>
        <w:rPr>
          <w:rFonts w:hint="eastAsia"/>
        </w:rPr>
        <w:t>6.统一协调指挥各类应急专业队伍，建立应急协调联动机制，推进指挥平台对接，健全和完善应急救援协调机制。</w:t>
      </w:r>
    </w:p>
    <w:p>
      <w:pPr>
        <w:pStyle w:val="26"/>
        <w:ind w:firstLine="640"/>
      </w:pPr>
      <w:r>
        <w:rPr>
          <w:rFonts w:hint="eastAsia"/>
        </w:rPr>
        <w:t>7.统筹应急救援力量建设。组织消防、抗洪抢险、地震救援、生产安全事故救援等专业应急救援力量建设。指导各部门及社会应急救援力量建设。承担区防汛抗旱指挥部、区防震减灾工作领导小组的日常工作。</w:t>
      </w:r>
    </w:p>
    <w:p>
      <w:pPr>
        <w:pStyle w:val="26"/>
        <w:ind w:firstLine="640"/>
      </w:pPr>
      <w:r>
        <w:rPr>
          <w:rFonts w:hint="eastAsia"/>
        </w:rPr>
        <w:t>8.负责消防管理工作，指导消防监督、火灾预防、火灾扑救等工作。</w:t>
      </w:r>
    </w:p>
    <w:p>
      <w:pPr>
        <w:pStyle w:val="26"/>
        <w:ind w:firstLine="640"/>
      </w:pPr>
      <w:r>
        <w:rPr>
          <w:rFonts w:hint="eastAsia"/>
        </w:rPr>
        <w:t>9.指导协调水旱灾害、地震等防治工作。负责自然灾害综合预警工作，指导开展自然灾害综合风险评估工作。</w:t>
      </w:r>
    </w:p>
    <w:p>
      <w:pPr>
        <w:pStyle w:val="26"/>
        <w:ind w:firstLine="640"/>
      </w:pPr>
      <w:r>
        <w:rPr>
          <w:rFonts w:hint="eastAsia"/>
        </w:rPr>
        <w:t>10.组织协调灾害救助工作。组织指导灾情核查、损失评估、救灾捐赠工作。管理、分配救灾款物。</w:t>
      </w:r>
    </w:p>
    <w:p>
      <w:pPr>
        <w:pStyle w:val="26"/>
        <w:ind w:firstLine="640"/>
      </w:pPr>
      <w:r>
        <w:rPr>
          <w:rFonts w:hint="eastAsia"/>
        </w:rPr>
        <w:t>11.依法行使安全生产综合监督管理职权，分析安全生产形势。指导协调、监督检查各部门安全生产工作。组织开展安全生产巡查、考核工作。</w:t>
      </w:r>
    </w:p>
    <w:p>
      <w:pPr>
        <w:pStyle w:val="26"/>
        <w:ind w:firstLine="640"/>
      </w:pPr>
      <w:r>
        <w:rPr>
          <w:rFonts w:hint="eastAsia"/>
        </w:rPr>
        <w:t>12.按照分级、属地管理原则，承担工矿商贸企业安全生产监督管理责任。承担应急管理和安全生产、防灾减灾救灾技术服务机构监督检查工作。负责危险化学品安全监督管理工作和烟花爆竹安全生产监督管理工作。</w:t>
      </w:r>
    </w:p>
    <w:p>
      <w:pPr>
        <w:pStyle w:val="26"/>
        <w:ind w:firstLine="640"/>
      </w:pPr>
      <w:r>
        <w:rPr>
          <w:rFonts w:hint="eastAsia"/>
        </w:rPr>
        <w:t>13.指导、监督生产经营单位执行和落实安全生产规章、标准和规程。监督检查安全生产标准化建设、危险源监控和事故隐患排查治理工作。</w:t>
      </w:r>
    </w:p>
    <w:p>
      <w:pPr>
        <w:pStyle w:val="26"/>
        <w:ind w:firstLine="640"/>
      </w:pPr>
      <w:r>
        <w:rPr>
          <w:rFonts w:hint="eastAsia"/>
        </w:rPr>
        <w:t>14.负责组织安全生产大检查和专项督查。组织一般生产安全事故调查处理和办理结案工作。监督事故查处和责任追究落实情况。对发生事故的生产经营单位整改情况进行监督检查。通报区安全生产事故情况。</w:t>
      </w:r>
    </w:p>
    <w:p>
      <w:pPr>
        <w:pStyle w:val="26"/>
        <w:ind w:firstLine="640"/>
      </w:pPr>
      <w:r>
        <w:rPr>
          <w:rFonts w:hint="eastAsia"/>
        </w:rPr>
        <w:t>15.制定应急物资储备和应急救援装备规划，并组织实施。会同有关部门建立健全应急物资信息平台和调拨制度。</w:t>
      </w:r>
    </w:p>
    <w:p>
      <w:pPr>
        <w:pStyle w:val="26"/>
        <w:ind w:firstLine="640"/>
      </w:pPr>
      <w:r>
        <w:rPr>
          <w:rFonts w:hint="eastAsia"/>
        </w:rPr>
        <w:t>16.组织开展应急管理、安全生产宣传教育和培训工作。落实安全生产科技规划，组织指导应急管理、安全生产的科学技术推广应用和信息化建设工作。</w:t>
      </w:r>
    </w:p>
    <w:p>
      <w:pPr>
        <w:pStyle w:val="26"/>
        <w:ind w:firstLine="640"/>
      </w:pPr>
      <w:r>
        <w:rPr>
          <w:rFonts w:hint="eastAsia"/>
        </w:rPr>
        <w:t>17.负责本系统招商引资工作。</w:t>
      </w:r>
    </w:p>
    <w:p>
      <w:pPr>
        <w:pStyle w:val="26"/>
        <w:ind w:firstLine="640"/>
      </w:pPr>
      <w:r>
        <w:rPr>
          <w:rFonts w:hint="eastAsia"/>
        </w:rPr>
        <w:t>18.负责本系统人才队伍建设。</w:t>
      </w:r>
    </w:p>
    <w:p>
      <w:pPr>
        <w:pStyle w:val="26"/>
        <w:ind w:firstLine="640"/>
      </w:pPr>
      <w:r>
        <w:rPr>
          <w:rFonts w:hint="eastAsia"/>
        </w:rPr>
        <w:t>19.承办区委、区政府交办的其他事项。</w:t>
      </w:r>
    </w:p>
    <w:p>
      <w:pPr>
        <w:pStyle w:val="26"/>
        <w:ind w:firstLine="640"/>
        <w:rPr>
          <w:szCs w:val="32"/>
        </w:rPr>
      </w:pPr>
      <w:r>
        <w:rPr>
          <w:rFonts w:hint="eastAsia"/>
        </w:rPr>
        <w:t>20.职能转变。区应急管理局应加强、优化、统筹应急能力建设，构建统一领导、权责一致、权威高效的应急能力体系，推动形成统一指挥、专常兼备、反应灵敏、上下联动、平战结合的应急管理体制。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特大安全风险。坚持以人为本，把确保人民群众生命安全放在首位，确保受灾群众基本生活，加强应急预案演练，增强全民防灾减灾意识，提升公众知识普及和自救互救技能，切实减少人员伤亡和财产损失。树立安全发展理念，坚持生命至上、安全第一，完善安全生产责任，坚决遏制重特大安全事故</w:t>
      </w:r>
      <w:r>
        <w:rPr>
          <w:rFonts w:hint="eastAsia"/>
          <w:bCs/>
          <w:szCs w:val="32"/>
        </w:rPr>
        <w:t>。</w:t>
      </w:r>
    </w:p>
    <w:p>
      <w:pPr>
        <w:pStyle w:val="30"/>
        <w:ind w:firstLine="640"/>
        <w:rPr>
          <w:rFonts w:ascii="Times New Roman" w:hAnsi="Times New Roman"/>
        </w:rPr>
      </w:pPr>
      <w:bookmarkStart w:id="5" w:name="_Toc151427036"/>
      <w:r>
        <w:rPr>
          <w:rFonts w:hint="eastAsia" w:ascii="Times New Roman" w:hAnsi="Times New Roman"/>
        </w:rPr>
        <w:t>（三）年度计划</w:t>
      </w:r>
      <w:bookmarkEnd w:id="5"/>
    </w:p>
    <w:p>
      <w:pPr>
        <w:pStyle w:val="26"/>
        <w:ind w:firstLine="640"/>
      </w:pPr>
      <w:r>
        <w:rPr>
          <w:rFonts w:hint="eastAsia"/>
        </w:rPr>
        <w:t>区应急局2</w:t>
      </w:r>
      <w:r>
        <w:t>022</w:t>
      </w:r>
      <w:r>
        <w:rPr>
          <w:rFonts w:hint="eastAsia"/>
        </w:rPr>
        <w:t>年度工作计划如下：</w:t>
      </w:r>
    </w:p>
    <w:p>
      <w:pPr>
        <w:pStyle w:val="26"/>
        <w:ind w:firstLine="640"/>
      </w:pPr>
      <w:r>
        <w:rPr>
          <w:rFonts w:hint="eastAsia"/>
        </w:rPr>
        <w:t>1</w:t>
      </w:r>
      <w:r>
        <w:t>.</w:t>
      </w:r>
      <w:r>
        <w:rPr>
          <w:rFonts w:hint="eastAsia"/>
        </w:rPr>
        <w:t>坚持提高政治站位。深入学习宣传贯彻党的二十大精神，认真谋划应急管理工作思路和目标任务，切实把党的二十大精神转化为推动应急管理事业发展的实际成效。</w:t>
      </w:r>
    </w:p>
    <w:p>
      <w:pPr>
        <w:pStyle w:val="26"/>
        <w:ind w:firstLine="640"/>
      </w:pPr>
      <w:r>
        <w:rPr>
          <w:rFonts w:hint="eastAsia"/>
        </w:rPr>
        <w:t>2</w:t>
      </w:r>
      <w:r>
        <w:t>.</w:t>
      </w:r>
      <w:r>
        <w:rPr>
          <w:rFonts w:hint="eastAsia"/>
        </w:rPr>
        <w:t>强化安全生产综合监管。坚持“隐患就是事故，事故就要处理”理念，落实“四铁”要求，持续推动开展危化品、工贸行业、建筑施工、特种设备、公共消防等领域专项治理。</w:t>
      </w:r>
    </w:p>
    <w:p>
      <w:pPr>
        <w:pStyle w:val="26"/>
        <w:ind w:firstLine="640"/>
      </w:pPr>
      <w:r>
        <w:rPr>
          <w:rFonts w:hint="eastAsia"/>
        </w:rPr>
        <w:t>3</w:t>
      </w:r>
      <w:r>
        <w:t>.</w:t>
      </w:r>
      <w:r>
        <w:rPr>
          <w:rFonts w:hint="eastAsia"/>
        </w:rPr>
        <w:t>夯实应急处突能力。加强应急预案智能化、规范化，健全完善事故灾害、应急处置工作机制，提升事故灾害应急处置能力。推动应急救援队伍建设，开展应急预案演练和宣传教育培训。完善防汛抗旱工作机制，建立健全防汛抗旱组织体系，修订完善“一处一预案”，确保万无一失。</w:t>
      </w:r>
    </w:p>
    <w:p>
      <w:pPr>
        <w:pStyle w:val="26"/>
        <w:ind w:firstLine="640"/>
      </w:pPr>
      <w:r>
        <w:rPr>
          <w:rFonts w:hint="eastAsia"/>
        </w:rPr>
        <w:t>4</w:t>
      </w:r>
      <w:r>
        <w:t>.</w:t>
      </w:r>
      <w:r>
        <w:rPr>
          <w:rFonts w:hint="eastAsia"/>
        </w:rPr>
        <w:t>强化防灾减灾救灾体系建设。扎实推进地震监测预报、震害防御、应急救援三大体系基础建设，建设综合防灾减灾宣传教育示范基地。</w:t>
      </w:r>
    </w:p>
    <w:p>
      <w:pPr>
        <w:pStyle w:val="26"/>
        <w:ind w:firstLine="640"/>
      </w:pPr>
      <w:r>
        <w:rPr>
          <w:rFonts w:hint="eastAsia"/>
        </w:rPr>
        <w:t>5</w:t>
      </w:r>
      <w:r>
        <w:t>.</w:t>
      </w:r>
      <w:r>
        <w:rPr>
          <w:rFonts w:hint="eastAsia"/>
        </w:rPr>
        <w:t>加大应急综合执法力度。落实执法队伍机构改革要求，招录补充电气、化工等专业执法人员，选准配强应急管理综合行政执法队伍，对照</w:t>
      </w:r>
      <w:r>
        <w:t>7项主要职责，精细制定执法检查计划，充分发挥应急管理综合行政执法支队职能。</w:t>
      </w:r>
    </w:p>
    <w:p>
      <w:pPr>
        <w:pStyle w:val="30"/>
        <w:ind w:firstLine="640"/>
        <w:rPr>
          <w:rFonts w:ascii="Times New Roman" w:hAnsi="Times New Roman"/>
        </w:rPr>
      </w:pPr>
      <w:bookmarkStart w:id="6" w:name="_Toc151427037"/>
      <w:r>
        <w:rPr>
          <w:rFonts w:hint="eastAsia" w:ascii="Times New Roman" w:hAnsi="Times New Roman"/>
        </w:rPr>
        <w:t>（四）部门整体支出情况</w:t>
      </w:r>
      <w:bookmarkEnd w:id="6"/>
    </w:p>
    <w:p>
      <w:pPr>
        <w:pStyle w:val="33"/>
      </w:pPr>
      <w:r>
        <w:rPr>
          <w:rFonts w:hint="eastAsia"/>
        </w:rPr>
        <w:t>表1.</w:t>
      </w:r>
      <w:r>
        <w:t>4</w:t>
      </w:r>
      <w:r>
        <w:rPr>
          <w:rFonts w:hint="eastAsia"/>
        </w:rPr>
        <w:t>.</w:t>
      </w:r>
      <w:r>
        <w:t xml:space="preserve">1 </w:t>
      </w:r>
      <w:r>
        <w:rPr>
          <w:rFonts w:hint="eastAsia"/>
        </w:rPr>
        <w:t>部门预算支出情况表</w:t>
      </w:r>
    </w:p>
    <w:p>
      <w:pPr>
        <w:pStyle w:val="34"/>
        <w:spacing w:line="600" w:lineRule="exact"/>
      </w:pPr>
      <w:r>
        <w:rPr>
          <w:rFonts w:hint="eastAsia"/>
        </w:rPr>
        <w:t>单位：万元</w:t>
      </w:r>
    </w:p>
    <w:tbl>
      <w:tblPr>
        <w:tblStyle w:val="18"/>
        <w:tblW w:w="8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1214"/>
        <w:gridCol w:w="1265"/>
        <w:gridCol w:w="1120"/>
        <w:gridCol w:w="1122"/>
        <w:gridCol w:w="1259"/>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blHeader/>
          <w:jc w:val="center"/>
        </w:trPr>
        <w:tc>
          <w:tcPr>
            <w:tcW w:w="1121" w:type="dxa"/>
            <w:shd w:val="clear" w:color="auto" w:fill="auto"/>
            <w:vAlign w:val="center"/>
          </w:tcPr>
          <w:p>
            <w:pPr>
              <w:pStyle w:val="36"/>
              <w:rPr>
                <w:rFonts w:eastAsia="黑体"/>
              </w:rPr>
            </w:pPr>
            <w:r>
              <w:rPr>
                <w:rFonts w:hint="eastAsia" w:eastAsia="黑体"/>
              </w:rPr>
              <w:t>支出类型</w:t>
            </w:r>
          </w:p>
        </w:tc>
        <w:tc>
          <w:tcPr>
            <w:tcW w:w="1214" w:type="dxa"/>
            <w:vAlign w:val="center"/>
          </w:tcPr>
          <w:p>
            <w:pPr>
              <w:pStyle w:val="36"/>
              <w:rPr>
                <w:rFonts w:eastAsia="黑体"/>
              </w:rPr>
            </w:pPr>
            <w:r>
              <w:rPr>
                <w:rFonts w:hint="eastAsia" w:eastAsia="黑体" w:cs="宋体"/>
                <w:kern w:val="0"/>
              </w:rPr>
              <w:t>年初预算</w:t>
            </w:r>
          </w:p>
        </w:tc>
        <w:tc>
          <w:tcPr>
            <w:tcW w:w="1265" w:type="dxa"/>
            <w:vAlign w:val="center"/>
          </w:tcPr>
          <w:p>
            <w:pPr>
              <w:pStyle w:val="36"/>
              <w:rPr>
                <w:rFonts w:eastAsia="黑体"/>
              </w:rPr>
            </w:pPr>
            <w:r>
              <w:rPr>
                <w:rFonts w:hint="eastAsia" w:eastAsia="黑体" w:cs="宋体"/>
                <w:kern w:val="0"/>
              </w:rPr>
              <w:t>调整预算</w:t>
            </w:r>
          </w:p>
        </w:tc>
        <w:tc>
          <w:tcPr>
            <w:tcW w:w="1120" w:type="dxa"/>
            <w:vAlign w:val="center"/>
          </w:tcPr>
          <w:p>
            <w:pPr>
              <w:pStyle w:val="36"/>
              <w:rPr>
                <w:rFonts w:eastAsia="黑体"/>
              </w:rPr>
            </w:pPr>
            <w:r>
              <w:rPr>
                <w:rFonts w:hint="eastAsia" w:eastAsia="黑体"/>
              </w:rPr>
              <w:t>上年结余</w:t>
            </w:r>
          </w:p>
        </w:tc>
        <w:tc>
          <w:tcPr>
            <w:tcW w:w="1122" w:type="dxa"/>
            <w:vAlign w:val="center"/>
          </w:tcPr>
          <w:p>
            <w:pPr>
              <w:pStyle w:val="36"/>
              <w:rPr>
                <w:rFonts w:eastAsia="黑体" w:cs="宋体"/>
                <w:kern w:val="0"/>
              </w:rPr>
            </w:pPr>
            <w:r>
              <w:rPr>
                <w:rFonts w:hint="eastAsia" w:eastAsia="黑体" w:cs="宋体"/>
                <w:kern w:val="0"/>
              </w:rPr>
              <w:t>收入合计</w:t>
            </w:r>
          </w:p>
        </w:tc>
        <w:tc>
          <w:tcPr>
            <w:tcW w:w="1259" w:type="dxa"/>
            <w:vAlign w:val="center"/>
          </w:tcPr>
          <w:p>
            <w:pPr>
              <w:pStyle w:val="36"/>
              <w:rPr>
                <w:rFonts w:eastAsia="黑体" w:cs="宋体"/>
                <w:kern w:val="0"/>
              </w:rPr>
            </w:pPr>
            <w:r>
              <w:rPr>
                <w:rFonts w:hint="eastAsia" w:eastAsia="黑体" w:cs="宋体"/>
                <w:kern w:val="0"/>
              </w:rPr>
              <w:t>支出合计</w:t>
            </w:r>
          </w:p>
        </w:tc>
        <w:tc>
          <w:tcPr>
            <w:tcW w:w="1349" w:type="dxa"/>
            <w:shd w:val="clear" w:color="auto" w:fill="auto"/>
            <w:vAlign w:val="center"/>
          </w:tcPr>
          <w:p>
            <w:pPr>
              <w:pStyle w:val="36"/>
              <w:rPr>
                <w:rFonts w:eastAsia="黑体" w:cs="宋体"/>
                <w:kern w:val="0"/>
              </w:rPr>
            </w:pPr>
            <w:r>
              <w:rPr>
                <w:rFonts w:hint="eastAsia" w:eastAsia="黑体" w:cs="宋体"/>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1" w:hRule="atLeast"/>
          <w:jc w:val="center"/>
        </w:trPr>
        <w:tc>
          <w:tcPr>
            <w:tcW w:w="1121" w:type="dxa"/>
            <w:shd w:val="clear" w:color="auto" w:fill="auto"/>
            <w:vAlign w:val="center"/>
          </w:tcPr>
          <w:p>
            <w:pPr>
              <w:pStyle w:val="38"/>
            </w:pPr>
            <w:r>
              <w:rPr>
                <w:rFonts w:hint="eastAsia"/>
              </w:rPr>
              <w:t>基本支出</w:t>
            </w:r>
          </w:p>
        </w:tc>
        <w:tc>
          <w:tcPr>
            <w:tcW w:w="1214" w:type="dxa"/>
            <w:vAlign w:val="center"/>
          </w:tcPr>
          <w:p>
            <w:pPr>
              <w:pStyle w:val="38"/>
              <w:rPr>
                <w:rFonts w:cs="Times New Roman"/>
              </w:rPr>
            </w:pPr>
            <w:r>
              <w:t>823.27</w:t>
            </w:r>
          </w:p>
        </w:tc>
        <w:tc>
          <w:tcPr>
            <w:tcW w:w="1265" w:type="dxa"/>
            <w:vAlign w:val="center"/>
          </w:tcPr>
          <w:p>
            <w:pPr>
              <w:pStyle w:val="38"/>
              <w:rPr>
                <w:rFonts w:cs="Times New Roman"/>
              </w:rPr>
            </w:pPr>
            <w:r>
              <w:t>1042.06</w:t>
            </w:r>
          </w:p>
        </w:tc>
        <w:tc>
          <w:tcPr>
            <w:tcW w:w="1120" w:type="dxa"/>
            <w:vAlign w:val="center"/>
          </w:tcPr>
          <w:p>
            <w:pPr>
              <w:pStyle w:val="38"/>
              <w:rPr>
                <w:rFonts w:cs="Times New Roman"/>
              </w:rPr>
            </w:pPr>
            <w:r>
              <w:t>3.90</w:t>
            </w:r>
          </w:p>
        </w:tc>
        <w:tc>
          <w:tcPr>
            <w:tcW w:w="1122" w:type="dxa"/>
            <w:vAlign w:val="center"/>
          </w:tcPr>
          <w:p>
            <w:pPr>
              <w:pStyle w:val="38"/>
              <w:rPr>
                <w:rFonts w:cs="Times New Roman"/>
              </w:rPr>
            </w:pPr>
            <w:r>
              <w:t>1038.16</w:t>
            </w:r>
          </w:p>
        </w:tc>
        <w:tc>
          <w:tcPr>
            <w:tcW w:w="1259" w:type="dxa"/>
            <w:vAlign w:val="center"/>
          </w:tcPr>
          <w:p>
            <w:pPr>
              <w:pStyle w:val="38"/>
              <w:rPr>
                <w:rFonts w:cs="Times New Roman"/>
              </w:rPr>
            </w:pPr>
            <w:r>
              <w:t>1042.06</w:t>
            </w:r>
          </w:p>
        </w:tc>
        <w:tc>
          <w:tcPr>
            <w:tcW w:w="1349" w:type="dxa"/>
            <w:shd w:val="clear" w:color="auto" w:fill="auto"/>
            <w:vAlign w:val="center"/>
          </w:tcPr>
          <w:p>
            <w:pPr>
              <w:pStyle w:val="38"/>
              <w:rPr>
                <w:rFonts w:cs="Times New Roman"/>
              </w:rP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21" w:type="dxa"/>
            <w:shd w:val="clear" w:color="auto" w:fill="auto"/>
            <w:vAlign w:val="center"/>
          </w:tcPr>
          <w:p>
            <w:pPr>
              <w:pStyle w:val="38"/>
            </w:pPr>
            <w:r>
              <w:rPr>
                <w:rFonts w:hint="eastAsia"/>
              </w:rPr>
              <w:t>项目支出</w:t>
            </w:r>
          </w:p>
        </w:tc>
        <w:tc>
          <w:tcPr>
            <w:tcW w:w="1214" w:type="dxa"/>
            <w:vAlign w:val="center"/>
          </w:tcPr>
          <w:p>
            <w:pPr>
              <w:pStyle w:val="38"/>
              <w:rPr>
                <w:rFonts w:cs="Times New Roman"/>
              </w:rPr>
            </w:pPr>
            <w:r>
              <w:t>1025.30</w:t>
            </w:r>
          </w:p>
        </w:tc>
        <w:tc>
          <w:tcPr>
            <w:tcW w:w="1265" w:type="dxa"/>
            <w:vAlign w:val="center"/>
          </w:tcPr>
          <w:p>
            <w:pPr>
              <w:pStyle w:val="38"/>
              <w:rPr>
                <w:rFonts w:cs="Times New Roman"/>
              </w:rPr>
            </w:pPr>
            <w:r>
              <w:t>43.22</w:t>
            </w:r>
          </w:p>
        </w:tc>
        <w:tc>
          <w:tcPr>
            <w:tcW w:w="1120" w:type="dxa"/>
            <w:vAlign w:val="center"/>
          </w:tcPr>
          <w:p>
            <w:pPr>
              <w:pStyle w:val="38"/>
              <w:rPr>
                <w:rFonts w:cs="Times New Roman"/>
              </w:rPr>
            </w:pPr>
            <w:r>
              <w:t>0.00</w:t>
            </w:r>
          </w:p>
        </w:tc>
        <w:tc>
          <w:tcPr>
            <w:tcW w:w="1122" w:type="dxa"/>
            <w:vAlign w:val="center"/>
          </w:tcPr>
          <w:p>
            <w:pPr>
              <w:pStyle w:val="38"/>
              <w:rPr>
                <w:rFonts w:cs="Times New Roman"/>
              </w:rPr>
            </w:pPr>
            <w:r>
              <w:t>43.22</w:t>
            </w:r>
          </w:p>
        </w:tc>
        <w:tc>
          <w:tcPr>
            <w:tcW w:w="1259" w:type="dxa"/>
            <w:vAlign w:val="center"/>
          </w:tcPr>
          <w:p>
            <w:pPr>
              <w:pStyle w:val="38"/>
              <w:rPr>
                <w:rFonts w:cs="Times New Roman"/>
              </w:rPr>
            </w:pPr>
            <w:r>
              <w:t>43.22</w:t>
            </w:r>
          </w:p>
        </w:tc>
        <w:tc>
          <w:tcPr>
            <w:tcW w:w="1349" w:type="dxa"/>
            <w:shd w:val="clear" w:color="auto" w:fill="auto"/>
            <w:vAlign w:val="center"/>
          </w:tcPr>
          <w:p>
            <w:pPr>
              <w:pStyle w:val="38"/>
              <w:rPr>
                <w:rFonts w:cs="Times New Roman"/>
              </w:rP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21" w:type="dxa"/>
            <w:shd w:val="clear" w:color="auto" w:fill="auto"/>
            <w:vAlign w:val="center"/>
          </w:tcPr>
          <w:p>
            <w:pPr>
              <w:pStyle w:val="36"/>
              <w:rPr>
                <w:rFonts w:eastAsia="黑体"/>
              </w:rPr>
            </w:pPr>
            <w:r>
              <w:rPr>
                <w:rFonts w:hint="eastAsia" w:eastAsia="黑体"/>
              </w:rPr>
              <w:t>合计</w:t>
            </w:r>
          </w:p>
        </w:tc>
        <w:tc>
          <w:tcPr>
            <w:tcW w:w="1214" w:type="dxa"/>
            <w:vAlign w:val="center"/>
          </w:tcPr>
          <w:p>
            <w:pPr>
              <w:pStyle w:val="36"/>
              <w:rPr>
                <w:rFonts w:eastAsia="黑体" w:cs="Times New Roman"/>
              </w:rPr>
            </w:pPr>
            <w:r>
              <w:t>1848.57</w:t>
            </w:r>
          </w:p>
        </w:tc>
        <w:tc>
          <w:tcPr>
            <w:tcW w:w="1265" w:type="dxa"/>
            <w:vAlign w:val="center"/>
          </w:tcPr>
          <w:p>
            <w:pPr>
              <w:pStyle w:val="36"/>
              <w:rPr>
                <w:rFonts w:eastAsia="黑体" w:cs="Times New Roman"/>
              </w:rPr>
            </w:pPr>
            <w:r>
              <w:t>1085.28</w:t>
            </w:r>
          </w:p>
        </w:tc>
        <w:tc>
          <w:tcPr>
            <w:tcW w:w="1120" w:type="dxa"/>
            <w:vAlign w:val="center"/>
          </w:tcPr>
          <w:p>
            <w:pPr>
              <w:pStyle w:val="36"/>
              <w:rPr>
                <w:rFonts w:eastAsia="黑体" w:cs="Times New Roman"/>
              </w:rPr>
            </w:pPr>
            <w:r>
              <w:t>3.90</w:t>
            </w:r>
          </w:p>
        </w:tc>
        <w:tc>
          <w:tcPr>
            <w:tcW w:w="1122" w:type="dxa"/>
            <w:vAlign w:val="center"/>
          </w:tcPr>
          <w:p>
            <w:pPr>
              <w:pStyle w:val="36"/>
              <w:rPr>
                <w:rFonts w:eastAsia="黑体" w:cs="Times New Roman"/>
              </w:rPr>
            </w:pPr>
            <w:r>
              <w:t>1081.38</w:t>
            </w:r>
          </w:p>
        </w:tc>
        <w:tc>
          <w:tcPr>
            <w:tcW w:w="1259" w:type="dxa"/>
            <w:vAlign w:val="center"/>
          </w:tcPr>
          <w:p>
            <w:pPr>
              <w:pStyle w:val="36"/>
              <w:rPr>
                <w:rFonts w:eastAsia="黑体" w:cs="Times New Roman"/>
              </w:rPr>
            </w:pPr>
            <w:r>
              <w:t>1085.28</w:t>
            </w:r>
          </w:p>
        </w:tc>
        <w:tc>
          <w:tcPr>
            <w:tcW w:w="1349" w:type="dxa"/>
            <w:shd w:val="clear" w:color="auto" w:fill="auto"/>
            <w:vAlign w:val="center"/>
          </w:tcPr>
          <w:p>
            <w:pPr>
              <w:pStyle w:val="36"/>
              <w:rPr>
                <w:rFonts w:eastAsia="黑体" w:cs="Times New Roman"/>
              </w:rPr>
            </w:pPr>
            <w:r>
              <w:t>100%</w:t>
            </w:r>
          </w:p>
        </w:tc>
      </w:tr>
    </w:tbl>
    <w:p>
      <w:pPr>
        <w:pStyle w:val="30"/>
        <w:ind w:firstLine="640"/>
        <w:rPr>
          <w:rFonts w:ascii="Times New Roman" w:hAnsi="Times New Roman"/>
        </w:rPr>
      </w:pPr>
      <w:bookmarkStart w:id="7" w:name="_Toc151427038"/>
      <w:r>
        <w:rPr>
          <w:rFonts w:hint="eastAsia" w:ascii="Times New Roman" w:hAnsi="Times New Roman"/>
        </w:rPr>
        <w:t>（五）部门整体绩效目标</w:t>
      </w:r>
      <w:bookmarkEnd w:id="7"/>
    </w:p>
    <w:p>
      <w:pPr>
        <w:pStyle w:val="26"/>
        <w:ind w:firstLine="640"/>
      </w:pPr>
      <w:r>
        <w:t>目标1：通过支付人员经费及办公经费等保障机构正常运转。</w:t>
      </w:r>
    </w:p>
    <w:p>
      <w:pPr>
        <w:pStyle w:val="26"/>
        <w:ind w:firstLine="640"/>
      </w:pPr>
      <w:r>
        <w:t>目标2：通过采购执法服装、租用执法车辆、购买移动执法终端等保障执法工作顺利开展，提高执法工作效率，提升执法服务水平</w:t>
      </w:r>
      <w:r>
        <w:rPr>
          <w:rFonts w:hint="eastAsia"/>
        </w:rPr>
        <w:t>。</w:t>
      </w:r>
    </w:p>
    <w:p>
      <w:pPr>
        <w:pStyle w:val="26"/>
        <w:ind w:firstLine="640"/>
      </w:pPr>
      <w:r>
        <w:t>目标3：开展安全生产监督检查、自然灾害等突发事件处置和防灾救灾工作，减少安全生产隐患，避免发生重特大安全生产事故。</w:t>
      </w:r>
    </w:p>
    <w:p>
      <w:pPr>
        <w:pStyle w:val="28"/>
      </w:pPr>
      <w:bookmarkStart w:id="8" w:name="_Toc151427039"/>
      <w:r>
        <w:rPr>
          <w:rFonts w:hint="eastAsia"/>
        </w:rPr>
        <w:t>二、绩效评价实施过程</w:t>
      </w:r>
      <w:bookmarkEnd w:id="8"/>
    </w:p>
    <w:p>
      <w:pPr>
        <w:pStyle w:val="30"/>
        <w:ind w:firstLine="640"/>
        <w:rPr>
          <w:rFonts w:ascii="Times New Roman" w:hAnsi="Times New Roman"/>
        </w:rPr>
      </w:pPr>
      <w:bookmarkStart w:id="9" w:name="_Toc151427040"/>
      <w:bookmarkStart w:id="10" w:name="_Toc91375832"/>
      <w:bookmarkStart w:id="11" w:name="_Toc53326850"/>
      <w:bookmarkStart w:id="12" w:name="_Toc91375445"/>
      <w:bookmarkStart w:id="13" w:name="_Toc53326851"/>
      <w:r>
        <w:rPr>
          <w:rFonts w:hint="eastAsia" w:ascii="Times New Roman" w:hAnsi="Times New Roman"/>
        </w:rPr>
        <w:t>（一）评价原则和方法</w:t>
      </w:r>
      <w:bookmarkEnd w:id="9"/>
      <w:bookmarkEnd w:id="10"/>
      <w:bookmarkEnd w:id="11"/>
      <w:bookmarkEnd w:id="12"/>
    </w:p>
    <w:p>
      <w:pPr>
        <w:pStyle w:val="26"/>
        <w:ind w:firstLine="640"/>
      </w:pPr>
      <w:r>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26"/>
        <w:ind w:firstLine="640"/>
      </w:pPr>
      <w:r>
        <w:rPr>
          <w:rFonts w:hint="eastAsia"/>
        </w:rPr>
        <w:t>1.指标分析法</w:t>
      </w:r>
    </w:p>
    <w:p>
      <w:pPr>
        <w:pStyle w:val="26"/>
        <w:ind w:firstLine="640"/>
      </w:pPr>
      <w:r>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26"/>
        <w:ind w:firstLine="640"/>
      </w:pPr>
      <w:r>
        <w:rPr>
          <w:rFonts w:hint="eastAsia"/>
        </w:rPr>
        <w:t>2.比较法</w:t>
      </w:r>
    </w:p>
    <w:p>
      <w:pPr>
        <w:pStyle w:val="26"/>
        <w:ind w:firstLine="640"/>
      </w:pPr>
      <w:r>
        <w:rPr>
          <w:rFonts w:hint="eastAsia"/>
        </w:rPr>
        <w:t>通过对预算单位绩效目标与预算单位履职效果、历史数据与当期数据情况、不同部门同类支出的比较，综合分析绩效目标实现程度。</w:t>
      </w:r>
    </w:p>
    <w:p>
      <w:pPr>
        <w:pStyle w:val="26"/>
        <w:ind w:firstLine="640"/>
      </w:pPr>
      <w:r>
        <w:rPr>
          <w:rFonts w:hint="eastAsia"/>
        </w:rPr>
        <w:t>3.专家咨询法</w:t>
      </w:r>
    </w:p>
    <w:p>
      <w:pPr>
        <w:pStyle w:val="26"/>
        <w:ind w:firstLine="640"/>
      </w:pPr>
      <w:r>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26"/>
        <w:ind w:firstLine="640"/>
      </w:pPr>
      <w:r>
        <w:rPr>
          <w:rFonts w:hint="eastAsia"/>
        </w:rPr>
        <w:t>4.文献法</w:t>
      </w:r>
    </w:p>
    <w:p>
      <w:pPr>
        <w:pStyle w:val="26"/>
        <w:ind w:firstLine="640"/>
      </w:pPr>
      <w:r>
        <w:rPr>
          <w:rFonts w:hint="eastAsia"/>
        </w:rPr>
        <w:t>通过收集相关文献，对文献的研究形成对预算单位整体财政支出的产出和效果的科学认识，以达到客观评价的目的。</w:t>
      </w:r>
    </w:p>
    <w:p>
      <w:pPr>
        <w:pStyle w:val="26"/>
        <w:ind w:firstLine="640"/>
      </w:pPr>
      <w:r>
        <w:rPr>
          <w:rFonts w:hint="eastAsia"/>
        </w:rPr>
        <w:t>5.社会调查法</w:t>
      </w:r>
    </w:p>
    <w:p>
      <w:pPr>
        <w:pStyle w:val="26"/>
        <w:ind w:firstLine="640"/>
        <w:rPr>
          <w:szCs w:val="28"/>
        </w:rPr>
      </w:pPr>
      <w:r>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pPr>
        <w:pStyle w:val="30"/>
        <w:ind w:firstLine="640"/>
        <w:rPr>
          <w:rFonts w:ascii="Times New Roman" w:hAnsi="Times New Roman"/>
        </w:rPr>
      </w:pPr>
      <w:bookmarkStart w:id="14" w:name="_Toc91375833"/>
      <w:bookmarkStart w:id="15" w:name="_Toc91375446"/>
      <w:bookmarkStart w:id="16" w:name="_Toc151427041"/>
      <w:r>
        <w:rPr>
          <w:rFonts w:hint="eastAsia" w:ascii="Times New Roman" w:hAnsi="Times New Roman"/>
        </w:rPr>
        <w:t>（二）评价依据</w:t>
      </w:r>
      <w:bookmarkEnd w:id="13"/>
      <w:bookmarkEnd w:id="14"/>
      <w:bookmarkEnd w:id="15"/>
      <w:bookmarkEnd w:id="16"/>
    </w:p>
    <w:p>
      <w:pPr>
        <w:pStyle w:val="26"/>
        <w:ind w:firstLine="640"/>
      </w:pPr>
      <w:r>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26"/>
        <w:ind w:firstLine="640"/>
      </w:pPr>
      <w:r>
        <w:rPr>
          <w:rFonts w:hint="eastAsia"/>
        </w:rPr>
        <w:t>本次部门整体支出绩效评价的主要依据与绩效评价相关的政策文件、资金及职能相关的政策文件，具体如下：</w:t>
      </w:r>
    </w:p>
    <w:p>
      <w:pPr>
        <w:pStyle w:val="26"/>
        <w:ind w:firstLine="640"/>
      </w:pPr>
      <w:r>
        <w:rPr>
          <w:rFonts w:hint="eastAsia"/>
        </w:rPr>
        <w:t>绩效评价相关政策文件：</w:t>
      </w:r>
    </w:p>
    <w:p>
      <w:pPr>
        <w:pStyle w:val="26"/>
        <w:ind w:firstLine="640"/>
      </w:pPr>
      <w:r>
        <w:rPr>
          <w:rFonts w:hint="eastAsia"/>
        </w:rPr>
        <w:t xml:space="preserve">1.《中共中央国务院关于全面实施预算绩效管理的意见》（中发〔2018〕 34号） </w:t>
      </w:r>
    </w:p>
    <w:p>
      <w:pPr>
        <w:pStyle w:val="26"/>
        <w:ind w:firstLine="640"/>
      </w:pPr>
      <w:r>
        <w:rPr>
          <w:rFonts w:hint="eastAsia"/>
        </w:rPr>
        <w:t>2.财政部关于贯彻落实《中共中央国务院关于全面实施预算绩效管理的意见》的通知（财预〔2018〕167号）</w:t>
      </w:r>
    </w:p>
    <w:p>
      <w:pPr>
        <w:pStyle w:val="26"/>
        <w:ind w:firstLine="640"/>
      </w:pPr>
      <w:r>
        <w:rPr>
          <w:rFonts w:hint="eastAsia"/>
        </w:rPr>
        <w:t>3.财政部关于印发《预算绩效评价共性指标体系框架》的通知（财预〔2013〕53号）</w:t>
      </w:r>
    </w:p>
    <w:p>
      <w:pPr>
        <w:pStyle w:val="26"/>
        <w:ind w:firstLine="640"/>
      </w:pPr>
      <w:r>
        <w:rPr>
          <w:rFonts w:hint="eastAsia"/>
        </w:rPr>
        <w:t>4.财政部关于印发《财政支出绩效评价管理暂行办法的通知》（财预〔2011〕285号）</w:t>
      </w:r>
    </w:p>
    <w:p>
      <w:pPr>
        <w:pStyle w:val="26"/>
        <w:ind w:firstLine="640"/>
      </w:pPr>
      <w:r>
        <w:rPr>
          <w:rFonts w:hint="eastAsia"/>
        </w:rPr>
        <w:t>5.预算支出绩效评价管理办法（征求意见稿）</w:t>
      </w:r>
    </w:p>
    <w:p>
      <w:pPr>
        <w:pStyle w:val="26"/>
        <w:ind w:firstLine="640"/>
      </w:pPr>
      <w:r>
        <w:rPr>
          <w:rFonts w:hint="eastAsia"/>
        </w:rPr>
        <w:t>6.天津市财政局关于印发天津市市级部门（单位）整体支出绩效目标管理办法（试行）的通知（津财预〔2015〕102号）</w:t>
      </w:r>
    </w:p>
    <w:p>
      <w:pPr>
        <w:pStyle w:val="26"/>
        <w:ind w:firstLine="640"/>
      </w:pPr>
      <w:r>
        <w:rPr>
          <w:rFonts w:hint="eastAsia"/>
        </w:rPr>
        <w:t>7.天津市财政局关于印发天津市市级部门整体支出绩效评价方案（试行）的通知（津财预〔2015〕81号）</w:t>
      </w:r>
    </w:p>
    <w:p>
      <w:pPr>
        <w:pStyle w:val="26"/>
        <w:ind w:firstLine="640"/>
      </w:pPr>
      <w:r>
        <w:rPr>
          <w:rFonts w:hint="eastAsia"/>
        </w:rPr>
        <w:t>8.关于印发《天津市财政支出重点项目绩效评价文书样式》的通知（津财督〔2012〕17号）</w:t>
      </w:r>
    </w:p>
    <w:p>
      <w:pPr>
        <w:pStyle w:val="26"/>
        <w:ind w:firstLine="640"/>
      </w:pPr>
      <w:r>
        <w:rPr>
          <w:rFonts w:hint="eastAsia"/>
        </w:rPr>
        <w:t>9.关于印发《天津市财政部门绩效评价工作规程》的通知（津财督〔2012〕8号）</w:t>
      </w:r>
    </w:p>
    <w:p>
      <w:pPr>
        <w:pStyle w:val="26"/>
        <w:ind w:firstLine="640"/>
      </w:pPr>
      <w:r>
        <w:rPr>
          <w:rFonts w:hint="eastAsia"/>
        </w:rPr>
        <w:t>10.转发市财政局拟定的天津市财政支出绩效评价管理办法的通知（津政办发〔2012〕2号）</w:t>
      </w:r>
    </w:p>
    <w:p>
      <w:pPr>
        <w:pStyle w:val="26"/>
        <w:ind w:firstLine="640"/>
      </w:pPr>
      <w:r>
        <w:rPr>
          <w:rFonts w:hint="eastAsia"/>
        </w:rPr>
        <w:t>绩效评价主要依据文件或资料：</w:t>
      </w:r>
    </w:p>
    <w:p>
      <w:pPr>
        <w:pStyle w:val="26"/>
        <w:ind w:firstLine="640"/>
      </w:pPr>
      <w:bookmarkStart w:id="17" w:name="_Toc91375447"/>
      <w:bookmarkStart w:id="18" w:name="_Toc53326852"/>
      <w:bookmarkStart w:id="19" w:name="_Toc91375834"/>
      <w:r>
        <w:t>1.</w:t>
      </w:r>
      <w:r>
        <w:rPr>
          <w:rFonts w:hint="eastAsia"/>
        </w:rPr>
        <w:t>区应急局三定方案</w:t>
      </w:r>
    </w:p>
    <w:p>
      <w:pPr>
        <w:pStyle w:val="26"/>
        <w:ind w:firstLine="640"/>
      </w:pPr>
      <w:r>
        <w:t>2.</w:t>
      </w:r>
      <w:r>
        <w:rPr>
          <w:rFonts w:hint="eastAsia"/>
        </w:rPr>
        <w:t>区应急局内部控制管理制度和内部控制管理手册</w:t>
      </w:r>
    </w:p>
    <w:p>
      <w:pPr>
        <w:pStyle w:val="26"/>
        <w:ind w:firstLine="640"/>
      </w:pPr>
      <w:r>
        <w:t>3.</w:t>
      </w:r>
      <w:r>
        <w:rPr>
          <w:rFonts w:hint="eastAsia"/>
        </w:rPr>
        <w:t>区应急局2</w:t>
      </w:r>
      <w:r>
        <w:t>022</w:t>
      </w:r>
      <w:r>
        <w:rPr>
          <w:rFonts w:hint="eastAsia"/>
        </w:rPr>
        <w:t>年工作计划和2</w:t>
      </w:r>
      <w:r>
        <w:t>022</w:t>
      </w:r>
      <w:r>
        <w:rPr>
          <w:rFonts w:hint="eastAsia"/>
        </w:rPr>
        <w:t>年工作总结</w:t>
      </w:r>
    </w:p>
    <w:p>
      <w:pPr>
        <w:pStyle w:val="26"/>
        <w:ind w:firstLine="640"/>
      </w:pPr>
      <w:r>
        <w:rPr>
          <w:rFonts w:hint="eastAsia"/>
        </w:rPr>
        <w:t>4</w:t>
      </w:r>
      <w:r>
        <w:t>.2022</w:t>
      </w:r>
      <w:r>
        <w:rPr>
          <w:rFonts w:hint="eastAsia"/>
        </w:rPr>
        <w:t>年部门整体绩效目标表</w:t>
      </w:r>
    </w:p>
    <w:p>
      <w:pPr>
        <w:pStyle w:val="30"/>
        <w:ind w:firstLine="640"/>
        <w:rPr>
          <w:rFonts w:ascii="Times New Roman" w:hAnsi="Times New Roman"/>
        </w:rPr>
      </w:pPr>
      <w:bookmarkStart w:id="20" w:name="_Toc151427042"/>
      <w:r>
        <w:rPr>
          <w:rFonts w:hint="eastAsia" w:ascii="Times New Roman" w:hAnsi="Times New Roman"/>
        </w:rPr>
        <w:t>（三）评价目的</w:t>
      </w:r>
      <w:bookmarkEnd w:id="17"/>
      <w:bookmarkEnd w:id="18"/>
      <w:bookmarkEnd w:id="19"/>
      <w:bookmarkEnd w:id="20"/>
    </w:p>
    <w:p>
      <w:pPr>
        <w:pStyle w:val="26"/>
        <w:ind w:firstLine="640"/>
      </w:pPr>
      <w:r>
        <w:rPr>
          <w:rFonts w:hint="eastAsia"/>
        </w:rPr>
        <w:t>分析区应急局目标计划完成与履职情况，总结经验做法，找出资金使用和管理的薄弱环节，提出改进意见，提高财政资金的使用效率。同时重点关注：</w:t>
      </w:r>
    </w:p>
    <w:p>
      <w:pPr>
        <w:pStyle w:val="26"/>
        <w:ind w:firstLine="640"/>
      </w:pPr>
      <w:r>
        <w:rPr>
          <w:rFonts w:hint="eastAsia"/>
        </w:rPr>
        <w:t>第一，关注整体支出中经常性业务活动的预算变动情况，通过资金数据的采集，对变动原因进行了解和分析，判断预算变动的合理性。</w:t>
      </w:r>
    </w:p>
    <w:p>
      <w:pPr>
        <w:pStyle w:val="26"/>
        <w:ind w:firstLine="640"/>
      </w:pPr>
      <w:r>
        <w:rPr>
          <w:rFonts w:hint="eastAsia"/>
        </w:rPr>
        <w:t>第二，关注整体支出规范性，通过整理相关政策、文献及其他相关标准，结合实际支出使用情况，评价资金使用的规范性；同时关注是否建立健全部门资金使用的相关制度。</w:t>
      </w:r>
    </w:p>
    <w:p>
      <w:pPr>
        <w:pStyle w:val="26"/>
        <w:ind w:firstLine="640"/>
      </w:pPr>
      <w:r>
        <w:rPr>
          <w:rFonts w:hint="eastAsia"/>
        </w:rPr>
        <w:t>第三，关注履职和产出的实现，评价小组围绕重点职责的履行情况，以及职能的实现程度，主要从工作的整体效果、各项目标的实现程度、社会各界的满意程度等方面来评价区应急局整体职能的履行情况。</w:t>
      </w:r>
    </w:p>
    <w:p>
      <w:pPr>
        <w:pStyle w:val="26"/>
        <w:ind w:firstLine="640"/>
      </w:pPr>
      <w:bookmarkStart w:id="21" w:name="_Toc91375835"/>
      <w:bookmarkStart w:id="22" w:name="_Toc91375448"/>
      <w:bookmarkStart w:id="23" w:name="_Toc53326853"/>
      <w:r>
        <w:rPr>
          <w:rFonts w:hint="eastAsia"/>
        </w:rPr>
        <w:t>（四）评价对象和范围</w:t>
      </w:r>
      <w:bookmarkEnd w:id="21"/>
      <w:bookmarkEnd w:id="22"/>
      <w:bookmarkEnd w:id="23"/>
    </w:p>
    <w:p>
      <w:pPr>
        <w:pStyle w:val="26"/>
        <w:ind w:firstLine="640"/>
      </w:pPr>
      <w:r>
        <w:rPr>
          <w:rFonts w:hint="eastAsia"/>
        </w:rPr>
        <w:t>本次评价对象为区应急局部门整体支出。绩效评价范围为纳入部门预算管理的资金，从支出类型看包括基本支出和项目支出。</w:t>
      </w:r>
    </w:p>
    <w:p>
      <w:pPr>
        <w:pStyle w:val="26"/>
        <w:ind w:firstLine="640"/>
        <w:rPr>
          <w:szCs w:val="28"/>
        </w:rPr>
      </w:pPr>
      <w:r>
        <w:rPr>
          <w:rFonts w:hint="eastAsia"/>
        </w:rPr>
        <w:t>本次评价的评价时段为20</w:t>
      </w:r>
      <w:r>
        <w:t>22</w:t>
      </w:r>
      <w:r>
        <w:rPr>
          <w:rFonts w:hint="eastAsia"/>
        </w:rPr>
        <w:t>年度。</w:t>
      </w:r>
    </w:p>
    <w:p>
      <w:pPr>
        <w:pStyle w:val="30"/>
        <w:ind w:firstLine="640"/>
        <w:rPr>
          <w:rFonts w:ascii="Times New Roman" w:hAnsi="Times New Roman"/>
        </w:rPr>
      </w:pPr>
      <w:bookmarkStart w:id="24" w:name="_Toc53326854"/>
      <w:bookmarkStart w:id="25" w:name="_Toc91375836"/>
      <w:bookmarkStart w:id="26" w:name="_Toc91375449"/>
      <w:bookmarkStart w:id="27" w:name="_Toc151427043"/>
      <w:r>
        <w:rPr>
          <w:rFonts w:hint="eastAsia" w:ascii="Times New Roman" w:hAnsi="Times New Roman"/>
        </w:rPr>
        <w:t>（五）评价思路</w:t>
      </w:r>
      <w:bookmarkEnd w:id="24"/>
      <w:bookmarkEnd w:id="25"/>
      <w:bookmarkEnd w:id="26"/>
      <w:bookmarkEnd w:id="27"/>
    </w:p>
    <w:p>
      <w:pPr>
        <w:pStyle w:val="26"/>
        <w:ind w:firstLine="640"/>
      </w:pPr>
      <w:bookmarkStart w:id="28" w:name="_Toc53326855"/>
      <w:r>
        <w:rPr>
          <w:rFonts w:hint="eastAsia"/>
        </w:rPr>
        <w:t>1.评价内容及重点</w:t>
      </w:r>
      <w:bookmarkEnd w:id="28"/>
    </w:p>
    <w:p>
      <w:pPr>
        <w:pStyle w:val="26"/>
        <w:ind w:firstLine="640"/>
      </w:pPr>
      <w:r>
        <w:rPr>
          <w:rFonts w:hint="eastAsia"/>
        </w:rPr>
        <w:t>整体财政支出绩效评价的实施，从财政资金的预算和执行的角度，考察工作目标、履职、内部管理、运行效率之间的关系。评价重点在以下几个方面：</w:t>
      </w:r>
    </w:p>
    <w:p>
      <w:pPr>
        <w:pStyle w:val="26"/>
        <w:ind w:firstLine="640"/>
      </w:pPr>
      <w:r>
        <w:rPr>
          <w:rFonts w:hint="eastAsia"/>
        </w:rPr>
        <w:t>（1）预算单位职能---工作目标---项目安排---预算的匹配关系</w:t>
      </w:r>
    </w:p>
    <w:p>
      <w:pPr>
        <w:pStyle w:val="26"/>
        <w:ind w:firstLine="640"/>
      </w:pPr>
      <w:r>
        <w:rPr>
          <w:rFonts w:hint="eastAsia"/>
        </w:rPr>
        <w:t>整体财政支出绩效评价以单位职能和主要职责内容为切入点，评价分析区应急局的职能、总体目标、年度工作计划及任务、项目安排及预算之间的关联性和匹配性。</w:t>
      </w:r>
    </w:p>
    <w:p>
      <w:pPr>
        <w:pStyle w:val="26"/>
        <w:ind w:firstLine="640"/>
      </w:pPr>
      <w:r>
        <w:rPr>
          <w:rFonts w:hint="eastAsia"/>
        </w:rPr>
        <w:t>（2）预算单位制度保障情况</w:t>
      </w:r>
    </w:p>
    <w:p>
      <w:pPr>
        <w:pStyle w:val="26"/>
        <w:ind w:firstLine="640"/>
      </w:pPr>
      <w:r>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26"/>
        <w:ind w:firstLine="640"/>
      </w:pPr>
      <w:r>
        <w:rPr>
          <w:rFonts w:hint="eastAsia"/>
        </w:rPr>
        <w:t>（3）预算单位履职的有效性</w:t>
      </w:r>
    </w:p>
    <w:p>
      <w:pPr>
        <w:pStyle w:val="26"/>
        <w:ind w:firstLine="640"/>
      </w:pPr>
      <w:r>
        <w:rPr>
          <w:rFonts w:hint="eastAsia"/>
        </w:rPr>
        <w:t>整体财政支出绩效评价要围绕职能履行的有效性，主要评价部门是否履职到位、履职目标是否实现、工作计划是否完成。</w:t>
      </w:r>
    </w:p>
    <w:p>
      <w:pPr>
        <w:pStyle w:val="26"/>
        <w:ind w:firstLine="640"/>
      </w:pPr>
      <w:r>
        <w:rPr>
          <w:rFonts w:hint="eastAsia"/>
        </w:rPr>
        <w:t>（4）预算单位资源配置有效性</w:t>
      </w:r>
    </w:p>
    <w:p>
      <w:pPr>
        <w:pStyle w:val="26"/>
        <w:ind w:firstLine="640"/>
      </w:pPr>
      <w:r>
        <w:rPr>
          <w:rFonts w:hint="eastAsia"/>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26"/>
        <w:ind w:firstLine="640"/>
      </w:pPr>
      <w:bookmarkStart w:id="29" w:name="_Toc53326856"/>
      <w:r>
        <w:rPr>
          <w:rFonts w:hint="eastAsia"/>
        </w:rPr>
        <w:t>2.评价实施路径</w:t>
      </w:r>
      <w:bookmarkEnd w:id="29"/>
    </w:p>
    <w:p>
      <w:pPr>
        <w:pStyle w:val="26"/>
        <w:ind w:firstLine="640"/>
      </w:pPr>
      <w:r>
        <w:rPr>
          <w:rFonts w:hint="eastAsia"/>
        </w:rPr>
        <w:t>整体财政支出绩效评价实施路径从整体定位出发，明确部门整体绩效目标，分析履职情况，评估长效机制建设的健全性。</w:t>
      </w:r>
    </w:p>
    <w:p>
      <w:pPr>
        <w:pStyle w:val="26"/>
        <w:ind w:firstLine="640"/>
      </w:pPr>
      <w:r>
        <w:rPr>
          <w:rFonts w:hint="eastAsia"/>
        </w:rPr>
        <w:t>（1）明确部门职责及重点工作</w:t>
      </w:r>
    </w:p>
    <w:p>
      <w:pPr>
        <w:pStyle w:val="26"/>
        <w:ind w:firstLine="640"/>
      </w:pPr>
      <w:r>
        <w:rPr>
          <w:rFonts w:hint="eastAsia"/>
        </w:rPr>
        <w:t>以部门职能和主要职责为基础，结合战略目标及中长期发展规划、年度工作计划及预算安排等情况，通过和区应急局沟通，分析该部门的主要职责和年度重点工作任务，搜集相关的管理办法、内部控制管理制度和预算资金安排情况等内容。在此基础上，对职能、职责进行重要性排序，对与重要职能、职责紧密相关的工作重点进行分析。</w:t>
      </w:r>
    </w:p>
    <w:p>
      <w:pPr>
        <w:pStyle w:val="26"/>
        <w:ind w:firstLine="640"/>
      </w:pPr>
      <w:r>
        <w:rPr>
          <w:rFonts w:hint="eastAsia"/>
        </w:rPr>
        <w:t>（2）明确部门绩效目标</w:t>
      </w:r>
    </w:p>
    <w:p>
      <w:pPr>
        <w:pStyle w:val="26"/>
        <w:ind w:firstLine="640"/>
      </w:pPr>
      <w:r>
        <w:rPr>
          <w:rFonts w:hint="eastAsia"/>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26"/>
        <w:ind w:firstLine="640"/>
      </w:pPr>
      <w:r>
        <w:rPr>
          <w:rFonts w:hint="eastAsia"/>
        </w:rPr>
        <w:t>（3）分析部门履职绩效</w:t>
      </w:r>
    </w:p>
    <w:p>
      <w:pPr>
        <w:pStyle w:val="26"/>
        <w:ind w:firstLine="640"/>
      </w:pPr>
      <w:r>
        <w:rPr>
          <w:rFonts w:hint="eastAsia"/>
        </w:rPr>
        <w:t>按照履职的相关材料和实地调研情况，从年度重点工作履行、工作目标实现、服务对象满意度、社会效益、经济效益、生态效益、部门长效管理、人员建设等方面进行分析。</w:t>
      </w:r>
    </w:p>
    <w:p>
      <w:pPr>
        <w:pStyle w:val="26"/>
        <w:ind w:firstLine="640"/>
      </w:pPr>
      <w:r>
        <w:rPr>
          <w:rFonts w:hint="eastAsia"/>
        </w:rPr>
        <w:t>收集、整理、总结职能定位和年度工作计划，同时梳理项目预算与基本预算，明确预算与职能的匹配度，客观反映区应急局的年度履职情况和达到的产出及效果，对预算安排、完成的工作和履职程度之间的关系进行分析。</w:t>
      </w:r>
    </w:p>
    <w:p>
      <w:pPr>
        <w:pStyle w:val="26"/>
        <w:ind w:firstLine="640"/>
      </w:pPr>
      <w:r>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30"/>
        <w:ind w:firstLine="640"/>
        <w:rPr>
          <w:rFonts w:ascii="Times New Roman" w:hAnsi="Times New Roman"/>
        </w:rPr>
      </w:pPr>
      <w:bookmarkStart w:id="30" w:name="_Toc53326857"/>
      <w:bookmarkStart w:id="31" w:name="_Toc91375450"/>
      <w:bookmarkStart w:id="32" w:name="_Toc91375837"/>
      <w:bookmarkStart w:id="33" w:name="_Toc151427044"/>
      <w:r>
        <w:rPr>
          <w:rFonts w:hint="eastAsia" w:ascii="Times New Roman" w:hAnsi="Times New Roman"/>
        </w:rPr>
        <w:t>（六）评价流程</w:t>
      </w:r>
      <w:bookmarkEnd w:id="30"/>
      <w:bookmarkEnd w:id="31"/>
      <w:bookmarkEnd w:id="32"/>
      <w:bookmarkEnd w:id="33"/>
    </w:p>
    <w:p>
      <w:pPr>
        <w:pStyle w:val="26"/>
        <w:ind w:firstLine="640"/>
      </w:pPr>
      <w:r>
        <w:rPr>
          <w:rFonts w:hint="eastAsia"/>
        </w:rPr>
        <w:t>评价流程分内部工作部署、评价启动、单位对接、提交方案、资料收集、现场调研、提交报告七个实施阶段，具体如下：</w:t>
      </w:r>
    </w:p>
    <w:p>
      <w:pPr>
        <w:pStyle w:val="26"/>
        <w:ind w:firstLine="640"/>
      </w:pPr>
      <w:bookmarkStart w:id="34" w:name="_Toc53326858"/>
      <w:r>
        <w:rPr>
          <w:rFonts w:hint="eastAsia"/>
        </w:rPr>
        <w:t>1.</w:t>
      </w:r>
      <w:bookmarkEnd w:id="34"/>
      <w:r>
        <w:rPr>
          <w:rFonts w:hint="eastAsia"/>
        </w:rPr>
        <w:t>内部工作部署</w:t>
      </w:r>
    </w:p>
    <w:p>
      <w:pPr>
        <w:pStyle w:val="26"/>
        <w:ind w:firstLine="640"/>
      </w:pPr>
      <w:r>
        <w:rPr>
          <w:rFonts w:hint="eastAsia"/>
        </w:rPr>
        <w:t>为指导区应急局配合做好本次评价工作，天津安信管理咨询有限公司对项目团队人员进行培训，主要包括项目开展要求、流程、重点关注内容等。</w:t>
      </w:r>
    </w:p>
    <w:p>
      <w:pPr>
        <w:pStyle w:val="26"/>
        <w:ind w:firstLine="640"/>
      </w:pPr>
      <w:bookmarkStart w:id="35" w:name="_Toc53326859"/>
      <w:r>
        <w:rPr>
          <w:rFonts w:hint="eastAsia"/>
        </w:rPr>
        <w:t>2.评价启动</w:t>
      </w:r>
      <w:bookmarkEnd w:id="35"/>
    </w:p>
    <w:p>
      <w:pPr>
        <w:pStyle w:val="26"/>
        <w:ind w:firstLine="640"/>
      </w:pPr>
      <w:r>
        <w:rPr>
          <w:rFonts w:hint="eastAsia"/>
        </w:rPr>
        <w:t>在天津市和平区财政局安排下，区应急局及其他被评价单位召开绩效评价启动会，布置绩效评价工作内容及各阶段工作时间节点要求。</w:t>
      </w:r>
    </w:p>
    <w:p>
      <w:pPr>
        <w:pStyle w:val="26"/>
        <w:ind w:firstLine="640"/>
      </w:pPr>
      <w:bookmarkStart w:id="36" w:name="_Toc53326860"/>
      <w:r>
        <w:rPr>
          <w:rFonts w:hint="eastAsia"/>
        </w:rPr>
        <w:t>3.单位对接</w:t>
      </w:r>
      <w:bookmarkEnd w:id="36"/>
    </w:p>
    <w:p>
      <w:pPr>
        <w:pStyle w:val="26"/>
        <w:ind w:firstLine="640"/>
      </w:pPr>
      <w:r>
        <w:rPr>
          <w:rFonts w:hint="eastAsia"/>
        </w:rPr>
        <w:t>与区应急局进行对接，了解部门职能、20</w:t>
      </w:r>
      <w:r>
        <w:t>22</w:t>
      </w:r>
      <w:r>
        <w:rPr>
          <w:rFonts w:hint="eastAsia"/>
        </w:rPr>
        <w:t>年部门预算及决算情况、重点项目及部门整体绩效目标、部门管理制度、部门相关合同、立项文件等依据情况。</w:t>
      </w:r>
    </w:p>
    <w:p>
      <w:pPr>
        <w:pStyle w:val="26"/>
        <w:ind w:firstLine="640"/>
      </w:pPr>
      <w:bookmarkStart w:id="37" w:name="_Toc53326861"/>
      <w:r>
        <w:rPr>
          <w:rFonts w:hint="eastAsia"/>
        </w:rPr>
        <w:t>4.提交方案</w:t>
      </w:r>
      <w:bookmarkEnd w:id="37"/>
    </w:p>
    <w:p>
      <w:pPr>
        <w:pStyle w:val="26"/>
        <w:ind w:firstLine="640"/>
      </w:pPr>
      <w:r>
        <w:rPr>
          <w:rFonts w:hint="eastAsia"/>
        </w:rPr>
        <w:t>根据单位对接的结果，了解相关部门情况，撰写《</w:t>
      </w:r>
      <w:r>
        <w:t>2022</w:t>
      </w:r>
      <w:r>
        <w:rPr>
          <w:rFonts w:hint="eastAsia"/>
        </w:rPr>
        <w:t>年天津市和平区应急管理局部门整体支出绩效评价实施工作方案》，确认后续绩效评价工作安排及内容。</w:t>
      </w:r>
    </w:p>
    <w:p>
      <w:pPr>
        <w:pStyle w:val="26"/>
        <w:ind w:firstLine="640"/>
      </w:pPr>
      <w:bookmarkStart w:id="38" w:name="_Toc53326862"/>
      <w:r>
        <w:rPr>
          <w:rFonts w:hint="eastAsia"/>
        </w:rPr>
        <w:t>5.资料收集</w:t>
      </w:r>
      <w:bookmarkEnd w:id="38"/>
    </w:p>
    <w:p>
      <w:pPr>
        <w:pStyle w:val="26"/>
        <w:ind w:firstLine="640"/>
      </w:pPr>
      <w:r>
        <w:rPr>
          <w:rFonts w:hint="eastAsia"/>
        </w:rPr>
        <w:t>根据绩效评价实施方案及指标体系内容，向区应急局提供相关资料收集清单，包括基础数据、相关制度及政策文件、202</w:t>
      </w:r>
      <w:r>
        <w:t>2</w:t>
      </w:r>
      <w:r>
        <w:rPr>
          <w:rFonts w:hint="eastAsia"/>
        </w:rPr>
        <w:t>年部门预算及决算情况、重点项目工作情况等。</w:t>
      </w:r>
    </w:p>
    <w:p>
      <w:pPr>
        <w:pStyle w:val="26"/>
        <w:ind w:firstLine="640"/>
      </w:pPr>
      <w:bookmarkStart w:id="39" w:name="_Toc53326863"/>
      <w:r>
        <w:rPr>
          <w:rFonts w:hint="eastAsia"/>
        </w:rPr>
        <w:t>6.现场调研</w:t>
      </w:r>
      <w:bookmarkEnd w:id="39"/>
    </w:p>
    <w:p>
      <w:pPr>
        <w:pStyle w:val="26"/>
        <w:ind w:firstLine="640"/>
      </w:pPr>
      <w:r>
        <w:rPr>
          <w:rFonts w:hint="eastAsia"/>
        </w:rPr>
        <w:t>为进一步验证材料真实性，并对相关访谈、问卷问题进行调研，向区应急局现场进行实地核查，并对相关访谈内容进行现场座谈，形成访谈记录。</w:t>
      </w:r>
    </w:p>
    <w:p>
      <w:pPr>
        <w:pStyle w:val="26"/>
        <w:ind w:firstLine="640"/>
      </w:pPr>
      <w:bookmarkStart w:id="40" w:name="_Toc53326864"/>
      <w:r>
        <w:rPr>
          <w:rFonts w:hint="eastAsia"/>
        </w:rPr>
        <w:t>7.提交报告</w:t>
      </w:r>
      <w:bookmarkEnd w:id="40"/>
    </w:p>
    <w:p>
      <w:pPr>
        <w:pStyle w:val="26"/>
        <w:ind w:firstLine="640"/>
      </w:pPr>
      <w:r>
        <w:rPr>
          <w:rFonts w:hint="eastAsia"/>
        </w:rPr>
        <w:t>（1）撰写报告初稿</w:t>
      </w:r>
    </w:p>
    <w:p>
      <w:pPr>
        <w:pStyle w:val="26"/>
        <w:ind w:firstLine="640"/>
      </w:pPr>
      <w:r>
        <w:rPr>
          <w:rFonts w:hint="eastAsia"/>
        </w:rPr>
        <w:t>根据综合评价结果，撰写评价分析报告，报告撰写的内容包括部门基本情况概述、现场评价总体情况、评价指标分析、绩效实施效果和存在问题、具体改进措施及建议等。</w:t>
      </w:r>
    </w:p>
    <w:p>
      <w:pPr>
        <w:pStyle w:val="26"/>
        <w:ind w:firstLine="640"/>
      </w:pPr>
      <w:r>
        <w:rPr>
          <w:rFonts w:hint="eastAsia"/>
        </w:rPr>
        <w:t>（2）提交正式报告</w:t>
      </w:r>
    </w:p>
    <w:p>
      <w:pPr>
        <w:pStyle w:val="26"/>
        <w:ind w:firstLine="640"/>
      </w:pPr>
      <w:r>
        <w:rPr>
          <w:rFonts w:hint="eastAsia"/>
        </w:rPr>
        <w:t>天津市和平区财政局组织对《</w:t>
      </w:r>
      <w:r>
        <w:t>2022</w:t>
      </w:r>
      <w:r>
        <w:rPr>
          <w:rFonts w:hint="eastAsia"/>
        </w:rPr>
        <w:t>年天津市和平区应急管理局部门整体支出绩效评价报告》进行终审。天津安信管理咨询有限公司根据终审情况修订报告并提交正式报告。</w:t>
      </w:r>
    </w:p>
    <w:p>
      <w:pPr>
        <w:pStyle w:val="28"/>
      </w:pPr>
      <w:bookmarkStart w:id="41" w:name="_Toc151427045"/>
      <w:r>
        <w:rPr>
          <w:rFonts w:hint="eastAsia"/>
        </w:rPr>
        <w:t>三、绩效指标分析</w:t>
      </w:r>
      <w:bookmarkEnd w:id="41"/>
    </w:p>
    <w:p>
      <w:pPr>
        <w:pStyle w:val="30"/>
        <w:ind w:firstLine="640"/>
        <w:rPr>
          <w:rFonts w:ascii="Times New Roman" w:hAnsi="Times New Roman"/>
        </w:rPr>
      </w:pPr>
      <w:bookmarkStart w:id="42" w:name="_Toc53326866"/>
      <w:bookmarkStart w:id="43" w:name="_Toc91375839"/>
      <w:bookmarkStart w:id="44" w:name="_Toc91375452"/>
      <w:bookmarkStart w:id="45" w:name="_Toc151427046"/>
      <w:r>
        <w:rPr>
          <w:rFonts w:hint="eastAsia" w:ascii="Times New Roman" w:hAnsi="Times New Roman"/>
        </w:rPr>
        <w:t>（一）绩效评价设计思路</w:t>
      </w:r>
      <w:bookmarkEnd w:id="42"/>
      <w:bookmarkEnd w:id="43"/>
      <w:bookmarkEnd w:id="44"/>
      <w:bookmarkEnd w:id="45"/>
    </w:p>
    <w:p>
      <w:pPr>
        <w:pStyle w:val="51"/>
      </w:pPr>
      <w:r>
        <w:rPr>
          <w:rFonts w:hint="eastAsia" w:cstheme="minorBidi"/>
          <w:szCs w:val="21"/>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r>
        <w:rPr>
          <w:rFonts w:hint="eastAsia"/>
        </w:rPr>
        <w:t>。</w:t>
      </w:r>
    </w:p>
    <w:p>
      <w:pPr>
        <w:pStyle w:val="30"/>
        <w:ind w:firstLine="640"/>
        <w:rPr>
          <w:rFonts w:ascii="Times New Roman" w:hAnsi="Times New Roman"/>
        </w:rPr>
      </w:pPr>
      <w:bookmarkStart w:id="46" w:name="_Toc91375840"/>
      <w:bookmarkStart w:id="47" w:name="_Toc91375453"/>
      <w:bookmarkStart w:id="48" w:name="_Toc53326867"/>
      <w:bookmarkStart w:id="49" w:name="_Toc151427047"/>
      <w:r>
        <w:rPr>
          <w:rFonts w:hint="eastAsia" w:ascii="Times New Roman" w:hAnsi="Times New Roman"/>
        </w:rPr>
        <w:t>（二）绩效指标分析</w:t>
      </w:r>
      <w:bookmarkEnd w:id="46"/>
      <w:bookmarkEnd w:id="47"/>
      <w:bookmarkEnd w:id="48"/>
      <w:bookmarkEnd w:id="49"/>
    </w:p>
    <w:p>
      <w:pPr>
        <w:pStyle w:val="26"/>
        <w:ind w:firstLine="640"/>
      </w:pPr>
      <w:r>
        <w:rPr>
          <w:rFonts w:hint="eastAsia"/>
        </w:rPr>
        <w:t>根据财政部《财政支出绩效评价管理暂行办法的通知》（财预〔2011〕285号）、天津市财政局关于印发《天津市市级部门（单位）整体支出绩效目标管理办法（试行）》的通知（津财预〔2015〕102号）等文件要求，经综合分析与评价，区应急局20</w:t>
      </w:r>
      <w:r>
        <w:t>22</w:t>
      </w:r>
      <w:r>
        <w:rPr>
          <w:rFonts w:hint="eastAsia"/>
        </w:rPr>
        <w:t>年度部门整体支出绩效评价综合评分为</w:t>
      </w:r>
      <w:r>
        <w:t>92.5</w:t>
      </w:r>
      <w:r>
        <w:rPr>
          <w:rFonts w:hint="eastAsia"/>
        </w:rPr>
        <w:t>分，其中：部门决策方面得分</w:t>
      </w:r>
      <w:r>
        <w:t>13</w:t>
      </w:r>
      <w:r>
        <w:rPr>
          <w:rFonts w:hint="eastAsia"/>
        </w:rPr>
        <w:t>分，得分率</w:t>
      </w:r>
      <w:r>
        <w:t>86.7</w:t>
      </w:r>
      <w:r>
        <w:rPr>
          <w:rFonts w:hint="eastAsia"/>
        </w:rPr>
        <w:t>%；管理效率方面得分</w:t>
      </w:r>
      <w:r>
        <w:t>19.5</w:t>
      </w:r>
      <w:r>
        <w:rPr>
          <w:rFonts w:hint="eastAsia"/>
        </w:rPr>
        <w:t>分，得分率</w:t>
      </w:r>
      <w:r>
        <w:t>78</w:t>
      </w:r>
      <w:r>
        <w:rPr>
          <w:rFonts w:hint="eastAsia"/>
        </w:rPr>
        <w:t>%；履职产出方面得分</w:t>
      </w:r>
      <w:r>
        <w:t>34</w:t>
      </w:r>
      <w:r>
        <w:rPr>
          <w:rFonts w:hint="eastAsia"/>
        </w:rPr>
        <w:t>分，得分率</w:t>
      </w:r>
      <w:r>
        <w:t>100</w:t>
      </w:r>
      <w:r>
        <w:rPr>
          <w:rFonts w:hint="eastAsia"/>
        </w:rPr>
        <w:t>%；履职效益方面得分</w:t>
      </w:r>
      <w:r>
        <w:t>20</w:t>
      </w:r>
      <w:r>
        <w:rPr>
          <w:rFonts w:hint="eastAsia"/>
        </w:rPr>
        <w:t>分，得分率</w:t>
      </w:r>
      <w:r>
        <w:t>100</w:t>
      </w:r>
      <w:r>
        <w:rPr>
          <w:rFonts w:hint="eastAsia"/>
        </w:rPr>
        <w:t>%；履职满意度方面得分</w:t>
      </w:r>
      <w:r>
        <w:t>6</w:t>
      </w:r>
      <w:r>
        <w:rPr>
          <w:rFonts w:hint="eastAsia"/>
        </w:rPr>
        <w:t>分，得分率</w:t>
      </w:r>
      <w:r>
        <w:t>100</w:t>
      </w:r>
      <w:r>
        <w:rPr>
          <w:rFonts w:hint="eastAsia"/>
        </w:rPr>
        <w:t>%。二级指标得分率如下表所示。</w:t>
      </w:r>
    </w:p>
    <w:p>
      <w:pPr>
        <w:pStyle w:val="33"/>
      </w:pPr>
      <w:r>
        <w:rPr>
          <w:rFonts w:hint="eastAsia"/>
        </w:rPr>
        <w:t>表3.</w:t>
      </w:r>
      <w:r>
        <w:t>2</w:t>
      </w:r>
      <w:r>
        <w:rPr>
          <w:rFonts w:hint="eastAsia"/>
        </w:rPr>
        <w:t>.</w:t>
      </w:r>
      <w:r>
        <w:t xml:space="preserve">1 </w:t>
      </w:r>
      <w:r>
        <w:rPr>
          <w:rFonts w:hint="eastAsia"/>
        </w:rPr>
        <w:t>二级指标得分率表</w:t>
      </w:r>
    </w:p>
    <w:tbl>
      <w:tblPr>
        <w:tblStyle w:val="18"/>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3"/>
        <w:gridCol w:w="2605"/>
        <w:gridCol w:w="1240"/>
        <w:gridCol w:w="1275"/>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1963" w:type="dxa"/>
            <w:shd w:val="clear" w:color="auto" w:fill="auto"/>
            <w:vAlign w:val="center"/>
          </w:tcPr>
          <w:p>
            <w:pPr>
              <w:pStyle w:val="36"/>
            </w:pPr>
            <w:r>
              <w:rPr>
                <w:rFonts w:hint="eastAsia"/>
              </w:rPr>
              <w:t>一级指标</w:t>
            </w:r>
          </w:p>
        </w:tc>
        <w:tc>
          <w:tcPr>
            <w:tcW w:w="2605" w:type="dxa"/>
            <w:shd w:val="clear" w:color="auto" w:fill="auto"/>
            <w:vAlign w:val="center"/>
          </w:tcPr>
          <w:p>
            <w:pPr>
              <w:pStyle w:val="36"/>
            </w:pPr>
            <w:r>
              <w:rPr>
                <w:rFonts w:hint="eastAsia"/>
              </w:rPr>
              <w:t>二级指标</w:t>
            </w:r>
          </w:p>
        </w:tc>
        <w:tc>
          <w:tcPr>
            <w:tcW w:w="1240" w:type="dxa"/>
            <w:shd w:val="clear" w:color="auto" w:fill="auto"/>
            <w:vAlign w:val="center"/>
          </w:tcPr>
          <w:p>
            <w:pPr>
              <w:pStyle w:val="36"/>
            </w:pPr>
            <w:r>
              <w:rPr>
                <w:rFonts w:hint="eastAsia"/>
              </w:rPr>
              <w:t>分值</w:t>
            </w:r>
          </w:p>
        </w:tc>
        <w:tc>
          <w:tcPr>
            <w:tcW w:w="1275" w:type="dxa"/>
            <w:shd w:val="clear" w:color="auto" w:fill="auto"/>
            <w:vAlign w:val="center"/>
          </w:tcPr>
          <w:p>
            <w:pPr>
              <w:pStyle w:val="36"/>
            </w:pPr>
            <w:r>
              <w:rPr>
                <w:rFonts w:hint="eastAsia"/>
              </w:rPr>
              <w:t>得分</w:t>
            </w:r>
          </w:p>
        </w:tc>
        <w:tc>
          <w:tcPr>
            <w:tcW w:w="1219" w:type="dxa"/>
            <w:vAlign w:val="center"/>
          </w:tcPr>
          <w:p>
            <w:pPr>
              <w:pStyle w:val="36"/>
            </w:pPr>
            <w:r>
              <w:rPr>
                <w:rFonts w:hint="eastAsia"/>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restart"/>
            <w:shd w:val="clear" w:color="auto" w:fill="auto"/>
            <w:vAlign w:val="center"/>
          </w:tcPr>
          <w:p>
            <w:pPr>
              <w:pStyle w:val="38"/>
            </w:pPr>
            <w:r>
              <w:rPr>
                <w:rFonts w:hint="eastAsia"/>
              </w:rPr>
              <w:t>部门决策</w:t>
            </w:r>
            <w:r>
              <w:br w:type="textWrapping"/>
            </w:r>
            <w:r>
              <w:rPr>
                <w:rFonts w:hint="eastAsia"/>
              </w:rPr>
              <w:t>（15分）</w:t>
            </w:r>
          </w:p>
        </w:tc>
        <w:tc>
          <w:tcPr>
            <w:tcW w:w="2605" w:type="dxa"/>
            <w:shd w:val="clear" w:color="auto" w:fill="auto"/>
            <w:vAlign w:val="center"/>
          </w:tcPr>
          <w:p>
            <w:pPr>
              <w:pStyle w:val="38"/>
            </w:pPr>
            <w:r>
              <w:rPr>
                <w:rFonts w:hint="eastAsia"/>
              </w:rPr>
              <w:t>绩效目标</w:t>
            </w:r>
          </w:p>
        </w:tc>
        <w:tc>
          <w:tcPr>
            <w:tcW w:w="1240" w:type="dxa"/>
            <w:shd w:val="clear" w:color="auto" w:fill="auto"/>
            <w:vAlign w:val="center"/>
          </w:tcPr>
          <w:p>
            <w:pPr>
              <w:pStyle w:val="38"/>
            </w:pPr>
            <w:r>
              <w:rPr>
                <w:rFonts w:hint="eastAsia"/>
              </w:rPr>
              <w:t>4</w:t>
            </w:r>
          </w:p>
        </w:tc>
        <w:tc>
          <w:tcPr>
            <w:tcW w:w="1275" w:type="dxa"/>
            <w:shd w:val="clear" w:color="auto" w:fill="auto"/>
            <w:vAlign w:val="center"/>
          </w:tcPr>
          <w:p>
            <w:pPr>
              <w:pStyle w:val="38"/>
            </w:pPr>
            <w:r>
              <w:rPr>
                <w:rFonts w:hint="eastAsia"/>
              </w:rPr>
              <w:t>2</w:t>
            </w:r>
          </w:p>
        </w:tc>
        <w:tc>
          <w:tcPr>
            <w:tcW w:w="1219" w:type="dxa"/>
            <w:vAlign w:val="center"/>
          </w:tcPr>
          <w:p>
            <w:pPr>
              <w:pStyle w:val="38"/>
            </w:pPr>
            <w:r>
              <w:rPr>
                <w:rFonts w:hint="eastAsia"/>
              </w:rPr>
              <w:t>5</w:t>
            </w: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决策依据</w:t>
            </w:r>
          </w:p>
        </w:tc>
        <w:tc>
          <w:tcPr>
            <w:tcW w:w="1240" w:type="dxa"/>
            <w:shd w:val="clear" w:color="auto" w:fill="auto"/>
            <w:vAlign w:val="center"/>
          </w:tcPr>
          <w:p>
            <w:pPr>
              <w:pStyle w:val="38"/>
            </w:pPr>
            <w:r>
              <w:rPr>
                <w:rFonts w:hint="eastAsia"/>
              </w:rPr>
              <w:t>3</w:t>
            </w:r>
          </w:p>
        </w:tc>
        <w:tc>
          <w:tcPr>
            <w:tcW w:w="1275" w:type="dxa"/>
            <w:shd w:val="clear" w:color="auto" w:fill="auto"/>
            <w:vAlign w:val="center"/>
          </w:tcPr>
          <w:p>
            <w:pPr>
              <w:pStyle w:val="38"/>
            </w:pPr>
            <w:r>
              <w:rPr>
                <w:rFonts w:hint="eastAsia"/>
              </w:rPr>
              <w:t>3</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预算分配</w:t>
            </w:r>
          </w:p>
        </w:tc>
        <w:tc>
          <w:tcPr>
            <w:tcW w:w="1240" w:type="dxa"/>
            <w:shd w:val="clear" w:color="auto" w:fill="auto"/>
            <w:vAlign w:val="center"/>
          </w:tcPr>
          <w:p>
            <w:pPr>
              <w:pStyle w:val="38"/>
            </w:pPr>
            <w:r>
              <w:rPr>
                <w:rFonts w:hint="eastAsia"/>
              </w:rPr>
              <w:t>8</w:t>
            </w:r>
          </w:p>
        </w:tc>
        <w:tc>
          <w:tcPr>
            <w:tcW w:w="1275" w:type="dxa"/>
            <w:shd w:val="clear" w:color="auto" w:fill="auto"/>
            <w:vAlign w:val="center"/>
          </w:tcPr>
          <w:p>
            <w:pPr>
              <w:pStyle w:val="38"/>
            </w:pPr>
            <w:r>
              <w:rPr>
                <w:rFonts w:hint="eastAsia"/>
              </w:rPr>
              <w:t>8</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restart"/>
            <w:shd w:val="clear" w:color="auto" w:fill="auto"/>
            <w:vAlign w:val="center"/>
          </w:tcPr>
          <w:p>
            <w:pPr>
              <w:pStyle w:val="38"/>
            </w:pPr>
            <w:r>
              <w:rPr>
                <w:rFonts w:hint="eastAsia"/>
              </w:rPr>
              <w:t>管理效率</w:t>
            </w:r>
            <w:r>
              <w:br w:type="textWrapping"/>
            </w:r>
            <w:r>
              <w:rPr>
                <w:rFonts w:hint="eastAsia"/>
              </w:rPr>
              <w:t>（25分）</w:t>
            </w:r>
          </w:p>
        </w:tc>
        <w:tc>
          <w:tcPr>
            <w:tcW w:w="2605" w:type="dxa"/>
            <w:shd w:val="clear" w:color="auto" w:fill="auto"/>
            <w:vAlign w:val="center"/>
          </w:tcPr>
          <w:p>
            <w:pPr>
              <w:pStyle w:val="38"/>
            </w:pPr>
            <w:r>
              <w:rPr>
                <w:rFonts w:hint="eastAsia"/>
              </w:rPr>
              <w:t>预算执行</w:t>
            </w:r>
          </w:p>
        </w:tc>
        <w:tc>
          <w:tcPr>
            <w:tcW w:w="1240" w:type="dxa"/>
            <w:shd w:val="clear" w:color="auto" w:fill="auto"/>
            <w:vAlign w:val="center"/>
          </w:tcPr>
          <w:p>
            <w:pPr>
              <w:pStyle w:val="38"/>
            </w:pPr>
            <w:r>
              <w:rPr>
                <w:rFonts w:hint="eastAsia"/>
              </w:rPr>
              <w:t>8</w:t>
            </w:r>
          </w:p>
        </w:tc>
        <w:tc>
          <w:tcPr>
            <w:tcW w:w="1275" w:type="dxa"/>
            <w:shd w:val="clear" w:color="auto" w:fill="auto"/>
            <w:vAlign w:val="center"/>
          </w:tcPr>
          <w:p>
            <w:pPr>
              <w:pStyle w:val="38"/>
            </w:pPr>
            <w:r>
              <w:rPr>
                <w:rFonts w:hint="eastAsia"/>
              </w:rPr>
              <w:t>6</w:t>
            </w:r>
          </w:p>
        </w:tc>
        <w:tc>
          <w:tcPr>
            <w:tcW w:w="1219" w:type="dxa"/>
            <w:vAlign w:val="center"/>
          </w:tcPr>
          <w:p>
            <w:pPr>
              <w:pStyle w:val="38"/>
            </w:pPr>
            <w:r>
              <w:rPr>
                <w:rFonts w:hint="eastAsia"/>
              </w:rPr>
              <w:t>7</w:t>
            </w: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预算管理</w:t>
            </w:r>
          </w:p>
        </w:tc>
        <w:tc>
          <w:tcPr>
            <w:tcW w:w="1240" w:type="dxa"/>
            <w:shd w:val="clear" w:color="auto" w:fill="auto"/>
            <w:vAlign w:val="center"/>
          </w:tcPr>
          <w:p>
            <w:pPr>
              <w:pStyle w:val="38"/>
            </w:pPr>
            <w:r>
              <w:rPr>
                <w:rFonts w:hint="eastAsia"/>
              </w:rPr>
              <w:t>8</w:t>
            </w:r>
          </w:p>
        </w:tc>
        <w:tc>
          <w:tcPr>
            <w:tcW w:w="1275" w:type="dxa"/>
            <w:shd w:val="clear" w:color="auto" w:fill="auto"/>
            <w:vAlign w:val="center"/>
          </w:tcPr>
          <w:p>
            <w:pPr>
              <w:pStyle w:val="38"/>
            </w:pPr>
            <w:r>
              <w:rPr>
                <w:rFonts w:hint="eastAsia"/>
              </w:rPr>
              <w:t>6</w:t>
            </w:r>
            <w:r>
              <w:t>.5</w:t>
            </w:r>
          </w:p>
        </w:tc>
        <w:tc>
          <w:tcPr>
            <w:tcW w:w="1219" w:type="dxa"/>
            <w:vAlign w:val="center"/>
          </w:tcPr>
          <w:p>
            <w:pPr>
              <w:pStyle w:val="38"/>
            </w:pPr>
            <w:r>
              <w:rPr>
                <w:rFonts w:hint="eastAsia"/>
              </w:rPr>
              <w:t>8</w:t>
            </w:r>
            <w: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绩效管理</w:t>
            </w:r>
          </w:p>
        </w:tc>
        <w:tc>
          <w:tcPr>
            <w:tcW w:w="1240" w:type="dxa"/>
            <w:shd w:val="clear" w:color="auto" w:fill="auto"/>
            <w:vAlign w:val="center"/>
          </w:tcPr>
          <w:p>
            <w:pPr>
              <w:pStyle w:val="38"/>
            </w:pPr>
            <w:r>
              <w:rPr>
                <w:rFonts w:hint="eastAsia"/>
              </w:rPr>
              <w:t>4</w:t>
            </w:r>
          </w:p>
        </w:tc>
        <w:tc>
          <w:tcPr>
            <w:tcW w:w="1275" w:type="dxa"/>
            <w:shd w:val="clear" w:color="auto" w:fill="auto"/>
            <w:vAlign w:val="center"/>
          </w:tcPr>
          <w:p>
            <w:pPr>
              <w:pStyle w:val="38"/>
            </w:pPr>
            <w:r>
              <w:rPr>
                <w:rFonts w:hint="eastAsia"/>
              </w:rPr>
              <w:t>2</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资产管理</w:t>
            </w:r>
          </w:p>
        </w:tc>
        <w:tc>
          <w:tcPr>
            <w:tcW w:w="1240" w:type="dxa"/>
            <w:shd w:val="clear" w:color="auto" w:fill="auto"/>
            <w:vAlign w:val="center"/>
          </w:tcPr>
          <w:p>
            <w:pPr>
              <w:pStyle w:val="38"/>
            </w:pPr>
            <w:r>
              <w:rPr>
                <w:rFonts w:hint="eastAsia"/>
              </w:rPr>
              <w:t>5</w:t>
            </w:r>
          </w:p>
        </w:tc>
        <w:tc>
          <w:tcPr>
            <w:tcW w:w="1275" w:type="dxa"/>
            <w:shd w:val="clear" w:color="auto" w:fill="auto"/>
            <w:vAlign w:val="center"/>
          </w:tcPr>
          <w:p>
            <w:pPr>
              <w:pStyle w:val="38"/>
            </w:pPr>
            <w:r>
              <w:rPr>
                <w:rFonts w:hint="eastAsia"/>
              </w:rPr>
              <w:t>5</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restart"/>
            <w:shd w:val="clear" w:color="auto" w:fill="auto"/>
            <w:vAlign w:val="center"/>
          </w:tcPr>
          <w:p>
            <w:pPr>
              <w:pStyle w:val="38"/>
            </w:pPr>
            <w:r>
              <w:rPr>
                <w:rFonts w:hint="eastAsia"/>
              </w:rPr>
              <w:t>履职产出</w:t>
            </w:r>
            <w:r>
              <w:br w:type="textWrapping"/>
            </w:r>
            <w:r>
              <w:rPr>
                <w:rFonts w:hint="eastAsia"/>
              </w:rPr>
              <w:t>（34分）</w:t>
            </w:r>
          </w:p>
        </w:tc>
        <w:tc>
          <w:tcPr>
            <w:tcW w:w="2605" w:type="dxa"/>
            <w:shd w:val="clear" w:color="auto" w:fill="auto"/>
            <w:vAlign w:val="center"/>
          </w:tcPr>
          <w:p>
            <w:pPr>
              <w:pStyle w:val="38"/>
            </w:pPr>
            <w:r>
              <w:rPr>
                <w:rFonts w:hint="eastAsia"/>
              </w:rPr>
              <w:t>产出数量</w:t>
            </w:r>
          </w:p>
        </w:tc>
        <w:tc>
          <w:tcPr>
            <w:tcW w:w="1240" w:type="dxa"/>
            <w:shd w:val="clear" w:color="auto" w:fill="auto"/>
            <w:vAlign w:val="center"/>
          </w:tcPr>
          <w:p>
            <w:pPr>
              <w:pStyle w:val="38"/>
            </w:pPr>
            <w:r>
              <w:rPr>
                <w:rFonts w:hint="eastAsia"/>
              </w:rPr>
              <w:t>1</w:t>
            </w:r>
            <w:r>
              <w:t>2</w:t>
            </w:r>
          </w:p>
        </w:tc>
        <w:tc>
          <w:tcPr>
            <w:tcW w:w="1275" w:type="dxa"/>
            <w:shd w:val="clear" w:color="auto" w:fill="auto"/>
            <w:vAlign w:val="center"/>
          </w:tcPr>
          <w:p>
            <w:pPr>
              <w:pStyle w:val="38"/>
            </w:pPr>
            <w:r>
              <w:rPr>
                <w:rFonts w:hint="eastAsia"/>
              </w:rPr>
              <w:t>1</w:t>
            </w:r>
            <w:r>
              <w:t>2</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产出质量</w:t>
            </w:r>
          </w:p>
        </w:tc>
        <w:tc>
          <w:tcPr>
            <w:tcW w:w="1240" w:type="dxa"/>
            <w:shd w:val="clear" w:color="auto" w:fill="auto"/>
            <w:vAlign w:val="center"/>
          </w:tcPr>
          <w:p>
            <w:pPr>
              <w:pStyle w:val="38"/>
            </w:pPr>
            <w:r>
              <w:rPr>
                <w:rFonts w:hint="eastAsia"/>
              </w:rPr>
              <w:t>1</w:t>
            </w:r>
            <w:r>
              <w:t>2</w:t>
            </w:r>
          </w:p>
        </w:tc>
        <w:tc>
          <w:tcPr>
            <w:tcW w:w="1275" w:type="dxa"/>
            <w:shd w:val="clear" w:color="auto" w:fill="auto"/>
            <w:vAlign w:val="center"/>
          </w:tcPr>
          <w:p>
            <w:pPr>
              <w:pStyle w:val="38"/>
            </w:pPr>
            <w:r>
              <w:t>1</w:t>
            </w:r>
            <w:r>
              <w:rPr>
                <w:rFonts w:hint="eastAsia"/>
              </w:rPr>
              <w:t>2</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vAlign w:val="center"/>
          </w:tcPr>
          <w:p>
            <w:pPr>
              <w:pStyle w:val="38"/>
            </w:pPr>
          </w:p>
        </w:tc>
        <w:tc>
          <w:tcPr>
            <w:tcW w:w="2605" w:type="dxa"/>
            <w:shd w:val="clear" w:color="auto" w:fill="auto"/>
            <w:vAlign w:val="center"/>
          </w:tcPr>
          <w:p>
            <w:pPr>
              <w:pStyle w:val="38"/>
            </w:pPr>
            <w:r>
              <w:rPr>
                <w:rFonts w:hint="eastAsia"/>
              </w:rPr>
              <w:t>产出进度</w:t>
            </w:r>
          </w:p>
        </w:tc>
        <w:tc>
          <w:tcPr>
            <w:tcW w:w="1240" w:type="dxa"/>
            <w:shd w:val="clear" w:color="auto" w:fill="auto"/>
            <w:vAlign w:val="center"/>
          </w:tcPr>
          <w:p>
            <w:pPr>
              <w:pStyle w:val="38"/>
            </w:pPr>
            <w:r>
              <w:rPr>
                <w:rFonts w:hint="eastAsia"/>
              </w:rPr>
              <w:t>4</w:t>
            </w:r>
          </w:p>
        </w:tc>
        <w:tc>
          <w:tcPr>
            <w:tcW w:w="1275" w:type="dxa"/>
            <w:shd w:val="clear" w:color="auto" w:fill="auto"/>
            <w:vAlign w:val="center"/>
          </w:tcPr>
          <w:p>
            <w:pPr>
              <w:pStyle w:val="38"/>
            </w:pPr>
            <w:r>
              <w:rPr>
                <w:rFonts w:hint="eastAsia"/>
              </w:rPr>
              <w:t>4</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vMerge w:val="continue"/>
            <w:tcBorders>
              <w:bottom w:val="single" w:color="auto" w:sz="4" w:space="0"/>
            </w:tcBorders>
            <w:vAlign w:val="center"/>
          </w:tcPr>
          <w:p>
            <w:pPr>
              <w:pStyle w:val="38"/>
            </w:pPr>
          </w:p>
        </w:tc>
        <w:tc>
          <w:tcPr>
            <w:tcW w:w="2605" w:type="dxa"/>
            <w:shd w:val="clear" w:color="auto" w:fill="auto"/>
            <w:vAlign w:val="center"/>
          </w:tcPr>
          <w:p>
            <w:pPr>
              <w:pStyle w:val="38"/>
            </w:pPr>
            <w:r>
              <w:rPr>
                <w:rFonts w:hint="eastAsia"/>
              </w:rPr>
              <w:t>产出成本</w:t>
            </w:r>
          </w:p>
        </w:tc>
        <w:tc>
          <w:tcPr>
            <w:tcW w:w="1240" w:type="dxa"/>
            <w:shd w:val="clear" w:color="auto" w:fill="auto"/>
            <w:vAlign w:val="center"/>
          </w:tcPr>
          <w:p>
            <w:pPr>
              <w:pStyle w:val="38"/>
            </w:pPr>
            <w:r>
              <w:rPr>
                <w:rFonts w:hint="eastAsia"/>
              </w:rPr>
              <w:t>6</w:t>
            </w:r>
          </w:p>
        </w:tc>
        <w:tc>
          <w:tcPr>
            <w:tcW w:w="1275" w:type="dxa"/>
            <w:shd w:val="clear" w:color="auto" w:fill="auto"/>
            <w:vAlign w:val="center"/>
          </w:tcPr>
          <w:p>
            <w:pPr>
              <w:pStyle w:val="38"/>
            </w:pPr>
            <w:r>
              <w:t>6</w:t>
            </w:r>
          </w:p>
        </w:tc>
        <w:tc>
          <w:tcPr>
            <w:tcW w:w="1219" w:type="dxa"/>
            <w:vAlign w:val="center"/>
          </w:tcPr>
          <w:p>
            <w:pPr>
              <w:pStyle w:val="38"/>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shd w:val="clear" w:color="auto" w:fill="auto"/>
            <w:vAlign w:val="center"/>
          </w:tcPr>
          <w:p>
            <w:pPr>
              <w:pStyle w:val="38"/>
            </w:pPr>
            <w:r>
              <w:rPr>
                <w:rFonts w:hint="eastAsia"/>
              </w:rPr>
              <w:t>履职效益</w:t>
            </w:r>
            <w:r>
              <w:rPr>
                <w:rFonts w:hint="eastAsia"/>
              </w:rPr>
              <w:br w:type="textWrapping"/>
            </w:r>
            <w:r>
              <w:rPr>
                <w:rFonts w:hint="eastAsia"/>
              </w:rPr>
              <w:t>（20分）</w:t>
            </w:r>
          </w:p>
        </w:tc>
        <w:tc>
          <w:tcPr>
            <w:tcW w:w="2605" w:type="dxa"/>
            <w:shd w:val="clear" w:color="auto" w:fill="auto"/>
            <w:vAlign w:val="center"/>
          </w:tcPr>
          <w:p>
            <w:pPr>
              <w:pStyle w:val="38"/>
            </w:pPr>
            <w:r>
              <w:rPr>
                <w:rFonts w:hint="eastAsia"/>
              </w:rPr>
              <w:t>社会效益</w:t>
            </w:r>
          </w:p>
        </w:tc>
        <w:tc>
          <w:tcPr>
            <w:tcW w:w="1240" w:type="dxa"/>
            <w:shd w:val="clear" w:color="auto" w:fill="auto"/>
            <w:vAlign w:val="center"/>
          </w:tcPr>
          <w:p>
            <w:pPr>
              <w:pStyle w:val="38"/>
            </w:pPr>
            <w:r>
              <w:rPr>
                <w:rFonts w:hint="eastAsia"/>
              </w:rPr>
              <w:t>2</w:t>
            </w:r>
            <w:r>
              <w:t>0</w:t>
            </w:r>
          </w:p>
        </w:tc>
        <w:tc>
          <w:tcPr>
            <w:tcW w:w="1275" w:type="dxa"/>
            <w:shd w:val="clear" w:color="auto" w:fill="auto"/>
            <w:vAlign w:val="center"/>
          </w:tcPr>
          <w:p>
            <w:pPr>
              <w:pStyle w:val="38"/>
            </w:pPr>
            <w:r>
              <w:rPr>
                <w:rFonts w:hint="eastAsia"/>
              </w:rPr>
              <w:t>2</w:t>
            </w:r>
            <w:r>
              <w:t>0</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3" w:type="dxa"/>
            <w:tcBorders>
              <w:top w:val="single" w:color="auto" w:sz="4" w:space="0"/>
            </w:tcBorders>
            <w:shd w:val="clear" w:color="auto" w:fill="auto"/>
            <w:vAlign w:val="center"/>
          </w:tcPr>
          <w:p>
            <w:pPr>
              <w:pStyle w:val="38"/>
            </w:pPr>
            <w:r>
              <w:rPr>
                <w:rFonts w:hint="eastAsia"/>
              </w:rPr>
              <w:t>履职满意度</w:t>
            </w:r>
            <w:r>
              <w:br w:type="textWrapping"/>
            </w:r>
            <w:r>
              <w:rPr>
                <w:rFonts w:hint="eastAsia"/>
              </w:rPr>
              <w:t>（</w:t>
            </w:r>
            <w:r>
              <w:t>6</w:t>
            </w:r>
            <w:r>
              <w:rPr>
                <w:rFonts w:hint="eastAsia"/>
              </w:rPr>
              <w:t>分）</w:t>
            </w:r>
          </w:p>
        </w:tc>
        <w:tc>
          <w:tcPr>
            <w:tcW w:w="2605" w:type="dxa"/>
            <w:shd w:val="clear" w:color="auto" w:fill="auto"/>
            <w:vAlign w:val="center"/>
          </w:tcPr>
          <w:p>
            <w:pPr>
              <w:pStyle w:val="38"/>
            </w:pPr>
            <w:r>
              <w:rPr>
                <w:rFonts w:hint="eastAsia"/>
              </w:rPr>
              <w:t>服务对象满意度</w:t>
            </w:r>
          </w:p>
        </w:tc>
        <w:tc>
          <w:tcPr>
            <w:tcW w:w="1240" w:type="dxa"/>
            <w:shd w:val="clear" w:color="auto" w:fill="auto"/>
            <w:vAlign w:val="center"/>
          </w:tcPr>
          <w:p>
            <w:pPr>
              <w:pStyle w:val="38"/>
            </w:pPr>
            <w:r>
              <w:rPr>
                <w:rFonts w:hint="eastAsia"/>
              </w:rPr>
              <w:t>6</w:t>
            </w:r>
          </w:p>
        </w:tc>
        <w:tc>
          <w:tcPr>
            <w:tcW w:w="1275" w:type="dxa"/>
            <w:shd w:val="clear" w:color="auto" w:fill="auto"/>
            <w:vAlign w:val="center"/>
          </w:tcPr>
          <w:p>
            <w:pPr>
              <w:pStyle w:val="38"/>
            </w:pPr>
            <w:r>
              <w:rPr>
                <w:rFonts w:hint="eastAsia"/>
              </w:rPr>
              <w:t>6</w:t>
            </w:r>
          </w:p>
        </w:tc>
        <w:tc>
          <w:tcPr>
            <w:tcW w:w="1219" w:type="dxa"/>
            <w:vAlign w:val="center"/>
          </w:tcPr>
          <w:p>
            <w:pPr>
              <w:pStyle w:val="38"/>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568" w:type="dxa"/>
            <w:gridSpan w:val="2"/>
            <w:shd w:val="clear" w:color="auto" w:fill="auto"/>
            <w:vAlign w:val="center"/>
          </w:tcPr>
          <w:p>
            <w:pPr>
              <w:pStyle w:val="38"/>
              <w:rPr>
                <w:b/>
                <w:bCs/>
              </w:rPr>
            </w:pPr>
            <w:r>
              <w:rPr>
                <w:rFonts w:hint="eastAsia"/>
                <w:b/>
                <w:bCs/>
              </w:rPr>
              <w:t>合计</w:t>
            </w:r>
          </w:p>
        </w:tc>
        <w:tc>
          <w:tcPr>
            <w:tcW w:w="1240" w:type="dxa"/>
            <w:shd w:val="clear" w:color="auto" w:fill="auto"/>
            <w:vAlign w:val="center"/>
          </w:tcPr>
          <w:p>
            <w:pPr>
              <w:pStyle w:val="38"/>
              <w:rPr>
                <w:b/>
                <w:bCs/>
              </w:rPr>
            </w:pPr>
            <w:r>
              <w:rPr>
                <w:rFonts w:hint="eastAsia"/>
                <w:b/>
                <w:bCs/>
              </w:rPr>
              <w:t>1</w:t>
            </w:r>
            <w:r>
              <w:rPr>
                <w:b/>
                <w:bCs/>
              </w:rPr>
              <w:t>00</w:t>
            </w:r>
          </w:p>
        </w:tc>
        <w:tc>
          <w:tcPr>
            <w:tcW w:w="1275" w:type="dxa"/>
            <w:shd w:val="clear" w:color="auto" w:fill="auto"/>
            <w:vAlign w:val="center"/>
          </w:tcPr>
          <w:p>
            <w:pPr>
              <w:pStyle w:val="38"/>
              <w:rPr>
                <w:b/>
                <w:bCs/>
              </w:rPr>
            </w:pPr>
            <w:r>
              <w:rPr>
                <w:b/>
                <w:bCs/>
              </w:rPr>
              <w:t>92.5</w:t>
            </w:r>
          </w:p>
        </w:tc>
        <w:tc>
          <w:tcPr>
            <w:tcW w:w="1219" w:type="dxa"/>
            <w:vAlign w:val="center"/>
          </w:tcPr>
          <w:p>
            <w:pPr>
              <w:pStyle w:val="38"/>
              <w:rPr>
                <w:b/>
                <w:bCs/>
              </w:rPr>
            </w:pPr>
            <w:r>
              <w:rPr>
                <w:b/>
                <w:bCs/>
              </w:rPr>
              <w:t>92.5%</w:t>
            </w:r>
          </w:p>
        </w:tc>
      </w:tr>
    </w:tbl>
    <w:p>
      <w:pPr>
        <w:pStyle w:val="26"/>
        <w:ind w:firstLine="640"/>
      </w:pPr>
      <w:bookmarkStart w:id="50" w:name="_Toc53326868"/>
      <w:bookmarkStart w:id="51" w:name="_Toc91375454"/>
      <w:bookmarkStart w:id="52" w:name="_Toc91375841"/>
      <w:r>
        <w:rPr>
          <w:rFonts w:hint="eastAsia"/>
        </w:rPr>
        <w:t>根据上述结果，区应急局部门整体支出绩效情况良好</w:t>
      </w:r>
      <w:r>
        <w:t>，其中</w:t>
      </w:r>
      <w:r>
        <w:rPr>
          <w:rFonts w:hint="eastAsia"/>
        </w:rPr>
        <w:t>：部门决策方面，单位决策依据充分，预算分配合理，但存在部门整体支出绩效目标与预算批复资金匹配性较差的问题；管理效率方面，单位预算资金管理情况较好，资产管理情况良好，预算执行率高，在职人员、公用经费与“三公经费”控制情况良好，但存在预算调整浮动偏大、绩效管理不完善的情况；部门产出方面，单位整体产出数量、质量、时效、成本控制完成情况达到了预期目标；履职效益方面，单位社会效益情况影响良好，受益对象满意度高。</w:t>
      </w:r>
    </w:p>
    <w:bookmarkEnd w:id="50"/>
    <w:bookmarkEnd w:id="51"/>
    <w:bookmarkEnd w:id="52"/>
    <w:p>
      <w:pPr>
        <w:pStyle w:val="30"/>
        <w:ind w:firstLine="640"/>
        <w:rPr>
          <w:rFonts w:ascii="Times New Roman" w:hAnsi="Times New Roman"/>
        </w:rPr>
      </w:pPr>
      <w:bookmarkStart w:id="53" w:name="_Toc122938693"/>
      <w:bookmarkStart w:id="54" w:name="_Toc151427048"/>
      <w:r>
        <w:rPr>
          <w:rFonts w:hint="eastAsia" w:ascii="Times New Roman" w:hAnsi="Times New Roman"/>
        </w:rPr>
        <w:t>（三）指标详细分析</w:t>
      </w:r>
      <w:bookmarkEnd w:id="53"/>
      <w:bookmarkEnd w:id="54"/>
    </w:p>
    <w:p>
      <w:pPr>
        <w:pStyle w:val="26"/>
        <w:ind w:firstLine="640"/>
      </w:pPr>
      <w:r>
        <w:rPr>
          <w:rFonts w:hint="eastAsia"/>
        </w:rPr>
        <w:t>1</w:t>
      </w:r>
      <w:r>
        <w:t>.</w:t>
      </w:r>
      <w:r>
        <w:rPr>
          <w:rFonts w:hint="eastAsia"/>
        </w:rPr>
        <w:t>部门决策</w:t>
      </w:r>
    </w:p>
    <w:p>
      <w:pPr>
        <w:pStyle w:val="26"/>
        <w:ind w:firstLine="640"/>
      </w:pPr>
      <w:r>
        <w:rPr>
          <w:rFonts w:hint="eastAsia"/>
        </w:rPr>
        <w:t>（1）绩效目标</w:t>
      </w:r>
    </w:p>
    <w:p>
      <w:pPr>
        <w:pStyle w:val="26"/>
        <w:ind w:firstLine="640"/>
      </w:pPr>
      <w:r>
        <w:rPr>
          <w:rFonts w:hint="eastAsia"/>
        </w:rPr>
        <w:t>①绩效目标与部门职责的相符性、年度任务对应性：分值1分，得分</w:t>
      </w:r>
      <w:r>
        <w:t>1</w:t>
      </w:r>
      <w:r>
        <w:rPr>
          <w:rFonts w:hint="eastAsia"/>
        </w:rPr>
        <w:t>分，得分率</w:t>
      </w:r>
      <w:r>
        <w:t>100</w:t>
      </w:r>
      <w:r>
        <w:rPr>
          <w:rFonts w:hint="eastAsia"/>
        </w:rPr>
        <w:t>%。根据部门所提供2</w:t>
      </w:r>
      <w:r>
        <w:t>022</w:t>
      </w:r>
      <w:r>
        <w:rPr>
          <w:rFonts w:hint="eastAsia"/>
        </w:rPr>
        <w:t>年度部门整体支出绩效目标表、部门三定方案与部门年度工作计划进行评分，主要针对部门整体绩效目标年度主要任务是否符合国家法律法规、国民经济、社会发展总体规划及部门职责；年度总体绩效目标制定内容是否与年度主要任务内容相匹配等方面进行评价。</w:t>
      </w:r>
    </w:p>
    <w:p>
      <w:pPr>
        <w:pStyle w:val="26"/>
        <w:ind w:firstLine="640"/>
      </w:pPr>
      <w:r>
        <w:rPr>
          <w:rFonts w:hint="eastAsia"/>
        </w:rPr>
        <w:t>区应急局</w:t>
      </w:r>
      <w:r>
        <w:t>2022</w:t>
      </w:r>
      <w:r>
        <w:rPr>
          <w:rFonts w:hint="eastAsia"/>
        </w:rPr>
        <w:t>年度共设置</w:t>
      </w:r>
      <w:r>
        <w:t>3</w:t>
      </w:r>
      <w:r>
        <w:rPr>
          <w:rFonts w:hint="eastAsia"/>
        </w:rPr>
        <w:t>项年度主要任务，分别为“保障机构运行”、“应急、执法工作”、“安全隐患排查工作”，部门根据</w:t>
      </w:r>
      <w:r>
        <w:t>3</w:t>
      </w:r>
      <w:r>
        <w:rPr>
          <w:rFonts w:hint="eastAsia"/>
        </w:rPr>
        <w:t>项年度主要任务共设置</w:t>
      </w:r>
      <w:r>
        <w:t>3</w:t>
      </w:r>
      <w:r>
        <w:rPr>
          <w:rFonts w:hint="eastAsia"/>
        </w:rPr>
        <w:t>项年度总体绩效目标，分别为“</w:t>
      </w:r>
      <w:r>
        <w:t>目标1：通过支付人员经费及办公经费等保障机构正常运转</w:t>
      </w:r>
      <w:r>
        <w:rPr>
          <w:rFonts w:hint="eastAsia"/>
        </w:rPr>
        <w:t>”、“</w:t>
      </w:r>
      <w:r>
        <w:t>目标</w:t>
      </w:r>
      <w:r>
        <w:rPr>
          <w:rFonts w:hint="eastAsia"/>
        </w:rPr>
        <w:t>2：</w:t>
      </w:r>
      <w:r>
        <w:t>通过采购执法服装、租用执法车辆、购买移动执法终端等保障执法工作顺利开展，提高执法工作效率，提升执法服务水平</w:t>
      </w:r>
      <w:r>
        <w:rPr>
          <w:rFonts w:hint="eastAsia"/>
        </w:rPr>
        <w:t>”、“</w:t>
      </w:r>
      <w:r>
        <w:t>目标3：开展安全生产监督检查、自然灾害等突发事件处置和防灾救灾工作，减少安全生产隐患，避免发生重特大安全生产事故</w:t>
      </w:r>
      <w:r>
        <w:rPr>
          <w:rFonts w:hint="eastAsia"/>
        </w:rPr>
        <w:t>”。年度主要任务符合《天津市和平区应急管理“十四五”规划》中“夯实应急管理基础，提高应急管理法治水平”、“防范化解重大安全风险，提升风险防范能力”的要求，与区应急局主要职责中“负责应急管理工作”、“加强、优化、统筹应急能力建设”、“依法行使安全生产综合监督管理职权”等职责相符。</w:t>
      </w:r>
    </w:p>
    <w:p>
      <w:pPr>
        <w:pStyle w:val="26"/>
        <w:ind w:firstLine="640"/>
      </w:pPr>
      <w:r>
        <w:rPr>
          <w:rFonts w:hint="eastAsia"/>
        </w:rPr>
        <w:t>②绩效指标清晰量化程度：分值1分，得分</w:t>
      </w:r>
      <w:r>
        <w:t>1</w:t>
      </w:r>
      <w:r>
        <w:rPr>
          <w:rFonts w:hint="eastAsia"/>
        </w:rPr>
        <w:t>分，得分率</w:t>
      </w:r>
      <w:r>
        <w:t>100</w:t>
      </w:r>
      <w:r>
        <w:rPr>
          <w:rFonts w:hint="eastAsia"/>
        </w:rPr>
        <w:t>%。根据部门所提供2</w:t>
      </w:r>
      <w:r>
        <w:t>022</w:t>
      </w:r>
      <w:r>
        <w:rPr>
          <w:rFonts w:hint="eastAsia"/>
        </w:rPr>
        <w:t>年度部门整体支出绩效目标表进行评分，主要针对部门整体支出绩效目标年度绩效指标是否通过清晰、可衡量的指标值予以体现方面进行评价。部门2</w:t>
      </w:r>
      <w:r>
        <w:t>022</w:t>
      </w:r>
      <w:r>
        <w:rPr>
          <w:rFonts w:hint="eastAsia"/>
        </w:rPr>
        <w:t>年共设置</w:t>
      </w:r>
      <w:r>
        <w:t>24</w:t>
      </w:r>
      <w:r>
        <w:rPr>
          <w:rFonts w:hint="eastAsia"/>
        </w:rPr>
        <w:t>条产出指标、</w:t>
      </w:r>
      <w:r>
        <w:t>4</w:t>
      </w:r>
      <w:r>
        <w:rPr>
          <w:rFonts w:hint="eastAsia"/>
        </w:rPr>
        <w:t>条效益指标、</w:t>
      </w:r>
      <w:r>
        <w:t>1</w:t>
      </w:r>
      <w:r>
        <w:rPr>
          <w:rFonts w:hint="eastAsia"/>
        </w:rPr>
        <w:t>条满意度指标，具体三级指标名称及指标值如下表所示。</w:t>
      </w:r>
    </w:p>
    <w:p>
      <w:pPr>
        <w:pStyle w:val="33"/>
      </w:pPr>
      <w:r>
        <w:rPr>
          <w:rFonts w:hint="eastAsia"/>
        </w:rPr>
        <w:t>表3.</w:t>
      </w:r>
      <w:r>
        <w:t>3</w:t>
      </w:r>
      <w:r>
        <w:rPr>
          <w:rFonts w:hint="eastAsia"/>
        </w:rPr>
        <w:t>.</w:t>
      </w:r>
      <w:r>
        <w:t xml:space="preserve">1.1.2 </w:t>
      </w:r>
      <w:r>
        <w:rPr>
          <w:rFonts w:hint="eastAsia"/>
        </w:rPr>
        <w:t>年度绩效指标信息表</w:t>
      </w:r>
    </w:p>
    <w:tbl>
      <w:tblPr>
        <w:tblStyle w:val="19"/>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812"/>
        <w:gridCol w:w="2070"/>
        <w:gridCol w:w="3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Align w:val="center"/>
          </w:tcPr>
          <w:p>
            <w:pPr>
              <w:pStyle w:val="33"/>
              <w:spacing w:line="240" w:lineRule="auto"/>
              <w:rPr>
                <w:sz w:val="21"/>
                <w:szCs w:val="21"/>
              </w:rPr>
            </w:pPr>
            <w:r>
              <w:rPr>
                <w:rFonts w:hint="eastAsia"/>
                <w:sz w:val="21"/>
                <w:szCs w:val="21"/>
              </w:rPr>
              <w:t>一级指标</w:t>
            </w:r>
          </w:p>
        </w:tc>
        <w:tc>
          <w:tcPr>
            <w:tcW w:w="1812" w:type="dxa"/>
            <w:vAlign w:val="center"/>
          </w:tcPr>
          <w:p>
            <w:pPr>
              <w:pStyle w:val="33"/>
              <w:spacing w:line="240" w:lineRule="auto"/>
              <w:rPr>
                <w:sz w:val="21"/>
                <w:szCs w:val="21"/>
              </w:rPr>
            </w:pPr>
            <w:r>
              <w:rPr>
                <w:rFonts w:hint="eastAsia"/>
                <w:sz w:val="21"/>
                <w:szCs w:val="21"/>
              </w:rPr>
              <w:t>二级指标</w:t>
            </w:r>
          </w:p>
        </w:tc>
        <w:tc>
          <w:tcPr>
            <w:tcW w:w="2070" w:type="dxa"/>
            <w:vAlign w:val="center"/>
          </w:tcPr>
          <w:p>
            <w:pPr>
              <w:pStyle w:val="33"/>
              <w:spacing w:line="240" w:lineRule="auto"/>
              <w:rPr>
                <w:sz w:val="21"/>
                <w:szCs w:val="21"/>
              </w:rPr>
            </w:pPr>
            <w:r>
              <w:rPr>
                <w:rFonts w:hint="eastAsia"/>
                <w:sz w:val="21"/>
                <w:szCs w:val="21"/>
              </w:rPr>
              <w:t>三级指标</w:t>
            </w:r>
          </w:p>
        </w:tc>
        <w:tc>
          <w:tcPr>
            <w:tcW w:w="3351" w:type="dxa"/>
            <w:vAlign w:val="center"/>
          </w:tcPr>
          <w:p>
            <w:pPr>
              <w:pStyle w:val="33"/>
              <w:spacing w:line="240" w:lineRule="auto"/>
              <w:rPr>
                <w:sz w:val="21"/>
                <w:szCs w:val="21"/>
              </w:rPr>
            </w:pPr>
            <w:r>
              <w:rPr>
                <w:rFonts w:hint="eastAsia"/>
                <w:sz w:val="21"/>
                <w:szCs w:val="21"/>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restart"/>
            <w:vAlign w:val="center"/>
          </w:tcPr>
          <w:p>
            <w:pPr>
              <w:pStyle w:val="33"/>
              <w:spacing w:line="240" w:lineRule="auto"/>
              <w:rPr>
                <w:rFonts w:eastAsia="宋体"/>
                <w:sz w:val="21"/>
                <w:szCs w:val="21"/>
              </w:rPr>
            </w:pPr>
            <w:r>
              <w:rPr>
                <w:rFonts w:hint="eastAsia" w:eastAsia="宋体"/>
                <w:sz w:val="21"/>
                <w:szCs w:val="21"/>
              </w:rPr>
              <w:t>产出指标</w:t>
            </w:r>
          </w:p>
        </w:tc>
        <w:tc>
          <w:tcPr>
            <w:tcW w:w="1812" w:type="dxa"/>
            <w:vMerge w:val="restart"/>
            <w:vAlign w:val="center"/>
          </w:tcPr>
          <w:p>
            <w:pPr>
              <w:pStyle w:val="33"/>
              <w:spacing w:line="240" w:lineRule="auto"/>
              <w:rPr>
                <w:rFonts w:eastAsia="宋体"/>
                <w:sz w:val="21"/>
                <w:szCs w:val="21"/>
              </w:rPr>
            </w:pPr>
            <w:r>
              <w:rPr>
                <w:rFonts w:hint="eastAsia" w:eastAsia="宋体"/>
                <w:sz w:val="21"/>
                <w:szCs w:val="21"/>
              </w:rPr>
              <w:t>数量指标</w:t>
            </w:r>
          </w:p>
        </w:tc>
        <w:tc>
          <w:tcPr>
            <w:tcW w:w="2070" w:type="dxa"/>
            <w:vAlign w:val="center"/>
          </w:tcPr>
          <w:p>
            <w:pPr>
              <w:pStyle w:val="33"/>
              <w:spacing w:line="240" w:lineRule="auto"/>
              <w:rPr>
                <w:rFonts w:eastAsia="宋体"/>
                <w:sz w:val="21"/>
                <w:szCs w:val="21"/>
              </w:rPr>
            </w:pPr>
            <w:r>
              <w:rPr>
                <w:rFonts w:hint="eastAsia" w:eastAsia="宋体"/>
                <w:sz w:val="21"/>
                <w:szCs w:val="21"/>
              </w:rPr>
              <w:t>指标1：保障部门正常运转数</w:t>
            </w:r>
          </w:p>
        </w:tc>
        <w:tc>
          <w:tcPr>
            <w:tcW w:w="3351" w:type="dxa"/>
            <w:vAlign w:val="center"/>
          </w:tcPr>
          <w:p>
            <w:pPr>
              <w:pStyle w:val="33"/>
              <w:spacing w:line="240" w:lineRule="auto"/>
              <w:rPr>
                <w:rFonts w:eastAsia="宋体"/>
                <w:sz w:val="21"/>
                <w:szCs w:val="21"/>
              </w:rPr>
            </w:pPr>
            <w:r>
              <w:rPr>
                <w:rFonts w:hint="eastAsia" w:eastAsia="宋体"/>
                <w:sz w:val="21"/>
                <w:szCs w:val="21"/>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指标2：采购国家统一标准执法服装数量</w:t>
            </w:r>
          </w:p>
        </w:tc>
        <w:tc>
          <w:tcPr>
            <w:tcW w:w="3351" w:type="dxa"/>
            <w:vAlign w:val="center"/>
          </w:tcPr>
          <w:p>
            <w:pPr>
              <w:pStyle w:val="33"/>
              <w:spacing w:line="240" w:lineRule="auto"/>
              <w:rPr>
                <w:rFonts w:eastAsia="宋体"/>
                <w:sz w:val="21"/>
                <w:szCs w:val="21"/>
              </w:rPr>
            </w:pPr>
            <w:r>
              <w:rPr>
                <w:rFonts w:hint="eastAsia" w:eastAsia="宋体"/>
                <w:sz w:val="21"/>
                <w:szCs w:val="21"/>
              </w:rPr>
              <w:t>≤18套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指标3：租用执法车辆</w:t>
            </w:r>
          </w:p>
        </w:tc>
        <w:tc>
          <w:tcPr>
            <w:tcW w:w="3351" w:type="dxa"/>
            <w:vAlign w:val="center"/>
          </w:tcPr>
          <w:p>
            <w:pPr>
              <w:pStyle w:val="33"/>
              <w:spacing w:line="240" w:lineRule="auto"/>
              <w:rPr>
                <w:rFonts w:eastAsia="宋体"/>
                <w:sz w:val="21"/>
                <w:szCs w:val="21"/>
              </w:rPr>
            </w:pPr>
            <w:r>
              <w:rPr>
                <w:rFonts w:hint="eastAsia" w:eastAsia="宋体"/>
                <w:sz w:val="21"/>
                <w:szCs w:val="21"/>
              </w:rPr>
              <w:t>≤2辆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指标4：订阅报纸</w:t>
            </w:r>
          </w:p>
        </w:tc>
        <w:tc>
          <w:tcPr>
            <w:tcW w:w="3351" w:type="dxa"/>
            <w:vAlign w:val="center"/>
          </w:tcPr>
          <w:p>
            <w:pPr>
              <w:pStyle w:val="33"/>
              <w:spacing w:line="240" w:lineRule="auto"/>
              <w:rPr>
                <w:rFonts w:eastAsia="宋体"/>
                <w:sz w:val="21"/>
                <w:szCs w:val="21"/>
              </w:rPr>
            </w:pPr>
            <w:r>
              <w:rPr>
                <w:rFonts w:hint="eastAsia" w:eastAsia="宋体"/>
                <w:sz w:val="21"/>
                <w:szCs w:val="21"/>
              </w:rPr>
              <w:t>≥3份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指标5：订阅杂志</w:t>
            </w:r>
          </w:p>
        </w:tc>
        <w:tc>
          <w:tcPr>
            <w:tcW w:w="3351" w:type="dxa"/>
            <w:vAlign w:val="center"/>
          </w:tcPr>
          <w:p>
            <w:pPr>
              <w:pStyle w:val="33"/>
              <w:spacing w:line="240" w:lineRule="auto"/>
              <w:rPr>
                <w:rFonts w:eastAsia="宋体"/>
                <w:sz w:val="21"/>
                <w:szCs w:val="21"/>
              </w:rPr>
            </w:pPr>
            <w:r>
              <w:rPr>
                <w:rFonts w:hint="eastAsia" w:eastAsia="宋体"/>
                <w:sz w:val="21"/>
                <w:szCs w:val="21"/>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指标6：执法终端购置数量</w:t>
            </w:r>
          </w:p>
        </w:tc>
        <w:tc>
          <w:tcPr>
            <w:tcW w:w="3351" w:type="dxa"/>
            <w:vAlign w:val="center"/>
          </w:tcPr>
          <w:p>
            <w:pPr>
              <w:pStyle w:val="33"/>
              <w:spacing w:line="240" w:lineRule="auto"/>
              <w:rPr>
                <w:rFonts w:eastAsia="宋体"/>
                <w:sz w:val="21"/>
                <w:szCs w:val="21"/>
              </w:rPr>
            </w:pPr>
            <w:r>
              <w:rPr>
                <w:rFonts w:hint="eastAsia" w:eastAsia="宋体"/>
                <w:sz w:val="21"/>
                <w:szCs w:val="21"/>
              </w:rPr>
              <w:t>≥4台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指标7：开展突发事件处置和防灾救灾工作次数</w:t>
            </w:r>
          </w:p>
        </w:tc>
        <w:tc>
          <w:tcPr>
            <w:tcW w:w="3351" w:type="dxa"/>
            <w:vAlign w:val="center"/>
          </w:tcPr>
          <w:p>
            <w:pPr>
              <w:pStyle w:val="33"/>
              <w:spacing w:line="240" w:lineRule="auto"/>
              <w:rPr>
                <w:rFonts w:eastAsia="宋体"/>
                <w:sz w:val="21"/>
                <w:szCs w:val="21"/>
              </w:rPr>
            </w:pPr>
            <w:r>
              <w:rPr>
                <w:rFonts w:hint="eastAsia" w:eastAsia="宋体"/>
                <w:sz w:val="21"/>
                <w:szCs w:val="21"/>
              </w:rPr>
              <w:t>≥10次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restart"/>
            <w:vAlign w:val="center"/>
          </w:tcPr>
          <w:p>
            <w:pPr>
              <w:pStyle w:val="33"/>
              <w:spacing w:line="240" w:lineRule="auto"/>
              <w:rPr>
                <w:rFonts w:eastAsia="宋体"/>
                <w:sz w:val="21"/>
                <w:szCs w:val="21"/>
              </w:rPr>
            </w:pPr>
            <w:r>
              <w:rPr>
                <w:rFonts w:hint="eastAsia" w:eastAsia="宋体"/>
                <w:sz w:val="21"/>
                <w:szCs w:val="21"/>
              </w:rPr>
              <w:t>质量指标</w:t>
            </w:r>
          </w:p>
        </w:tc>
        <w:tc>
          <w:tcPr>
            <w:tcW w:w="2070" w:type="dxa"/>
            <w:vAlign w:val="center"/>
          </w:tcPr>
          <w:p>
            <w:pPr>
              <w:pStyle w:val="33"/>
              <w:spacing w:line="240" w:lineRule="auto"/>
              <w:rPr>
                <w:rFonts w:eastAsia="宋体"/>
                <w:sz w:val="21"/>
                <w:szCs w:val="21"/>
              </w:rPr>
            </w:pPr>
            <w:r>
              <w:rPr>
                <w:rFonts w:hint="eastAsia" w:eastAsia="宋体"/>
                <w:sz w:val="21"/>
                <w:szCs w:val="21"/>
              </w:rPr>
              <w:t>指标1：物业服务覆盖率</w:t>
            </w:r>
          </w:p>
        </w:tc>
        <w:tc>
          <w:tcPr>
            <w:tcW w:w="3351" w:type="dxa"/>
            <w:vAlign w:val="center"/>
          </w:tcPr>
          <w:p>
            <w:pPr>
              <w:pStyle w:val="33"/>
              <w:spacing w:line="240" w:lineRule="auto"/>
              <w:rPr>
                <w:rFonts w:eastAsia="宋体"/>
                <w:sz w:val="21"/>
                <w:szCs w:val="21"/>
              </w:rPr>
            </w:pPr>
            <w:r>
              <w:rPr>
                <w:rFonts w:hint="eastAsia" w:eastAsia="宋体"/>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指标2：国家统一标准执法服装覆盖率</w:t>
            </w:r>
          </w:p>
        </w:tc>
        <w:tc>
          <w:tcPr>
            <w:tcW w:w="3351" w:type="dxa"/>
            <w:vAlign w:val="center"/>
          </w:tcPr>
          <w:p>
            <w:pPr>
              <w:pStyle w:val="33"/>
              <w:spacing w:line="240" w:lineRule="auto"/>
              <w:rPr>
                <w:rFonts w:eastAsia="宋体"/>
                <w:sz w:val="21"/>
                <w:szCs w:val="21"/>
              </w:rPr>
            </w:pPr>
            <w:r>
              <w:rPr>
                <w:rFonts w:hint="eastAsia" w:eastAsia="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指标3：执法终端验收合格率</w:t>
            </w:r>
          </w:p>
        </w:tc>
        <w:tc>
          <w:tcPr>
            <w:tcW w:w="3351" w:type="dxa"/>
            <w:vAlign w:val="center"/>
          </w:tcPr>
          <w:p>
            <w:pPr>
              <w:pStyle w:val="33"/>
              <w:spacing w:line="240" w:lineRule="auto"/>
              <w:rPr>
                <w:rFonts w:eastAsia="宋体"/>
                <w:sz w:val="21"/>
                <w:szCs w:val="21"/>
              </w:rPr>
            </w:pPr>
            <w:r>
              <w:rPr>
                <w:rFonts w:hint="eastAsia" w:eastAsia="宋体"/>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指标4：执法车辆配置符合率</w:t>
            </w:r>
          </w:p>
        </w:tc>
        <w:tc>
          <w:tcPr>
            <w:tcW w:w="3351" w:type="dxa"/>
            <w:vAlign w:val="center"/>
          </w:tcPr>
          <w:p>
            <w:pPr>
              <w:pStyle w:val="33"/>
              <w:spacing w:line="240" w:lineRule="auto"/>
              <w:rPr>
                <w:rFonts w:eastAsia="宋体"/>
                <w:sz w:val="21"/>
                <w:szCs w:val="21"/>
              </w:rPr>
            </w:pPr>
            <w:r>
              <w:rPr>
                <w:rFonts w:hint="eastAsia" w:eastAsia="宋体"/>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指标5：装备配备覆盖率</w:t>
            </w:r>
          </w:p>
        </w:tc>
        <w:tc>
          <w:tcPr>
            <w:tcW w:w="3351" w:type="dxa"/>
            <w:vAlign w:val="center"/>
          </w:tcPr>
          <w:p>
            <w:pPr>
              <w:pStyle w:val="33"/>
              <w:spacing w:line="240" w:lineRule="auto"/>
              <w:rPr>
                <w:rFonts w:eastAsia="宋体"/>
                <w:sz w:val="21"/>
                <w:szCs w:val="21"/>
              </w:rPr>
            </w:pPr>
            <w:r>
              <w:rPr>
                <w:rFonts w:hint="eastAsia" w:eastAsia="宋体"/>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指标6：购置设备完成率</w:t>
            </w:r>
          </w:p>
        </w:tc>
        <w:tc>
          <w:tcPr>
            <w:tcW w:w="3351" w:type="dxa"/>
            <w:vAlign w:val="center"/>
          </w:tcPr>
          <w:p>
            <w:pPr>
              <w:pStyle w:val="33"/>
              <w:spacing w:line="240" w:lineRule="auto"/>
              <w:rPr>
                <w:rFonts w:eastAsia="宋体"/>
                <w:sz w:val="21"/>
                <w:szCs w:val="21"/>
              </w:rPr>
            </w:pPr>
            <w:r>
              <w:rPr>
                <w:rFonts w:hint="eastAsia" w:eastAsia="宋体"/>
                <w:sz w:val="21"/>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指标7：突发事件处置和防灾救灾工作企业覆盖率</w:t>
            </w:r>
          </w:p>
        </w:tc>
        <w:tc>
          <w:tcPr>
            <w:tcW w:w="3351" w:type="dxa"/>
            <w:vAlign w:val="center"/>
          </w:tcPr>
          <w:p>
            <w:pPr>
              <w:pStyle w:val="33"/>
              <w:spacing w:line="240" w:lineRule="auto"/>
              <w:rPr>
                <w:rFonts w:eastAsia="宋体"/>
                <w:sz w:val="21"/>
                <w:szCs w:val="21"/>
              </w:rPr>
            </w:pPr>
            <w:r>
              <w:rPr>
                <w:rFonts w:hint="eastAsia" w:eastAsia="宋体"/>
                <w:sz w:val="21"/>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restart"/>
            <w:vAlign w:val="center"/>
          </w:tcPr>
          <w:p>
            <w:pPr>
              <w:pStyle w:val="33"/>
              <w:spacing w:line="240" w:lineRule="auto"/>
              <w:rPr>
                <w:rFonts w:eastAsia="宋体"/>
                <w:sz w:val="21"/>
                <w:szCs w:val="21"/>
              </w:rPr>
            </w:pPr>
            <w:r>
              <w:rPr>
                <w:rFonts w:hint="eastAsia" w:eastAsia="宋体"/>
                <w:sz w:val="21"/>
                <w:szCs w:val="21"/>
              </w:rPr>
              <w:t>时效指标</w:t>
            </w:r>
          </w:p>
        </w:tc>
        <w:tc>
          <w:tcPr>
            <w:tcW w:w="2070" w:type="dxa"/>
            <w:vAlign w:val="center"/>
          </w:tcPr>
          <w:p>
            <w:pPr>
              <w:pStyle w:val="33"/>
              <w:spacing w:line="240" w:lineRule="auto"/>
              <w:rPr>
                <w:rFonts w:eastAsia="宋体"/>
                <w:sz w:val="21"/>
                <w:szCs w:val="21"/>
              </w:rPr>
            </w:pPr>
            <w:r>
              <w:rPr>
                <w:rFonts w:hint="eastAsia" w:eastAsia="宋体"/>
                <w:sz w:val="21"/>
                <w:szCs w:val="21"/>
              </w:rPr>
              <w:t>指标1：物业服务时限</w:t>
            </w:r>
          </w:p>
        </w:tc>
        <w:tc>
          <w:tcPr>
            <w:tcW w:w="3351" w:type="dxa"/>
            <w:vAlign w:val="center"/>
          </w:tcPr>
          <w:p>
            <w:pPr>
              <w:pStyle w:val="33"/>
              <w:spacing w:line="240" w:lineRule="auto"/>
              <w:rPr>
                <w:rFonts w:eastAsia="宋体"/>
                <w:sz w:val="21"/>
                <w:szCs w:val="21"/>
              </w:rPr>
            </w:pPr>
            <w:r>
              <w:rPr>
                <w:rFonts w:hint="eastAsia" w:eastAsia="宋体"/>
                <w:sz w:val="21"/>
                <w:szCs w:val="21"/>
              </w:rPr>
              <w:t>=</w:t>
            </w:r>
            <w:r>
              <w:rPr>
                <w:rFonts w:eastAsia="宋体"/>
                <w:sz w:val="21"/>
                <w:szCs w:val="21"/>
              </w:rPr>
              <w:t>1</w:t>
            </w:r>
            <w:r>
              <w:rPr>
                <w:rFonts w:hint="eastAsia" w:eastAsia="宋体"/>
                <w:sz w:val="2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指标2：采购国家统一标准执法服装及时率</w:t>
            </w:r>
          </w:p>
        </w:tc>
        <w:tc>
          <w:tcPr>
            <w:tcW w:w="3351" w:type="dxa"/>
            <w:vAlign w:val="center"/>
          </w:tcPr>
          <w:p>
            <w:pPr>
              <w:pStyle w:val="33"/>
              <w:spacing w:line="240" w:lineRule="auto"/>
              <w:rPr>
                <w:rFonts w:eastAsia="宋体"/>
                <w:sz w:val="21"/>
                <w:szCs w:val="21"/>
              </w:rPr>
            </w:pPr>
            <w:r>
              <w:rPr>
                <w:rFonts w:hint="eastAsia" w:eastAsia="宋体"/>
                <w:sz w:val="21"/>
                <w:szCs w:val="21"/>
              </w:rPr>
              <w:t>2022年内完成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指标3：执法车辆租用及时率</w:t>
            </w:r>
          </w:p>
        </w:tc>
        <w:tc>
          <w:tcPr>
            <w:tcW w:w="3351" w:type="dxa"/>
            <w:vAlign w:val="center"/>
          </w:tcPr>
          <w:p>
            <w:pPr>
              <w:pStyle w:val="33"/>
              <w:spacing w:line="240" w:lineRule="auto"/>
              <w:rPr>
                <w:rFonts w:eastAsia="宋体"/>
                <w:sz w:val="21"/>
                <w:szCs w:val="21"/>
              </w:rPr>
            </w:pPr>
            <w:r>
              <w:rPr>
                <w:rFonts w:hint="eastAsia" w:eastAsia="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指标4：移动执法终端租用及时率</w:t>
            </w:r>
          </w:p>
        </w:tc>
        <w:tc>
          <w:tcPr>
            <w:tcW w:w="3351" w:type="dxa"/>
            <w:vAlign w:val="center"/>
          </w:tcPr>
          <w:p>
            <w:pPr>
              <w:pStyle w:val="33"/>
              <w:spacing w:line="240" w:lineRule="auto"/>
              <w:rPr>
                <w:rFonts w:eastAsia="宋体"/>
                <w:sz w:val="21"/>
                <w:szCs w:val="21"/>
              </w:rPr>
            </w:pPr>
            <w:r>
              <w:rPr>
                <w:rFonts w:hint="eastAsia" w:eastAsia="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指标5：开展突发事件处置和防灾救灾工作及时率</w:t>
            </w:r>
          </w:p>
        </w:tc>
        <w:tc>
          <w:tcPr>
            <w:tcW w:w="3351" w:type="dxa"/>
            <w:vAlign w:val="center"/>
          </w:tcPr>
          <w:p>
            <w:pPr>
              <w:pStyle w:val="33"/>
              <w:spacing w:line="240" w:lineRule="auto"/>
              <w:rPr>
                <w:rFonts w:eastAsia="宋体"/>
                <w:sz w:val="21"/>
                <w:szCs w:val="21"/>
              </w:rPr>
            </w:pPr>
            <w:r>
              <w:rPr>
                <w:rFonts w:hint="eastAsia" w:eastAsia="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restart"/>
            <w:vAlign w:val="center"/>
          </w:tcPr>
          <w:p>
            <w:pPr>
              <w:pStyle w:val="33"/>
              <w:spacing w:line="240" w:lineRule="auto"/>
              <w:rPr>
                <w:rFonts w:eastAsia="宋体"/>
                <w:sz w:val="21"/>
                <w:szCs w:val="21"/>
              </w:rPr>
            </w:pPr>
            <w:r>
              <w:rPr>
                <w:rFonts w:hint="eastAsia" w:eastAsia="宋体"/>
                <w:sz w:val="21"/>
                <w:szCs w:val="21"/>
              </w:rPr>
              <w:t>成本指标</w:t>
            </w:r>
          </w:p>
        </w:tc>
        <w:tc>
          <w:tcPr>
            <w:tcW w:w="2070" w:type="dxa"/>
            <w:vAlign w:val="center"/>
          </w:tcPr>
          <w:p>
            <w:pPr>
              <w:pStyle w:val="33"/>
              <w:spacing w:line="240" w:lineRule="auto"/>
              <w:rPr>
                <w:rFonts w:eastAsia="宋体"/>
                <w:sz w:val="21"/>
                <w:szCs w:val="21"/>
              </w:rPr>
            </w:pPr>
            <w:r>
              <w:rPr>
                <w:rFonts w:hint="eastAsia" w:eastAsia="宋体"/>
                <w:sz w:val="21"/>
                <w:szCs w:val="21"/>
              </w:rPr>
              <w:t>指标1：采购国家统一标准执法服装经费</w:t>
            </w:r>
          </w:p>
        </w:tc>
        <w:tc>
          <w:tcPr>
            <w:tcW w:w="3351" w:type="dxa"/>
            <w:vAlign w:val="center"/>
          </w:tcPr>
          <w:p>
            <w:pPr>
              <w:pStyle w:val="33"/>
              <w:spacing w:line="240" w:lineRule="auto"/>
              <w:rPr>
                <w:rFonts w:eastAsia="宋体"/>
                <w:sz w:val="21"/>
                <w:szCs w:val="21"/>
              </w:rPr>
            </w:pPr>
            <w:r>
              <w:rPr>
                <w:rFonts w:hint="eastAsia" w:eastAsia="宋体"/>
                <w:sz w:val="21"/>
                <w:szCs w:val="21"/>
              </w:rPr>
              <w:t>＝4500元/套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指标2：车辆租赁费、油料、维修费、保养费用</w:t>
            </w:r>
          </w:p>
        </w:tc>
        <w:tc>
          <w:tcPr>
            <w:tcW w:w="3351" w:type="dxa"/>
            <w:vAlign w:val="center"/>
          </w:tcPr>
          <w:p>
            <w:pPr>
              <w:pStyle w:val="33"/>
              <w:spacing w:line="240" w:lineRule="auto"/>
              <w:rPr>
                <w:rFonts w:eastAsia="宋体"/>
                <w:sz w:val="21"/>
                <w:szCs w:val="21"/>
              </w:rPr>
            </w:pPr>
            <w:r>
              <w:rPr>
                <w:rFonts w:hint="eastAsia" w:eastAsia="宋体"/>
                <w:sz w:val="21"/>
                <w:szCs w:val="21"/>
              </w:rPr>
              <w:t>≤6.5万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指标3：大楼运行费</w:t>
            </w:r>
          </w:p>
        </w:tc>
        <w:tc>
          <w:tcPr>
            <w:tcW w:w="3351" w:type="dxa"/>
            <w:vAlign w:val="center"/>
          </w:tcPr>
          <w:p>
            <w:pPr>
              <w:pStyle w:val="33"/>
              <w:spacing w:line="240" w:lineRule="auto"/>
              <w:rPr>
                <w:rFonts w:eastAsia="宋体"/>
                <w:sz w:val="21"/>
                <w:szCs w:val="21"/>
              </w:rPr>
            </w:pPr>
            <w:r>
              <w:rPr>
                <w:rFonts w:hint="eastAsia" w:eastAsia="宋体"/>
                <w:sz w:val="21"/>
                <w:szCs w:val="21"/>
              </w:rPr>
              <w:t>≤17万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指标4：执法终端设备费用</w:t>
            </w:r>
          </w:p>
        </w:tc>
        <w:tc>
          <w:tcPr>
            <w:tcW w:w="3351" w:type="dxa"/>
            <w:vAlign w:val="center"/>
          </w:tcPr>
          <w:p>
            <w:pPr>
              <w:pStyle w:val="33"/>
              <w:spacing w:line="240" w:lineRule="auto"/>
              <w:rPr>
                <w:rFonts w:eastAsia="宋体"/>
                <w:sz w:val="21"/>
                <w:szCs w:val="21"/>
              </w:rPr>
            </w:pPr>
            <w:r>
              <w:rPr>
                <w:rFonts w:hint="eastAsia" w:eastAsia="宋体"/>
                <w:sz w:val="21"/>
                <w:szCs w:val="21"/>
              </w:rPr>
              <w:t>≤0.7万元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指标5：开展突发事件处置和防灾救灾工作经费</w:t>
            </w:r>
          </w:p>
        </w:tc>
        <w:tc>
          <w:tcPr>
            <w:tcW w:w="3351" w:type="dxa"/>
            <w:vAlign w:val="center"/>
          </w:tcPr>
          <w:p>
            <w:pPr>
              <w:pStyle w:val="33"/>
              <w:spacing w:line="240" w:lineRule="auto"/>
              <w:rPr>
                <w:rFonts w:eastAsia="宋体"/>
                <w:sz w:val="21"/>
                <w:szCs w:val="21"/>
              </w:rPr>
            </w:pPr>
            <w:r>
              <w:rPr>
                <w:rFonts w:hint="eastAsia" w:eastAsia="宋体"/>
                <w:sz w:val="21"/>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restart"/>
            <w:vAlign w:val="center"/>
          </w:tcPr>
          <w:p>
            <w:pPr>
              <w:pStyle w:val="33"/>
              <w:spacing w:line="240" w:lineRule="auto"/>
              <w:rPr>
                <w:rFonts w:eastAsia="宋体"/>
                <w:sz w:val="21"/>
                <w:szCs w:val="21"/>
              </w:rPr>
            </w:pPr>
            <w:r>
              <w:rPr>
                <w:rFonts w:hint="eastAsia" w:eastAsia="宋体"/>
                <w:sz w:val="21"/>
                <w:szCs w:val="21"/>
              </w:rPr>
              <w:t>效益指标</w:t>
            </w:r>
          </w:p>
        </w:tc>
        <w:tc>
          <w:tcPr>
            <w:tcW w:w="1812" w:type="dxa"/>
            <w:vMerge w:val="restart"/>
            <w:vAlign w:val="center"/>
          </w:tcPr>
          <w:p>
            <w:pPr>
              <w:pStyle w:val="33"/>
              <w:spacing w:line="240" w:lineRule="auto"/>
              <w:rPr>
                <w:rFonts w:eastAsia="宋体"/>
                <w:sz w:val="21"/>
                <w:szCs w:val="21"/>
              </w:rPr>
            </w:pPr>
            <w:r>
              <w:rPr>
                <w:rFonts w:hint="eastAsia" w:eastAsia="宋体"/>
                <w:sz w:val="21"/>
                <w:szCs w:val="21"/>
              </w:rPr>
              <w:t>社会效益指标</w:t>
            </w:r>
          </w:p>
        </w:tc>
        <w:tc>
          <w:tcPr>
            <w:tcW w:w="2070" w:type="dxa"/>
            <w:vAlign w:val="center"/>
          </w:tcPr>
          <w:p>
            <w:pPr>
              <w:pStyle w:val="33"/>
              <w:spacing w:line="240" w:lineRule="auto"/>
              <w:rPr>
                <w:rFonts w:eastAsia="宋体"/>
                <w:sz w:val="21"/>
                <w:szCs w:val="21"/>
              </w:rPr>
            </w:pPr>
            <w:r>
              <w:rPr>
                <w:rFonts w:hint="eastAsia" w:eastAsia="宋体"/>
                <w:sz w:val="21"/>
                <w:szCs w:val="21"/>
              </w:rPr>
              <w:t>指标1：保障机构稳定运转</w:t>
            </w:r>
          </w:p>
        </w:tc>
        <w:tc>
          <w:tcPr>
            <w:tcW w:w="3351" w:type="dxa"/>
            <w:vAlign w:val="center"/>
          </w:tcPr>
          <w:p>
            <w:pPr>
              <w:pStyle w:val="33"/>
              <w:spacing w:line="240" w:lineRule="auto"/>
              <w:rPr>
                <w:rFonts w:eastAsia="宋体"/>
                <w:sz w:val="21"/>
                <w:szCs w:val="21"/>
              </w:rPr>
            </w:pPr>
            <w:r>
              <w:rPr>
                <w:rFonts w:hint="eastAsia" w:eastAsia="宋体"/>
                <w:sz w:val="21"/>
                <w:szCs w:val="21"/>
              </w:rPr>
              <w:t>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指标2：提高执法工作效率</w:t>
            </w:r>
          </w:p>
        </w:tc>
        <w:tc>
          <w:tcPr>
            <w:tcW w:w="3351" w:type="dxa"/>
            <w:vAlign w:val="center"/>
          </w:tcPr>
          <w:p>
            <w:pPr>
              <w:pStyle w:val="33"/>
              <w:spacing w:line="240" w:lineRule="auto"/>
              <w:rPr>
                <w:rFonts w:eastAsia="宋体"/>
                <w:sz w:val="21"/>
                <w:szCs w:val="21"/>
              </w:rPr>
            </w:pPr>
            <w:r>
              <w:rPr>
                <w:rFonts w:hint="eastAsia" w:eastAsia="宋体"/>
                <w:sz w:val="21"/>
                <w:szCs w:val="21"/>
              </w:rPr>
              <w:t>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指标3：执法终端使用率</w:t>
            </w:r>
          </w:p>
        </w:tc>
        <w:tc>
          <w:tcPr>
            <w:tcW w:w="3351" w:type="dxa"/>
            <w:vAlign w:val="center"/>
          </w:tcPr>
          <w:p>
            <w:pPr>
              <w:pStyle w:val="33"/>
              <w:spacing w:line="240" w:lineRule="auto"/>
              <w:rPr>
                <w:rFonts w:eastAsia="宋体"/>
                <w:sz w:val="21"/>
                <w:szCs w:val="21"/>
              </w:rPr>
            </w:pPr>
            <w:r>
              <w:rPr>
                <w:rFonts w:hint="eastAsia" w:eastAsia="宋体"/>
                <w:sz w:val="21"/>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0" w:hRule="atLeast"/>
          <w:jc w:val="center"/>
        </w:trPr>
        <w:tc>
          <w:tcPr>
            <w:tcW w:w="1069" w:type="dxa"/>
            <w:vMerge w:val="continue"/>
            <w:vAlign w:val="center"/>
          </w:tcPr>
          <w:p>
            <w:pPr>
              <w:pStyle w:val="33"/>
              <w:spacing w:line="240" w:lineRule="auto"/>
              <w:rPr>
                <w:rFonts w:eastAsia="宋体"/>
                <w:sz w:val="21"/>
                <w:szCs w:val="21"/>
              </w:rPr>
            </w:pPr>
          </w:p>
        </w:tc>
        <w:tc>
          <w:tcPr>
            <w:tcW w:w="1812" w:type="dxa"/>
            <w:vMerge w:val="continue"/>
            <w:vAlign w:val="center"/>
          </w:tcPr>
          <w:p>
            <w:pPr>
              <w:pStyle w:val="33"/>
              <w:spacing w:line="240" w:lineRule="auto"/>
              <w:rPr>
                <w:rFonts w:eastAsia="宋体"/>
                <w:sz w:val="21"/>
                <w:szCs w:val="21"/>
              </w:rPr>
            </w:pPr>
          </w:p>
        </w:tc>
        <w:tc>
          <w:tcPr>
            <w:tcW w:w="2070" w:type="dxa"/>
            <w:vAlign w:val="center"/>
          </w:tcPr>
          <w:p>
            <w:pPr>
              <w:pStyle w:val="33"/>
              <w:spacing w:line="240" w:lineRule="auto"/>
              <w:rPr>
                <w:rFonts w:eastAsia="宋体"/>
                <w:sz w:val="21"/>
                <w:szCs w:val="21"/>
              </w:rPr>
            </w:pPr>
            <w:r>
              <w:rPr>
                <w:rFonts w:hint="eastAsia" w:eastAsia="宋体"/>
                <w:sz w:val="21"/>
                <w:szCs w:val="21"/>
              </w:rPr>
              <w:t>指标4：规范企业安全生产行为，减少企业安全生产隐患，避免发生生产安全事故</w:t>
            </w:r>
          </w:p>
        </w:tc>
        <w:tc>
          <w:tcPr>
            <w:tcW w:w="3351" w:type="dxa"/>
            <w:vAlign w:val="center"/>
          </w:tcPr>
          <w:p>
            <w:pPr>
              <w:pStyle w:val="33"/>
              <w:spacing w:line="240" w:lineRule="auto"/>
              <w:rPr>
                <w:rFonts w:eastAsia="宋体"/>
                <w:sz w:val="21"/>
                <w:szCs w:val="21"/>
              </w:rPr>
            </w:pPr>
            <w:r>
              <w:rPr>
                <w:rFonts w:hint="eastAsia" w:eastAsia="宋体"/>
                <w:sz w:val="21"/>
                <w:szCs w:val="21"/>
              </w:rPr>
              <w:t>有效规范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1069" w:type="dxa"/>
            <w:vAlign w:val="center"/>
          </w:tcPr>
          <w:p>
            <w:pPr>
              <w:pStyle w:val="33"/>
              <w:spacing w:line="240" w:lineRule="auto"/>
              <w:rPr>
                <w:rFonts w:eastAsia="宋体"/>
                <w:sz w:val="21"/>
                <w:szCs w:val="21"/>
              </w:rPr>
            </w:pPr>
            <w:r>
              <w:rPr>
                <w:rFonts w:hint="eastAsia" w:eastAsia="宋体"/>
                <w:sz w:val="21"/>
                <w:szCs w:val="21"/>
              </w:rPr>
              <w:t>满意度</w:t>
            </w:r>
            <w:r>
              <w:rPr>
                <w:rFonts w:hint="eastAsia" w:eastAsia="宋体"/>
                <w:sz w:val="21"/>
                <w:szCs w:val="21"/>
              </w:rPr>
              <w:br w:type="textWrapping"/>
            </w:r>
            <w:r>
              <w:rPr>
                <w:rFonts w:hint="eastAsia" w:eastAsia="宋体"/>
                <w:sz w:val="21"/>
                <w:szCs w:val="21"/>
              </w:rPr>
              <w:t>指标</w:t>
            </w:r>
          </w:p>
        </w:tc>
        <w:tc>
          <w:tcPr>
            <w:tcW w:w="1812" w:type="dxa"/>
            <w:vAlign w:val="center"/>
          </w:tcPr>
          <w:p>
            <w:pPr>
              <w:pStyle w:val="33"/>
              <w:spacing w:line="240" w:lineRule="auto"/>
              <w:rPr>
                <w:rFonts w:eastAsia="宋体"/>
                <w:sz w:val="21"/>
                <w:szCs w:val="21"/>
              </w:rPr>
            </w:pPr>
            <w:r>
              <w:rPr>
                <w:rFonts w:hint="eastAsia" w:eastAsia="宋体"/>
                <w:sz w:val="21"/>
                <w:szCs w:val="21"/>
              </w:rPr>
              <w:t>服务对象满意度指标</w:t>
            </w:r>
          </w:p>
        </w:tc>
        <w:tc>
          <w:tcPr>
            <w:tcW w:w="2070" w:type="dxa"/>
            <w:vAlign w:val="center"/>
          </w:tcPr>
          <w:p>
            <w:pPr>
              <w:pStyle w:val="33"/>
              <w:spacing w:line="240" w:lineRule="auto"/>
              <w:rPr>
                <w:rFonts w:eastAsia="宋体"/>
                <w:sz w:val="21"/>
                <w:szCs w:val="21"/>
              </w:rPr>
            </w:pPr>
            <w:r>
              <w:rPr>
                <w:rFonts w:hint="eastAsia" w:eastAsia="宋体"/>
                <w:sz w:val="21"/>
                <w:szCs w:val="21"/>
              </w:rPr>
              <w:t>绩效管理公众评议满意度</w:t>
            </w:r>
          </w:p>
        </w:tc>
        <w:tc>
          <w:tcPr>
            <w:tcW w:w="3351" w:type="dxa"/>
            <w:vAlign w:val="center"/>
          </w:tcPr>
          <w:p>
            <w:pPr>
              <w:pStyle w:val="33"/>
              <w:spacing w:line="240" w:lineRule="auto"/>
              <w:rPr>
                <w:rFonts w:eastAsia="宋体"/>
                <w:sz w:val="21"/>
                <w:szCs w:val="21"/>
              </w:rPr>
            </w:pPr>
            <w:r>
              <w:rPr>
                <w:rFonts w:hint="eastAsia" w:eastAsia="宋体"/>
                <w:sz w:val="21"/>
                <w:szCs w:val="21"/>
              </w:rPr>
              <w:t>≥90%</w:t>
            </w:r>
          </w:p>
        </w:tc>
      </w:tr>
    </w:tbl>
    <w:p>
      <w:pPr>
        <w:pStyle w:val="26"/>
        <w:ind w:firstLine="640"/>
      </w:pPr>
      <w:r>
        <w:rPr>
          <w:rFonts w:hint="eastAsia"/>
        </w:rPr>
        <w:t>根据上表所示相关信息，区应急局2</w:t>
      </w:r>
      <w:r>
        <w:t>022</w:t>
      </w:r>
      <w:r>
        <w:rPr>
          <w:rFonts w:hint="eastAsia"/>
        </w:rPr>
        <w:t>年度部门整体支出绩效目标设定的年度绩效指标通过清晰、细化、可衡量的指标值，有效反映出预算资金在一定期限内的预期产出和效果，以及服务对象对产出和效果的满意程度。</w:t>
      </w:r>
    </w:p>
    <w:p>
      <w:pPr>
        <w:pStyle w:val="26"/>
        <w:ind w:firstLine="640"/>
      </w:pPr>
      <w:r>
        <w:rPr>
          <w:rFonts w:hint="eastAsia"/>
        </w:rPr>
        <w:t>③绩效目标与预算资金匹配性：分值</w:t>
      </w:r>
      <w:r>
        <w:t>2</w:t>
      </w:r>
      <w:r>
        <w:rPr>
          <w:rFonts w:hint="eastAsia"/>
        </w:rPr>
        <w:t>分，得分</w:t>
      </w:r>
      <w:r>
        <w:t>0</w:t>
      </w:r>
      <w:r>
        <w:rPr>
          <w:rFonts w:hint="eastAsia"/>
        </w:rPr>
        <w:t>分，得分率</w:t>
      </w:r>
      <w:r>
        <w:t>0</w:t>
      </w:r>
      <w:r>
        <w:rPr>
          <w:rFonts w:hint="eastAsia"/>
        </w:rPr>
        <w:t>%。根据部门所提供2</w:t>
      </w:r>
      <w:r>
        <w:t>022</w:t>
      </w:r>
      <w:r>
        <w:rPr>
          <w:rFonts w:hint="eastAsia"/>
        </w:rPr>
        <w:t>年度部门整体支出绩效目标表、部门预算批复文件进行评分，主要针对部门整体支出绩效目标表中的填报资金是否与人大批复的部门预算相匹配、是否满足部门整体工作任务的完成等方面进行评价。</w:t>
      </w:r>
    </w:p>
    <w:p>
      <w:pPr>
        <w:pStyle w:val="26"/>
        <w:ind w:firstLine="640"/>
      </w:pPr>
      <w:bookmarkStart w:id="55" w:name="_Hlk142083668"/>
      <w:r>
        <w:rPr>
          <w:rFonts w:hint="eastAsia"/>
        </w:rPr>
        <w:t>区应急局2</w:t>
      </w:r>
      <w:r>
        <w:t>022</w:t>
      </w:r>
      <w:r>
        <w:rPr>
          <w:rFonts w:hint="eastAsia"/>
        </w:rPr>
        <w:t>年度年初预算批复资金为</w:t>
      </w:r>
      <w:r>
        <w:t>1848</w:t>
      </w:r>
      <w:r>
        <w:rPr>
          <w:rFonts w:hint="eastAsia"/>
        </w:rPr>
        <w:t>.</w:t>
      </w:r>
      <w:r>
        <w:t>57</w:t>
      </w:r>
      <w:r>
        <w:rPr>
          <w:rFonts w:hint="eastAsia"/>
        </w:rPr>
        <w:t>万元，其中基本支出为</w:t>
      </w:r>
      <w:r>
        <w:t>823.27</w:t>
      </w:r>
      <w:r>
        <w:rPr>
          <w:rFonts w:hint="eastAsia"/>
        </w:rPr>
        <w:t>万元，项目支出为</w:t>
      </w:r>
      <w:r>
        <w:t>1025.30</w:t>
      </w:r>
      <w:r>
        <w:rPr>
          <w:rFonts w:hint="eastAsia"/>
        </w:rPr>
        <w:t>万元。部门整体支出绩效目标表填报年初预算资金为</w:t>
      </w:r>
      <w:r>
        <w:t>1859.38</w:t>
      </w:r>
      <w:r>
        <w:rPr>
          <w:rFonts w:hint="eastAsia"/>
        </w:rPr>
        <w:t>万元，其中基本支出为</w:t>
      </w:r>
      <w:r>
        <w:t>824.88</w:t>
      </w:r>
      <w:r>
        <w:rPr>
          <w:rFonts w:hint="eastAsia"/>
        </w:rPr>
        <w:t>万元，项目支出为</w:t>
      </w:r>
      <w:r>
        <w:t>1034.50</w:t>
      </w:r>
      <w:r>
        <w:rPr>
          <w:rFonts w:hint="eastAsia"/>
        </w:rPr>
        <w:t>万元。部门整体支出绩效目标中填报资金与人大批复的部门预算资金不匹配，未满足部门整体工作任务的完成。</w:t>
      </w:r>
    </w:p>
    <w:bookmarkEnd w:id="55"/>
    <w:p>
      <w:pPr>
        <w:pStyle w:val="26"/>
        <w:ind w:firstLine="640"/>
      </w:pPr>
      <w:r>
        <w:rPr>
          <w:rFonts w:hint="eastAsia"/>
        </w:rPr>
        <w:t>（2）决策依据</w:t>
      </w:r>
    </w:p>
    <w:p>
      <w:pPr>
        <w:pStyle w:val="26"/>
        <w:ind w:firstLine="640"/>
      </w:pPr>
      <w:r>
        <w:rPr>
          <w:rFonts w:hint="eastAsia"/>
        </w:rPr>
        <w:t>①部门年度工作计划科学性：分值</w:t>
      </w:r>
      <w:r>
        <w:t>1</w:t>
      </w:r>
      <w:r>
        <w:rPr>
          <w:rFonts w:hint="eastAsia"/>
        </w:rPr>
        <w:t>分，得分</w:t>
      </w:r>
      <w:r>
        <w:t>1</w:t>
      </w:r>
      <w:r>
        <w:rPr>
          <w:rFonts w:hint="eastAsia"/>
        </w:rPr>
        <w:t>分，得分率</w:t>
      </w:r>
      <w:r>
        <w:t>100</w:t>
      </w:r>
      <w:r>
        <w:rPr>
          <w:rFonts w:hint="eastAsia"/>
        </w:rPr>
        <w:t>%。根据部门所提供部门年度工作计划、部门三定方案进行评分，主要针对部门工作计划中制定的各项内容是否符合国家法律法规、国民经济发展规划和相关政策，是否与部门职责范围相符，属于部门履职所需等方面进行评价。</w:t>
      </w:r>
    </w:p>
    <w:p>
      <w:pPr>
        <w:pStyle w:val="26"/>
        <w:ind w:firstLine="640"/>
      </w:pPr>
      <w:r>
        <w:rPr>
          <w:rFonts w:hint="eastAsia"/>
        </w:rPr>
        <w:t>区应急局</w:t>
      </w:r>
      <w:r>
        <w:t>2022年度工作计划</w:t>
      </w:r>
      <w:r>
        <w:rPr>
          <w:rFonts w:hint="eastAsia"/>
        </w:rPr>
        <w:t>设置的内容为五个方面，分别为：“坚持提高政治站位”、“强化安全生产综合监管”、“夯实应急处突能力”、“强化防灾减灾救灾体系建设”、“加大应急综合执法力度”。</w:t>
      </w:r>
      <w:r>
        <w:t>部门</w:t>
      </w:r>
      <w:r>
        <w:rPr>
          <w:rFonts w:hint="eastAsia"/>
        </w:rPr>
        <w:t>年度</w:t>
      </w:r>
      <w:r>
        <w:t>工作计划</w:t>
      </w:r>
      <w:r>
        <w:rPr>
          <w:rFonts w:hint="eastAsia"/>
        </w:rPr>
        <w:t>内容符合《天津市和平区应急管理“十四五”规划》中“夯实应急管理基础，提高应急管理法治水平”、“防范化解重大安全风险，提升风险防范能力”的要求，与区应急局主要职责中“负责应急管理工作”、“加强、优化、统筹应急能力建设”、“依法行使安全生产综合监督管理职权”等职责相符，属于部门履职所需。</w:t>
      </w:r>
    </w:p>
    <w:p>
      <w:pPr>
        <w:pStyle w:val="26"/>
        <w:ind w:firstLine="640"/>
      </w:pPr>
      <w:r>
        <w:rPr>
          <w:rFonts w:hint="eastAsia"/>
        </w:rPr>
        <w:t>②重大支出政策的合理性规范性：分值</w:t>
      </w:r>
      <w:r>
        <w:t>2</w:t>
      </w:r>
      <w:r>
        <w:rPr>
          <w:rFonts w:hint="eastAsia"/>
        </w:rPr>
        <w:t>分，得分</w:t>
      </w:r>
      <w:r>
        <w:t>2</w:t>
      </w:r>
      <w:r>
        <w:rPr>
          <w:rFonts w:hint="eastAsia"/>
        </w:rPr>
        <w:t>分，得分率</w:t>
      </w:r>
      <w:r>
        <w:t>100</w:t>
      </w:r>
      <w:r>
        <w:rPr>
          <w:rFonts w:hint="eastAsia"/>
        </w:rPr>
        <w:t>%。根据</w:t>
      </w:r>
      <w:r>
        <w:t>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w:t>
      </w:r>
    </w:p>
    <w:p>
      <w:pPr>
        <w:pStyle w:val="26"/>
        <w:ind w:firstLine="640"/>
      </w:pPr>
      <w:r>
        <w:rPr>
          <w:rFonts w:hint="eastAsia"/>
        </w:rPr>
        <w:t>区应急局2</w:t>
      </w:r>
      <w:r>
        <w:t>022</w:t>
      </w:r>
      <w:r>
        <w:rPr>
          <w:rFonts w:hint="eastAsia"/>
        </w:rPr>
        <w:t>年度共有“</w:t>
      </w:r>
      <w:r>
        <w:t>2021年中央自然灾害防治体系建设补助资金-全国自然灾害风险</w:t>
      </w:r>
      <w:r>
        <w:rPr>
          <w:rFonts w:hint="eastAsia"/>
        </w:rPr>
        <w:t>”、“</w:t>
      </w:r>
      <w:r>
        <w:t>安全、应急专项</w:t>
      </w:r>
      <w:r>
        <w:rPr>
          <w:rFonts w:hint="eastAsia"/>
        </w:rPr>
        <w:t>”和“</w:t>
      </w:r>
      <w:r>
        <w:t>采购执法服装</w:t>
      </w:r>
      <w:r>
        <w:rPr>
          <w:rFonts w:hint="eastAsia"/>
        </w:rPr>
        <w:t>”三项重大支出项目，分别依据《市应急局 市气象局 市地震局 市消防救援总队关于进一步做好我市综合减灾示范社区创建管理工作的通知》（</w:t>
      </w:r>
      <w:r>
        <w:t>津</w:t>
      </w:r>
      <w:r>
        <w:rPr>
          <w:rFonts w:hint="eastAsia"/>
        </w:rPr>
        <w:t>应急</w:t>
      </w:r>
      <w:r>
        <w:t>〔2020〕21号）</w:t>
      </w:r>
      <w:r>
        <w:rPr>
          <w:rFonts w:hint="eastAsia"/>
        </w:rPr>
        <w:t>、《关于开展</w:t>
      </w:r>
      <w:r>
        <w:t>2021年度防震减灾科普</w:t>
      </w:r>
      <w:r>
        <w:rPr>
          <w:rFonts w:hint="eastAsia"/>
        </w:rPr>
        <w:t>示范学校认定工作的通知》（津震发〔</w:t>
      </w:r>
      <w:r>
        <w:t>2021〕19号</w:t>
      </w:r>
      <w:r>
        <w:rPr>
          <w:rFonts w:hint="eastAsia"/>
        </w:rPr>
        <w:t>）、《</w:t>
      </w:r>
      <w:r>
        <w:t>市减灾委办公室关于印发</w:t>
      </w:r>
      <w:r>
        <w:rPr>
          <w:rFonts w:hint="eastAsia"/>
        </w:rPr>
        <w:t>〈</w:t>
      </w:r>
      <w:r>
        <w:t>天津市2021年防灾减灾日活动方案</w:t>
      </w:r>
      <w:r>
        <w:rPr>
          <w:rFonts w:hint="eastAsia"/>
        </w:rPr>
        <w:t>〉</w:t>
      </w:r>
      <w:r>
        <w:t>的通知</w:t>
      </w:r>
      <w:r>
        <w:rPr>
          <w:rFonts w:hint="eastAsia"/>
        </w:rPr>
        <w:t>》（津震发〔</w:t>
      </w:r>
      <w:r>
        <w:t>2021〕4号</w:t>
      </w:r>
      <w:r>
        <w:rPr>
          <w:rFonts w:hint="eastAsia"/>
        </w:rPr>
        <w:t>）、《</w:t>
      </w:r>
      <w:r>
        <w:t>转发国务院第一次全国自然灾害综合风险普查领导小组办公室关于印发第一次全国自然灾害综合风险普查 2020 年工作总结和2021年工作要点的通知</w:t>
      </w:r>
      <w:r>
        <w:rPr>
          <w:rFonts w:hint="eastAsia"/>
        </w:rPr>
        <w:t>》（津灾险普办发〔</w:t>
      </w:r>
      <w:r>
        <w:t>2021〕4</w:t>
      </w:r>
      <w:r>
        <w:rPr>
          <w:rFonts w:hint="eastAsia"/>
        </w:rPr>
        <w:t>号）、</w:t>
      </w:r>
      <w:r>
        <w:t>《和平区应急管理综合行政执法人员着装管理办法</w:t>
      </w:r>
      <w:r>
        <w:rPr>
          <w:rFonts w:hint="eastAsia"/>
        </w:rPr>
        <w:t>》《和平区安委会关于印发安全建设专项资金使用管理办法（暂行）的通知》（津和安委字〔</w:t>
      </w:r>
      <w:r>
        <w:t>2018〕8</w:t>
      </w:r>
      <w:r>
        <w:rPr>
          <w:rFonts w:hint="eastAsia"/>
        </w:rPr>
        <w:t>号）等文件申请财政资金，与社会现实需求相符，不存在补助、奖励、使用方向与部门内外部政策重叠交叉，不存在项目申请财政资金文件依据时效性严重滞后的情况。</w:t>
      </w:r>
    </w:p>
    <w:p>
      <w:pPr>
        <w:pStyle w:val="26"/>
        <w:ind w:firstLine="640"/>
      </w:pPr>
      <w:r>
        <w:rPr>
          <w:rFonts w:hint="eastAsia"/>
        </w:rPr>
        <w:t>（3）预算分配</w:t>
      </w:r>
    </w:p>
    <w:p>
      <w:pPr>
        <w:pStyle w:val="26"/>
        <w:ind w:firstLine="640"/>
      </w:pPr>
      <w:r>
        <w:rPr>
          <w:rFonts w:hint="eastAsia"/>
        </w:rPr>
        <w:t>①决策程序规范性：分值</w:t>
      </w:r>
      <w:r>
        <w:t>2</w:t>
      </w:r>
      <w:r>
        <w:rPr>
          <w:rFonts w:hint="eastAsia"/>
        </w:rPr>
        <w:t>分，得分</w:t>
      </w:r>
      <w:r>
        <w:t>2</w:t>
      </w:r>
      <w:r>
        <w:rPr>
          <w:rFonts w:hint="eastAsia"/>
        </w:rPr>
        <w:t>分，得分率</w:t>
      </w:r>
      <w:r>
        <w:t>100</w:t>
      </w:r>
      <w:r>
        <w:rPr>
          <w:rFonts w:hint="eastAsia"/>
        </w:rPr>
        <w:t>%。根据部门所提供预算编报流程业务文件、三重一大会议纪要进行评分，主要针对部门是否按照财政部门规定的程序进行预算编报，预算编报、分配方案是否经“三重一大”会议决策等方面进行评价。</w:t>
      </w:r>
    </w:p>
    <w:p>
      <w:pPr>
        <w:pStyle w:val="26"/>
        <w:ind w:firstLine="640"/>
      </w:pPr>
      <w:r>
        <w:rPr>
          <w:rFonts w:hint="eastAsia"/>
        </w:rPr>
        <w:t>区应急局2</w:t>
      </w:r>
      <w:r>
        <w:t>022</w:t>
      </w:r>
      <w:r>
        <w:rPr>
          <w:rFonts w:hint="eastAsia"/>
        </w:rPr>
        <w:t>年度严格按照财政部门规定的两上两下预算编制程序开展预算编报工作，且部门预算一上建议草案与二上草案均经部门“三重一大”会议决策审议，评价组对决策事项进行抽查，部门能够提供相应的三重一大会议纪要，相关资料完整齐全，三重一大会议记录中包含会议时间、地点、决策参与人、决策事项、决策过程、决策结论等，符合部门“三重一大”事项集体决策制度，决策责任可追溯，决策风险可控性强。</w:t>
      </w:r>
    </w:p>
    <w:p>
      <w:pPr>
        <w:pStyle w:val="26"/>
        <w:ind w:firstLine="640"/>
      </w:pPr>
      <w:r>
        <w:rPr>
          <w:rFonts w:hint="eastAsia"/>
        </w:rPr>
        <w:t>②测算程序合理性：分值</w:t>
      </w:r>
      <w:r>
        <w:t>6</w:t>
      </w:r>
      <w:r>
        <w:rPr>
          <w:rFonts w:hint="eastAsia"/>
        </w:rPr>
        <w:t>分，得分</w:t>
      </w:r>
      <w:r>
        <w:t>6</w:t>
      </w:r>
      <w:r>
        <w:rPr>
          <w:rFonts w:hint="eastAsia"/>
        </w:rPr>
        <w:t>分，得分率</w:t>
      </w:r>
      <w:r>
        <w:t>100</w:t>
      </w:r>
      <w:r>
        <w:rPr>
          <w:rFonts w:hint="eastAsia"/>
        </w:rPr>
        <w:t>%。根</w:t>
      </w:r>
      <w:r>
        <w:t>据部门</w:t>
      </w:r>
      <w:r>
        <w:rPr>
          <w:rFonts w:hint="eastAsia"/>
        </w:rPr>
        <w:t>所提供</w:t>
      </w:r>
      <w:r>
        <w:t>预算</w:t>
      </w:r>
      <w:r>
        <w:rPr>
          <w:rFonts w:hint="eastAsia"/>
        </w:rPr>
        <w:t>测算工作记录、测算依据与测算明细</w:t>
      </w:r>
      <w:r>
        <w:t>进行评分，主要针对部门预算编制过程中的资金测算程序是否明确规范，</w:t>
      </w:r>
      <w:r>
        <w:rPr>
          <w:rFonts w:hint="eastAsia"/>
        </w:rPr>
        <w:t>是否根据事权划分准确核定本级财政支出，测算数据是否符合客观需求</w:t>
      </w:r>
      <w:r>
        <w:t>，</w:t>
      </w:r>
      <w:r>
        <w:rPr>
          <w:rFonts w:hint="eastAsia"/>
        </w:rPr>
        <w:t>是否有合规佐证依据，是否存在重复测算，</w:t>
      </w:r>
      <w:r>
        <w:t>项目支出测算</w:t>
      </w:r>
      <w:r>
        <w:rPr>
          <w:rFonts w:hint="eastAsia"/>
        </w:rPr>
        <w:t>是否</w:t>
      </w:r>
      <w:r>
        <w:t>细化等方面进行评价</w:t>
      </w:r>
      <w:r>
        <w:rPr>
          <w:rFonts w:hint="eastAsia"/>
        </w:rPr>
        <w:t>。</w:t>
      </w:r>
    </w:p>
    <w:p>
      <w:pPr>
        <w:pStyle w:val="26"/>
        <w:ind w:firstLine="640"/>
      </w:pPr>
      <w:r>
        <w:rPr>
          <w:rFonts w:hint="eastAsia"/>
        </w:rPr>
        <w:t>区应急局</w:t>
      </w:r>
      <w:r>
        <w:t>2022</w:t>
      </w:r>
      <w:r>
        <w:rPr>
          <w:rFonts w:hint="eastAsia"/>
        </w:rPr>
        <w:t>年度部门预算测算严格根据事权划分准确核定本级财政支出。基本支出预算严格按照部门实有在职、离退休人员数，核定人员经费保障标准，运转保障刚性支出事项进行测算。项目支出预算根据项目政策文件依据、年度工作计划及客观需求，按照人力、商品和服务等各类支出口径进行测算，</w:t>
      </w:r>
      <w:r>
        <w:t>预算</w:t>
      </w:r>
      <w:r>
        <w:rPr>
          <w:rFonts w:hint="eastAsia"/>
        </w:rPr>
        <w:t>测算</w:t>
      </w:r>
      <w:r>
        <w:t>内容</w:t>
      </w:r>
      <w:r>
        <w:rPr>
          <w:rFonts w:hint="eastAsia"/>
        </w:rPr>
        <w:t>不存在重复测算</w:t>
      </w:r>
      <w:r>
        <w:t>政策规定</w:t>
      </w:r>
      <w:r>
        <w:rPr>
          <w:rFonts w:hint="eastAsia"/>
        </w:rPr>
        <w:t>内相同内容，与历史数据具有可比性。</w:t>
      </w:r>
    </w:p>
    <w:p>
      <w:pPr>
        <w:pStyle w:val="26"/>
        <w:ind w:firstLine="640"/>
      </w:pPr>
      <w:r>
        <w:rPr>
          <w:rFonts w:hint="eastAsia"/>
        </w:rPr>
        <w:t>2.管理效率</w:t>
      </w:r>
    </w:p>
    <w:p>
      <w:pPr>
        <w:pStyle w:val="26"/>
        <w:ind w:firstLine="640"/>
      </w:pPr>
      <w:r>
        <w:rPr>
          <w:rFonts w:hint="eastAsia"/>
        </w:rPr>
        <w:t>（1）预算执行</w:t>
      </w:r>
    </w:p>
    <w:p>
      <w:pPr>
        <w:pStyle w:val="26"/>
        <w:ind w:firstLine="640"/>
      </w:pPr>
      <w:r>
        <w:rPr>
          <w:rFonts w:hint="eastAsia"/>
        </w:rPr>
        <w:t>①在职人员控制率：分值</w:t>
      </w:r>
      <w:r>
        <w:t>1</w:t>
      </w:r>
      <w:r>
        <w:rPr>
          <w:rFonts w:hint="eastAsia"/>
        </w:rPr>
        <w:t>分，得分</w:t>
      </w:r>
      <w:r>
        <w:t>1</w:t>
      </w:r>
      <w:r>
        <w:rPr>
          <w:rFonts w:hint="eastAsia"/>
        </w:rPr>
        <w:t>分，得分率</w:t>
      </w:r>
      <w:r>
        <w:t>100</w:t>
      </w:r>
      <w:r>
        <w:rPr>
          <w:rFonts w:hint="eastAsia"/>
        </w:rPr>
        <w:t>%。根据部门所提供部门三定方案、部门决算表进行评分，主要针对部门实有在职人员数是否在部门三定方案核定编制数范围内进行评价。</w:t>
      </w:r>
    </w:p>
    <w:p>
      <w:pPr>
        <w:pStyle w:val="26"/>
        <w:ind w:firstLine="640"/>
      </w:pPr>
      <w:r>
        <w:rPr>
          <w:rFonts w:hint="eastAsia"/>
        </w:rPr>
        <w:t>区应急局部门三定方案核定编制数为</w:t>
      </w:r>
      <w:r>
        <w:t>45</w:t>
      </w:r>
      <w:r>
        <w:rPr>
          <w:rFonts w:hint="eastAsia"/>
        </w:rPr>
        <w:t>人，其中行政编制2</w:t>
      </w:r>
      <w:r>
        <w:t>4</w:t>
      </w:r>
      <w:r>
        <w:rPr>
          <w:rFonts w:hint="eastAsia"/>
        </w:rPr>
        <w:t>名，参公事业编制2</w:t>
      </w:r>
      <w:r>
        <w:t>1</w:t>
      </w:r>
      <w:r>
        <w:rPr>
          <w:rFonts w:hint="eastAsia"/>
        </w:rPr>
        <w:t>名。截至2022年底实有人数为3</w:t>
      </w:r>
      <w:r>
        <w:t>7</w:t>
      </w:r>
      <w:r>
        <w:rPr>
          <w:rFonts w:hint="eastAsia"/>
        </w:rPr>
        <w:t>人，其中实有行政人员23人，参公事业人员14名。在职人员控制率为</w:t>
      </w:r>
      <w:r>
        <w:t>82.2%</w:t>
      </w:r>
      <w:r>
        <w:rPr>
          <w:rFonts w:hint="eastAsia"/>
        </w:rPr>
        <w:t>。</w:t>
      </w:r>
    </w:p>
    <w:p>
      <w:pPr>
        <w:pStyle w:val="26"/>
        <w:ind w:firstLine="640"/>
      </w:pPr>
      <w:r>
        <w:rPr>
          <w:rFonts w:hint="eastAsia"/>
        </w:rPr>
        <w:t>②预算执行率：分值</w:t>
      </w:r>
      <w:r>
        <w:t>2</w:t>
      </w:r>
      <w:r>
        <w:rPr>
          <w:rFonts w:hint="eastAsia"/>
        </w:rPr>
        <w:t>分，得分</w:t>
      </w:r>
      <w:r>
        <w:t>2</w:t>
      </w:r>
      <w:r>
        <w:rPr>
          <w:rFonts w:hint="eastAsia"/>
        </w:rPr>
        <w:t>分，得分率</w:t>
      </w:r>
      <w:r>
        <w:t>100</w:t>
      </w:r>
      <w:r>
        <w:rPr>
          <w:rFonts w:hint="eastAsia"/>
        </w:rPr>
        <w:t>%。</w:t>
      </w:r>
      <w:r>
        <w:t>根据部门</w:t>
      </w:r>
      <w:r>
        <w:rPr>
          <w:rFonts w:hint="eastAsia"/>
        </w:rPr>
        <w:t>所提供年初预算批复、调整预算批复与部门决算表进行评分</w:t>
      </w:r>
      <w:r>
        <w:t>，</w:t>
      </w:r>
      <w:r>
        <w:rPr>
          <w:rFonts w:hint="eastAsia"/>
        </w:rPr>
        <w:t>主要针对部门全年预算资金是否按照计划执行进行评价。</w:t>
      </w:r>
    </w:p>
    <w:p>
      <w:pPr>
        <w:pStyle w:val="26"/>
        <w:ind w:firstLine="640"/>
      </w:pPr>
      <w:r>
        <w:rPr>
          <w:rFonts w:hint="eastAsia"/>
        </w:rPr>
        <w:t>区应急局</w:t>
      </w:r>
      <w:r>
        <w:t xml:space="preserve"> 2022年</w:t>
      </w:r>
      <w:r>
        <w:rPr>
          <w:rFonts w:hint="eastAsia"/>
        </w:rPr>
        <w:t>度</w:t>
      </w:r>
      <w:r>
        <w:t>调整后预算</w:t>
      </w:r>
      <w:r>
        <w:rPr>
          <w:rFonts w:hint="eastAsia"/>
        </w:rPr>
        <w:t>金额</w:t>
      </w:r>
      <w:r>
        <w:t>为1085</w:t>
      </w:r>
      <w:r>
        <w:rPr>
          <w:rFonts w:hint="eastAsia"/>
        </w:rPr>
        <w:t>.2</w:t>
      </w:r>
      <w:r>
        <w:t>8万元，实际支出</w:t>
      </w:r>
      <w:r>
        <w:rPr>
          <w:rFonts w:hint="eastAsia"/>
        </w:rPr>
        <w:t>资金</w:t>
      </w:r>
      <w:r>
        <w:t>为1085</w:t>
      </w:r>
      <w:r>
        <w:rPr>
          <w:rFonts w:hint="eastAsia"/>
        </w:rPr>
        <w:t>.2</w:t>
      </w:r>
      <w:r>
        <w:t>8万元，预算执行率为100%。</w:t>
      </w:r>
    </w:p>
    <w:p>
      <w:pPr>
        <w:pStyle w:val="26"/>
        <w:ind w:firstLine="640"/>
      </w:pPr>
      <w:r>
        <w:rPr>
          <w:rFonts w:hint="eastAsia"/>
        </w:rPr>
        <w:t>③预算调整率：分值</w:t>
      </w:r>
      <w:r>
        <w:t>2</w:t>
      </w:r>
      <w:r>
        <w:rPr>
          <w:rFonts w:hint="eastAsia"/>
        </w:rPr>
        <w:t>分，得分</w:t>
      </w:r>
      <w:r>
        <w:t>0</w:t>
      </w:r>
      <w:r>
        <w:rPr>
          <w:rFonts w:hint="eastAsia"/>
        </w:rPr>
        <w:t>分，得分率</w:t>
      </w:r>
      <w:r>
        <w:t>0</w:t>
      </w:r>
      <w:r>
        <w:rPr>
          <w:rFonts w:hint="eastAsia"/>
        </w:rPr>
        <w:t>%。根据部门所提供调整预算批复、部门决算表进行评分，主要针对部门</w:t>
      </w:r>
      <w:r>
        <w:t>预算的调整程度</w:t>
      </w:r>
      <w:r>
        <w:rPr>
          <w:rFonts w:hint="eastAsia"/>
        </w:rPr>
        <w:t>进行评价。</w:t>
      </w:r>
    </w:p>
    <w:p>
      <w:pPr>
        <w:pStyle w:val="26"/>
        <w:ind w:firstLine="640"/>
      </w:pPr>
      <w:bookmarkStart w:id="56" w:name="_Hlk142083821"/>
      <w:r>
        <w:rPr>
          <w:rFonts w:hint="eastAsia"/>
        </w:rPr>
        <w:t>区应急局2</w:t>
      </w:r>
      <w:r>
        <w:t>022</w:t>
      </w:r>
      <w:r>
        <w:rPr>
          <w:rFonts w:hint="eastAsia"/>
        </w:rPr>
        <w:t>年度年初预算批复数为</w:t>
      </w:r>
      <w:r>
        <w:t>1848.57</w:t>
      </w:r>
      <w:r>
        <w:rPr>
          <w:rFonts w:hint="eastAsia"/>
        </w:rPr>
        <w:t>万元，年度决算调整预算数为</w:t>
      </w:r>
      <w:r>
        <w:t>1081.39万元，调减了767.18万元</w:t>
      </w:r>
      <w:r>
        <w:rPr>
          <w:rFonts w:hint="eastAsia"/>
        </w:rPr>
        <w:t>，预算调整率为</w:t>
      </w:r>
      <w:r>
        <w:t>41.5%</w:t>
      </w:r>
      <w:r>
        <w:rPr>
          <w:rFonts w:hint="eastAsia"/>
        </w:rPr>
        <w:t>。</w:t>
      </w:r>
    </w:p>
    <w:bookmarkEnd w:id="56"/>
    <w:p>
      <w:pPr>
        <w:pStyle w:val="26"/>
        <w:ind w:firstLine="640"/>
      </w:pPr>
      <w:r>
        <w:rPr>
          <w:rFonts w:hint="eastAsia"/>
        </w:rPr>
        <w:t>④公用经费控制率：分值</w:t>
      </w:r>
      <w:r>
        <w:t>2</w:t>
      </w:r>
      <w:r>
        <w:rPr>
          <w:rFonts w:hint="eastAsia"/>
        </w:rPr>
        <w:t>分，得分</w:t>
      </w:r>
      <w:r>
        <w:t>2</w:t>
      </w:r>
      <w:r>
        <w:rPr>
          <w:rFonts w:hint="eastAsia"/>
        </w:rPr>
        <w:t>分，得分率</w:t>
      </w:r>
      <w:r>
        <w:t>100</w:t>
      </w:r>
      <w:r>
        <w:rPr>
          <w:rFonts w:hint="eastAsia"/>
        </w:rPr>
        <w:t>%。根据部门所提供部门预算公开表、部门决算表进行评分，主要针对部门对</w:t>
      </w:r>
      <w:r>
        <w:t>机构运转成本实际控制</w:t>
      </w:r>
      <w:r>
        <w:rPr>
          <w:rFonts w:hint="eastAsia"/>
        </w:rPr>
        <w:t>程度进行评价。</w:t>
      </w:r>
      <w:bookmarkStart w:id="57" w:name="_Hlk124206954"/>
    </w:p>
    <w:p>
      <w:pPr>
        <w:pStyle w:val="26"/>
        <w:ind w:firstLine="640"/>
      </w:pPr>
      <w:r>
        <w:rPr>
          <w:rFonts w:hint="eastAsia"/>
        </w:rPr>
        <w:t>区应急局2</w:t>
      </w:r>
      <w:r>
        <w:t>022</w:t>
      </w:r>
      <w:r>
        <w:rPr>
          <w:rFonts w:hint="eastAsia"/>
        </w:rPr>
        <w:t>年度部门预算安排公用经费总额为</w:t>
      </w:r>
      <w:r>
        <w:t>69.99</w:t>
      </w:r>
      <w:r>
        <w:rPr>
          <w:rFonts w:hint="eastAsia"/>
        </w:rPr>
        <w:t>万元，公用经费实际支出</w:t>
      </w:r>
      <w:r>
        <w:t>27.01</w:t>
      </w:r>
      <w:r>
        <w:rPr>
          <w:rFonts w:hint="eastAsia"/>
        </w:rPr>
        <w:t>万元，公用经费控制率为</w:t>
      </w:r>
      <w:r>
        <w:t>38.6%</w:t>
      </w:r>
      <w:r>
        <w:rPr>
          <w:rFonts w:hint="eastAsia"/>
        </w:rPr>
        <w:t>。</w:t>
      </w:r>
      <w:bookmarkEnd w:id="57"/>
    </w:p>
    <w:p>
      <w:pPr>
        <w:pStyle w:val="26"/>
        <w:ind w:firstLine="640"/>
      </w:pPr>
      <w:r>
        <w:rPr>
          <w:rFonts w:hint="eastAsia"/>
        </w:rPr>
        <w:t>⑤“三公”经费控制率：分值</w:t>
      </w:r>
      <w:r>
        <w:t>1</w:t>
      </w:r>
      <w:r>
        <w:rPr>
          <w:rFonts w:hint="eastAsia"/>
        </w:rPr>
        <w:t>分，得分</w:t>
      </w:r>
      <w:r>
        <w:t>1</w:t>
      </w:r>
      <w:r>
        <w:rPr>
          <w:rFonts w:hint="eastAsia"/>
        </w:rPr>
        <w:t>分，得分率</w:t>
      </w:r>
      <w:r>
        <w:t>100</w:t>
      </w:r>
      <w:r>
        <w:rPr>
          <w:rFonts w:hint="eastAsia"/>
        </w:rPr>
        <w:t>%。根据部门所提供部门预算批复、部门决算表进行评分，主要针对部门三公经费实际支出控制程度进行评价。</w:t>
      </w:r>
    </w:p>
    <w:p>
      <w:pPr>
        <w:pStyle w:val="26"/>
        <w:ind w:firstLine="640"/>
      </w:pPr>
      <w:r>
        <w:rPr>
          <w:rFonts w:hint="eastAsia"/>
        </w:rPr>
        <w:t>区应急局2</w:t>
      </w:r>
      <w:r>
        <w:t>022</w:t>
      </w:r>
      <w:r>
        <w:rPr>
          <w:rFonts w:hint="eastAsia"/>
        </w:rPr>
        <w:t>年度部门“三公”</w:t>
      </w:r>
      <w:r>
        <w:t>经费预算安排0万元，</w:t>
      </w:r>
      <w:r>
        <w:rPr>
          <w:rFonts w:hint="eastAsia"/>
        </w:rPr>
        <w:t>“三公”</w:t>
      </w:r>
      <w:r>
        <w:t>经费实际支出0万元，</w:t>
      </w:r>
      <w:r>
        <w:rPr>
          <w:rFonts w:hint="eastAsia"/>
        </w:rPr>
        <w:t>三公经费控制率为</w:t>
      </w:r>
      <w:r>
        <w:t>0%</w:t>
      </w:r>
      <w:r>
        <w:rPr>
          <w:rFonts w:hint="eastAsia"/>
        </w:rPr>
        <w:t>。</w:t>
      </w:r>
    </w:p>
    <w:p>
      <w:pPr>
        <w:pStyle w:val="26"/>
        <w:ind w:firstLine="640"/>
      </w:pPr>
      <w:r>
        <w:rPr>
          <w:rFonts w:hint="eastAsia"/>
        </w:rPr>
        <w:t>（2）预算管理</w:t>
      </w:r>
    </w:p>
    <w:p>
      <w:pPr>
        <w:pStyle w:val="26"/>
        <w:ind w:firstLine="640"/>
      </w:pPr>
      <w:r>
        <w:rPr>
          <w:rFonts w:hint="eastAsia"/>
        </w:rPr>
        <w:t>①资金使用合规性：分值</w:t>
      </w:r>
      <w:r>
        <w:t>1</w:t>
      </w:r>
      <w:r>
        <w:rPr>
          <w:rFonts w:hint="eastAsia"/>
        </w:rPr>
        <w:t>分，得分</w:t>
      </w:r>
      <w:r>
        <w:t>1</w:t>
      </w:r>
      <w:r>
        <w:rPr>
          <w:rFonts w:hint="eastAsia"/>
        </w:rPr>
        <w:t>分，得分率</w:t>
      </w:r>
      <w:r>
        <w:t>100</w:t>
      </w:r>
      <w:r>
        <w:rPr>
          <w:rFonts w:hint="eastAsia"/>
        </w:rPr>
        <w:t>%。根据部门所提供财务管理制度、资金使用申请与审批单据进行评分，主要针对部门资金使用是否符合国家财经法规和财务管理制度以及有关专项资金管理办法的规定，资金拨付是否有完整的审批程序和手续、是否符合部门预算批复或调整预算批复规定的用途，</w:t>
      </w:r>
      <w:r>
        <w:t>部门预算是否经过部门决策机构审议通过</w:t>
      </w:r>
      <w:r>
        <w:rPr>
          <w:rFonts w:hint="eastAsia"/>
        </w:rPr>
        <w:t>，是否存在资金截留、挤占、挪用、虚列支出等方面进行评价。</w:t>
      </w:r>
    </w:p>
    <w:p>
      <w:pPr>
        <w:pStyle w:val="26"/>
        <w:ind w:firstLine="640"/>
      </w:pPr>
      <w:r>
        <w:rPr>
          <w:rFonts w:hint="eastAsia"/>
        </w:rPr>
        <w:t>区应急局严格按照资金规范制度执行财务管理流程，所提供凭证及请款单据完整，财务记账符合国家财经法规和财务管理制度规定；各项资金拨付有完整的审批程序和手续、项目资金重大支出事项均经单位领导集体审议，拨付用途与部门预算批复、调整预算批复规定一致，各项支出有完整的请款申请与资金审批单据；部门预算已经单位领导集体审议通过；各项资金不存在资金截留、挤占、挪用、虚列支出等情况。</w:t>
      </w:r>
    </w:p>
    <w:p>
      <w:pPr>
        <w:pStyle w:val="26"/>
        <w:ind w:firstLine="640"/>
      </w:pPr>
      <w:r>
        <w:rPr>
          <w:rFonts w:hint="eastAsia"/>
        </w:rPr>
        <w:t>②预决算公开情况：分值</w:t>
      </w:r>
      <w:r>
        <w:t>1</w:t>
      </w:r>
      <w:r>
        <w:rPr>
          <w:rFonts w:hint="eastAsia"/>
        </w:rPr>
        <w:t>分，得分</w:t>
      </w:r>
      <w:r>
        <w:t>1</w:t>
      </w:r>
      <w:r>
        <w:rPr>
          <w:rFonts w:hint="eastAsia"/>
        </w:rPr>
        <w:t>分，得分率</w:t>
      </w:r>
      <w:r>
        <w:t>100</w:t>
      </w:r>
      <w:r>
        <w:rPr>
          <w:rFonts w:hint="eastAsia"/>
        </w:rPr>
        <w:t>%。</w:t>
      </w:r>
      <w:r>
        <w:t>依据部门预决算公开情况进行评分，主要针对部门是否按照政府信息公开有关规定</w:t>
      </w:r>
      <w:r>
        <w:rPr>
          <w:rFonts w:hint="eastAsia"/>
        </w:rPr>
        <w:t>及时</w:t>
      </w:r>
      <w:r>
        <w:t>公开预决算信息</w:t>
      </w:r>
      <w:r>
        <w:rPr>
          <w:rFonts w:hint="eastAsia"/>
        </w:rPr>
        <w:t>，公开内容是否完整、真实</w:t>
      </w:r>
      <w:r>
        <w:t>等方面进行评价。</w:t>
      </w:r>
    </w:p>
    <w:p>
      <w:pPr>
        <w:pStyle w:val="26"/>
        <w:ind w:firstLine="640"/>
      </w:pPr>
      <w:r>
        <w:rPr>
          <w:rFonts w:hint="eastAsia"/>
        </w:rPr>
        <w:t>根据天津市和平区财政局预算公开要求，已于2</w:t>
      </w:r>
      <w:r>
        <w:t>022</w:t>
      </w:r>
      <w:r>
        <w:rPr>
          <w:rFonts w:hint="eastAsia"/>
        </w:rPr>
        <w:t>年</w:t>
      </w:r>
      <w:r>
        <w:t>1</w:t>
      </w:r>
      <w:r>
        <w:rPr>
          <w:rFonts w:hint="eastAsia"/>
        </w:rPr>
        <w:t>月</w:t>
      </w:r>
      <w:r>
        <w:t>19</w:t>
      </w:r>
      <w:r>
        <w:rPr>
          <w:rFonts w:hint="eastAsia"/>
        </w:rPr>
        <w:t>日</w:t>
      </w:r>
      <w:r>
        <w:t>在天津市</w:t>
      </w:r>
      <w:r>
        <w:rPr>
          <w:rFonts w:hint="eastAsia"/>
        </w:rPr>
        <w:t>和平区</w:t>
      </w:r>
      <w:r>
        <w:t>政务网财政预决算专栏对</w:t>
      </w:r>
      <w:r>
        <w:rPr>
          <w:rFonts w:hint="eastAsia"/>
        </w:rPr>
        <w:t>区应急局</w:t>
      </w:r>
      <w:r>
        <w:t>2022年度部门预算信息向社会进行公开，信息公布及时、内容完整，符合《预算法》要求及政府信息公开有关规定</w:t>
      </w:r>
      <w:r>
        <w:rPr>
          <w:rFonts w:hint="eastAsia"/>
        </w:rPr>
        <w:t>。截至本次绩效评价基准日，区应急局</w:t>
      </w:r>
      <w:r>
        <w:t>202</w:t>
      </w:r>
      <w:r>
        <w:rPr>
          <w:rFonts w:hint="eastAsia"/>
        </w:rPr>
        <w:t>2年度部门决算信息公开时间未到规定的公开时间，不予评价。</w:t>
      </w:r>
    </w:p>
    <w:p>
      <w:pPr>
        <w:pStyle w:val="26"/>
        <w:ind w:firstLine="640"/>
      </w:pPr>
      <w:r>
        <w:rPr>
          <w:rFonts w:hint="eastAsia"/>
        </w:rPr>
        <w:t>③管理制度健全性：分值</w:t>
      </w:r>
      <w:r>
        <w:t>6</w:t>
      </w:r>
      <w:r>
        <w:rPr>
          <w:rFonts w:hint="eastAsia"/>
        </w:rPr>
        <w:t>分，得分</w:t>
      </w:r>
      <w:r>
        <w:t>4.5</w:t>
      </w:r>
      <w:r>
        <w:rPr>
          <w:rFonts w:hint="eastAsia"/>
        </w:rPr>
        <w:t>分，得分率</w:t>
      </w:r>
      <w:r>
        <w:t>75</w:t>
      </w:r>
      <w:r>
        <w:rPr>
          <w:rFonts w:hint="eastAsia"/>
        </w:rPr>
        <w:t>%。根据部门所提供内部控制管理制度、手册进行评分，主要针对部门预算资金管理办法、绩效跟踪管理办法、资产管理办法等各项制度是否健全，部门内部财务管理制度、会计核算制度是否完整合规，上述管理制度是否得到有效执行等方面进行评价。</w:t>
      </w:r>
    </w:p>
    <w:p>
      <w:pPr>
        <w:pStyle w:val="26"/>
        <w:ind w:firstLine="640"/>
      </w:pPr>
      <w:r>
        <w:rPr>
          <w:rFonts w:hint="eastAsia"/>
        </w:rPr>
        <w:t>区应急局已建立涵盖预算、收支、采购、合同、资产、建设项目六大经济业务的内控管理制度并配有相应流程图，条文内容符合现行国家法律法规和相关制度，上述部门内部管理制度均得到有效执行应用。财务管理制度中明确了收支、资金、票据、往来管理细则，财务管理制度和会计核算制度完整、合规。但部门未制定绩效跟踪管理办法，未明确根据绩效目标开展项目进度跟踪、业务数据核查与汇总分析具体方式内容，不利于发挥绩效管理对预算编制执行的引导约束和控制作用。</w:t>
      </w:r>
    </w:p>
    <w:p>
      <w:pPr>
        <w:pStyle w:val="26"/>
        <w:ind w:firstLine="640"/>
      </w:pPr>
      <w:r>
        <w:rPr>
          <w:rFonts w:hint="eastAsia"/>
        </w:rPr>
        <w:t>（</w:t>
      </w:r>
      <w:r>
        <w:t>3</w:t>
      </w:r>
      <w:r>
        <w:rPr>
          <w:rFonts w:hint="eastAsia"/>
        </w:rPr>
        <w:t>）绩效管理</w:t>
      </w:r>
    </w:p>
    <w:p>
      <w:pPr>
        <w:pStyle w:val="26"/>
        <w:ind w:firstLine="640"/>
      </w:pPr>
      <w:r>
        <w:rPr>
          <w:rFonts w:hint="eastAsia"/>
        </w:rPr>
        <w:t>①绩效管理机构和制度建设情况：分值</w:t>
      </w:r>
      <w:r>
        <w:t>1</w:t>
      </w:r>
      <w:r>
        <w:rPr>
          <w:rFonts w:hint="eastAsia"/>
        </w:rPr>
        <w:t>分，得分</w:t>
      </w:r>
      <w:r>
        <w:t>0</w:t>
      </w:r>
      <w:r>
        <w:rPr>
          <w:rFonts w:hint="eastAsia"/>
        </w:rPr>
        <w:t>分，得分率</w:t>
      </w:r>
      <w:r>
        <w:t>0</w:t>
      </w:r>
      <w:r>
        <w:rPr>
          <w:rFonts w:hint="eastAsia"/>
        </w:rPr>
        <w:t>%。根据部门所提供本部门绩效管理机构人员信息及全过程预算绩效管理相关制度建立情况进行评分，主要针对部门是否成立绩效管理领导小组、是否指定相关业务部门和专人负责绩效管理工作，是否建立涉及事前绩效评估、绩效目标设置、绩效执行监控、绩效事后评价等全过程预算绩效管理制度进行评价。</w:t>
      </w:r>
      <w:bookmarkStart w:id="58" w:name="_Hlk141956064"/>
    </w:p>
    <w:p>
      <w:pPr>
        <w:pStyle w:val="26"/>
        <w:ind w:firstLine="640"/>
      </w:pPr>
      <w:r>
        <w:rPr>
          <w:rFonts w:hint="eastAsia"/>
        </w:rPr>
        <w:t>截至本次</w:t>
      </w:r>
      <w:r>
        <w:t>绩效评价基准日</w:t>
      </w:r>
      <w:bookmarkEnd w:id="58"/>
      <w:r>
        <w:rPr>
          <w:rFonts w:hint="eastAsia"/>
        </w:rPr>
        <w:t>，区应急局尚未成立绩效管理领导小组，未建立全过程预算绩效管理相关制度。</w:t>
      </w:r>
    </w:p>
    <w:p>
      <w:pPr>
        <w:pStyle w:val="26"/>
        <w:ind w:firstLine="640"/>
      </w:pPr>
      <w:r>
        <w:rPr>
          <w:rFonts w:hint="eastAsia"/>
        </w:rPr>
        <w:t>②绩效指标体系健全性：分值</w:t>
      </w:r>
      <w:r>
        <w:t>1</w:t>
      </w:r>
      <w:r>
        <w:rPr>
          <w:rFonts w:hint="eastAsia"/>
        </w:rPr>
        <w:t>分，得分</w:t>
      </w:r>
      <w:r>
        <w:t>0</w:t>
      </w:r>
      <w:r>
        <w:rPr>
          <w:rFonts w:hint="eastAsia"/>
        </w:rPr>
        <w:t>分，得分率</w:t>
      </w:r>
      <w:r>
        <w:t>0</w:t>
      </w:r>
      <w:r>
        <w:rPr>
          <w:rFonts w:hint="eastAsia"/>
        </w:rPr>
        <w:t>%。根据</w:t>
      </w:r>
      <w:r>
        <w:t>部门</w:t>
      </w:r>
      <w:r>
        <w:rPr>
          <w:rFonts w:hint="eastAsia"/>
        </w:rPr>
        <w:t>所提供本部门</w:t>
      </w:r>
      <w:r>
        <w:t>绩效管理指标库建设</w:t>
      </w:r>
      <w:r>
        <w:rPr>
          <w:rFonts w:hint="eastAsia"/>
        </w:rPr>
        <w:t>工作完成情况</w:t>
      </w:r>
      <w:r>
        <w:t>进行评分，主要针对部门是否建立完善的指标体系，是否依据已建立的指标体系开展绩效目标编报工作等方面进行评价。</w:t>
      </w:r>
    </w:p>
    <w:p>
      <w:pPr>
        <w:pStyle w:val="26"/>
        <w:ind w:firstLine="640"/>
      </w:pPr>
      <w:r>
        <w:rPr>
          <w:rFonts w:hint="eastAsia"/>
        </w:rPr>
        <w:t>截至本次</w:t>
      </w:r>
      <w:r>
        <w:t>绩效评价基准日</w:t>
      </w:r>
      <w:r>
        <w:rPr>
          <w:rFonts w:hint="eastAsia"/>
        </w:rPr>
        <w:t>，区应急局尚未建立本部门</w:t>
      </w:r>
      <w:r>
        <w:t>绩效管理指标</w:t>
      </w:r>
      <w:r>
        <w:rPr>
          <w:rFonts w:hint="eastAsia"/>
        </w:rPr>
        <w:t>体系。</w:t>
      </w:r>
    </w:p>
    <w:p>
      <w:pPr>
        <w:pStyle w:val="26"/>
        <w:ind w:firstLine="640"/>
      </w:pPr>
      <w:r>
        <w:rPr>
          <w:rFonts w:hint="eastAsia"/>
        </w:rPr>
        <w:t>③绩效目标工作开展情况：分值</w:t>
      </w:r>
      <w:r>
        <w:t>1</w:t>
      </w:r>
      <w:r>
        <w:rPr>
          <w:rFonts w:hint="eastAsia"/>
        </w:rPr>
        <w:t>分，得分</w:t>
      </w:r>
      <w:r>
        <w:t>1</w:t>
      </w:r>
      <w:r>
        <w:rPr>
          <w:rFonts w:hint="eastAsia"/>
        </w:rPr>
        <w:t>分，得分率</w:t>
      </w:r>
      <w:r>
        <w:t>100%</w:t>
      </w:r>
      <w:r>
        <w:rPr>
          <w:rFonts w:hint="eastAsia"/>
        </w:rPr>
        <w:t>。根</w:t>
      </w:r>
      <w:r>
        <w:t>据部门</w:t>
      </w:r>
      <w:r>
        <w:rPr>
          <w:rFonts w:hint="eastAsia"/>
        </w:rPr>
        <w:t>所提供本部门2</w:t>
      </w:r>
      <w:r>
        <w:t>022</w:t>
      </w:r>
      <w:r>
        <w:rPr>
          <w:rFonts w:hint="eastAsia"/>
        </w:rPr>
        <w:t>年度</w:t>
      </w:r>
      <w:r>
        <w:t>绩效目标</w:t>
      </w:r>
      <w:r>
        <w:rPr>
          <w:rFonts w:hint="eastAsia"/>
        </w:rPr>
        <w:t>编报工作完成情况</w:t>
      </w:r>
      <w:r>
        <w:t>进行评分，主要针对部门是否在规定时间内完成部门整体绩效目标和项目绩效目标的</w:t>
      </w:r>
      <w:r>
        <w:rPr>
          <w:rFonts w:hint="eastAsia"/>
        </w:rPr>
        <w:t>制定</w:t>
      </w:r>
      <w:r>
        <w:t>编报工作等方面进行评价。</w:t>
      </w:r>
    </w:p>
    <w:p>
      <w:pPr>
        <w:pStyle w:val="26"/>
        <w:ind w:firstLine="640"/>
      </w:pPr>
      <w:r>
        <w:rPr>
          <w:rFonts w:hint="eastAsia"/>
        </w:rPr>
        <w:t>区应急局已</w:t>
      </w:r>
      <w:r>
        <w:t>按照</w:t>
      </w:r>
      <w:r>
        <w:rPr>
          <w:rFonts w:hint="eastAsia"/>
        </w:rPr>
        <w:t>天津市和平区财政部门规定时间</w:t>
      </w:r>
      <w:r>
        <w:t>要求</w:t>
      </w:r>
      <w:r>
        <w:rPr>
          <w:rFonts w:hint="eastAsia"/>
        </w:rPr>
        <w:t>，</w:t>
      </w:r>
      <w:r>
        <w:t>完成</w:t>
      </w:r>
      <w:r>
        <w:rPr>
          <w:rFonts w:hint="eastAsia"/>
        </w:rPr>
        <w:t>了</w:t>
      </w:r>
      <w:r>
        <w:t>部门整体绩效目标和项目绩效目标的</w:t>
      </w:r>
      <w:r>
        <w:rPr>
          <w:rFonts w:hint="eastAsia"/>
        </w:rPr>
        <w:t>制定</w:t>
      </w:r>
      <w:r>
        <w:t>编报工作</w:t>
      </w:r>
      <w:r>
        <w:rPr>
          <w:rFonts w:hint="eastAsia"/>
        </w:rPr>
        <w:t>，并于2</w:t>
      </w:r>
      <w:r>
        <w:t>023</w:t>
      </w:r>
      <w:r>
        <w:rPr>
          <w:rFonts w:hint="eastAsia"/>
        </w:rPr>
        <w:t>年2月8日在天津市和平区政务网财政预决算专栏及时</w:t>
      </w:r>
      <w:r>
        <w:t>向社会进行公开</w:t>
      </w:r>
      <w:r>
        <w:rPr>
          <w:rFonts w:hint="eastAsia"/>
        </w:rPr>
        <w:t>。</w:t>
      </w:r>
    </w:p>
    <w:p>
      <w:pPr>
        <w:pStyle w:val="26"/>
        <w:ind w:firstLine="640"/>
      </w:pPr>
      <w:r>
        <w:rPr>
          <w:rFonts w:hint="eastAsia"/>
        </w:rPr>
        <w:t>④绩效评价工作开展情况：分值</w:t>
      </w:r>
      <w:r>
        <w:t>1</w:t>
      </w:r>
      <w:r>
        <w:rPr>
          <w:rFonts w:hint="eastAsia"/>
        </w:rPr>
        <w:t>分，得分</w:t>
      </w:r>
      <w:r>
        <w:t>1</w:t>
      </w:r>
      <w:r>
        <w:rPr>
          <w:rFonts w:hint="eastAsia"/>
        </w:rPr>
        <w:t>分，得分率</w:t>
      </w:r>
      <w:r>
        <w:t>100</w:t>
      </w:r>
      <w:r>
        <w:rPr>
          <w:rFonts w:hint="eastAsia"/>
        </w:rPr>
        <w:t>%。根据部门所提供本部门</w:t>
      </w:r>
      <w:r>
        <w:t>2022年度整体支出绩效自评表</w:t>
      </w:r>
      <w:r>
        <w:rPr>
          <w:rFonts w:hint="eastAsia"/>
        </w:rPr>
        <w:t>、</w:t>
      </w:r>
      <w:r>
        <w:t>项目支出绩效自评表</w:t>
      </w:r>
      <w:r>
        <w:rPr>
          <w:rFonts w:hint="eastAsia"/>
        </w:rPr>
        <w:t>编报工作完成情况</w:t>
      </w:r>
      <w:r>
        <w:t>进行评分，主要针对部门是否按照</w:t>
      </w:r>
      <w:r>
        <w:rPr>
          <w:rFonts w:hint="eastAsia"/>
        </w:rPr>
        <w:t>区财政部门</w:t>
      </w:r>
      <w:r>
        <w:t>要求</w:t>
      </w:r>
      <w:r>
        <w:rPr>
          <w:rFonts w:hint="eastAsia"/>
        </w:rPr>
        <w:t>开展并</w:t>
      </w:r>
      <w:r>
        <w:t>完成</w:t>
      </w:r>
      <w:r>
        <w:rPr>
          <w:rFonts w:hint="eastAsia"/>
        </w:rPr>
        <w:t>部门整体支出绩效与项目支出</w:t>
      </w:r>
      <w:r>
        <w:t>绩效自评工作进行评价。</w:t>
      </w:r>
    </w:p>
    <w:p>
      <w:pPr>
        <w:pStyle w:val="26"/>
        <w:ind w:firstLine="640"/>
      </w:pPr>
      <w:r>
        <w:rPr>
          <w:rFonts w:hint="eastAsia"/>
        </w:rPr>
        <w:t>区应急局已</w:t>
      </w:r>
      <w:r>
        <w:t>按照</w:t>
      </w:r>
      <w:r>
        <w:rPr>
          <w:rFonts w:hint="eastAsia"/>
        </w:rPr>
        <w:t>天津市和平区财政部门</w:t>
      </w:r>
      <w:r>
        <w:t>要求开展</w:t>
      </w:r>
      <w:r>
        <w:rPr>
          <w:rFonts w:hint="eastAsia"/>
        </w:rPr>
        <w:t>了2</w:t>
      </w:r>
      <w:r>
        <w:t>022</w:t>
      </w:r>
      <w:r>
        <w:rPr>
          <w:rFonts w:hint="eastAsia"/>
        </w:rPr>
        <w:t>年度</w:t>
      </w:r>
      <w:r>
        <w:t>部门整体支出绩效自评工作和项目支出绩效自评工作，完成了部门整体</w:t>
      </w:r>
      <w:r>
        <w:rPr>
          <w:rFonts w:hint="eastAsia"/>
        </w:rPr>
        <w:t>支出</w:t>
      </w:r>
      <w:r>
        <w:t>绩效自评表、部门整体</w:t>
      </w:r>
      <w:r>
        <w:rPr>
          <w:rFonts w:hint="eastAsia"/>
        </w:rPr>
        <w:t>支出</w:t>
      </w:r>
      <w:r>
        <w:t>绩效自评</w:t>
      </w:r>
      <w:r>
        <w:rPr>
          <w:rFonts w:hint="eastAsia"/>
        </w:rPr>
        <w:t>报告、3个项目支出绩效自评表和3个项目支出绩效自评报告的编报工作</w:t>
      </w:r>
      <w:r>
        <w:t>，</w:t>
      </w:r>
      <w:r>
        <w:rPr>
          <w:rFonts w:hint="eastAsia"/>
        </w:rPr>
        <w:t>上述自评工作材料均已通过天津市和平区财政部门审核</w:t>
      </w:r>
      <w:r>
        <w:t>。</w:t>
      </w:r>
    </w:p>
    <w:p>
      <w:pPr>
        <w:pStyle w:val="26"/>
        <w:ind w:firstLine="640"/>
      </w:pPr>
      <w:r>
        <w:rPr>
          <w:rFonts w:hint="eastAsia"/>
        </w:rPr>
        <w:t>（</w:t>
      </w:r>
      <w:r>
        <w:t>4</w:t>
      </w:r>
      <w:r>
        <w:rPr>
          <w:rFonts w:hint="eastAsia"/>
        </w:rPr>
        <w:t>）资产管理</w:t>
      </w:r>
    </w:p>
    <w:p>
      <w:pPr>
        <w:pStyle w:val="26"/>
        <w:ind w:firstLine="640"/>
      </w:pPr>
      <w:r>
        <w:rPr>
          <w:rFonts w:hint="eastAsia"/>
        </w:rPr>
        <w:t>①资产管理规范性：分值</w:t>
      </w:r>
      <w:r>
        <w:t>2</w:t>
      </w:r>
      <w:r>
        <w:rPr>
          <w:rFonts w:hint="eastAsia"/>
        </w:rPr>
        <w:t>分，得分</w:t>
      </w:r>
      <w:r>
        <w:t>2</w:t>
      </w:r>
      <w:r>
        <w:rPr>
          <w:rFonts w:hint="eastAsia"/>
        </w:rPr>
        <w:t>分，得分率</w:t>
      </w:r>
      <w:r>
        <w:t>100</w:t>
      </w:r>
      <w:r>
        <w:rPr>
          <w:rFonts w:hint="eastAsia"/>
        </w:rPr>
        <w:t>%。依据部门所提供本部门</w:t>
      </w:r>
      <w:r>
        <w:t>2022年度行政事业性国有资产</w:t>
      </w:r>
      <w:r>
        <w:rPr>
          <w:rFonts w:hint="eastAsia"/>
        </w:rPr>
        <w:t>报表</w:t>
      </w:r>
      <w:r>
        <w:t>、行政事业单位国有资产处置申报表、核准处置资产清单进行评分，主要针对资产保存是否完整，是否定期对固定资产进行清查，资产配置是否合理，资产使用和处置是否规范，是否做到账实相符等方面进行评价。</w:t>
      </w:r>
    </w:p>
    <w:p>
      <w:pPr>
        <w:pStyle w:val="26"/>
        <w:ind w:firstLine="640"/>
      </w:pPr>
      <w:r>
        <w:rPr>
          <w:rFonts w:hint="eastAsia"/>
        </w:rPr>
        <w:t>区应急局现有资产保存状态完好，定期开展固定资产盘点清查工作，未发生因管理不当导致严重资产损失和丢失的问题；资产配置与资产使用严格遵照配置标准与“谁使用、谁负责”原则，</w:t>
      </w:r>
      <w:r>
        <w:t>不存在超标准配置资产</w:t>
      </w:r>
      <w:r>
        <w:rPr>
          <w:rFonts w:hint="eastAsia"/>
        </w:rPr>
        <w:t>与擅自出租、出借资产的行为，本年所处置资产均经区财政部门审批，审批要件齐全；资产实物与资产账数据账实相符，资产账与财务资产账数据，账账</w:t>
      </w:r>
      <w:r>
        <w:t>相符</w:t>
      </w:r>
      <w:r>
        <w:rPr>
          <w:rFonts w:hint="eastAsia"/>
        </w:rPr>
        <w:t>。</w:t>
      </w:r>
    </w:p>
    <w:p>
      <w:pPr>
        <w:pStyle w:val="26"/>
        <w:ind w:firstLine="640"/>
      </w:pPr>
      <w:r>
        <w:rPr>
          <w:rFonts w:hint="eastAsia"/>
        </w:rPr>
        <w:t>②固定资产利用率：分值</w:t>
      </w:r>
      <w:r>
        <w:t>3</w:t>
      </w:r>
      <w:r>
        <w:rPr>
          <w:rFonts w:hint="eastAsia"/>
        </w:rPr>
        <w:t>分，得分</w:t>
      </w:r>
      <w:r>
        <w:t>3</w:t>
      </w:r>
      <w:r>
        <w:rPr>
          <w:rFonts w:hint="eastAsia"/>
        </w:rPr>
        <w:t>分，得分率</w:t>
      </w:r>
      <w:r>
        <w:t>100</w:t>
      </w:r>
      <w:r>
        <w:rPr>
          <w:rFonts w:hint="eastAsia"/>
        </w:rPr>
        <w:t>%。根据部门所提供本部门2</w:t>
      </w:r>
      <w:r>
        <w:t>022</w:t>
      </w:r>
      <w:r>
        <w:rPr>
          <w:rFonts w:hint="eastAsia"/>
        </w:rPr>
        <w:t>年度</w:t>
      </w:r>
      <w:r>
        <w:t>行政事业性国有资产</w:t>
      </w:r>
      <w:r>
        <w:rPr>
          <w:rFonts w:hint="eastAsia"/>
        </w:rPr>
        <w:t>报表进行评分，主要针对部门实际在用固定资产总额与所有固定资产总额对比情况进行评价。</w:t>
      </w:r>
    </w:p>
    <w:p>
      <w:pPr>
        <w:pStyle w:val="26"/>
        <w:ind w:firstLine="640"/>
      </w:pPr>
      <w:r>
        <w:rPr>
          <w:rFonts w:hint="eastAsia"/>
        </w:rPr>
        <w:t>区应急局2</w:t>
      </w:r>
      <w:r>
        <w:t>022</w:t>
      </w:r>
      <w:r>
        <w:rPr>
          <w:rFonts w:hint="eastAsia"/>
        </w:rPr>
        <w:t>年度部门固定资产总额为</w:t>
      </w:r>
      <w:r>
        <w:t>169.47</w:t>
      </w:r>
      <w:r>
        <w:rPr>
          <w:rFonts w:hint="eastAsia"/>
        </w:rPr>
        <w:t>万元，实际在用固定资产总额为</w:t>
      </w:r>
      <w:r>
        <w:t>169.47</w:t>
      </w:r>
      <w:r>
        <w:rPr>
          <w:rFonts w:hint="eastAsia"/>
        </w:rPr>
        <w:t>万元，固定资产利用率为</w:t>
      </w:r>
      <w:r>
        <w:t>100%</w:t>
      </w:r>
      <w:r>
        <w:rPr>
          <w:rFonts w:hint="eastAsia"/>
        </w:rPr>
        <w:t>。</w:t>
      </w:r>
    </w:p>
    <w:p>
      <w:pPr>
        <w:pStyle w:val="26"/>
        <w:ind w:firstLine="640"/>
      </w:pPr>
      <w:r>
        <w:rPr>
          <w:rFonts w:hint="eastAsia"/>
        </w:rPr>
        <w:t>3</w:t>
      </w:r>
      <w:r>
        <w:t>.</w:t>
      </w:r>
      <w:r>
        <w:rPr>
          <w:rFonts w:hint="eastAsia"/>
        </w:rPr>
        <w:t>履职产出</w:t>
      </w:r>
    </w:p>
    <w:p>
      <w:pPr>
        <w:pStyle w:val="26"/>
        <w:ind w:firstLine="640"/>
      </w:pPr>
      <w:r>
        <w:rPr>
          <w:rFonts w:hint="eastAsia"/>
        </w:rPr>
        <w:t>（</w:t>
      </w:r>
      <w:r>
        <w:t>1</w:t>
      </w:r>
      <w:r>
        <w:rPr>
          <w:rFonts w:hint="eastAsia"/>
        </w:rPr>
        <w:t>）产出数量</w:t>
      </w:r>
    </w:p>
    <w:p>
      <w:pPr>
        <w:pStyle w:val="26"/>
        <w:ind w:firstLine="640"/>
      </w:pPr>
      <w:bookmarkStart w:id="59" w:name="_Hlk142057613"/>
      <w:r>
        <w:rPr>
          <w:rFonts w:hint="eastAsia"/>
        </w:rPr>
        <w:t>①应急管理工作完成情况：分值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进行评分，主要针对应急工作、防汛工作完成情况进行评价。</w:t>
      </w:r>
    </w:p>
    <w:p>
      <w:pPr>
        <w:pStyle w:val="26"/>
        <w:ind w:firstLine="640"/>
      </w:pPr>
      <w:r>
        <w:rPr>
          <w:rFonts w:hint="eastAsia"/>
        </w:rPr>
        <w:t>一是应急工作方面：区应急局组织召开了应急预案体系建设推动会，</w:t>
      </w:r>
      <w:r>
        <w:t>完成</w:t>
      </w:r>
      <w:r>
        <w:rPr>
          <w:rFonts w:hint="eastAsia"/>
        </w:rPr>
        <w:t>了</w:t>
      </w:r>
      <w:r>
        <w:t>区防汛抗旱应急预案、区气象灾害应急预案、区危险化学品事故应急预案、生产安全事故综合应急预案、区自然灾害救助应急预案、天津市和平区城市轨道交通运营突发事件应急预案</w:t>
      </w:r>
      <w:r>
        <w:rPr>
          <w:rFonts w:hint="eastAsia"/>
        </w:rPr>
        <w:t>的</w:t>
      </w:r>
      <w:r>
        <w:t>修订、征求意见、专家评审工作</w:t>
      </w:r>
      <w:r>
        <w:rPr>
          <w:rFonts w:hint="eastAsia"/>
        </w:rPr>
        <w:t>。组织</w:t>
      </w:r>
      <w:r>
        <w:t>21支应急救援队伍</w:t>
      </w:r>
      <w:r>
        <w:rPr>
          <w:rFonts w:hint="eastAsia"/>
        </w:rPr>
        <w:t>参与了应急救援队伍建设业务培训会</w:t>
      </w:r>
      <w:r>
        <w:t>。</w:t>
      </w:r>
    </w:p>
    <w:p>
      <w:pPr>
        <w:pStyle w:val="26"/>
        <w:ind w:firstLine="640"/>
      </w:pPr>
      <w:r>
        <w:rPr>
          <w:rFonts w:hint="eastAsia"/>
        </w:rPr>
        <w:t>二是防汛工作方面：区应急局完成印发了《和平区防汛工作方案》《城市内涝人员转移安置方案》。组织了应对极端强降雨防汛应急处置桌面推演工作，模拟和平区遭遇类似郑州“</w:t>
      </w:r>
      <w:r>
        <w:t>7.20</w:t>
      </w:r>
      <w:r>
        <w:rPr>
          <w:rFonts w:hint="eastAsia"/>
        </w:rPr>
        <w:t>”</w:t>
      </w:r>
      <w:r>
        <w:t>特大暴雨天气过程，紧密结合6月26日</w:t>
      </w:r>
      <w:r>
        <w:rPr>
          <w:rFonts w:hint="eastAsia"/>
        </w:rPr>
        <w:t>、</w:t>
      </w:r>
      <w:r>
        <w:t>27日强降雨实际，设置</w:t>
      </w:r>
      <w:r>
        <w:rPr>
          <w:rFonts w:hint="eastAsia"/>
        </w:rPr>
        <w:t>了</w:t>
      </w:r>
      <w:r>
        <w:t>应急响应启动、小白楼音乐厅周边积水抢险、下沉地道封控救援、人员转移安置、津河漫堤抢险、道路抢修、供电安全保障、应急通信保障等8个科目，住建、城管、教育、商务、科技等16个单位参加</w:t>
      </w:r>
      <w:r>
        <w:rPr>
          <w:rFonts w:hint="eastAsia"/>
        </w:rPr>
        <w:t>了</w:t>
      </w:r>
      <w:r>
        <w:t>演练</w:t>
      </w:r>
      <w:r>
        <w:rPr>
          <w:rFonts w:hint="eastAsia"/>
        </w:rPr>
        <w:t>活动。完成组织了防汛隐患排查整治工作，共派出检查小组186个，检查人员516人，完成检查点位265个</w:t>
      </w:r>
      <w:r>
        <w:t>。</w:t>
      </w:r>
      <w:r>
        <w:rPr>
          <w:rFonts w:hint="eastAsia"/>
        </w:rPr>
        <w:t>通过腾讯会议系统组织了各街道、社区</w:t>
      </w:r>
      <w:r>
        <w:t>60余名业务骨干开展</w:t>
      </w:r>
      <w:r>
        <w:rPr>
          <w:rFonts w:hint="eastAsia"/>
        </w:rPr>
        <w:t>了</w:t>
      </w:r>
      <w:r>
        <w:t>气象信息员线上培训会</w:t>
      </w:r>
      <w:r>
        <w:rPr>
          <w:rFonts w:hint="eastAsia"/>
        </w:rPr>
        <w:t>。完成了</w:t>
      </w:r>
      <w:r>
        <w:t>汛期推送信息1万余条</w:t>
      </w:r>
      <w:r>
        <w:rPr>
          <w:rFonts w:hint="eastAsia"/>
        </w:rPr>
        <w:t>。</w:t>
      </w:r>
    </w:p>
    <w:p>
      <w:pPr>
        <w:pStyle w:val="26"/>
        <w:ind w:firstLine="640"/>
      </w:pPr>
      <w:r>
        <w:rPr>
          <w:rFonts w:hint="eastAsia"/>
        </w:rPr>
        <w:t>综上所述，区应急局应急管理工作完成内容与年度计划相符，应急管理工作完成率为</w:t>
      </w:r>
      <w:r>
        <w:t>100%。</w:t>
      </w:r>
    </w:p>
    <w:p>
      <w:pPr>
        <w:pStyle w:val="26"/>
        <w:ind w:firstLine="640"/>
      </w:pPr>
      <w:r>
        <w:rPr>
          <w:rFonts w:hint="eastAsia"/>
        </w:rPr>
        <w:t>②安全生产监管工作完成情况：分值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进行评分，主要针对安全生产检查工作、警示教育工作、专项整治工作完成情况进行评价。</w:t>
      </w:r>
    </w:p>
    <w:p>
      <w:pPr>
        <w:pStyle w:val="26"/>
        <w:ind w:firstLine="640"/>
      </w:pPr>
      <w:r>
        <w:rPr>
          <w:rFonts w:hint="eastAsia"/>
        </w:rPr>
        <w:t>一是安全生产检查工作方面：区应急局通过“启动会+现场执法检查+总结会”、“企业负责人+安全管理人员+岗位操作员工全过程在场”的方法，</w:t>
      </w:r>
      <w:r>
        <w:t>全年共</w:t>
      </w:r>
      <w:r>
        <w:rPr>
          <w:rFonts w:hint="eastAsia"/>
        </w:rPr>
        <w:t>完成了</w:t>
      </w:r>
      <w:r>
        <w:t>352家次</w:t>
      </w:r>
      <w:r>
        <w:rPr>
          <w:rFonts w:hint="eastAsia"/>
        </w:rPr>
        <w:t>执法</w:t>
      </w:r>
      <w:r>
        <w:t>检查</w:t>
      </w:r>
      <w:r>
        <w:rPr>
          <w:rFonts w:hint="eastAsia"/>
        </w:rPr>
        <w:t>工作。</w:t>
      </w:r>
    </w:p>
    <w:p>
      <w:pPr>
        <w:pStyle w:val="26"/>
        <w:ind w:firstLine="640"/>
      </w:pPr>
      <w:r>
        <w:rPr>
          <w:rFonts w:hint="eastAsia"/>
        </w:rPr>
        <w:t>二是警示教育工作方面：区应急局完成了对32家危化企业负责人开展了安全培训考核，</w:t>
      </w:r>
      <w:r>
        <w:t>34家单位逐一签订</w:t>
      </w:r>
      <w:r>
        <w:rPr>
          <w:rFonts w:hint="eastAsia"/>
        </w:rPr>
        <w:t>了</w:t>
      </w:r>
      <w:r>
        <w:t>安全生产承诺书</w:t>
      </w:r>
      <w:r>
        <w:rPr>
          <w:rFonts w:hint="eastAsia"/>
        </w:rPr>
        <w:t>。组织了全区《安全生产法》专题报告会，区委理论</w:t>
      </w:r>
      <w:r>
        <w:rPr>
          <w:rFonts w:hint="eastAsia"/>
          <w:lang w:eastAsia="zh-CN"/>
        </w:rPr>
        <w:t>学习</w:t>
      </w:r>
      <w:r>
        <w:rPr>
          <w:rFonts w:hint="eastAsia"/>
        </w:rPr>
        <w:t>中心组成员、全区各部门以及企事业单位安全生产负责同志共计437人参加。开展了全国安全宣传咨询日“云体验云直播”活动，组织了重点行业领域观看《和平区安全生产警示教育片——慎终如始 严守红线》。</w:t>
      </w:r>
    </w:p>
    <w:p>
      <w:pPr>
        <w:pStyle w:val="26"/>
        <w:ind w:firstLine="640"/>
      </w:pPr>
      <w:r>
        <w:rPr>
          <w:rFonts w:hint="eastAsia"/>
        </w:rPr>
        <w:t>三是专项整治工作方面：区应急局全年依法开展了安全培训机构、工贸行业企业和危险化学品企业等单位行政执法检查</w:t>
      </w:r>
      <w:r>
        <w:t>19家次</w:t>
      </w:r>
      <w:r>
        <w:rPr>
          <w:rFonts w:hint="eastAsia"/>
        </w:rPr>
        <w:t>。</w:t>
      </w:r>
      <w:r>
        <w:t>开展</w:t>
      </w:r>
      <w:r>
        <w:rPr>
          <w:rFonts w:hint="eastAsia"/>
        </w:rPr>
        <w:t>了</w:t>
      </w:r>
      <w:r>
        <w:t>有限空间作业安全专项整治</w:t>
      </w:r>
      <w:r>
        <w:rPr>
          <w:rFonts w:hint="eastAsia"/>
        </w:rPr>
        <w:t>工作</w:t>
      </w:r>
      <w:r>
        <w:t>，</w:t>
      </w:r>
      <w:r>
        <w:rPr>
          <w:rFonts w:hint="eastAsia"/>
        </w:rPr>
        <w:t>完成了专项检查</w:t>
      </w:r>
      <w:r>
        <w:t>40家次。</w:t>
      </w:r>
      <w:r>
        <w:rPr>
          <w:rFonts w:hint="eastAsia"/>
        </w:rPr>
        <w:t>开展了工贸行业防风险除隐患保安全排查整治工作，完成了专项检查102家次</w:t>
      </w:r>
      <w:r>
        <w:t>。</w:t>
      </w:r>
      <w:r>
        <w:rPr>
          <w:rFonts w:hint="eastAsia"/>
        </w:rPr>
        <w:t>开展了打击假冒政府网站制售假冒安全生产证书专项检查工作，完成了专项检查63家次。</w:t>
      </w:r>
    </w:p>
    <w:p>
      <w:pPr>
        <w:pStyle w:val="26"/>
        <w:ind w:firstLine="640"/>
      </w:pPr>
      <w:r>
        <w:rPr>
          <w:rFonts w:hint="eastAsia"/>
        </w:rPr>
        <w:t>综上所述，区应急局安全生产监管工作完成内容与年度计划相符，应急管理工作完成率为</w:t>
      </w:r>
      <w:r>
        <w:t>100%。</w:t>
      </w:r>
    </w:p>
    <w:p>
      <w:pPr>
        <w:pStyle w:val="26"/>
        <w:ind w:firstLine="640"/>
      </w:pPr>
      <w:r>
        <w:rPr>
          <w:rFonts w:hint="eastAsia"/>
        </w:rPr>
        <w:t>③防灾减灾工作完成情况：分值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进行评分，主要针对健全防震减灾工作机制，防灾减灾宣传活动，避难场所建设工作完成情况进行评价。</w:t>
      </w:r>
    </w:p>
    <w:p>
      <w:pPr>
        <w:pStyle w:val="26"/>
        <w:ind w:firstLine="640"/>
      </w:pPr>
      <w:r>
        <w:rPr>
          <w:rFonts w:hint="eastAsia"/>
        </w:rPr>
        <w:t>一是健全防震减灾工作机制方面：区应急局制定了《和平区防震减灾工作领导小组工作规则和领导小组办公室工作细则》。</w:t>
      </w:r>
    </w:p>
    <w:p>
      <w:pPr>
        <w:pStyle w:val="26"/>
        <w:ind w:firstLine="640"/>
      </w:pPr>
      <w:r>
        <w:rPr>
          <w:rFonts w:hint="eastAsia"/>
        </w:rPr>
        <w:t>二是防灾减灾宣传活动方面：区应急局充分利用“</w:t>
      </w:r>
      <w:r>
        <w:t>5·12全国防灾减灾日”、“7·28唐山大地震纪念日”、“国防科技日”、“全国科普宣传日”、“安全生产宣传月”等特殊时段，集中</w:t>
      </w:r>
      <w:r>
        <w:rPr>
          <w:rFonts w:hint="eastAsia"/>
        </w:rPr>
        <w:t>完成了</w:t>
      </w:r>
      <w:r>
        <w:t>10余场宣传</w:t>
      </w:r>
      <w:r>
        <w:rPr>
          <w:rFonts w:hint="eastAsia"/>
        </w:rPr>
        <w:t>工作</w:t>
      </w:r>
      <w:r>
        <w:t>。同时，围绕“双创”、自然灾害普查、固定避难场所建设等工作</w:t>
      </w:r>
      <w:r>
        <w:rPr>
          <w:rFonts w:hint="eastAsia"/>
        </w:rPr>
        <w:t>，</w:t>
      </w:r>
      <w:r>
        <w:t>结合“我为群众办实事”、“和平夜话”特色活动，开展</w:t>
      </w:r>
      <w:r>
        <w:rPr>
          <w:rFonts w:hint="eastAsia"/>
        </w:rPr>
        <w:t>了</w:t>
      </w:r>
      <w:r>
        <w:t>宣传活动近百场</w:t>
      </w:r>
      <w:r>
        <w:rPr>
          <w:rFonts w:hint="eastAsia"/>
        </w:rPr>
        <w:t>。</w:t>
      </w:r>
    </w:p>
    <w:p>
      <w:pPr>
        <w:pStyle w:val="26"/>
        <w:ind w:firstLine="640"/>
      </w:pPr>
      <w:r>
        <w:rPr>
          <w:rFonts w:hint="eastAsia"/>
        </w:rPr>
        <w:t>三是避难场所建设工作方面：区应急局持续推进了天津市第二十一中学、昆明路小学、万全小学、小白楼街长春道社区“双创”工作落地。全区累计创建天津市防震减灾科普示范校12个，国家级防震减灾科普示范校6个，全国综合减灾示范社区2个。组织了6个街道开展了应急避难场所大排查，将二南开学校、民园广场提升改造为可容纳10476人的设施完备的固定避难场所。</w:t>
      </w:r>
    </w:p>
    <w:p>
      <w:pPr>
        <w:pStyle w:val="26"/>
        <w:ind w:firstLine="640"/>
      </w:pPr>
      <w:r>
        <w:rPr>
          <w:rFonts w:hint="eastAsia"/>
        </w:rPr>
        <w:t>综上所述，区应急局防灾减灾工作完成内容与年度计划相符，应急管理工作完成率为</w:t>
      </w:r>
      <w:r>
        <w:t>100%。</w:t>
      </w:r>
    </w:p>
    <w:bookmarkEnd w:id="59"/>
    <w:p>
      <w:pPr>
        <w:pStyle w:val="26"/>
        <w:ind w:firstLine="640"/>
      </w:pPr>
      <w:r>
        <w:rPr>
          <w:rFonts w:hint="eastAsia"/>
        </w:rPr>
        <w:t>（</w:t>
      </w:r>
      <w:r>
        <w:t>2</w:t>
      </w:r>
      <w:r>
        <w:rPr>
          <w:rFonts w:hint="eastAsia"/>
        </w:rPr>
        <w:t>）产出质量</w:t>
      </w:r>
    </w:p>
    <w:p>
      <w:pPr>
        <w:pStyle w:val="26"/>
        <w:ind w:firstLine="640"/>
      </w:pPr>
      <w:r>
        <w:rPr>
          <w:rFonts w:hint="eastAsia"/>
        </w:rPr>
        <w:t>①应急管理工作质量达标情况：分值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进行评分，主要针对应急工作、防汛工作完成质量达标情况进行评价。</w:t>
      </w:r>
    </w:p>
    <w:p>
      <w:pPr>
        <w:pStyle w:val="26"/>
        <w:ind w:firstLine="640"/>
      </w:pPr>
      <w:r>
        <w:rPr>
          <w:rFonts w:hint="eastAsia"/>
        </w:rPr>
        <w:t>一是应急工作方面：区应急局</w:t>
      </w:r>
      <w:r>
        <w:t>完成</w:t>
      </w:r>
      <w:r>
        <w:rPr>
          <w:rFonts w:hint="eastAsia"/>
        </w:rPr>
        <w:t>了6个</w:t>
      </w:r>
      <w:r>
        <w:t>应急预案</w:t>
      </w:r>
      <w:r>
        <w:rPr>
          <w:rFonts w:hint="eastAsia"/>
        </w:rPr>
        <w:t>的</w:t>
      </w:r>
      <w:r>
        <w:t>修订、征求意见、专家评审工作</w:t>
      </w:r>
      <w:r>
        <w:rPr>
          <w:rFonts w:hint="eastAsia"/>
        </w:rPr>
        <w:t>，并报送天津市和平区司法局</w:t>
      </w:r>
      <w:r>
        <w:t>进行合法性审核</w:t>
      </w:r>
      <w:r>
        <w:rPr>
          <w:rFonts w:hint="eastAsia"/>
        </w:rPr>
        <w:t>，应急预案合法性审核报送率为1</w:t>
      </w:r>
      <w:r>
        <w:t>00%</w:t>
      </w:r>
      <w:r>
        <w:rPr>
          <w:rFonts w:hint="eastAsia"/>
        </w:rPr>
        <w:t>。应急救援队伍建设业务培训工作中</w:t>
      </w:r>
      <w:r>
        <w:t>21支应急救援队伍</w:t>
      </w:r>
      <w:r>
        <w:rPr>
          <w:rFonts w:hint="eastAsia"/>
        </w:rPr>
        <w:t>全部到位参与，应急救援队伍到位参与率为1</w:t>
      </w:r>
      <w:r>
        <w:t>00%。</w:t>
      </w:r>
    </w:p>
    <w:p>
      <w:pPr>
        <w:pStyle w:val="26"/>
        <w:ind w:firstLine="640"/>
      </w:pPr>
      <w:r>
        <w:rPr>
          <w:rFonts w:hint="eastAsia"/>
        </w:rPr>
        <w:t>二是防汛工作方面：区应急局准确印发了《和平区防汛工作方案》《城市内涝人员转移安置方案》，方案内容达标率为1</w:t>
      </w:r>
      <w:r>
        <w:t>00%</w:t>
      </w:r>
      <w:r>
        <w:rPr>
          <w:rFonts w:hint="eastAsia"/>
        </w:rPr>
        <w:t>。圆满完成了应对极端强降雨防汛应急处置桌面推演工作。圆满完成了防汛隐患排查整治工作，检查出问题115个，落实整改1</w:t>
      </w:r>
      <w:r>
        <w:t>15</w:t>
      </w:r>
      <w:r>
        <w:rPr>
          <w:rFonts w:hint="eastAsia"/>
        </w:rPr>
        <w:t>个，防汛隐患整改落实率为1</w:t>
      </w:r>
      <w:r>
        <w:t>00%</w:t>
      </w:r>
      <w:r>
        <w:rPr>
          <w:rFonts w:hint="eastAsia"/>
        </w:rPr>
        <w:t>。完成组织了各街道、社区60余名业务骨干的</w:t>
      </w:r>
      <w:r>
        <w:t>气象信息员线上培训</w:t>
      </w:r>
      <w:r>
        <w:rPr>
          <w:rFonts w:hint="eastAsia"/>
        </w:rPr>
        <w:t>工作，培训人员参与率达到了1</w:t>
      </w:r>
      <w:r>
        <w:t>00%</w:t>
      </w:r>
      <w:r>
        <w:rPr>
          <w:rFonts w:hint="eastAsia"/>
        </w:rPr>
        <w:t>。完成了在</w:t>
      </w:r>
      <w:r>
        <w:t>汛期</w:t>
      </w:r>
      <w:r>
        <w:rPr>
          <w:rFonts w:hint="eastAsia"/>
        </w:rPr>
        <w:t>准确</w:t>
      </w:r>
      <w:r>
        <w:t>推送信息1万余条</w:t>
      </w:r>
      <w:r>
        <w:rPr>
          <w:rFonts w:hint="eastAsia"/>
        </w:rPr>
        <w:t>，汛期信息准确推送率为1</w:t>
      </w:r>
      <w:r>
        <w:t>00%</w:t>
      </w:r>
      <w:r>
        <w:rPr>
          <w:rFonts w:hint="eastAsia"/>
        </w:rPr>
        <w:t>。</w:t>
      </w:r>
    </w:p>
    <w:p>
      <w:pPr>
        <w:pStyle w:val="26"/>
        <w:ind w:firstLine="640"/>
      </w:pPr>
      <w:r>
        <w:rPr>
          <w:rFonts w:hint="eastAsia"/>
        </w:rPr>
        <w:t>综上所述，区应急局应急管理工作完成质量全部达标，应急管理工作质量达标率为</w:t>
      </w:r>
      <w:r>
        <w:t>100%。</w:t>
      </w:r>
    </w:p>
    <w:p>
      <w:pPr>
        <w:pStyle w:val="26"/>
        <w:ind w:firstLine="640"/>
      </w:pPr>
      <w:r>
        <w:rPr>
          <w:rFonts w:hint="eastAsia"/>
        </w:rPr>
        <w:t>②安全生产监管工作质量达标情况：分值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进行评分，主要针对安全生产检查工作、警示教育工作、专项整治工作完成质量达标情况进行评价。</w:t>
      </w:r>
    </w:p>
    <w:p>
      <w:pPr>
        <w:pStyle w:val="26"/>
        <w:ind w:firstLine="640"/>
      </w:pPr>
      <w:r>
        <w:rPr>
          <w:rFonts w:hint="eastAsia"/>
        </w:rPr>
        <w:t>一是安全生产检查工作方面：区应急局</w:t>
      </w:r>
      <w:r>
        <w:t>全年共</w:t>
      </w:r>
      <w:r>
        <w:rPr>
          <w:rFonts w:hint="eastAsia"/>
        </w:rPr>
        <w:t>完成了执法</w:t>
      </w:r>
      <w:r>
        <w:t>检查</w:t>
      </w:r>
      <w:r>
        <w:rPr>
          <w:rFonts w:hint="eastAsia"/>
        </w:rPr>
        <w:t>工作，发现事故隐患354项，已完成整改354项，事故隐患整改合格率为100%。</w:t>
      </w:r>
    </w:p>
    <w:p>
      <w:pPr>
        <w:pStyle w:val="26"/>
        <w:ind w:firstLine="640"/>
      </w:pPr>
      <w:r>
        <w:rPr>
          <w:rFonts w:hint="eastAsia"/>
        </w:rPr>
        <w:t>二是警示教育工作方面：区应急局完成了对32家危化企业负责人开展了安全培训考核，</w:t>
      </w:r>
      <w:r>
        <w:t>34家单位逐一签订</w:t>
      </w:r>
      <w:r>
        <w:rPr>
          <w:rFonts w:hint="eastAsia"/>
        </w:rPr>
        <w:t>了</w:t>
      </w:r>
      <w:r>
        <w:t>安全生产承诺书</w:t>
      </w:r>
      <w:r>
        <w:rPr>
          <w:rFonts w:hint="eastAsia"/>
        </w:rPr>
        <w:t>，危化企业安责险投保率达到100%。圆满完成组织全区《安全生产法》专题报告会，区委理论</w:t>
      </w:r>
      <w:r>
        <w:rPr>
          <w:rFonts w:hint="eastAsia"/>
          <w:lang w:eastAsia="zh-CN"/>
        </w:rPr>
        <w:t>学习</w:t>
      </w:r>
      <w:bookmarkStart w:id="72" w:name="_GoBack"/>
      <w:bookmarkEnd w:id="72"/>
      <w:r>
        <w:rPr>
          <w:rFonts w:hint="eastAsia"/>
        </w:rPr>
        <w:t>中心组成员、全区各部门以及企事业单位安全生产负责同志共计437人参加，培训人员参与率为1</w:t>
      </w:r>
      <w:r>
        <w:t>00%</w:t>
      </w:r>
      <w:r>
        <w:rPr>
          <w:rFonts w:hint="eastAsia"/>
        </w:rPr>
        <w:t>。圆满完成了全国安全宣传咨询日“云体验云直播”活动。圆满完成了组织重点行业领域观看《和平区安全生产警示教育片——慎终如始 严守红线》。</w:t>
      </w:r>
    </w:p>
    <w:p>
      <w:pPr>
        <w:pStyle w:val="26"/>
        <w:ind w:firstLine="640"/>
      </w:pPr>
      <w:r>
        <w:rPr>
          <w:rFonts w:hint="eastAsia"/>
        </w:rPr>
        <w:t>三是专项整治工作方面：区应急局全年依法开展了安全培训机构、工贸行业企业和危险化学品企业等单位行政执法检查工作，发现隐患21项，均已全部完成整改，隐患整改合格率为1</w:t>
      </w:r>
      <w:r>
        <w:t>00%</w:t>
      </w:r>
      <w:r>
        <w:rPr>
          <w:rFonts w:hint="eastAsia"/>
        </w:rPr>
        <w:t>。</w:t>
      </w:r>
      <w:r>
        <w:t>开展</w:t>
      </w:r>
      <w:r>
        <w:rPr>
          <w:rFonts w:hint="eastAsia"/>
        </w:rPr>
        <w:t>了</w:t>
      </w:r>
      <w:r>
        <w:t>有限空间作业安全专项整治</w:t>
      </w:r>
      <w:r>
        <w:rPr>
          <w:rFonts w:hint="eastAsia"/>
        </w:rPr>
        <w:t>工作</w:t>
      </w:r>
      <w:r>
        <w:t>，</w:t>
      </w:r>
      <w:r>
        <w:rPr>
          <w:rFonts w:hint="eastAsia"/>
        </w:rPr>
        <w:t>排查隐患25项，均已全部完成整改，隐患整改合格率为1</w:t>
      </w:r>
      <w:r>
        <w:t>00%。</w:t>
      </w:r>
      <w:r>
        <w:rPr>
          <w:rFonts w:hint="eastAsia"/>
        </w:rPr>
        <w:t>开展了工贸行业防风险除隐患保安全排查整治工作，发现事故隐患102项，均已全部完成整改，隐患整改合格率为1</w:t>
      </w:r>
      <w:r>
        <w:t>00%。</w:t>
      </w:r>
      <w:r>
        <w:rPr>
          <w:rFonts w:hint="eastAsia"/>
        </w:rPr>
        <w:t>开展了打击假冒政府网站制售假冒安全生产证书专项检查工作，排查事故隐患</w:t>
      </w:r>
      <w:r>
        <w:t>152项，</w:t>
      </w:r>
      <w:r>
        <w:rPr>
          <w:rFonts w:hint="eastAsia"/>
        </w:rPr>
        <w:t>均已全部完成整改，隐患整改合格率为1</w:t>
      </w:r>
      <w:r>
        <w:t>00%。</w:t>
      </w:r>
    </w:p>
    <w:p>
      <w:pPr>
        <w:pStyle w:val="26"/>
        <w:ind w:firstLine="640"/>
      </w:pPr>
      <w:r>
        <w:rPr>
          <w:rFonts w:hint="eastAsia"/>
        </w:rPr>
        <w:t>综上所述，区应急局安全生产监管工作完成质量全部达标，安全生产监管工作质量达标率为</w:t>
      </w:r>
      <w:r>
        <w:t>100%。</w:t>
      </w:r>
    </w:p>
    <w:p>
      <w:pPr>
        <w:pStyle w:val="26"/>
        <w:ind w:firstLine="640"/>
      </w:pPr>
      <w:r>
        <w:rPr>
          <w:rFonts w:hint="eastAsia"/>
        </w:rPr>
        <w:t>③防灾减灾工作质量达标情况：分值</w:t>
      </w:r>
      <w:r>
        <w:t>4</w:t>
      </w:r>
      <w:r>
        <w:rPr>
          <w:rFonts w:hint="eastAsia"/>
        </w:rPr>
        <w:t>分，得分</w:t>
      </w:r>
      <w:r>
        <w:t>4</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进行评分，主要针对健全防震减灾工作机制，防灾减灾宣传活动，避难场所建设工作完成质量达标情况进行评价。</w:t>
      </w:r>
    </w:p>
    <w:p>
      <w:pPr>
        <w:pStyle w:val="26"/>
        <w:ind w:firstLine="640"/>
      </w:pPr>
      <w:r>
        <w:rPr>
          <w:rFonts w:hint="eastAsia"/>
        </w:rPr>
        <w:t>一是健全防震减灾工作机制方面：区应急局完成制定了《和平区防震减灾工作领导小组工作规则和领导小组办公室工作细则》，制定内容准确达标。</w:t>
      </w:r>
    </w:p>
    <w:p>
      <w:pPr>
        <w:pStyle w:val="26"/>
        <w:ind w:firstLine="640"/>
      </w:pPr>
      <w:r>
        <w:rPr>
          <w:rFonts w:hint="eastAsia"/>
        </w:rPr>
        <w:t>二是防灾减灾宣传活动方面：区应急局充分利用“</w:t>
      </w:r>
      <w:r>
        <w:t>5·12全国防灾减灾日”、“7·28唐山大地震纪念日”、“国防科技日”、“全国科普宣传日”、“安全生产宣传月”等特殊时段，</w:t>
      </w:r>
      <w:r>
        <w:rPr>
          <w:rFonts w:hint="eastAsia"/>
        </w:rPr>
        <w:t>圆满完成了</w:t>
      </w:r>
      <w:r>
        <w:t>10余场宣传</w:t>
      </w:r>
      <w:r>
        <w:rPr>
          <w:rFonts w:hint="eastAsia"/>
        </w:rPr>
        <w:t>工作，宣传内容准确合规</w:t>
      </w:r>
      <w:r>
        <w:t>。同时，围绕“双创”、自然灾害普查、固定避难场所建设等工作</w:t>
      </w:r>
      <w:r>
        <w:rPr>
          <w:rFonts w:hint="eastAsia"/>
        </w:rPr>
        <w:t>，</w:t>
      </w:r>
      <w:r>
        <w:t>结合“我为群众办实事”、“和平夜话”特色活动，</w:t>
      </w:r>
      <w:r>
        <w:rPr>
          <w:rFonts w:hint="eastAsia"/>
        </w:rPr>
        <w:t>圆满完成了</w:t>
      </w:r>
      <w:r>
        <w:t>近百场宣传活动</w:t>
      </w:r>
      <w:r>
        <w:rPr>
          <w:rFonts w:hint="eastAsia"/>
        </w:rPr>
        <w:t>，宣传内容准确合规。</w:t>
      </w:r>
    </w:p>
    <w:p>
      <w:pPr>
        <w:pStyle w:val="26"/>
        <w:ind w:firstLine="640"/>
      </w:pPr>
      <w:r>
        <w:rPr>
          <w:rFonts w:hint="eastAsia"/>
        </w:rPr>
        <w:t>三是避难场所建设工作方面：区应急局持续推进了天津市第二十一中学、昆明路小学、万全小学、小白楼街长春道社区“双创”工作落地，全区累计创建天津市防震减灾科普示范校12个，国家级防震减灾科普示范校6个，全国综合减灾示范社区2个，“双创”工作达标率为1</w:t>
      </w:r>
      <w:r>
        <w:t>00%</w:t>
      </w:r>
      <w:r>
        <w:rPr>
          <w:rFonts w:hint="eastAsia"/>
        </w:rPr>
        <w:t>。组织了6个街道开展了应急避难场所大排查，计划排查街道覆盖率为1</w:t>
      </w:r>
      <w:r>
        <w:t>00%</w:t>
      </w:r>
      <w:r>
        <w:rPr>
          <w:rFonts w:hint="eastAsia"/>
        </w:rPr>
        <w:t>。将二南开学校、民园广场提升改造为可容纳10476人的设施完备的固定避难场所，提升改造验收合格率为1</w:t>
      </w:r>
      <w:r>
        <w:t>00%</w:t>
      </w:r>
      <w:r>
        <w:rPr>
          <w:rFonts w:hint="eastAsia"/>
        </w:rPr>
        <w:t>。</w:t>
      </w:r>
    </w:p>
    <w:p>
      <w:pPr>
        <w:pStyle w:val="26"/>
        <w:ind w:firstLine="640"/>
      </w:pPr>
      <w:r>
        <w:rPr>
          <w:rFonts w:hint="eastAsia"/>
        </w:rPr>
        <w:t>综上所述，区应急局防灾减灾工作完成质量全部达标，防灾减灾工作质量达标率为</w:t>
      </w:r>
      <w:r>
        <w:t>100%。</w:t>
      </w:r>
    </w:p>
    <w:p>
      <w:pPr>
        <w:pStyle w:val="26"/>
        <w:ind w:firstLine="640"/>
      </w:pPr>
      <w:r>
        <w:rPr>
          <w:rFonts w:hint="eastAsia"/>
        </w:rPr>
        <w:t>（</w:t>
      </w:r>
      <w:r>
        <w:t>3</w:t>
      </w:r>
      <w:r>
        <w:rPr>
          <w:rFonts w:hint="eastAsia"/>
        </w:rPr>
        <w:t>）产出进度</w:t>
      </w:r>
    </w:p>
    <w:p>
      <w:pPr>
        <w:pStyle w:val="26"/>
        <w:ind w:firstLine="640"/>
      </w:pPr>
      <w:r>
        <w:rPr>
          <w:rFonts w:hint="eastAsia"/>
        </w:rPr>
        <w:t>①应急管理工作完成及时情况：分值</w:t>
      </w:r>
      <w:r>
        <w:t>1</w:t>
      </w:r>
      <w:r>
        <w:rPr>
          <w:rFonts w:hint="eastAsia"/>
        </w:rPr>
        <w:t>分，得分</w:t>
      </w:r>
      <w:r>
        <w:t>1</w:t>
      </w:r>
      <w:r>
        <w:rPr>
          <w:rFonts w:hint="eastAsia"/>
        </w:rPr>
        <w:t>分，得分率</w:t>
      </w:r>
      <w:r>
        <w:t>100%</w:t>
      </w:r>
      <w:r>
        <w:rPr>
          <w:rFonts w:hint="eastAsia"/>
        </w:rPr>
        <w:t>。根据现场调研反馈结果及部门所提供</w:t>
      </w:r>
      <w:r>
        <w:t>年度工作计划、年度工作</w:t>
      </w:r>
      <w:r>
        <w:rPr>
          <w:rFonts w:hint="eastAsia"/>
        </w:rPr>
        <w:t>报告</w:t>
      </w:r>
      <w:r>
        <w:t>等资料</w:t>
      </w:r>
      <w:r>
        <w:rPr>
          <w:rFonts w:hint="eastAsia"/>
        </w:rPr>
        <w:t>进行评分，主要针对应急工作、防汛工作完成及时情况进行评价。</w:t>
      </w:r>
    </w:p>
    <w:p>
      <w:pPr>
        <w:pStyle w:val="26"/>
        <w:ind w:firstLine="640"/>
      </w:pPr>
      <w:r>
        <w:rPr>
          <w:rFonts w:hint="eastAsia"/>
        </w:rPr>
        <w:t>一是应急工作方面：截至2022年底，区应急局及时完成了区防汛抗旱应急预案、区气象灾害应急预案、区危险化学品事故应急预案、生产安全事故综合应急预案、区自然灾害救助应急预案、天津市和平区城市轨道交通运营突发事件应急预案的修订、征求意见、专家评审工作。及时组织了</w:t>
      </w:r>
      <w:r>
        <w:t>21支应急救援队伍参与应急救援队伍建设业务培训会。</w:t>
      </w:r>
    </w:p>
    <w:p>
      <w:pPr>
        <w:pStyle w:val="26"/>
        <w:ind w:firstLine="640"/>
      </w:pPr>
      <w:r>
        <w:rPr>
          <w:rFonts w:hint="eastAsia"/>
        </w:rPr>
        <w:t>二是防汛工作方面：截至2022年底，区应急局及时完成印发了《和平区防汛工作方案》《城市内涝人员转移安置方案》。及时组织了应对极端强降雨防汛应急处置桌面推演工作，及时</w:t>
      </w:r>
      <w:r>
        <w:t>设置了应急响应启动、小白楼音乐厅周边积水抢险、下沉地道封控救援、人员转移安置、津河漫堤抢险、道路抢修、供电安全保障、应急通信保障等8个科目，</w:t>
      </w:r>
      <w:r>
        <w:rPr>
          <w:rFonts w:hint="eastAsia"/>
        </w:rPr>
        <w:t>及时组织</w:t>
      </w:r>
      <w:r>
        <w:t>住建、城管、教育、商务、科技等16个单位参加演练活动。</w:t>
      </w:r>
      <w:r>
        <w:rPr>
          <w:rFonts w:hint="eastAsia"/>
        </w:rPr>
        <w:t>及时</w:t>
      </w:r>
      <w:r>
        <w:t>完成组织了防汛隐患排查整治工作</w:t>
      </w:r>
      <w:r>
        <w:rPr>
          <w:rFonts w:hint="eastAsia"/>
        </w:rPr>
        <w:t>，及时</w:t>
      </w:r>
      <w:r>
        <w:t>完成</w:t>
      </w:r>
      <w:r>
        <w:rPr>
          <w:rFonts w:hint="eastAsia"/>
        </w:rPr>
        <w:t>了</w:t>
      </w:r>
      <w:r>
        <w:t>检查点位265个。通过腾讯会议系统</w:t>
      </w:r>
      <w:r>
        <w:rPr>
          <w:rFonts w:hint="eastAsia"/>
        </w:rPr>
        <w:t>及时</w:t>
      </w:r>
      <w:r>
        <w:t>组织了各街道、社区60余名业务骨干开展气象信息员线上培训会。</w:t>
      </w:r>
      <w:r>
        <w:rPr>
          <w:rFonts w:hint="eastAsia"/>
        </w:rPr>
        <w:t>及时</w:t>
      </w:r>
      <w:r>
        <w:t>完成了</w:t>
      </w:r>
      <w:r>
        <w:rPr>
          <w:rFonts w:hint="eastAsia"/>
        </w:rPr>
        <w:t>在</w:t>
      </w:r>
      <w:r>
        <w:t>汛期推送信息1万余条。</w:t>
      </w:r>
    </w:p>
    <w:p>
      <w:pPr>
        <w:pStyle w:val="26"/>
        <w:ind w:firstLine="640"/>
      </w:pPr>
      <w:r>
        <w:rPr>
          <w:rFonts w:hint="eastAsia"/>
        </w:rPr>
        <w:t>综上所述，区应急局应急管理工作完成的及时情况与年度计划规定时间相符，应急管理工作完成及时率为</w:t>
      </w:r>
      <w:r>
        <w:t>100%。</w:t>
      </w:r>
    </w:p>
    <w:p>
      <w:pPr>
        <w:pStyle w:val="26"/>
        <w:ind w:firstLine="640"/>
      </w:pPr>
      <w:r>
        <w:rPr>
          <w:rFonts w:hint="eastAsia"/>
        </w:rPr>
        <w:t>②安全生产监管工作完成及时情况：分值</w:t>
      </w:r>
      <w:r>
        <w:t>2分，得分2分，得分率100%。根据现场调研反馈结果及部门所提供年度工作计划、年度工作报告等资料进行评分，主要针对安全生产检查工作、警示教育工作、专项整治工作完成</w:t>
      </w:r>
      <w:r>
        <w:rPr>
          <w:rFonts w:hint="eastAsia"/>
        </w:rPr>
        <w:t>及时</w:t>
      </w:r>
      <w:r>
        <w:t>情况进行评价。</w:t>
      </w:r>
    </w:p>
    <w:p>
      <w:pPr>
        <w:pStyle w:val="26"/>
        <w:ind w:firstLine="640"/>
      </w:pPr>
      <w:r>
        <w:rPr>
          <w:rFonts w:hint="eastAsia"/>
        </w:rPr>
        <w:t>一是安全生产检查工作方面：截至2022年底，区应急局通过“启动会</w:t>
      </w:r>
      <w:r>
        <w:t>+现场执法检查+总结会”、“企业负责人+安全管理人员+岗位操作员工全过程在场”的方法，全年</w:t>
      </w:r>
      <w:r>
        <w:rPr>
          <w:rFonts w:hint="eastAsia"/>
        </w:rPr>
        <w:t>及时</w:t>
      </w:r>
      <w:r>
        <w:t>完成了352家次执法检查工作。</w:t>
      </w:r>
    </w:p>
    <w:p>
      <w:pPr>
        <w:pStyle w:val="26"/>
        <w:ind w:firstLine="640"/>
      </w:pPr>
      <w:r>
        <w:rPr>
          <w:rFonts w:hint="eastAsia"/>
        </w:rPr>
        <w:t>二是警示教育工作方面：截至2022年底，区应急局及时完成了对</w:t>
      </w:r>
      <w:r>
        <w:t>32家危化企业负责人开展了安全培训考核，34家单位</w:t>
      </w:r>
      <w:r>
        <w:rPr>
          <w:rFonts w:hint="eastAsia"/>
        </w:rPr>
        <w:t>及时</w:t>
      </w:r>
      <w:r>
        <w:t>签订了安全生产承诺书。</w:t>
      </w:r>
      <w:r>
        <w:rPr>
          <w:rFonts w:hint="eastAsia"/>
        </w:rPr>
        <w:t>及时</w:t>
      </w:r>
      <w:r>
        <w:t>组织了全区《安全生产法》专题报告会。</w:t>
      </w:r>
      <w:r>
        <w:rPr>
          <w:rFonts w:hint="eastAsia"/>
        </w:rPr>
        <w:t>及时</w:t>
      </w:r>
      <w:r>
        <w:t>开展了全国安全宣传咨询日“云体验云直播”活动，</w:t>
      </w:r>
      <w:r>
        <w:rPr>
          <w:rFonts w:hint="eastAsia"/>
        </w:rPr>
        <w:t>及时</w:t>
      </w:r>
      <w:r>
        <w:t>组织了重点行业领域观看《和平区安全生产警示教育片——慎终如始 严守红线》。</w:t>
      </w:r>
    </w:p>
    <w:p>
      <w:pPr>
        <w:pStyle w:val="26"/>
        <w:ind w:firstLine="640"/>
      </w:pPr>
      <w:r>
        <w:rPr>
          <w:rFonts w:hint="eastAsia"/>
        </w:rPr>
        <w:t>三是专项整治工作方面：截至2022年底，区应急局及时开展了安全培训机构、工贸行业企业和危险化学品企业等单位行政执法检查</w:t>
      </w:r>
      <w:r>
        <w:t>19家次。</w:t>
      </w:r>
      <w:r>
        <w:rPr>
          <w:rFonts w:hint="eastAsia"/>
        </w:rPr>
        <w:t>及时</w:t>
      </w:r>
      <w:r>
        <w:t>开展了40家次有限空间作业安全专项整治工作。</w:t>
      </w:r>
      <w:r>
        <w:rPr>
          <w:rFonts w:hint="eastAsia"/>
        </w:rPr>
        <w:t>及时</w:t>
      </w:r>
      <w:r>
        <w:t>开展了102家次工贸行业防风险除隐患保安全排查整治工作。</w:t>
      </w:r>
      <w:r>
        <w:rPr>
          <w:rFonts w:hint="eastAsia"/>
        </w:rPr>
        <w:t>及时</w:t>
      </w:r>
      <w:r>
        <w:t>开展了63家次打击假冒政府网站制售假冒安全生产证书专项检查工作。</w:t>
      </w:r>
    </w:p>
    <w:p>
      <w:pPr>
        <w:pStyle w:val="26"/>
        <w:ind w:firstLine="640"/>
      </w:pPr>
      <w:r>
        <w:rPr>
          <w:rFonts w:hint="eastAsia"/>
        </w:rPr>
        <w:t>综上所述，区应急局安全生产监管工作完成的及时情况与年度计划规定时间相符，安全生产监管工作完成及时率为</w:t>
      </w:r>
      <w:r>
        <w:t>100%。</w:t>
      </w:r>
    </w:p>
    <w:p>
      <w:pPr>
        <w:pStyle w:val="26"/>
        <w:ind w:firstLine="640"/>
      </w:pPr>
      <w:r>
        <w:rPr>
          <w:rFonts w:hint="eastAsia"/>
        </w:rPr>
        <w:t>③防灾减灾工作完成及时情况：分值</w:t>
      </w:r>
      <w:r>
        <w:t>1分，得分1分，得分率100%。根据现场调研反馈结果及部门所提供年度工作计划、年度工作报告等资料进行评分，主要针对健全防震减灾工作机制，防灾减灾宣传活动，避难场所建设工作完成</w:t>
      </w:r>
      <w:r>
        <w:rPr>
          <w:rFonts w:hint="eastAsia"/>
        </w:rPr>
        <w:t>及时</w:t>
      </w:r>
      <w:r>
        <w:t>情况进行评价。</w:t>
      </w:r>
    </w:p>
    <w:p>
      <w:pPr>
        <w:pStyle w:val="26"/>
        <w:ind w:firstLine="640"/>
      </w:pPr>
      <w:r>
        <w:rPr>
          <w:rFonts w:hint="eastAsia"/>
        </w:rPr>
        <w:t>一是健全防震减灾工作机制方面：截至2022年底，区应急局及时制定了《和平区防震减灾工作领导小组工作规则和领导小组办公室工作细则》。</w:t>
      </w:r>
    </w:p>
    <w:p>
      <w:pPr>
        <w:pStyle w:val="26"/>
        <w:ind w:firstLine="640"/>
      </w:pPr>
      <w:r>
        <w:rPr>
          <w:rFonts w:hint="eastAsia"/>
        </w:rPr>
        <w:t>二是防灾减灾宣传活动方面：截至2022年底，区应急局充分利用“</w:t>
      </w:r>
      <w:r>
        <w:t>5·12全国防灾减灾日”、“7·28唐山大地震纪念日”、“国防科技日”、“全国科普宣传日”、“安全生产宣传月”等特殊时段，</w:t>
      </w:r>
      <w:r>
        <w:rPr>
          <w:rFonts w:hint="eastAsia"/>
        </w:rPr>
        <w:t>及时</w:t>
      </w:r>
      <w:r>
        <w:t>完成了10余场宣传工作。同时，围绕“双创”、自然灾害普查、固定避难场所建设等工作，结合“我为群众办实事”、“和平夜话”特色活动，</w:t>
      </w:r>
      <w:r>
        <w:rPr>
          <w:rFonts w:hint="eastAsia"/>
        </w:rPr>
        <w:t>及时</w:t>
      </w:r>
      <w:r>
        <w:t>开展了近百场</w:t>
      </w:r>
      <w:r>
        <w:rPr>
          <w:rFonts w:hint="eastAsia"/>
        </w:rPr>
        <w:t>的</w:t>
      </w:r>
      <w:r>
        <w:t>宣传活动。</w:t>
      </w:r>
    </w:p>
    <w:p>
      <w:pPr>
        <w:pStyle w:val="26"/>
        <w:ind w:firstLine="640"/>
      </w:pPr>
      <w:r>
        <w:rPr>
          <w:rFonts w:hint="eastAsia"/>
        </w:rPr>
        <w:t>三是避难场所建设工作方面：截至2022年底，区应急局及时推进了天津市第二十一中学、昆明路小学、万全小学、小白楼街长春道社区“双创”工作落地。</w:t>
      </w:r>
      <w:r>
        <w:t>全区累计</w:t>
      </w:r>
      <w:r>
        <w:rPr>
          <w:rFonts w:hint="eastAsia"/>
        </w:rPr>
        <w:t>及时</w:t>
      </w:r>
      <w:r>
        <w:t>创建天津市防震减灾科普示范校12个，国家级防震减灾科普示范校6个，全国综合减灾示范社区2个。</w:t>
      </w:r>
      <w:r>
        <w:rPr>
          <w:rFonts w:hint="eastAsia"/>
        </w:rPr>
        <w:t>及时组织了</w:t>
      </w:r>
      <w:r>
        <w:t>6个街道开展了应急避难场所大排查，</w:t>
      </w:r>
      <w:r>
        <w:rPr>
          <w:rFonts w:hint="eastAsia"/>
        </w:rPr>
        <w:t>并及时</w:t>
      </w:r>
      <w:r>
        <w:t>将二南开学校、民园广场提升改造为可容纳10476人的设施完备的固定避难场所。</w:t>
      </w:r>
    </w:p>
    <w:p>
      <w:pPr>
        <w:pStyle w:val="26"/>
        <w:ind w:firstLine="640"/>
      </w:pPr>
      <w:r>
        <w:rPr>
          <w:rFonts w:hint="eastAsia"/>
        </w:rPr>
        <w:t>综上所述，区应急局防灾减灾工作完成的及时情况与年度计划规定时间相符，防灾减灾工作完成及时率为</w:t>
      </w:r>
      <w:r>
        <w:t>100%。</w:t>
      </w:r>
    </w:p>
    <w:p>
      <w:pPr>
        <w:pStyle w:val="26"/>
        <w:ind w:firstLine="640"/>
      </w:pPr>
      <w:r>
        <w:rPr>
          <w:rFonts w:hint="eastAsia"/>
        </w:rPr>
        <w:t>（</w:t>
      </w:r>
      <w:r>
        <w:t>4</w:t>
      </w:r>
      <w:r>
        <w:rPr>
          <w:rFonts w:hint="eastAsia"/>
        </w:rPr>
        <w:t>）产出成本</w:t>
      </w:r>
    </w:p>
    <w:p>
      <w:pPr>
        <w:pStyle w:val="26"/>
        <w:ind w:firstLine="640"/>
      </w:pPr>
      <w:r>
        <w:rPr>
          <w:rFonts w:hint="eastAsia"/>
        </w:rPr>
        <w:t>①成本控制措施有效性：分值</w:t>
      </w:r>
      <w:r>
        <w:t>3</w:t>
      </w:r>
      <w:r>
        <w:rPr>
          <w:rFonts w:hint="eastAsia"/>
        </w:rPr>
        <w:t>分，得分</w:t>
      </w:r>
      <w:r>
        <w:t>3</w:t>
      </w:r>
      <w:r>
        <w:rPr>
          <w:rFonts w:hint="eastAsia"/>
        </w:rPr>
        <w:t>分，得分率</w:t>
      </w:r>
      <w:r>
        <w:t>0</w:t>
      </w:r>
      <w:r>
        <w:rPr>
          <w:rFonts w:hint="eastAsia"/>
        </w:rPr>
        <w:t>%。依据部门成本控制措施制定情况进行评分，主要针对部门对日常工作经费成本控制措施的保障情况进行评价。</w:t>
      </w:r>
    </w:p>
    <w:p>
      <w:pPr>
        <w:pStyle w:val="26"/>
        <w:ind w:firstLine="640"/>
      </w:pPr>
      <w:bookmarkStart w:id="60" w:name="_Hlk151379537"/>
      <w:r>
        <w:rPr>
          <w:rFonts w:hint="eastAsia"/>
        </w:rPr>
        <w:t>区应急局为响应过紧日子的号召，</w:t>
      </w:r>
      <w:r>
        <w:t>积极</w:t>
      </w:r>
      <w:r>
        <w:rPr>
          <w:rFonts w:hint="eastAsia"/>
        </w:rPr>
        <w:t>制定了</w:t>
      </w:r>
      <w:r>
        <w:rPr>
          <w:rFonts w:hint="eastAsia"/>
          <w:bCs/>
        </w:rPr>
        <w:t>符合自身工作需要的</w:t>
      </w:r>
      <w:r>
        <w:t>成本控制措施</w:t>
      </w:r>
      <w:r>
        <w:rPr>
          <w:rFonts w:hint="eastAsia"/>
        </w:rPr>
        <w:t>，通过以租赁代替购买、节约用水用电、倡导双面打印等具体措施，提高了</w:t>
      </w:r>
      <w:r>
        <w:t>资源利用效率</w:t>
      </w:r>
      <w:r>
        <w:rPr>
          <w:rFonts w:hint="eastAsia"/>
        </w:rPr>
        <w:t>，</w:t>
      </w:r>
      <w:r>
        <w:rPr>
          <w:rFonts w:hint="eastAsia"/>
          <w:bCs/>
        </w:rPr>
        <w:t>加强了资金支出节约意识，</w:t>
      </w:r>
      <w:r>
        <w:rPr>
          <w:rFonts w:hint="eastAsia"/>
        </w:rPr>
        <w:t>进一步缩减了政府采购、日常办公和部分项目支出费用，有效降低了单位日常工作经费成本</w:t>
      </w:r>
      <w:bookmarkEnd w:id="60"/>
      <w:r>
        <w:rPr>
          <w:rFonts w:hint="eastAsia"/>
        </w:rPr>
        <w:t>。</w:t>
      </w:r>
    </w:p>
    <w:p>
      <w:pPr>
        <w:pStyle w:val="26"/>
        <w:ind w:firstLine="640"/>
      </w:pPr>
      <w:r>
        <w:rPr>
          <w:rFonts w:hint="eastAsia"/>
        </w:rPr>
        <w:t>②成本控制措施执行情况：分值</w:t>
      </w:r>
      <w:r>
        <w:t>3</w:t>
      </w:r>
      <w:r>
        <w:rPr>
          <w:rFonts w:hint="eastAsia"/>
        </w:rPr>
        <w:t>分，得分</w:t>
      </w:r>
      <w:r>
        <w:t>3</w:t>
      </w:r>
      <w:r>
        <w:rPr>
          <w:rFonts w:hint="eastAsia"/>
        </w:rPr>
        <w:t>分，得分率</w:t>
      </w:r>
      <w:r>
        <w:t>100</w:t>
      </w:r>
      <w:r>
        <w:rPr>
          <w:rFonts w:hint="eastAsia"/>
        </w:rPr>
        <w:t>%。</w:t>
      </w:r>
      <w:r>
        <w:t>依据部门成本控制措施执行情况进行评分，主要针对部门</w:t>
      </w:r>
      <w:r>
        <w:rPr>
          <w:rFonts w:hint="eastAsia"/>
        </w:rPr>
        <w:t>是否执行</w:t>
      </w:r>
      <w:r>
        <w:t>成本控制措施</w:t>
      </w:r>
      <w:r>
        <w:rPr>
          <w:rFonts w:hint="eastAsia"/>
        </w:rPr>
        <w:t>及部门成本是否得到控制的情况</w:t>
      </w:r>
      <w:r>
        <w:t>进行评价</w:t>
      </w:r>
      <w:r>
        <w:rPr>
          <w:rFonts w:hint="eastAsia"/>
        </w:rPr>
        <w:t>。</w:t>
      </w:r>
    </w:p>
    <w:p>
      <w:pPr>
        <w:pStyle w:val="26"/>
        <w:ind w:firstLine="640"/>
      </w:pPr>
      <w:r>
        <w:rPr>
          <w:rFonts w:hint="eastAsia"/>
        </w:rPr>
        <w:t>区应急局</w:t>
      </w:r>
      <w:r>
        <w:t>严格按照天津市</w:t>
      </w:r>
      <w:r>
        <w:rPr>
          <w:rFonts w:hint="eastAsia"/>
        </w:rPr>
        <w:t>和平</w:t>
      </w:r>
      <w:r>
        <w:t>区财政局要求</w:t>
      </w:r>
      <w:r>
        <w:rPr>
          <w:rFonts w:hint="eastAsia"/>
        </w:rPr>
        <w:t>和部门成本控制措施</w:t>
      </w:r>
      <w:r>
        <w:t>执行成本控制，部门执行成本控制措施后，</w:t>
      </w:r>
      <w:r>
        <w:rPr>
          <w:rFonts w:hint="eastAsia"/>
        </w:rPr>
        <w:t>区应急局</w:t>
      </w:r>
      <w:r>
        <w:t>2022年度部门预算安排公用经费总额为69.99万元，实际支出公用经费总额为27.01万元，</w:t>
      </w:r>
      <w:r>
        <w:rPr>
          <w:rFonts w:hint="eastAsia"/>
        </w:rPr>
        <w:t>单位日常工作</w:t>
      </w:r>
      <w:r>
        <w:t>经费控制率为38.6%，</w:t>
      </w:r>
      <w:r>
        <w:rPr>
          <w:rFonts w:hint="eastAsia"/>
        </w:rPr>
        <w:t>达到了压减财政支出效果，成本控制措施执行有效。</w:t>
      </w:r>
    </w:p>
    <w:p>
      <w:pPr>
        <w:pStyle w:val="26"/>
        <w:ind w:firstLine="640"/>
      </w:pPr>
      <w:r>
        <w:rPr>
          <w:rFonts w:hint="eastAsia"/>
        </w:rPr>
        <w:t>4.履职效益</w:t>
      </w:r>
    </w:p>
    <w:p>
      <w:pPr>
        <w:pStyle w:val="26"/>
        <w:ind w:firstLine="640"/>
      </w:pPr>
      <w:r>
        <w:rPr>
          <w:rFonts w:hint="eastAsia"/>
        </w:rPr>
        <w:t>（1）社会效益</w:t>
      </w:r>
    </w:p>
    <w:p>
      <w:pPr>
        <w:pStyle w:val="26"/>
        <w:ind w:firstLine="640"/>
      </w:pPr>
      <w:r>
        <w:rPr>
          <w:rFonts w:hint="eastAsia"/>
        </w:rPr>
        <w:t>①应急处置能力的提升情况：分值</w:t>
      </w:r>
      <w:r>
        <w:t>6分，得分6分，得分率100%。</w:t>
      </w:r>
      <w:r>
        <w:rPr>
          <w:rFonts w:hint="eastAsia"/>
        </w:rPr>
        <w:t>本指标通过对部门（单位）应急工作、防汛工作完成效果情况进行评分，反映对全区应急处置能力的提升情况。</w:t>
      </w:r>
      <w:r>
        <w:t xml:space="preserve"> </w:t>
      </w:r>
    </w:p>
    <w:p>
      <w:pPr>
        <w:pStyle w:val="26"/>
        <w:ind w:firstLine="640"/>
      </w:pPr>
      <w:r>
        <w:rPr>
          <w:rFonts w:hint="eastAsia"/>
        </w:rPr>
        <w:t>区应急局根据天津市应急局救援预案处2022年重点安排，继续推动了应急预案编修工作，完成了6项应急预案的修订、征求意见、专家评审工作，并报送天津市和平区司法局进行合法性审核，有效完善了</w:t>
      </w:r>
      <w:r>
        <w:t>事故灾害、应急处置工作机制，</w:t>
      </w:r>
      <w:r>
        <w:rPr>
          <w:rFonts w:hint="eastAsia"/>
        </w:rPr>
        <w:t>大幅</w:t>
      </w:r>
      <w:r>
        <w:t>提升</w:t>
      </w:r>
      <w:r>
        <w:rPr>
          <w:rFonts w:hint="eastAsia"/>
        </w:rPr>
        <w:t>了</w:t>
      </w:r>
      <w:r>
        <w:t>事故灾害应急处置能力</w:t>
      </w:r>
      <w:r>
        <w:rPr>
          <w:rFonts w:hint="eastAsia"/>
        </w:rPr>
        <w:t>。2</w:t>
      </w:r>
      <w:r>
        <w:t>022</w:t>
      </w:r>
      <w:r>
        <w:rPr>
          <w:rFonts w:hint="eastAsia"/>
        </w:rPr>
        <w:t>年组织</w:t>
      </w:r>
      <w:r>
        <w:t>21支应急救援队伍参与了应急救援队伍建设业务培训会</w:t>
      </w:r>
      <w:r>
        <w:rPr>
          <w:rFonts w:hint="eastAsia"/>
        </w:rPr>
        <w:t>，通过业务培训，进一步加强了应急救援队伍能力建设，完善了和平区应急救援队伍体系。区应急局2</w:t>
      </w:r>
      <w:r>
        <w:t>022</w:t>
      </w:r>
      <w:r>
        <w:rPr>
          <w:rFonts w:hint="eastAsia"/>
        </w:rPr>
        <w:t>年进一步完善了</w:t>
      </w:r>
      <w:r>
        <w:t>防汛抗旱工作机制，建立健全</w:t>
      </w:r>
      <w:r>
        <w:rPr>
          <w:rFonts w:hint="eastAsia"/>
        </w:rPr>
        <w:t>了防汛抗旱组织体系，</w:t>
      </w:r>
      <w:r>
        <w:t>修订完善</w:t>
      </w:r>
      <w:r>
        <w:rPr>
          <w:rFonts w:hint="eastAsia"/>
        </w:rPr>
        <w:t>了“一处一预案”，有效确保了防汛工作万无一失。通过组织应对极端强降雨防汛应急处置桌面推演工作，</w:t>
      </w:r>
      <w:r>
        <w:t>设置了8个科目</w:t>
      </w:r>
      <w:r>
        <w:rPr>
          <w:rFonts w:hint="eastAsia"/>
        </w:rPr>
        <w:t>应急保障</w:t>
      </w:r>
      <w:r>
        <w:t>，</w:t>
      </w:r>
      <w:r>
        <w:rPr>
          <w:rFonts w:hint="eastAsia"/>
        </w:rPr>
        <w:t>组织了</w:t>
      </w:r>
      <w:r>
        <w:t>住建、城管、教育、商务、科技等16个单位参加了演练活动</w:t>
      </w:r>
      <w:r>
        <w:rPr>
          <w:rFonts w:hint="eastAsia"/>
        </w:rPr>
        <w:t>，有效提升了汛期应急处置能力</w:t>
      </w:r>
      <w:r>
        <w:t>。完成组织了防汛隐患排查整治工作，共派出检查小组186个，检查人员516人，完成检查点位265个</w:t>
      </w:r>
      <w:r>
        <w:rPr>
          <w:rFonts w:hint="eastAsia"/>
        </w:rPr>
        <w:t>，检查出问题</w:t>
      </w:r>
      <w:r>
        <w:t>115个</w:t>
      </w:r>
      <w:r>
        <w:rPr>
          <w:rFonts w:hint="eastAsia"/>
        </w:rPr>
        <w:t>，</w:t>
      </w:r>
      <w:r>
        <w:t>同时针对排查出的问题隐患，责令被查单位逐一建立问题台账，落实整改责任人员、整改措施、完成时限，全力防范化解防汛风险。</w:t>
      </w:r>
      <w:r>
        <w:rPr>
          <w:rFonts w:hint="eastAsia"/>
        </w:rPr>
        <w:t>汛期利用数字公网集群电台，</w:t>
      </w:r>
      <w:r>
        <w:t>发布重要汛情、下达重要通知</w:t>
      </w:r>
      <w:r>
        <w:rPr>
          <w:rFonts w:hint="eastAsia"/>
        </w:rPr>
        <w:t>达到了</w:t>
      </w:r>
      <w:r>
        <w:t>60余次。尤其在极端强降雨天气期间，及时运用手机微信向“区安委会”和“区防汛工作”两个群发送</w:t>
      </w:r>
      <w:r>
        <w:rPr>
          <w:rFonts w:hint="eastAsia"/>
        </w:rPr>
        <w:t>了</w:t>
      </w:r>
      <w:r>
        <w:t>《雨情工作提示》和各类紧急汛情通知，</w:t>
      </w:r>
      <w:r>
        <w:rPr>
          <w:rFonts w:hint="eastAsia"/>
        </w:rPr>
        <w:t>有效</w:t>
      </w:r>
      <w:r>
        <w:t>确保</w:t>
      </w:r>
      <w:r>
        <w:rPr>
          <w:rFonts w:hint="eastAsia"/>
        </w:rPr>
        <w:t>了</w:t>
      </w:r>
      <w:r>
        <w:t>各级防汛责任人第一时间接收到预警信息，及时安排部署工作。整个汛期，推动各防汛单位发送手机短信、微信、预警信息1万余条，受众人数</w:t>
      </w:r>
      <w:r>
        <w:rPr>
          <w:rFonts w:hint="eastAsia"/>
        </w:rPr>
        <w:t>达到了</w:t>
      </w:r>
      <w:r>
        <w:t>2万余人</w:t>
      </w:r>
      <w:r>
        <w:rPr>
          <w:rFonts w:hint="eastAsia"/>
        </w:rPr>
        <w:t>，有效加强了防汛应急和预警信息发布工作能力。</w:t>
      </w:r>
    </w:p>
    <w:p>
      <w:pPr>
        <w:pStyle w:val="26"/>
        <w:ind w:firstLine="640"/>
      </w:pPr>
      <w:r>
        <w:rPr>
          <w:rFonts w:hint="eastAsia"/>
        </w:rPr>
        <w:t>综上所述，区应急局通过完成应急工作和防汛工作，完善了</w:t>
      </w:r>
      <w:r>
        <w:t>事故灾害、应急处置工作机制，</w:t>
      </w:r>
      <w:r>
        <w:rPr>
          <w:rFonts w:hint="eastAsia"/>
        </w:rPr>
        <w:t>加强了应急救援队伍能力建设，防范化解防汛风险，加强了防汛应急和预警信息发布工作能力，确保了防汛工作万无一失，有效提升了全区应急处置能力。</w:t>
      </w:r>
    </w:p>
    <w:p>
      <w:pPr>
        <w:pStyle w:val="26"/>
        <w:ind w:firstLine="640"/>
      </w:pPr>
      <w:r>
        <w:rPr>
          <w:rFonts w:hint="eastAsia"/>
        </w:rPr>
        <w:t>②安全生产监管工作水平的保障情况：分值</w:t>
      </w:r>
      <w:r>
        <w:t>8分，得分8分，得分率100%。</w:t>
      </w:r>
      <w:r>
        <w:rPr>
          <w:rFonts w:hint="eastAsia"/>
        </w:rPr>
        <w:t>本指标通过对部门（单位）安全生产检查工作、警示教育工作和专项整治工作完成效果情况进行评分，反映对部门安全生产监管工作水平的保障情况</w:t>
      </w:r>
      <w:r>
        <w:t>。</w:t>
      </w:r>
    </w:p>
    <w:p>
      <w:pPr>
        <w:pStyle w:val="26"/>
        <w:ind w:firstLine="640"/>
      </w:pPr>
      <w:r>
        <w:rPr>
          <w:rFonts w:hint="eastAsia"/>
        </w:rPr>
        <w:t>区应急局通过开展全年</w:t>
      </w:r>
      <w:r>
        <w:t>执法检查工作</w:t>
      </w:r>
      <w:r>
        <w:rPr>
          <w:rFonts w:hint="eastAsia"/>
        </w:rPr>
        <w:t>，发现事故隐患354项，完成整改事故隐患354项，</w:t>
      </w:r>
      <w:r>
        <w:t>处理行政处罚案件30件，处罚金额35.7万元。其中，处罚企业19家，处罚金额32.2万元；处罚个人11起，处罚金额3.5万元</w:t>
      </w:r>
      <w:r>
        <w:rPr>
          <w:rFonts w:hint="eastAsia"/>
        </w:rPr>
        <w:t>。全年依法开展了安全培训机构、工贸行业企业和危险化学品企业等单位行政执法检查工作，发现隐患</w:t>
      </w:r>
      <w:r>
        <w:t>21项，</w:t>
      </w:r>
      <w:r>
        <w:rPr>
          <w:rFonts w:hint="eastAsia"/>
        </w:rPr>
        <w:t>已</w:t>
      </w:r>
      <w:r>
        <w:t>督促全部完成整改，发现违法行为3项，立案处罚企业3家，罚款5.5万元，按时完成罚款收缴及结案。开展了有限空间作业安全专项整治工作，</w:t>
      </w:r>
      <w:r>
        <w:rPr>
          <w:rFonts w:hint="eastAsia"/>
        </w:rPr>
        <w:t>排查隐患</w:t>
      </w:r>
      <w:r>
        <w:t>25项，均已全部</w:t>
      </w:r>
      <w:r>
        <w:rPr>
          <w:rFonts w:hint="eastAsia"/>
        </w:rPr>
        <w:t>完成</w:t>
      </w:r>
      <w:r>
        <w:t>整改，其中对检查发现存在违法违规行为的3家企业进行行政处罚，罚款金额3万元，对6名相关人员处罚0.6万元。开展了工贸行业防风险除隐患保安全排查整治工作，</w:t>
      </w:r>
      <w:r>
        <w:rPr>
          <w:rFonts w:hint="eastAsia"/>
        </w:rPr>
        <w:t>发现事故隐患102项，</w:t>
      </w:r>
      <w:r>
        <w:t>均已全部</w:t>
      </w:r>
      <w:r>
        <w:rPr>
          <w:rFonts w:hint="eastAsia"/>
        </w:rPr>
        <w:t>完成</w:t>
      </w:r>
      <w:r>
        <w:t>整改</w:t>
      </w:r>
      <w:r>
        <w:rPr>
          <w:rFonts w:hint="eastAsia"/>
        </w:rPr>
        <w:t>。处理行政处罚案件3件，处罚金额5.4万元。充分发挥了应急管理综合行政执法支队职能，依法依规查处各项违法行为，有效保障了安全生产形势持续稳定，营造了良好的安全生产环境。区应急局通过完成</w:t>
      </w:r>
      <w:r>
        <w:t>危化企业安全培训考核</w:t>
      </w:r>
      <w:r>
        <w:rPr>
          <w:rFonts w:hint="eastAsia"/>
        </w:rPr>
        <w:t>工作</w:t>
      </w:r>
      <w:r>
        <w:t>，组织全区《安全生产法》专题报告会，开展全国安全宣传咨询日“云体验云直播”活动，组织重点行业领域观看《和平区安全生产警示教育片——慎终如始 严守红线》</w:t>
      </w:r>
      <w:r>
        <w:rPr>
          <w:rFonts w:hint="eastAsia"/>
        </w:rPr>
        <w:t>，持续推进了企业诚信建设，优化了良好的营商环境。</w:t>
      </w:r>
    </w:p>
    <w:p>
      <w:pPr>
        <w:pStyle w:val="26"/>
        <w:ind w:firstLine="640"/>
      </w:pPr>
      <w:r>
        <w:rPr>
          <w:rFonts w:hint="eastAsia"/>
        </w:rPr>
        <w:t>综上所述，区应急局通过完成安全生产检查工作、警示教育工作和专项整治工作，依法依规查处各项违法行为，持续推进了企业诚信建设，营造了良好的安全生产环境，有效保障了安全生产监管工作水平。</w:t>
      </w:r>
    </w:p>
    <w:p>
      <w:pPr>
        <w:pStyle w:val="26"/>
        <w:ind w:firstLine="640"/>
      </w:pPr>
      <w:r>
        <w:rPr>
          <w:rFonts w:hint="eastAsia"/>
        </w:rPr>
        <w:t>③防灾减灾救灾综合能力的提升情况：分值</w:t>
      </w:r>
      <w:r>
        <w:t>6分，得分6分，得分率100%。</w:t>
      </w:r>
      <w:r>
        <w:rPr>
          <w:rFonts w:hint="eastAsia"/>
        </w:rPr>
        <w:t>本指标通过对部门（单位）健全防震减灾工作机制、防灾减灾宣传活动、避难场所建设工作完成效果情况进行评分，反映对部门防灾减灾救灾综合能力的提升情况</w:t>
      </w:r>
      <w:r>
        <w:t>。</w:t>
      </w:r>
    </w:p>
    <w:p>
      <w:pPr>
        <w:pStyle w:val="26"/>
        <w:ind w:firstLine="640"/>
      </w:pPr>
      <w:r>
        <w:rPr>
          <w:rFonts w:hint="eastAsia"/>
        </w:rPr>
        <w:t>区应急局通过制定《和平区防震减灾工作领导小组工作规则和领导小组办公室工作细则》，明确了成员单位的组成和工作职责，为进一步发挥了和平区防震减灾工作领导小组议事协调作用，切实为做好防震减灾相关工作奠定了基础，树牢了“震情第一”理念，坚持信息节点周报及宏观异常零报告制度。截至2022年10月，区应急局获评全市2021年地震监测预报资料质量第一名。区应急局充分利用“</w:t>
      </w:r>
      <w:r>
        <w:t>5·12全国防灾减灾日”、“7·28唐山大地震纪念日”、“国防科技日”、“全国科普宣传日”、“安全生产宣传月”等特殊时段，围绕“双创”、自然灾害普查、固定避难场所建设等工作，结合“我为群众办实事”、“和平夜话”特色活动，开展了宣传活动近百场</w:t>
      </w:r>
      <w:r>
        <w:rPr>
          <w:rFonts w:hint="eastAsia"/>
        </w:rPr>
        <w:t>，</w:t>
      </w:r>
      <w:r>
        <w:rPr>
          <w:rFonts w:cs="仿宋_GB2312"/>
          <w:szCs w:val="32"/>
          <w:lang w:val="en"/>
        </w:rPr>
        <w:t>参与群众</w:t>
      </w:r>
      <w:r>
        <w:rPr>
          <w:rFonts w:hint="eastAsia" w:cs="仿宋_GB2312"/>
          <w:szCs w:val="32"/>
          <w:lang w:val="en"/>
        </w:rPr>
        <w:t>2万余</w:t>
      </w:r>
      <w:r>
        <w:rPr>
          <w:rFonts w:cs="仿宋_GB2312"/>
          <w:szCs w:val="32"/>
          <w:lang w:val="en"/>
        </w:rPr>
        <w:t>人</w:t>
      </w:r>
      <w:r>
        <w:rPr>
          <w:rFonts w:hint="eastAsia"/>
        </w:rPr>
        <w:t>，将防震减灾知识送到了辖区居民手中，提升了社区群众防震减灾意识，筑牢了基层安全防线。区应急局持续推进了天津市第二十一中学、昆明路小学、万全小学、小白楼街长春道社区“双创”工作落地，</w:t>
      </w:r>
      <w:r>
        <w:rPr>
          <w:rFonts w:hint="eastAsia" w:cs="仿宋_GB2312"/>
          <w:szCs w:val="32"/>
        </w:rPr>
        <w:t>有序推进了防震减灾科普示范学校</w:t>
      </w:r>
      <w:r>
        <w:rPr>
          <w:rFonts w:cs="仿宋_GB2312"/>
          <w:szCs w:val="32"/>
          <w:lang w:val="en"/>
        </w:rPr>
        <w:t>、综合减灾示范社区</w:t>
      </w:r>
      <w:r>
        <w:rPr>
          <w:rFonts w:hint="eastAsia" w:cs="仿宋_GB2312"/>
          <w:szCs w:val="32"/>
        </w:rPr>
        <w:t>创建工作。全</w:t>
      </w:r>
      <w:r>
        <w:rPr>
          <w:rFonts w:hint="eastAsia"/>
        </w:rPr>
        <w:t>区累计创建了天津市防震减灾科普示范校</w:t>
      </w:r>
      <w:r>
        <w:t>12个，国家级防震减灾科普示范校6个，全国综合减灾示范社区2个</w:t>
      </w:r>
      <w:r>
        <w:rPr>
          <w:rFonts w:hint="eastAsia"/>
        </w:rPr>
        <w:t>，</w:t>
      </w:r>
      <w:r>
        <w:t>组织了6个街道开展了应急避难场所大排查，将二南开学校、民园广场提升改造为可容纳10476人的设施完备的固定避难场所</w:t>
      </w:r>
      <w:r>
        <w:rPr>
          <w:rFonts w:hint="eastAsia"/>
        </w:rPr>
        <w:t>，</w:t>
      </w:r>
      <w:r>
        <w:rPr>
          <w:rFonts w:hint="eastAsia" w:cs="仿宋_GB2312"/>
          <w:szCs w:val="32"/>
        </w:rPr>
        <w:t>有效提升了</w:t>
      </w:r>
      <w:r>
        <w:rPr>
          <w:rFonts w:cs="仿宋_GB2312"/>
          <w:szCs w:val="32"/>
          <w:lang w:val="en"/>
        </w:rPr>
        <w:t>全区</w:t>
      </w:r>
      <w:r>
        <w:rPr>
          <w:rFonts w:hint="eastAsia" w:cs="仿宋_GB2312"/>
          <w:szCs w:val="32"/>
        </w:rPr>
        <w:t>防御灾害能力</w:t>
      </w:r>
      <w:r>
        <w:t>。</w:t>
      </w:r>
    </w:p>
    <w:p>
      <w:pPr>
        <w:pStyle w:val="26"/>
        <w:ind w:firstLine="640"/>
      </w:pPr>
      <w:r>
        <w:rPr>
          <w:rFonts w:hint="eastAsia"/>
        </w:rPr>
        <w:t>综上所述，区应急局通过完成健全防震减灾工作机制、防灾减</w:t>
      </w:r>
      <w:r>
        <w:rPr>
          <w:rFonts w:hint="eastAsia" w:cs="仿宋_GB2312"/>
          <w:szCs w:val="32"/>
        </w:rPr>
        <w:t>灾宣传活动、避难场所建设工作，</w:t>
      </w:r>
      <w:r>
        <w:rPr>
          <w:rFonts w:hint="eastAsia"/>
        </w:rPr>
        <w:t>进一步发挥了和平区防震减灾工作领导小组议事协调作用，增强</w:t>
      </w:r>
      <w:r>
        <w:rPr>
          <w:rFonts w:hint="eastAsia" w:cs="仿宋_GB2312"/>
          <w:szCs w:val="32"/>
        </w:rPr>
        <w:t>了社区群众防震减灾意识，提升了避难场所建设水平，筑牢了基层安全防线，有效提升了防灾减灾救灾综合能力</w:t>
      </w:r>
      <w:r>
        <w:rPr>
          <w:rFonts w:cs="仿宋_GB2312"/>
          <w:szCs w:val="32"/>
        </w:rPr>
        <w:t>。</w:t>
      </w:r>
    </w:p>
    <w:p>
      <w:pPr>
        <w:pStyle w:val="26"/>
        <w:ind w:firstLine="640"/>
      </w:pPr>
      <w:r>
        <w:rPr>
          <w:rFonts w:hint="eastAsia"/>
        </w:rPr>
        <w:t>5</w:t>
      </w:r>
      <w:r>
        <w:t>.</w:t>
      </w:r>
      <w:r>
        <w:rPr>
          <w:rFonts w:hint="eastAsia"/>
        </w:rPr>
        <w:t>履职满意度</w:t>
      </w:r>
    </w:p>
    <w:p>
      <w:pPr>
        <w:pStyle w:val="26"/>
        <w:ind w:firstLine="640"/>
      </w:pPr>
      <w:r>
        <w:rPr>
          <w:rFonts w:hint="eastAsia"/>
        </w:rPr>
        <w:t>服务对象满意度</w:t>
      </w:r>
    </w:p>
    <w:p>
      <w:pPr>
        <w:pStyle w:val="26"/>
        <w:ind w:firstLine="640"/>
      </w:pPr>
      <w:r>
        <w:rPr>
          <w:rFonts w:hint="eastAsia"/>
        </w:rPr>
        <w:t>绩效管理公众评议满意率：分值</w:t>
      </w:r>
      <w:r>
        <w:t>6</w:t>
      </w:r>
      <w:r>
        <w:rPr>
          <w:rFonts w:hint="eastAsia"/>
        </w:rPr>
        <w:t>分，得分</w:t>
      </w:r>
      <w:r>
        <w:t>6</w:t>
      </w:r>
      <w:r>
        <w:rPr>
          <w:rFonts w:hint="eastAsia"/>
        </w:rPr>
        <w:t>分，得分率</w:t>
      </w:r>
      <w:r>
        <w:t>100</w:t>
      </w:r>
      <w:r>
        <w:rPr>
          <w:rFonts w:hint="eastAsia"/>
        </w:rPr>
        <w:t>%。根据社会调查所收集满意度抽样调查问卷进行评分，主要针对部门</w:t>
      </w:r>
      <w:r>
        <w:t>履行职责</w:t>
      </w:r>
      <w:r>
        <w:rPr>
          <w:rFonts w:hint="eastAsia"/>
        </w:rPr>
        <w:t>所</w:t>
      </w:r>
      <w:r>
        <w:t>影响到的群体</w:t>
      </w:r>
      <w:r>
        <w:rPr>
          <w:rFonts w:hint="eastAsia"/>
        </w:rPr>
        <w:t>或个人对于部门履职质效满意度进行评价。</w:t>
      </w:r>
    </w:p>
    <w:p>
      <w:pPr>
        <w:pStyle w:val="26"/>
        <w:ind w:firstLine="640"/>
      </w:pPr>
      <w:r>
        <w:rPr>
          <w:rFonts w:hint="eastAsia"/>
        </w:rPr>
        <w:t>通过采取随机走访辖区群众、宣传对象、安全生产企业等发放调查问卷方式，针对应急管理工作、安全生产工作、防灾减灾工作等主要履职开展满意度调查，实际参与调查</w:t>
      </w:r>
      <w:r>
        <w:t>100</w:t>
      </w:r>
      <w:r>
        <w:rPr>
          <w:rFonts w:hint="eastAsia"/>
        </w:rPr>
        <w:t>人，均对区应急局本年以上相关工作成效表示肯定与认可，绩效管理公众评议满意率为1</w:t>
      </w:r>
      <w:r>
        <w:t>00%</w:t>
      </w:r>
      <w:r>
        <w:rPr>
          <w:rFonts w:hint="eastAsia"/>
        </w:rPr>
        <w:t>。</w:t>
      </w:r>
    </w:p>
    <w:p>
      <w:pPr>
        <w:pStyle w:val="28"/>
      </w:pPr>
      <w:bookmarkStart w:id="61" w:name="_Toc151427049"/>
      <w:r>
        <w:rPr>
          <w:rFonts w:hint="eastAsia"/>
        </w:rPr>
        <w:t>四、存在问题</w:t>
      </w:r>
      <w:bookmarkEnd w:id="61"/>
    </w:p>
    <w:p>
      <w:pPr>
        <w:pStyle w:val="30"/>
        <w:ind w:firstLine="640"/>
        <w:rPr>
          <w:rFonts w:ascii="Times New Roman" w:hAnsi="Times New Roman"/>
        </w:rPr>
      </w:pPr>
      <w:bookmarkStart w:id="62" w:name="_Toc151427050"/>
      <w:r>
        <w:rPr>
          <w:rFonts w:hint="eastAsia" w:ascii="Times New Roman" w:hAnsi="Times New Roman"/>
        </w:rPr>
        <w:t>（一）部门整体绩效目标与预算资金匹配性不足</w:t>
      </w:r>
      <w:bookmarkEnd w:id="62"/>
    </w:p>
    <w:p>
      <w:pPr>
        <w:pStyle w:val="26"/>
        <w:ind w:firstLine="640"/>
      </w:pPr>
      <w:r>
        <w:rPr>
          <w:rFonts w:hint="eastAsia"/>
        </w:rPr>
        <w:t>根据2</w:t>
      </w:r>
      <w:r>
        <w:t>022</w:t>
      </w:r>
      <w:r>
        <w:rPr>
          <w:rFonts w:hint="eastAsia"/>
        </w:rPr>
        <w:t>年区应急局预算批复数据和部门整体绩效目标表，2</w:t>
      </w:r>
      <w:r>
        <w:t>022</w:t>
      </w:r>
      <w:r>
        <w:rPr>
          <w:rFonts w:hint="eastAsia"/>
        </w:rPr>
        <w:t>年度区应急局</w:t>
      </w:r>
      <w:r>
        <w:t>年初预算批复资金为1848.57万元，其中基本支出为823.27万元，项目支出为1025.30万元。部门整体支出绩效目标表填报年初预算资金为1859.38万元，其中基本支出为824.88万元，项目支出为1034.50万元。部门整体支出绩效目标中填报资金与人大批复的部门预算资金不匹配，未满足部门整体</w:t>
      </w:r>
      <w:r>
        <w:rPr>
          <w:rFonts w:hint="eastAsia"/>
        </w:rPr>
        <w:t>绩效目标中</w:t>
      </w:r>
      <w:r>
        <w:t>工作任务的完成。</w:t>
      </w:r>
    </w:p>
    <w:p>
      <w:pPr>
        <w:pStyle w:val="30"/>
        <w:ind w:firstLine="640"/>
        <w:rPr>
          <w:rFonts w:ascii="Times New Roman" w:hAnsi="Times New Roman"/>
        </w:rPr>
      </w:pPr>
      <w:bookmarkStart w:id="63" w:name="_Toc151427051"/>
      <w:r>
        <w:rPr>
          <w:rFonts w:hint="eastAsia" w:ascii="Times New Roman" w:hAnsi="Times New Roman"/>
        </w:rPr>
        <w:t>（二）预算调整浮动较大</w:t>
      </w:r>
      <w:bookmarkEnd w:id="63"/>
    </w:p>
    <w:p>
      <w:pPr>
        <w:pStyle w:val="26"/>
        <w:ind w:firstLine="640"/>
      </w:pPr>
      <w:r>
        <w:rPr>
          <w:rFonts w:hint="eastAsia"/>
        </w:rPr>
        <w:t>根据2</w:t>
      </w:r>
      <w:r>
        <w:t>022</w:t>
      </w:r>
      <w:r>
        <w:rPr>
          <w:rFonts w:hint="eastAsia"/>
        </w:rPr>
        <w:t>年区应急局预决算数据，</w:t>
      </w:r>
      <w:bookmarkStart w:id="64" w:name="_Toc116062790"/>
      <w:r>
        <w:rPr>
          <w:rFonts w:hint="eastAsia"/>
        </w:rPr>
        <w:t>区应急局</w:t>
      </w:r>
      <w:r>
        <w:t>2022年度年初预算批复数为1848.57万元，年度决算调整预算数为1081.39万元</w:t>
      </w:r>
      <w:r>
        <w:rPr>
          <w:rFonts w:hint="eastAsia"/>
        </w:rPr>
        <w:t>，调减了</w:t>
      </w:r>
      <w:r>
        <w:t>767.18万元，预算调整率为41.5%</w:t>
      </w:r>
      <w:r>
        <w:rPr>
          <w:rFonts w:hint="eastAsia"/>
        </w:rPr>
        <w:t>。预算调减浮动较大，</w:t>
      </w:r>
      <w:r>
        <w:rPr>
          <w:rFonts w:hint="eastAsia" w:cs="仿宋_GB2312"/>
          <w:szCs w:val="32"/>
        </w:rPr>
        <w:t>导致预算</w:t>
      </w:r>
      <w:r>
        <w:rPr>
          <w:rFonts w:hint="eastAsia"/>
        </w:rPr>
        <w:t>资金使用效率下降，可能对部门工作质量和效果产生较大影响。</w:t>
      </w:r>
    </w:p>
    <w:p>
      <w:pPr>
        <w:pStyle w:val="30"/>
        <w:ind w:firstLine="640"/>
        <w:rPr>
          <w:rFonts w:ascii="Times New Roman" w:hAnsi="Times New Roman"/>
        </w:rPr>
      </w:pPr>
      <w:bookmarkStart w:id="65" w:name="_Toc151427052"/>
      <w:r>
        <w:rPr>
          <w:rFonts w:hint="eastAsia" w:ascii="Times New Roman" w:hAnsi="Times New Roman"/>
        </w:rPr>
        <w:t>（三）</w:t>
      </w:r>
      <w:bookmarkEnd w:id="64"/>
      <w:r>
        <w:rPr>
          <w:rFonts w:hint="eastAsia" w:ascii="Times New Roman" w:hAnsi="Times New Roman"/>
        </w:rPr>
        <w:t>部门绩效管理机构和制度建设不完善</w:t>
      </w:r>
      <w:bookmarkEnd w:id="65"/>
    </w:p>
    <w:p>
      <w:pPr>
        <w:pStyle w:val="51"/>
        <w:rPr>
          <w:szCs w:val="21"/>
        </w:rPr>
      </w:pPr>
      <w:r>
        <w:rPr>
          <w:rStyle w:val="52"/>
          <w:rFonts w:hint="eastAsia"/>
        </w:rPr>
        <w:t>《和平区预算绩效管理办法》（津和财〔</w:t>
      </w:r>
      <w:r>
        <w:rPr>
          <w:rStyle w:val="52"/>
        </w:rPr>
        <w:t>2020〕61号）文件第</w:t>
      </w:r>
      <w:r>
        <w:rPr>
          <w:rStyle w:val="52"/>
          <w:rFonts w:hint="eastAsia"/>
        </w:rPr>
        <w:t>六</w:t>
      </w:r>
      <w:r>
        <w:rPr>
          <w:rStyle w:val="52"/>
        </w:rPr>
        <w:t>条</w:t>
      </w:r>
      <w:r>
        <w:rPr>
          <w:rStyle w:val="52"/>
          <w:rFonts w:hint="eastAsia"/>
        </w:rPr>
        <w:t>明确规定</w:t>
      </w:r>
      <w:r>
        <w:rPr>
          <w:rStyle w:val="52"/>
        </w:rPr>
        <w:t>“</w:t>
      </w:r>
      <w:r>
        <w:rPr>
          <w:rStyle w:val="52"/>
          <w:rFonts w:hint="eastAsia"/>
        </w:rPr>
        <w:t>区级预算单位职责：研究制定本部门预算绩效管理具体办法、操作细则、业务规范等；建立本部门分行业、分领域、分层次的核心绩效指标和标准体系</w:t>
      </w:r>
      <w:r>
        <w:rPr>
          <w:rStyle w:val="52"/>
        </w:rPr>
        <w:t>”</w:t>
      </w:r>
      <w:r>
        <w:rPr>
          <w:rStyle w:val="52"/>
          <w:rFonts w:hint="eastAsia"/>
        </w:rPr>
        <w:t>，但部门未成立绩效管理领导小组，未建立绩效跟踪</w:t>
      </w:r>
      <w:r>
        <w:rPr>
          <w:rFonts w:hint="eastAsia"/>
          <w:szCs w:val="21"/>
        </w:rPr>
        <w:t>管理办法、绩效管理制度，</w:t>
      </w:r>
      <w:r>
        <w:rPr>
          <w:rFonts w:hint="eastAsia" w:cstheme="minorBidi"/>
          <w:szCs w:val="21"/>
        </w:rPr>
        <w:t>未建立涵盖行业和标准的核心绩效指标体系和标准体系</w:t>
      </w:r>
      <w:r>
        <w:rPr>
          <w:rFonts w:hint="eastAsia"/>
          <w:szCs w:val="21"/>
        </w:rPr>
        <w:t>，部门绩效管理机构和制度建设不完善。</w:t>
      </w:r>
    </w:p>
    <w:p>
      <w:pPr>
        <w:pStyle w:val="28"/>
      </w:pPr>
      <w:bookmarkStart w:id="66" w:name="_Toc151427053"/>
      <w:r>
        <w:rPr>
          <w:rFonts w:hint="eastAsia"/>
        </w:rPr>
        <w:t>五、相关建议</w:t>
      </w:r>
      <w:bookmarkEnd w:id="66"/>
    </w:p>
    <w:p>
      <w:pPr>
        <w:pStyle w:val="30"/>
        <w:ind w:firstLine="640"/>
        <w:rPr>
          <w:rFonts w:ascii="Times New Roman" w:hAnsi="Times New Roman"/>
        </w:rPr>
      </w:pPr>
      <w:bookmarkStart w:id="67" w:name="_Toc151427054"/>
      <w:r>
        <w:rPr>
          <w:rFonts w:hint="eastAsia" w:ascii="Times New Roman" w:hAnsi="Times New Roman"/>
        </w:rPr>
        <w:t>（一）加强绩效理念，提升绩效审查工作水平</w:t>
      </w:r>
      <w:bookmarkEnd w:id="67"/>
    </w:p>
    <w:p>
      <w:pPr>
        <w:pStyle w:val="51"/>
        <w:rPr>
          <w:bCs/>
        </w:rPr>
      </w:pPr>
      <w:r>
        <w:rPr>
          <w:rFonts w:hint="eastAsia"/>
        </w:rPr>
        <w:t>建议单位加大绩效培训力度，提高绩效工作的重视程度，强化对绩效基本概念的理解，进而提高整体绩效工作质量。还需加强对绩效工作的监督审查，保障绩效填报工作准确性，以充分发挥绩效目标对预算执行的引导约束和控制作用。</w:t>
      </w:r>
      <w:r>
        <w:rPr>
          <w:rFonts w:hint="eastAsia"/>
          <w:bCs/>
        </w:rPr>
        <w:t xml:space="preserve"> </w:t>
      </w:r>
    </w:p>
    <w:p>
      <w:pPr>
        <w:pStyle w:val="30"/>
        <w:ind w:firstLine="640"/>
        <w:rPr>
          <w:rFonts w:ascii="Times New Roman" w:hAnsi="Times New Roman"/>
        </w:rPr>
      </w:pPr>
      <w:bookmarkStart w:id="68" w:name="_Toc151427055"/>
      <w:r>
        <w:rPr>
          <w:rFonts w:hint="eastAsia" w:ascii="Times New Roman" w:hAnsi="Times New Roman"/>
        </w:rPr>
        <w:t>（二）加强部门预算管理，提高财政资金使用效率</w:t>
      </w:r>
      <w:bookmarkEnd w:id="68"/>
      <w:r>
        <w:rPr>
          <w:rFonts w:ascii="Times New Roman" w:hAnsi="Times New Roman"/>
        </w:rPr>
        <w:t xml:space="preserve"> </w:t>
      </w:r>
    </w:p>
    <w:p>
      <w:pPr>
        <w:pStyle w:val="26"/>
        <w:ind w:firstLine="640"/>
      </w:pPr>
      <w:r>
        <w:rPr>
          <w:rFonts w:hint="eastAsia"/>
          <w:bCs/>
        </w:rPr>
        <w:t>一是建议部门提高预算编制准确性，优化预算编制测算流程，强化预算编制精准程度，预算编制时应考虑人员变动、机构改革、项目变更等多方面因素，进行综合测算，降低部门预算调整浮动。二是建议部门加强预算执行力，对预算资金进行实时监控，对执行进度滞后的项目进行督促，加强与财政部门沟通，确保部门预算执行进度。</w:t>
      </w:r>
    </w:p>
    <w:p>
      <w:pPr>
        <w:pStyle w:val="30"/>
        <w:ind w:firstLine="640"/>
        <w:rPr>
          <w:rFonts w:ascii="Times New Roman" w:hAnsi="Times New Roman"/>
        </w:rPr>
      </w:pPr>
      <w:bookmarkStart w:id="69" w:name="_Toc116062795"/>
      <w:bookmarkStart w:id="70" w:name="_Toc151427056"/>
      <w:r>
        <w:rPr>
          <w:rFonts w:hint="eastAsia" w:ascii="Times New Roman" w:hAnsi="Times New Roman"/>
        </w:rPr>
        <w:t>（三）健全绩效管理</w:t>
      </w:r>
      <w:bookmarkEnd w:id="69"/>
      <w:r>
        <w:rPr>
          <w:rFonts w:hint="eastAsia" w:ascii="Times New Roman" w:hAnsi="Times New Roman"/>
        </w:rPr>
        <w:t>工作，确保部门年度预期目标实现</w:t>
      </w:r>
      <w:bookmarkEnd w:id="70"/>
    </w:p>
    <w:p>
      <w:pPr>
        <w:pStyle w:val="26"/>
        <w:ind w:firstLine="640"/>
        <w:rPr>
          <w:bCs/>
        </w:rPr>
      </w:pPr>
      <w:r>
        <w:rPr>
          <w:rFonts w:hint="eastAsia"/>
          <w:bCs/>
        </w:rPr>
        <w:t>一是建议部门成立绩效管理领导小组，或指定相关处室和专人负责绩效管理工作。完善共性绩效指标框架，组织建立分行业、分领域、分层次的绩效指标体系，推动绩效指标和评价标准科学合理、细化量化、可比可测，夯实绩效管理基础。二是建议部门建立健全绩效管理制度，加强绩效跟踪管理，强化对预算资金使用效果的监管，对各项工作的完成情况及时进行汇总、分析、整理，掌控各项工作完成进度，定期将部门主要工作任务的完成情况与部门年度工作计划、年度总体绩效目标比对，对工作进度或完成内容产生偏差的，及时采取改进措施，保障部门工作的完成质量与预算资金的使用效益，确保部门年度预期目标实现。</w:t>
      </w:r>
    </w:p>
    <w:p>
      <w:pPr>
        <w:pStyle w:val="28"/>
        <w:ind w:firstLine="420"/>
      </w:pPr>
      <w:bookmarkStart w:id="71" w:name="_Toc151427057"/>
      <w:r>
        <w:rPr>
          <w:rFonts w:hint="eastAsia"/>
        </w:rPr>
        <w:t>六、相关附件</w:t>
      </w:r>
      <w:bookmarkEnd w:id="71"/>
    </w:p>
    <w:p>
      <w:pPr>
        <w:pStyle w:val="26"/>
        <w:ind w:left="1558" w:leftChars="305"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r>
        <w:rPr>
          <w:color w:val="000000" w:themeColor="text1"/>
          <w14:textFill>
            <w14:solidFill>
              <w14:schemeClr w14:val="tx1"/>
            </w14:solidFill>
          </w14:textFill>
        </w:rPr>
        <w:t>2022年</w:t>
      </w:r>
      <w:r>
        <w:rPr>
          <w:rFonts w:hint="eastAsia"/>
          <w:color w:val="000000" w:themeColor="text1"/>
          <w14:textFill>
            <w14:solidFill>
              <w14:schemeClr w14:val="tx1"/>
            </w14:solidFill>
          </w14:textFill>
        </w:rPr>
        <w:t>天津市和平区应急管理局</w:t>
      </w:r>
      <w:r>
        <w:rPr>
          <w:color w:val="000000" w:themeColor="text1"/>
          <w14:textFill>
            <w14:solidFill>
              <w14:schemeClr w14:val="tx1"/>
            </w14:solidFill>
          </w14:textFill>
        </w:rPr>
        <w:t>部门整体支出绩效评价指标体系及评分表</w:t>
      </w:r>
    </w:p>
    <w:sectPr>
      <w:footerReference r:id="rId9" w:type="default"/>
      <w:pgSz w:w="11906" w:h="16838"/>
      <w:pgMar w:top="2268" w:right="1797" w:bottom="1701"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8681"/>
    </w:sdtPr>
    <w:sdtEndPr>
      <w:rPr>
        <w:rFonts w:ascii="Times New Roman" w:hAnsi="Times New Roman"/>
        <w:sz w:val="28"/>
      </w:rPr>
    </w:sdtEndPr>
    <w:sdtContent>
      <w:p>
        <w:pPr>
          <w:pStyle w:val="12"/>
          <w:ind w:firstLine="360"/>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65</w:t>
        </w:r>
        <w:r>
          <w:rPr>
            <w:rFonts w:ascii="Times New Roman" w:hAnsi="Times New Roman"/>
            <w:sz w:val="28"/>
          </w:rPr>
          <w:fldChar w:fldCharType="end"/>
        </w:r>
      </w:p>
    </w:sdtContent>
  </w:sdt>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03302"/>
    <w:rsid w:val="000103B3"/>
    <w:rsid w:val="00010865"/>
    <w:rsid w:val="000126B9"/>
    <w:rsid w:val="00013276"/>
    <w:rsid w:val="00014411"/>
    <w:rsid w:val="00015C05"/>
    <w:rsid w:val="00017921"/>
    <w:rsid w:val="00020122"/>
    <w:rsid w:val="00021949"/>
    <w:rsid w:val="00022ADC"/>
    <w:rsid w:val="00024AFD"/>
    <w:rsid w:val="000265D4"/>
    <w:rsid w:val="00030DE2"/>
    <w:rsid w:val="000315D7"/>
    <w:rsid w:val="000320CF"/>
    <w:rsid w:val="00032E12"/>
    <w:rsid w:val="00036AD5"/>
    <w:rsid w:val="00037102"/>
    <w:rsid w:val="00041A50"/>
    <w:rsid w:val="00041EC4"/>
    <w:rsid w:val="000422F4"/>
    <w:rsid w:val="00045FD5"/>
    <w:rsid w:val="00050613"/>
    <w:rsid w:val="00051FC8"/>
    <w:rsid w:val="00053EC5"/>
    <w:rsid w:val="000543F6"/>
    <w:rsid w:val="00055086"/>
    <w:rsid w:val="00055BB6"/>
    <w:rsid w:val="00065BE8"/>
    <w:rsid w:val="00066F90"/>
    <w:rsid w:val="000700C5"/>
    <w:rsid w:val="00071034"/>
    <w:rsid w:val="0007429F"/>
    <w:rsid w:val="000746D9"/>
    <w:rsid w:val="000751CF"/>
    <w:rsid w:val="00077F27"/>
    <w:rsid w:val="00082A79"/>
    <w:rsid w:val="00084078"/>
    <w:rsid w:val="000849FC"/>
    <w:rsid w:val="0008549B"/>
    <w:rsid w:val="000869DC"/>
    <w:rsid w:val="00090B22"/>
    <w:rsid w:val="00093D6E"/>
    <w:rsid w:val="0009582D"/>
    <w:rsid w:val="00095EFF"/>
    <w:rsid w:val="000966C1"/>
    <w:rsid w:val="00097470"/>
    <w:rsid w:val="000A2973"/>
    <w:rsid w:val="000A6312"/>
    <w:rsid w:val="000B0764"/>
    <w:rsid w:val="000B12D4"/>
    <w:rsid w:val="000B241B"/>
    <w:rsid w:val="000B3239"/>
    <w:rsid w:val="000B3442"/>
    <w:rsid w:val="000B5035"/>
    <w:rsid w:val="000B57FD"/>
    <w:rsid w:val="000B765C"/>
    <w:rsid w:val="000C0AE7"/>
    <w:rsid w:val="000C161F"/>
    <w:rsid w:val="000C297D"/>
    <w:rsid w:val="000C2BA2"/>
    <w:rsid w:val="000C5FA5"/>
    <w:rsid w:val="000C677C"/>
    <w:rsid w:val="000D0CBC"/>
    <w:rsid w:val="000D1822"/>
    <w:rsid w:val="000D1B8A"/>
    <w:rsid w:val="000D1EFD"/>
    <w:rsid w:val="000D4798"/>
    <w:rsid w:val="000D4A40"/>
    <w:rsid w:val="000D59C4"/>
    <w:rsid w:val="000D5D02"/>
    <w:rsid w:val="000D6549"/>
    <w:rsid w:val="000E09D3"/>
    <w:rsid w:val="000E0A81"/>
    <w:rsid w:val="000E1645"/>
    <w:rsid w:val="000E1F51"/>
    <w:rsid w:val="000E3980"/>
    <w:rsid w:val="000E4EB4"/>
    <w:rsid w:val="000E60B5"/>
    <w:rsid w:val="000F36FE"/>
    <w:rsid w:val="000F37AF"/>
    <w:rsid w:val="000F55E0"/>
    <w:rsid w:val="000F5749"/>
    <w:rsid w:val="000F57C3"/>
    <w:rsid w:val="000F74B8"/>
    <w:rsid w:val="000F7620"/>
    <w:rsid w:val="00100043"/>
    <w:rsid w:val="00100141"/>
    <w:rsid w:val="001004FA"/>
    <w:rsid w:val="00101BA5"/>
    <w:rsid w:val="00102486"/>
    <w:rsid w:val="00102C1D"/>
    <w:rsid w:val="0010563C"/>
    <w:rsid w:val="001144A3"/>
    <w:rsid w:val="0011634F"/>
    <w:rsid w:val="001203C4"/>
    <w:rsid w:val="00120DC2"/>
    <w:rsid w:val="00122314"/>
    <w:rsid w:val="00122E23"/>
    <w:rsid w:val="00123D79"/>
    <w:rsid w:val="00127DDB"/>
    <w:rsid w:val="0013037F"/>
    <w:rsid w:val="00132E57"/>
    <w:rsid w:val="00133174"/>
    <w:rsid w:val="00133A6C"/>
    <w:rsid w:val="00133F1F"/>
    <w:rsid w:val="0013412C"/>
    <w:rsid w:val="00135ED3"/>
    <w:rsid w:val="001364FD"/>
    <w:rsid w:val="00140F26"/>
    <w:rsid w:val="0014294F"/>
    <w:rsid w:val="00142FBC"/>
    <w:rsid w:val="001437CA"/>
    <w:rsid w:val="00147376"/>
    <w:rsid w:val="00147D12"/>
    <w:rsid w:val="00150419"/>
    <w:rsid w:val="00153E84"/>
    <w:rsid w:val="00156000"/>
    <w:rsid w:val="00156667"/>
    <w:rsid w:val="00156C5D"/>
    <w:rsid w:val="00162746"/>
    <w:rsid w:val="001646C3"/>
    <w:rsid w:val="001704F7"/>
    <w:rsid w:val="0017117B"/>
    <w:rsid w:val="00171C9C"/>
    <w:rsid w:val="00173A4F"/>
    <w:rsid w:val="00175429"/>
    <w:rsid w:val="001755B1"/>
    <w:rsid w:val="0017581B"/>
    <w:rsid w:val="00175DFB"/>
    <w:rsid w:val="0017673E"/>
    <w:rsid w:val="00184BDA"/>
    <w:rsid w:val="00185478"/>
    <w:rsid w:val="00186246"/>
    <w:rsid w:val="001871E9"/>
    <w:rsid w:val="00191282"/>
    <w:rsid w:val="0019129E"/>
    <w:rsid w:val="00191749"/>
    <w:rsid w:val="0019546D"/>
    <w:rsid w:val="00195E1D"/>
    <w:rsid w:val="001979DC"/>
    <w:rsid w:val="001A20A0"/>
    <w:rsid w:val="001A2DD7"/>
    <w:rsid w:val="001A5D0F"/>
    <w:rsid w:val="001B0372"/>
    <w:rsid w:val="001B2951"/>
    <w:rsid w:val="001B7035"/>
    <w:rsid w:val="001C1E60"/>
    <w:rsid w:val="001C455A"/>
    <w:rsid w:val="001C501F"/>
    <w:rsid w:val="001C5588"/>
    <w:rsid w:val="001C68F0"/>
    <w:rsid w:val="001C698C"/>
    <w:rsid w:val="001D0C4F"/>
    <w:rsid w:val="001D260F"/>
    <w:rsid w:val="001D4D25"/>
    <w:rsid w:val="001D598D"/>
    <w:rsid w:val="001D5B5E"/>
    <w:rsid w:val="001D60A4"/>
    <w:rsid w:val="001E0DD7"/>
    <w:rsid w:val="001E13DA"/>
    <w:rsid w:val="001E5069"/>
    <w:rsid w:val="001E6F03"/>
    <w:rsid w:val="001F315F"/>
    <w:rsid w:val="001F3834"/>
    <w:rsid w:val="001F3C73"/>
    <w:rsid w:val="001F3F4F"/>
    <w:rsid w:val="001F5AAC"/>
    <w:rsid w:val="001F7CDE"/>
    <w:rsid w:val="00201EAB"/>
    <w:rsid w:val="00202447"/>
    <w:rsid w:val="00202699"/>
    <w:rsid w:val="00202F1E"/>
    <w:rsid w:val="002030BB"/>
    <w:rsid w:val="00204607"/>
    <w:rsid w:val="00206ED6"/>
    <w:rsid w:val="00210763"/>
    <w:rsid w:val="00210A1E"/>
    <w:rsid w:val="00210EA1"/>
    <w:rsid w:val="00212ACC"/>
    <w:rsid w:val="00213586"/>
    <w:rsid w:val="00214D89"/>
    <w:rsid w:val="00216D3D"/>
    <w:rsid w:val="002171D3"/>
    <w:rsid w:val="00217841"/>
    <w:rsid w:val="0022142B"/>
    <w:rsid w:val="00223431"/>
    <w:rsid w:val="00224E25"/>
    <w:rsid w:val="0022716B"/>
    <w:rsid w:val="002277E0"/>
    <w:rsid w:val="0023037B"/>
    <w:rsid w:val="00230C9C"/>
    <w:rsid w:val="00231B10"/>
    <w:rsid w:val="00231BC3"/>
    <w:rsid w:val="00231E73"/>
    <w:rsid w:val="002362E6"/>
    <w:rsid w:val="0024227D"/>
    <w:rsid w:val="00244AEF"/>
    <w:rsid w:val="00245EEA"/>
    <w:rsid w:val="00245FEB"/>
    <w:rsid w:val="0025214F"/>
    <w:rsid w:val="00252F45"/>
    <w:rsid w:val="00254126"/>
    <w:rsid w:val="00255788"/>
    <w:rsid w:val="00256193"/>
    <w:rsid w:val="00256F67"/>
    <w:rsid w:val="002606BD"/>
    <w:rsid w:val="00264773"/>
    <w:rsid w:val="00264F7B"/>
    <w:rsid w:val="002651AF"/>
    <w:rsid w:val="00265D4E"/>
    <w:rsid w:val="002678A4"/>
    <w:rsid w:val="002703F2"/>
    <w:rsid w:val="0027222E"/>
    <w:rsid w:val="00273A64"/>
    <w:rsid w:val="002753AA"/>
    <w:rsid w:val="00280184"/>
    <w:rsid w:val="0028146C"/>
    <w:rsid w:val="002815AF"/>
    <w:rsid w:val="00281E66"/>
    <w:rsid w:val="00282482"/>
    <w:rsid w:val="0028366C"/>
    <w:rsid w:val="00285E85"/>
    <w:rsid w:val="0028626F"/>
    <w:rsid w:val="00293612"/>
    <w:rsid w:val="0029647F"/>
    <w:rsid w:val="00296964"/>
    <w:rsid w:val="0029727E"/>
    <w:rsid w:val="00297E04"/>
    <w:rsid w:val="002A2F63"/>
    <w:rsid w:val="002A3861"/>
    <w:rsid w:val="002A3D27"/>
    <w:rsid w:val="002A425C"/>
    <w:rsid w:val="002A53B9"/>
    <w:rsid w:val="002A68B9"/>
    <w:rsid w:val="002A6AEF"/>
    <w:rsid w:val="002B0AC7"/>
    <w:rsid w:val="002B377E"/>
    <w:rsid w:val="002B455C"/>
    <w:rsid w:val="002B6E5F"/>
    <w:rsid w:val="002C23B2"/>
    <w:rsid w:val="002C2ECC"/>
    <w:rsid w:val="002C3E62"/>
    <w:rsid w:val="002C5750"/>
    <w:rsid w:val="002D000F"/>
    <w:rsid w:val="002D0101"/>
    <w:rsid w:val="002D308D"/>
    <w:rsid w:val="002D4527"/>
    <w:rsid w:val="002D741B"/>
    <w:rsid w:val="002E0D16"/>
    <w:rsid w:val="002E147A"/>
    <w:rsid w:val="002E25A1"/>
    <w:rsid w:val="002E3C4E"/>
    <w:rsid w:val="002F077A"/>
    <w:rsid w:val="002F2542"/>
    <w:rsid w:val="002F27F9"/>
    <w:rsid w:val="002F3170"/>
    <w:rsid w:val="002F31E3"/>
    <w:rsid w:val="002F5405"/>
    <w:rsid w:val="002F577A"/>
    <w:rsid w:val="002F7376"/>
    <w:rsid w:val="002F7F21"/>
    <w:rsid w:val="00301A91"/>
    <w:rsid w:val="003026FA"/>
    <w:rsid w:val="003029A1"/>
    <w:rsid w:val="003032A9"/>
    <w:rsid w:val="00303D5F"/>
    <w:rsid w:val="00304E75"/>
    <w:rsid w:val="00305364"/>
    <w:rsid w:val="00305852"/>
    <w:rsid w:val="00306C58"/>
    <w:rsid w:val="00307C0E"/>
    <w:rsid w:val="00307E6B"/>
    <w:rsid w:val="00310651"/>
    <w:rsid w:val="00315E20"/>
    <w:rsid w:val="003163B3"/>
    <w:rsid w:val="00316795"/>
    <w:rsid w:val="00317520"/>
    <w:rsid w:val="00317DFF"/>
    <w:rsid w:val="003207E1"/>
    <w:rsid w:val="00321338"/>
    <w:rsid w:val="00321C47"/>
    <w:rsid w:val="00325B50"/>
    <w:rsid w:val="00327CF4"/>
    <w:rsid w:val="00330844"/>
    <w:rsid w:val="00334459"/>
    <w:rsid w:val="0033456A"/>
    <w:rsid w:val="00334F65"/>
    <w:rsid w:val="0033568E"/>
    <w:rsid w:val="00335C30"/>
    <w:rsid w:val="0033624F"/>
    <w:rsid w:val="00346F76"/>
    <w:rsid w:val="003502BF"/>
    <w:rsid w:val="00351C4A"/>
    <w:rsid w:val="00352EE2"/>
    <w:rsid w:val="00354E49"/>
    <w:rsid w:val="0035577F"/>
    <w:rsid w:val="003574C0"/>
    <w:rsid w:val="003606F4"/>
    <w:rsid w:val="00360B9A"/>
    <w:rsid w:val="003637CC"/>
    <w:rsid w:val="003652D2"/>
    <w:rsid w:val="00366544"/>
    <w:rsid w:val="0037372D"/>
    <w:rsid w:val="00373FF5"/>
    <w:rsid w:val="00375B85"/>
    <w:rsid w:val="0038049A"/>
    <w:rsid w:val="0038053D"/>
    <w:rsid w:val="0038076B"/>
    <w:rsid w:val="00380E46"/>
    <w:rsid w:val="00381F5C"/>
    <w:rsid w:val="00383F32"/>
    <w:rsid w:val="003854CE"/>
    <w:rsid w:val="00385BC2"/>
    <w:rsid w:val="00386038"/>
    <w:rsid w:val="00386369"/>
    <w:rsid w:val="003872AE"/>
    <w:rsid w:val="00390A0C"/>
    <w:rsid w:val="003920E7"/>
    <w:rsid w:val="003925BE"/>
    <w:rsid w:val="003934AE"/>
    <w:rsid w:val="0039441D"/>
    <w:rsid w:val="00395D8F"/>
    <w:rsid w:val="00396581"/>
    <w:rsid w:val="0039718C"/>
    <w:rsid w:val="003A0752"/>
    <w:rsid w:val="003A2940"/>
    <w:rsid w:val="003A2F91"/>
    <w:rsid w:val="003A30C9"/>
    <w:rsid w:val="003A3E57"/>
    <w:rsid w:val="003A6227"/>
    <w:rsid w:val="003B19A0"/>
    <w:rsid w:val="003B2023"/>
    <w:rsid w:val="003B4F6C"/>
    <w:rsid w:val="003B73D7"/>
    <w:rsid w:val="003B7C12"/>
    <w:rsid w:val="003C254A"/>
    <w:rsid w:val="003C3423"/>
    <w:rsid w:val="003C3B9B"/>
    <w:rsid w:val="003C6713"/>
    <w:rsid w:val="003D19D5"/>
    <w:rsid w:val="003D42E6"/>
    <w:rsid w:val="003D5E93"/>
    <w:rsid w:val="003D7659"/>
    <w:rsid w:val="003E1CAB"/>
    <w:rsid w:val="003E23F6"/>
    <w:rsid w:val="003E28DB"/>
    <w:rsid w:val="003E5D8A"/>
    <w:rsid w:val="003E7C97"/>
    <w:rsid w:val="003F12E1"/>
    <w:rsid w:val="003F1BDA"/>
    <w:rsid w:val="003F269E"/>
    <w:rsid w:val="003F49BD"/>
    <w:rsid w:val="003F4C3B"/>
    <w:rsid w:val="003F4E92"/>
    <w:rsid w:val="003F550B"/>
    <w:rsid w:val="003F55AE"/>
    <w:rsid w:val="003F61ED"/>
    <w:rsid w:val="0040110C"/>
    <w:rsid w:val="0040162E"/>
    <w:rsid w:val="00402FB8"/>
    <w:rsid w:val="00403197"/>
    <w:rsid w:val="0040742C"/>
    <w:rsid w:val="004074C1"/>
    <w:rsid w:val="004077B0"/>
    <w:rsid w:val="00407BC4"/>
    <w:rsid w:val="00407F2A"/>
    <w:rsid w:val="00411DED"/>
    <w:rsid w:val="004132DE"/>
    <w:rsid w:val="004138CE"/>
    <w:rsid w:val="004174C2"/>
    <w:rsid w:val="00420CB9"/>
    <w:rsid w:val="00422450"/>
    <w:rsid w:val="004272CE"/>
    <w:rsid w:val="0043312F"/>
    <w:rsid w:val="004345FF"/>
    <w:rsid w:val="004366CD"/>
    <w:rsid w:val="00436AFF"/>
    <w:rsid w:val="00436C38"/>
    <w:rsid w:val="00440EAF"/>
    <w:rsid w:val="004429F6"/>
    <w:rsid w:val="00442C96"/>
    <w:rsid w:val="0044422D"/>
    <w:rsid w:val="00452C2A"/>
    <w:rsid w:val="004532FC"/>
    <w:rsid w:val="004548E7"/>
    <w:rsid w:val="004552A5"/>
    <w:rsid w:val="00455F34"/>
    <w:rsid w:val="00456D8D"/>
    <w:rsid w:val="004621FD"/>
    <w:rsid w:val="004641D4"/>
    <w:rsid w:val="00464C69"/>
    <w:rsid w:val="004665A5"/>
    <w:rsid w:val="0046745A"/>
    <w:rsid w:val="00467644"/>
    <w:rsid w:val="00467BED"/>
    <w:rsid w:val="004700FE"/>
    <w:rsid w:val="004746B7"/>
    <w:rsid w:val="0047484C"/>
    <w:rsid w:val="004762AF"/>
    <w:rsid w:val="00476742"/>
    <w:rsid w:val="00481085"/>
    <w:rsid w:val="00487573"/>
    <w:rsid w:val="0048792B"/>
    <w:rsid w:val="00491A9D"/>
    <w:rsid w:val="004921CE"/>
    <w:rsid w:val="00494151"/>
    <w:rsid w:val="00497CB5"/>
    <w:rsid w:val="004A023E"/>
    <w:rsid w:val="004A053B"/>
    <w:rsid w:val="004A14E5"/>
    <w:rsid w:val="004A4433"/>
    <w:rsid w:val="004A499E"/>
    <w:rsid w:val="004A55AE"/>
    <w:rsid w:val="004A5987"/>
    <w:rsid w:val="004A632C"/>
    <w:rsid w:val="004A6BE4"/>
    <w:rsid w:val="004B7A85"/>
    <w:rsid w:val="004B7D81"/>
    <w:rsid w:val="004C02CC"/>
    <w:rsid w:val="004C0450"/>
    <w:rsid w:val="004C0765"/>
    <w:rsid w:val="004C1741"/>
    <w:rsid w:val="004C31E6"/>
    <w:rsid w:val="004C4A72"/>
    <w:rsid w:val="004C5C6F"/>
    <w:rsid w:val="004C5E4A"/>
    <w:rsid w:val="004C6122"/>
    <w:rsid w:val="004C6995"/>
    <w:rsid w:val="004C6B1E"/>
    <w:rsid w:val="004C7430"/>
    <w:rsid w:val="004D10A8"/>
    <w:rsid w:val="004D3BC4"/>
    <w:rsid w:val="004E0271"/>
    <w:rsid w:val="004E0D4E"/>
    <w:rsid w:val="004E26FB"/>
    <w:rsid w:val="004E4480"/>
    <w:rsid w:val="004E51AA"/>
    <w:rsid w:val="004E5550"/>
    <w:rsid w:val="004E6D65"/>
    <w:rsid w:val="004E7884"/>
    <w:rsid w:val="004E7B24"/>
    <w:rsid w:val="004F0C37"/>
    <w:rsid w:val="004F117B"/>
    <w:rsid w:val="004F637F"/>
    <w:rsid w:val="004F6424"/>
    <w:rsid w:val="004F6A0A"/>
    <w:rsid w:val="004F7399"/>
    <w:rsid w:val="004F7B1D"/>
    <w:rsid w:val="00500272"/>
    <w:rsid w:val="00500D69"/>
    <w:rsid w:val="0050309A"/>
    <w:rsid w:val="0050469C"/>
    <w:rsid w:val="00504FBB"/>
    <w:rsid w:val="00506277"/>
    <w:rsid w:val="00507119"/>
    <w:rsid w:val="00507928"/>
    <w:rsid w:val="00513E56"/>
    <w:rsid w:val="00514FCA"/>
    <w:rsid w:val="00517695"/>
    <w:rsid w:val="0051795C"/>
    <w:rsid w:val="00520017"/>
    <w:rsid w:val="005200BD"/>
    <w:rsid w:val="005227CB"/>
    <w:rsid w:val="0052280F"/>
    <w:rsid w:val="005252C6"/>
    <w:rsid w:val="005256D0"/>
    <w:rsid w:val="005301DF"/>
    <w:rsid w:val="005304D2"/>
    <w:rsid w:val="0053130C"/>
    <w:rsid w:val="00532532"/>
    <w:rsid w:val="005346B2"/>
    <w:rsid w:val="005375FD"/>
    <w:rsid w:val="00537FBF"/>
    <w:rsid w:val="00541169"/>
    <w:rsid w:val="00541337"/>
    <w:rsid w:val="005418D0"/>
    <w:rsid w:val="00544DE7"/>
    <w:rsid w:val="0054544C"/>
    <w:rsid w:val="00545C58"/>
    <w:rsid w:val="00545D2C"/>
    <w:rsid w:val="00547B45"/>
    <w:rsid w:val="00547E5D"/>
    <w:rsid w:val="00547F1D"/>
    <w:rsid w:val="005504CF"/>
    <w:rsid w:val="005513AC"/>
    <w:rsid w:val="00552BA7"/>
    <w:rsid w:val="0055360D"/>
    <w:rsid w:val="005569EA"/>
    <w:rsid w:val="00556E3D"/>
    <w:rsid w:val="00557464"/>
    <w:rsid w:val="0056054A"/>
    <w:rsid w:val="00561F87"/>
    <w:rsid w:val="00563B61"/>
    <w:rsid w:val="00563F6C"/>
    <w:rsid w:val="005650E4"/>
    <w:rsid w:val="0056673E"/>
    <w:rsid w:val="005719A5"/>
    <w:rsid w:val="005725DE"/>
    <w:rsid w:val="00573B4A"/>
    <w:rsid w:val="005757A5"/>
    <w:rsid w:val="00575954"/>
    <w:rsid w:val="005773A2"/>
    <w:rsid w:val="00577671"/>
    <w:rsid w:val="00580405"/>
    <w:rsid w:val="005806ED"/>
    <w:rsid w:val="00582E93"/>
    <w:rsid w:val="005831C0"/>
    <w:rsid w:val="00583D92"/>
    <w:rsid w:val="00590B7F"/>
    <w:rsid w:val="005920AD"/>
    <w:rsid w:val="00592EBC"/>
    <w:rsid w:val="00593069"/>
    <w:rsid w:val="00593895"/>
    <w:rsid w:val="00595F1A"/>
    <w:rsid w:val="00596A6D"/>
    <w:rsid w:val="005978EB"/>
    <w:rsid w:val="005A00A0"/>
    <w:rsid w:val="005A02D6"/>
    <w:rsid w:val="005A401C"/>
    <w:rsid w:val="005A681C"/>
    <w:rsid w:val="005A7556"/>
    <w:rsid w:val="005B13A5"/>
    <w:rsid w:val="005B3018"/>
    <w:rsid w:val="005B43B8"/>
    <w:rsid w:val="005C4163"/>
    <w:rsid w:val="005C4F23"/>
    <w:rsid w:val="005C5F21"/>
    <w:rsid w:val="005C633F"/>
    <w:rsid w:val="005C66DA"/>
    <w:rsid w:val="005C7A5D"/>
    <w:rsid w:val="005D008C"/>
    <w:rsid w:val="005D0D3C"/>
    <w:rsid w:val="005D2B39"/>
    <w:rsid w:val="005D4559"/>
    <w:rsid w:val="005D5CF9"/>
    <w:rsid w:val="005D5E2F"/>
    <w:rsid w:val="005D737F"/>
    <w:rsid w:val="005D786E"/>
    <w:rsid w:val="005D78A4"/>
    <w:rsid w:val="005D7F5B"/>
    <w:rsid w:val="005E0A86"/>
    <w:rsid w:val="005E3B63"/>
    <w:rsid w:val="005F02BE"/>
    <w:rsid w:val="005F0775"/>
    <w:rsid w:val="005F2CA6"/>
    <w:rsid w:val="005F497F"/>
    <w:rsid w:val="005F72E1"/>
    <w:rsid w:val="00601702"/>
    <w:rsid w:val="0060374B"/>
    <w:rsid w:val="00604556"/>
    <w:rsid w:val="006048EA"/>
    <w:rsid w:val="00605111"/>
    <w:rsid w:val="00611C2B"/>
    <w:rsid w:val="00612D1C"/>
    <w:rsid w:val="006154DA"/>
    <w:rsid w:val="00617065"/>
    <w:rsid w:val="0061788B"/>
    <w:rsid w:val="0061797D"/>
    <w:rsid w:val="006207A7"/>
    <w:rsid w:val="0062238D"/>
    <w:rsid w:val="0062428F"/>
    <w:rsid w:val="00626DFB"/>
    <w:rsid w:val="00635391"/>
    <w:rsid w:val="006362ED"/>
    <w:rsid w:val="00642613"/>
    <w:rsid w:val="00642B6B"/>
    <w:rsid w:val="006440B5"/>
    <w:rsid w:val="00644309"/>
    <w:rsid w:val="00644F88"/>
    <w:rsid w:val="006463B1"/>
    <w:rsid w:val="006509C0"/>
    <w:rsid w:val="00650BAB"/>
    <w:rsid w:val="00652EFA"/>
    <w:rsid w:val="006539B8"/>
    <w:rsid w:val="006555B4"/>
    <w:rsid w:val="00656208"/>
    <w:rsid w:val="00661057"/>
    <w:rsid w:val="00662A4D"/>
    <w:rsid w:val="00664461"/>
    <w:rsid w:val="0066490F"/>
    <w:rsid w:val="0066557D"/>
    <w:rsid w:val="006659F0"/>
    <w:rsid w:val="00665A76"/>
    <w:rsid w:val="006667E5"/>
    <w:rsid w:val="0067253E"/>
    <w:rsid w:val="0067390E"/>
    <w:rsid w:val="00674234"/>
    <w:rsid w:val="00674C17"/>
    <w:rsid w:val="00677282"/>
    <w:rsid w:val="0068007F"/>
    <w:rsid w:val="006802B6"/>
    <w:rsid w:val="00680966"/>
    <w:rsid w:val="00680FC8"/>
    <w:rsid w:val="00683CE1"/>
    <w:rsid w:val="00684657"/>
    <w:rsid w:val="006853D5"/>
    <w:rsid w:val="006855F9"/>
    <w:rsid w:val="0068627D"/>
    <w:rsid w:val="006917F4"/>
    <w:rsid w:val="00692788"/>
    <w:rsid w:val="0069381F"/>
    <w:rsid w:val="00695DC1"/>
    <w:rsid w:val="006A1A15"/>
    <w:rsid w:val="006A2799"/>
    <w:rsid w:val="006A29B6"/>
    <w:rsid w:val="006A2AA8"/>
    <w:rsid w:val="006A3F92"/>
    <w:rsid w:val="006A4360"/>
    <w:rsid w:val="006B33B3"/>
    <w:rsid w:val="006B6D9D"/>
    <w:rsid w:val="006B6F79"/>
    <w:rsid w:val="006C3511"/>
    <w:rsid w:val="006C37B3"/>
    <w:rsid w:val="006C6EE8"/>
    <w:rsid w:val="006D0238"/>
    <w:rsid w:val="006D43E0"/>
    <w:rsid w:val="006D5AC3"/>
    <w:rsid w:val="006D5D85"/>
    <w:rsid w:val="006D642B"/>
    <w:rsid w:val="006E39FD"/>
    <w:rsid w:val="006F433C"/>
    <w:rsid w:val="006F71A1"/>
    <w:rsid w:val="007026DF"/>
    <w:rsid w:val="00704183"/>
    <w:rsid w:val="00704870"/>
    <w:rsid w:val="007058AC"/>
    <w:rsid w:val="007059F5"/>
    <w:rsid w:val="00706E85"/>
    <w:rsid w:val="007079CF"/>
    <w:rsid w:val="00711755"/>
    <w:rsid w:val="0071296D"/>
    <w:rsid w:val="00712E12"/>
    <w:rsid w:val="00712F83"/>
    <w:rsid w:val="00713AFA"/>
    <w:rsid w:val="00716ABF"/>
    <w:rsid w:val="007178E2"/>
    <w:rsid w:val="0072230F"/>
    <w:rsid w:val="0072315E"/>
    <w:rsid w:val="007266A6"/>
    <w:rsid w:val="00726B01"/>
    <w:rsid w:val="007318B7"/>
    <w:rsid w:val="007330BF"/>
    <w:rsid w:val="00733E6B"/>
    <w:rsid w:val="00736FB8"/>
    <w:rsid w:val="00742B8C"/>
    <w:rsid w:val="00742DEF"/>
    <w:rsid w:val="00743FB6"/>
    <w:rsid w:val="007443BB"/>
    <w:rsid w:val="00746FED"/>
    <w:rsid w:val="00747168"/>
    <w:rsid w:val="00747C52"/>
    <w:rsid w:val="00747CF7"/>
    <w:rsid w:val="00762F32"/>
    <w:rsid w:val="0076377A"/>
    <w:rsid w:val="00767111"/>
    <w:rsid w:val="00770D49"/>
    <w:rsid w:val="0077390B"/>
    <w:rsid w:val="00774788"/>
    <w:rsid w:val="00776EBA"/>
    <w:rsid w:val="00777795"/>
    <w:rsid w:val="0078121B"/>
    <w:rsid w:val="00781ADF"/>
    <w:rsid w:val="007823FB"/>
    <w:rsid w:val="00783F5D"/>
    <w:rsid w:val="00784B44"/>
    <w:rsid w:val="00787058"/>
    <w:rsid w:val="007903CE"/>
    <w:rsid w:val="00792C36"/>
    <w:rsid w:val="00793670"/>
    <w:rsid w:val="00793B29"/>
    <w:rsid w:val="007959A2"/>
    <w:rsid w:val="007959B7"/>
    <w:rsid w:val="00795C3D"/>
    <w:rsid w:val="00795E9D"/>
    <w:rsid w:val="00797554"/>
    <w:rsid w:val="007A002D"/>
    <w:rsid w:val="007A0119"/>
    <w:rsid w:val="007A4C06"/>
    <w:rsid w:val="007A7048"/>
    <w:rsid w:val="007A7BE7"/>
    <w:rsid w:val="007B1BA0"/>
    <w:rsid w:val="007B2E2E"/>
    <w:rsid w:val="007B5B07"/>
    <w:rsid w:val="007C06E4"/>
    <w:rsid w:val="007C0EDE"/>
    <w:rsid w:val="007C0F2E"/>
    <w:rsid w:val="007C2A60"/>
    <w:rsid w:val="007C34F5"/>
    <w:rsid w:val="007C3B95"/>
    <w:rsid w:val="007C52BC"/>
    <w:rsid w:val="007C58EC"/>
    <w:rsid w:val="007D03C7"/>
    <w:rsid w:val="007D0EE0"/>
    <w:rsid w:val="007D1E3D"/>
    <w:rsid w:val="007D330F"/>
    <w:rsid w:val="007D7C3F"/>
    <w:rsid w:val="007E1792"/>
    <w:rsid w:val="007E3E34"/>
    <w:rsid w:val="007F1203"/>
    <w:rsid w:val="007F4BF3"/>
    <w:rsid w:val="007F5AC1"/>
    <w:rsid w:val="007F5F34"/>
    <w:rsid w:val="007F68E4"/>
    <w:rsid w:val="007F6C2C"/>
    <w:rsid w:val="007F798E"/>
    <w:rsid w:val="007F7EFD"/>
    <w:rsid w:val="007F7F99"/>
    <w:rsid w:val="0080140B"/>
    <w:rsid w:val="00802749"/>
    <w:rsid w:val="00802F36"/>
    <w:rsid w:val="00803D57"/>
    <w:rsid w:val="008059C4"/>
    <w:rsid w:val="008062BD"/>
    <w:rsid w:val="0080696E"/>
    <w:rsid w:val="00806B78"/>
    <w:rsid w:val="008104FF"/>
    <w:rsid w:val="00814D5C"/>
    <w:rsid w:val="0081535C"/>
    <w:rsid w:val="008169B3"/>
    <w:rsid w:val="008202A4"/>
    <w:rsid w:val="008205F0"/>
    <w:rsid w:val="008207A8"/>
    <w:rsid w:val="0082272D"/>
    <w:rsid w:val="0082624D"/>
    <w:rsid w:val="0083122F"/>
    <w:rsid w:val="008329B3"/>
    <w:rsid w:val="008358E2"/>
    <w:rsid w:val="00840466"/>
    <w:rsid w:val="00843D09"/>
    <w:rsid w:val="00844A65"/>
    <w:rsid w:val="00845B3E"/>
    <w:rsid w:val="0085010B"/>
    <w:rsid w:val="008509FA"/>
    <w:rsid w:val="0085260F"/>
    <w:rsid w:val="008543BE"/>
    <w:rsid w:val="00855D04"/>
    <w:rsid w:val="00860004"/>
    <w:rsid w:val="00860DF6"/>
    <w:rsid w:val="00862FEA"/>
    <w:rsid w:val="0086315F"/>
    <w:rsid w:val="00864691"/>
    <w:rsid w:val="00864BFC"/>
    <w:rsid w:val="00866D67"/>
    <w:rsid w:val="008679E3"/>
    <w:rsid w:val="008712EC"/>
    <w:rsid w:val="00871A31"/>
    <w:rsid w:val="00872A79"/>
    <w:rsid w:val="0087486A"/>
    <w:rsid w:val="0088084D"/>
    <w:rsid w:val="00880DB3"/>
    <w:rsid w:val="00882A49"/>
    <w:rsid w:val="00884616"/>
    <w:rsid w:val="008850A4"/>
    <w:rsid w:val="00887546"/>
    <w:rsid w:val="00890929"/>
    <w:rsid w:val="008924A7"/>
    <w:rsid w:val="00892E0C"/>
    <w:rsid w:val="00893287"/>
    <w:rsid w:val="00895503"/>
    <w:rsid w:val="00895AEA"/>
    <w:rsid w:val="008A1518"/>
    <w:rsid w:val="008A3C59"/>
    <w:rsid w:val="008A6D43"/>
    <w:rsid w:val="008A759E"/>
    <w:rsid w:val="008B0066"/>
    <w:rsid w:val="008B59A6"/>
    <w:rsid w:val="008B76DE"/>
    <w:rsid w:val="008C626E"/>
    <w:rsid w:val="008C6D83"/>
    <w:rsid w:val="008D06C2"/>
    <w:rsid w:val="008D2D00"/>
    <w:rsid w:val="008D2E4F"/>
    <w:rsid w:val="008D62C2"/>
    <w:rsid w:val="008D7374"/>
    <w:rsid w:val="008D7880"/>
    <w:rsid w:val="008E2473"/>
    <w:rsid w:val="008E25CB"/>
    <w:rsid w:val="008E5D59"/>
    <w:rsid w:val="008E5E84"/>
    <w:rsid w:val="008F0212"/>
    <w:rsid w:val="008F062C"/>
    <w:rsid w:val="008F29CF"/>
    <w:rsid w:val="008F307E"/>
    <w:rsid w:val="008F417A"/>
    <w:rsid w:val="008F5986"/>
    <w:rsid w:val="008F7880"/>
    <w:rsid w:val="009040D7"/>
    <w:rsid w:val="00905F95"/>
    <w:rsid w:val="009061EE"/>
    <w:rsid w:val="00906991"/>
    <w:rsid w:val="00907E73"/>
    <w:rsid w:val="009103B4"/>
    <w:rsid w:val="00910630"/>
    <w:rsid w:val="00912ED4"/>
    <w:rsid w:val="00913830"/>
    <w:rsid w:val="00913D95"/>
    <w:rsid w:val="00913E98"/>
    <w:rsid w:val="009150E1"/>
    <w:rsid w:val="00916643"/>
    <w:rsid w:val="00925257"/>
    <w:rsid w:val="00933EE9"/>
    <w:rsid w:val="00934AD2"/>
    <w:rsid w:val="00935816"/>
    <w:rsid w:val="009363BB"/>
    <w:rsid w:val="00936A70"/>
    <w:rsid w:val="009415F7"/>
    <w:rsid w:val="00941CE3"/>
    <w:rsid w:val="00942771"/>
    <w:rsid w:val="00942D20"/>
    <w:rsid w:val="009511FE"/>
    <w:rsid w:val="0095347B"/>
    <w:rsid w:val="009545F4"/>
    <w:rsid w:val="00954B05"/>
    <w:rsid w:val="00955B84"/>
    <w:rsid w:val="00957B6C"/>
    <w:rsid w:val="00964501"/>
    <w:rsid w:val="00966B74"/>
    <w:rsid w:val="0097216C"/>
    <w:rsid w:val="0097373A"/>
    <w:rsid w:val="009738F0"/>
    <w:rsid w:val="009748DA"/>
    <w:rsid w:val="00976240"/>
    <w:rsid w:val="00977C36"/>
    <w:rsid w:val="00980AD7"/>
    <w:rsid w:val="00981659"/>
    <w:rsid w:val="00982706"/>
    <w:rsid w:val="0098297E"/>
    <w:rsid w:val="009830B2"/>
    <w:rsid w:val="00983CF8"/>
    <w:rsid w:val="00984B43"/>
    <w:rsid w:val="00985716"/>
    <w:rsid w:val="009866A6"/>
    <w:rsid w:val="00987CB1"/>
    <w:rsid w:val="00990D0D"/>
    <w:rsid w:val="00990F30"/>
    <w:rsid w:val="00992019"/>
    <w:rsid w:val="00994CE6"/>
    <w:rsid w:val="009952E2"/>
    <w:rsid w:val="009A3ADB"/>
    <w:rsid w:val="009A7D50"/>
    <w:rsid w:val="009B154B"/>
    <w:rsid w:val="009B2CA7"/>
    <w:rsid w:val="009B3FD6"/>
    <w:rsid w:val="009B5EC2"/>
    <w:rsid w:val="009B6E67"/>
    <w:rsid w:val="009C1629"/>
    <w:rsid w:val="009C1B2A"/>
    <w:rsid w:val="009C2C2E"/>
    <w:rsid w:val="009C4DCE"/>
    <w:rsid w:val="009D1418"/>
    <w:rsid w:val="009D210E"/>
    <w:rsid w:val="009D402B"/>
    <w:rsid w:val="009D7BC1"/>
    <w:rsid w:val="009E0E11"/>
    <w:rsid w:val="009E109E"/>
    <w:rsid w:val="009E204A"/>
    <w:rsid w:val="009E290A"/>
    <w:rsid w:val="009E2A29"/>
    <w:rsid w:val="009E4267"/>
    <w:rsid w:val="009E65E9"/>
    <w:rsid w:val="009E72FC"/>
    <w:rsid w:val="009E768A"/>
    <w:rsid w:val="009E79DC"/>
    <w:rsid w:val="009F58DB"/>
    <w:rsid w:val="009F6318"/>
    <w:rsid w:val="009F78B6"/>
    <w:rsid w:val="00A04DF6"/>
    <w:rsid w:val="00A05058"/>
    <w:rsid w:val="00A061D0"/>
    <w:rsid w:val="00A06C54"/>
    <w:rsid w:val="00A107F3"/>
    <w:rsid w:val="00A10B31"/>
    <w:rsid w:val="00A116D1"/>
    <w:rsid w:val="00A142A4"/>
    <w:rsid w:val="00A16E33"/>
    <w:rsid w:val="00A207D3"/>
    <w:rsid w:val="00A20ACF"/>
    <w:rsid w:val="00A23B57"/>
    <w:rsid w:val="00A25B3A"/>
    <w:rsid w:val="00A25CA2"/>
    <w:rsid w:val="00A25CC2"/>
    <w:rsid w:val="00A308A4"/>
    <w:rsid w:val="00A3186C"/>
    <w:rsid w:val="00A31C1E"/>
    <w:rsid w:val="00A3400F"/>
    <w:rsid w:val="00A40173"/>
    <w:rsid w:val="00A40782"/>
    <w:rsid w:val="00A414FB"/>
    <w:rsid w:val="00A41542"/>
    <w:rsid w:val="00A41D62"/>
    <w:rsid w:val="00A4206E"/>
    <w:rsid w:val="00A45126"/>
    <w:rsid w:val="00A46147"/>
    <w:rsid w:val="00A4688B"/>
    <w:rsid w:val="00A50863"/>
    <w:rsid w:val="00A5116D"/>
    <w:rsid w:val="00A5177B"/>
    <w:rsid w:val="00A52917"/>
    <w:rsid w:val="00A5496C"/>
    <w:rsid w:val="00A56829"/>
    <w:rsid w:val="00A56FDB"/>
    <w:rsid w:val="00A60C59"/>
    <w:rsid w:val="00A610E7"/>
    <w:rsid w:val="00A6224E"/>
    <w:rsid w:val="00A63A21"/>
    <w:rsid w:val="00A63C47"/>
    <w:rsid w:val="00A653E9"/>
    <w:rsid w:val="00A709F4"/>
    <w:rsid w:val="00A74304"/>
    <w:rsid w:val="00A74379"/>
    <w:rsid w:val="00A745BD"/>
    <w:rsid w:val="00A751C5"/>
    <w:rsid w:val="00A8117E"/>
    <w:rsid w:val="00A84941"/>
    <w:rsid w:val="00A850BF"/>
    <w:rsid w:val="00A85EDE"/>
    <w:rsid w:val="00A86391"/>
    <w:rsid w:val="00A863B1"/>
    <w:rsid w:val="00A877DE"/>
    <w:rsid w:val="00A87D6E"/>
    <w:rsid w:val="00A87F2B"/>
    <w:rsid w:val="00A90D9B"/>
    <w:rsid w:val="00A91945"/>
    <w:rsid w:val="00A92B51"/>
    <w:rsid w:val="00A947F2"/>
    <w:rsid w:val="00A96858"/>
    <w:rsid w:val="00A96AAB"/>
    <w:rsid w:val="00A97B73"/>
    <w:rsid w:val="00AA1D9F"/>
    <w:rsid w:val="00AA2483"/>
    <w:rsid w:val="00AA26AC"/>
    <w:rsid w:val="00AA2D94"/>
    <w:rsid w:val="00AA2D9C"/>
    <w:rsid w:val="00AA5CBD"/>
    <w:rsid w:val="00AB11CF"/>
    <w:rsid w:val="00AB1333"/>
    <w:rsid w:val="00AB1ED7"/>
    <w:rsid w:val="00AB2391"/>
    <w:rsid w:val="00AB39E8"/>
    <w:rsid w:val="00AB54FE"/>
    <w:rsid w:val="00AB65E0"/>
    <w:rsid w:val="00AC02F2"/>
    <w:rsid w:val="00AC04B9"/>
    <w:rsid w:val="00AC0D86"/>
    <w:rsid w:val="00AC19EB"/>
    <w:rsid w:val="00AC3016"/>
    <w:rsid w:val="00AC3C34"/>
    <w:rsid w:val="00AC41C7"/>
    <w:rsid w:val="00AC4F69"/>
    <w:rsid w:val="00AD49B5"/>
    <w:rsid w:val="00AD5668"/>
    <w:rsid w:val="00AD776C"/>
    <w:rsid w:val="00AE03EE"/>
    <w:rsid w:val="00AE0785"/>
    <w:rsid w:val="00AE240E"/>
    <w:rsid w:val="00AE323E"/>
    <w:rsid w:val="00AE44A0"/>
    <w:rsid w:val="00AE4B56"/>
    <w:rsid w:val="00AE672C"/>
    <w:rsid w:val="00AE7063"/>
    <w:rsid w:val="00AE76FA"/>
    <w:rsid w:val="00AE776F"/>
    <w:rsid w:val="00AF00D2"/>
    <w:rsid w:val="00AF1D19"/>
    <w:rsid w:val="00AF318C"/>
    <w:rsid w:val="00AF55D3"/>
    <w:rsid w:val="00AF55FC"/>
    <w:rsid w:val="00AF560B"/>
    <w:rsid w:val="00AF57C9"/>
    <w:rsid w:val="00AF63FA"/>
    <w:rsid w:val="00AF77F0"/>
    <w:rsid w:val="00B002BF"/>
    <w:rsid w:val="00B00376"/>
    <w:rsid w:val="00B00E8D"/>
    <w:rsid w:val="00B00F20"/>
    <w:rsid w:val="00B013C9"/>
    <w:rsid w:val="00B03444"/>
    <w:rsid w:val="00B04131"/>
    <w:rsid w:val="00B05DE9"/>
    <w:rsid w:val="00B066C7"/>
    <w:rsid w:val="00B075BC"/>
    <w:rsid w:val="00B07972"/>
    <w:rsid w:val="00B1013E"/>
    <w:rsid w:val="00B10202"/>
    <w:rsid w:val="00B11A02"/>
    <w:rsid w:val="00B14F75"/>
    <w:rsid w:val="00B15683"/>
    <w:rsid w:val="00B15D0A"/>
    <w:rsid w:val="00B2113F"/>
    <w:rsid w:val="00B22276"/>
    <w:rsid w:val="00B2296D"/>
    <w:rsid w:val="00B238F1"/>
    <w:rsid w:val="00B23EF4"/>
    <w:rsid w:val="00B23F0C"/>
    <w:rsid w:val="00B2434A"/>
    <w:rsid w:val="00B26714"/>
    <w:rsid w:val="00B31B5A"/>
    <w:rsid w:val="00B326B6"/>
    <w:rsid w:val="00B32BC3"/>
    <w:rsid w:val="00B34F9B"/>
    <w:rsid w:val="00B35E24"/>
    <w:rsid w:val="00B36FFC"/>
    <w:rsid w:val="00B4027B"/>
    <w:rsid w:val="00B42E59"/>
    <w:rsid w:val="00B432E5"/>
    <w:rsid w:val="00B43992"/>
    <w:rsid w:val="00B44075"/>
    <w:rsid w:val="00B4580B"/>
    <w:rsid w:val="00B4638E"/>
    <w:rsid w:val="00B50193"/>
    <w:rsid w:val="00B50CBF"/>
    <w:rsid w:val="00B52F7E"/>
    <w:rsid w:val="00B534C4"/>
    <w:rsid w:val="00B5638F"/>
    <w:rsid w:val="00B6027A"/>
    <w:rsid w:val="00B60A6B"/>
    <w:rsid w:val="00B610AF"/>
    <w:rsid w:val="00B62796"/>
    <w:rsid w:val="00B62B26"/>
    <w:rsid w:val="00B62C18"/>
    <w:rsid w:val="00B63F59"/>
    <w:rsid w:val="00B640BC"/>
    <w:rsid w:val="00B65A0B"/>
    <w:rsid w:val="00B66CC2"/>
    <w:rsid w:val="00B73694"/>
    <w:rsid w:val="00B75B7F"/>
    <w:rsid w:val="00B76822"/>
    <w:rsid w:val="00B76F1D"/>
    <w:rsid w:val="00B82391"/>
    <w:rsid w:val="00B836F1"/>
    <w:rsid w:val="00B841DD"/>
    <w:rsid w:val="00B8712D"/>
    <w:rsid w:val="00B906BE"/>
    <w:rsid w:val="00B9646F"/>
    <w:rsid w:val="00B976F1"/>
    <w:rsid w:val="00BA1E27"/>
    <w:rsid w:val="00BA3E3D"/>
    <w:rsid w:val="00BA498F"/>
    <w:rsid w:val="00BB092D"/>
    <w:rsid w:val="00BB12C2"/>
    <w:rsid w:val="00BB25CA"/>
    <w:rsid w:val="00BB4E6C"/>
    <w:rsid w:val="00BB53F8"/>
    <w:rsid w:val="00BB59FC"/>
    <w:rsid w:val="00BB6BFC"/>
    <w:rsid w:val="00BC4333"/>
    <w:rsid w:val="00BC75B6"/>
    <w:rsid w:val="00BC7924"/>
    <w:rsid w:val="00BD2445"/>
    <w:rsid w:val="00BD4AE6"/>
    <w:rsid w:val="00BD6AC0"/>
    <w:rsid w:val="00BE0428"/>
    <w:rsid w:val="00BE05CF"/>
    <w:rsid w:val="00BE0603"/>
    <w:rsid w:val="00BE18CA"/>
    <w:rsid w:val="00BE5A9C"/>
    <w:rsid w:val="00BE5B7E"/>
    <w:rsid w:val="00BE5C78"/>
    <w:rsid w:val="00BE65F5"/>
    <w:rsid w:val="00BE7BB3"/>
    <w:rsid w:val="00BF08E7"/>
    <w:rsid w:val="00BF125B"/>
    <w:rsid w:val="00BF42E6"/>
    <w:rsid w:val="00BF624F"/>
    <w:rsid w:val="00BF6478"/>
    <w:rsid w:val="00BF7A97"/>
    <w:rsid w:val="00C02D76"/>
    <w:rsid w:val="00C03193"/>
    <w:rsid w:val="00C041C4"/>
    <w:rsid w:val="00C04CAE"/>
    <w:rsid w:val="00C05639"/>
    <w:rsid w:val="00C061DB"/>
    <w:rsid w:val="00C06924"/>
    <w:rsid w:val="00C07013"/>
    <w:rsid w:val="00C07B2B"/>
    <w:rsid w:val="00C1029F"/>
    <w:rsid w:val="00C1073E"/>
    <w:rsid w:val="00C10AC5"/>
    <w:rsid w:val="00C10EFB"/>
    <w:rsid w:val="00C116C8"/>
    <w:rsid w:val="00C13C67"/>
    <w:rsid w:val="00C14FD9"/>
    <w:rsid w:val="00C164D6"/>
    <w:rsid w:val="00C200C9"/>
    <w:rsid w:val="00C21232"/>
    <w:rsid w:val="00C21A77"/>
    <w:rsid w:val="00C2225A"/>
    <w:rsid w:val="00C22794"/>
    <w:rsid w:val="00C232BA"/>
    <w:rsid w:val="00C25336"/>
    <w:rsid w:val="00C3104E"/>
    <w:rsid w:val="00C34F67"/>
    <w:rsid w:val="00C35168"/>
    <w:rsid w:val="00C35201"/>
    <w:rsid w:val="00C35C0B"/>
    <w:rsid w:val="00C36200"/>
    <w:rsid w:val="00C362F8"/>
    <w:rsid w:val="00C36EC6"/>
    <w:rsid w:val="00C435F8"/>
    <w:rsid w:val="00C4588A"/>
    <w:rsid w:val="00C46B99"/>
    <w:rsid w:val="00C46E7D"/>
    <w:rsid w:val="00C506F0"/>
    <w:rsid w:val="00C5133E"/>
    <w:rsid w:val="00C51988"/>
    <w:rsid w:val="00C51B32"/>
    <w:rsid w:val="00C53E45"/>
    <w:rsid w:val="00C53F48"/>
    <w:rsid w:val="00C54952"/>
    <w:rsid w:val="00C54DC3"/>
    <w:rsid w:val="00C56450"/>
    <w:rsid w:val="00C63291"/>
    <w:rsid w:val="00C65AB2"/>
    <w:rsid w:val="00C663EC"/>
    <w:rsid w:val="00C66D1A"/>
    <w:rsid w:val="00C66FD3"/>
    <w:rsid w:val="00C727E1"/>
    <w:rsid w:val="00C737E4"/>
    <w:rsid w:val="00C749B4"/>
    <w:rsid w:val="00C75F4D"/>
    <w:rsid w:val="00C77579"/>
    <w:rsid w:val="00C81F54"/>
    <w:rsid w:val="00C82B56"/>
    <w:rsid w:val="00C84297"/>
    <w:rsid w:val="00C85346"/>
    <w:rsid w:val="00C85726"/>
    <w:rsid w:val="00C85C2A"/>
    <w:rsid w:val="00C8684E"/>
    <w:rsid w:val="00C86CC8"/>
    <w:rsid w:val="00C87832"/>
    <w:rsid w:val="00C87B48"/>
    <w:rsid w:val="00C91759"/>
    <w:rsid w:val="00C91AE4"/>
    <w:rsid w:val="00C91F96"/>
    <w:rsid w:val="00C9556F"/>
    <w:rsid w:val="00C96A15"/>
    <w:rsid w:val="00CA012D"/>
    <w:rsid w:val="00CA0497"/>
    <w:rsid w:val="00CA0E79"/>
    <w:rsid w:val="00CA4B36"/>
    <w:rsid w:val="00CA5462"/>
    <w:rsid w:val="00CA547F"/>
    <w:rsid w:val="00CA5DCF"/>
    <w:rsid w:val="00CA69E1"/>
    <w:rsid w:val="00CA74CF"/>
    <w:rsid w:val="00CB097C"/>
    <w:rsid w:val="00CB137E"/>
    <w:rsid w:val="00CB3D9C"/>
    <w:rsid w:val="00CB4376"/>
    <w:rsid w:val="00CB4662"/>
    <w:rsid w:val="00CB4951"/>
    <w:rsid w:val="00CB5B22"/>
    <w:rsid w:val="00CB680C"/>
    <w:rsid w:val="00CC12EF"/>
    <w:rsid w:val="00CC1C9E"/>
    <w:rsid w:val="00CC3A7E"/>
    <w:rsid w:val="00CC3B44"/>
    <w:rsid w:val="00CC4B75"/>
    <w:rsid w:val="00CC5CAC"/>
    <w:rsid w:val="00CC6388"/>
    <w:rsid w:val="00CC6F34"/>
    <w:rsid w:val="00CC704D"/>
    <w:rsid w:val="00CD01C9"/>
    <w:rsid w:val="00CD15AD"/>
    <w:rsid w:val="00CD188A"/>
    <w:rsid w:val="00CD2BE9"/>
    <w:rsid w:val="00CD43D0"/>
    <w:rsid w:val="00CD4757"/>
    <w:rsid w:val="00CD6480"/>
    <w:rsid w:val="00CD6F4C"/>
    <w:rsid w:val="00CE1B8A"/>
    <w:rsid w:val="00CE3AF2"/>
    <w:rsid w:val="00CE6F29"/>
    <w:rsid w:val="00CE77D0"/>
    <w:rsid w:val="00CF18A9"/>
    <w:rsid w:val="00CF22DB"/>
    <w:rsid w:val="00CF4C49"/>
    <w:rsid w:val="00CF5785"/>
    <w:rsid w:val="00D02A23"/>
    <w:rsid w:val="00D054B1"/>
    <w:rsid w:val="00D0572A"/>
    <w:rsid w:val="00D06AC5"/>
    <w:rsid w:val="00D07A9E"/>
    <w:rsid w:val="00D1019C"/>
    <w:rsid w:val="00D103D9"/>
    <w:rsid w:val="00D12E9B"/>
    <w:rsid w:val="00D13CE2"/>
    <w:rsid w:val="00D15851"/>
    <w:rsid w:val="00D175B1"/>
    <w:rsid w:val="00D217CE"/>
    <w:rsid w:val="00D21DCB"/>
    <w:rsid w:val="00D22FFC"/>
    <w:rsid w:val="00D23192"/>
    <w:rsid w:val="00D23322"/>
    <w:rsid w:val="00D24963"/>
    <w:rsid w:val="00D33EDC"/>
    <w:rsid w:val="00D34297"/>
    <w:rsid w:val="00D351A7"/>
    <w:rsid w:val="00D42233"/>
    <w:rsid w:val="00D42400"/>
    <w:rsid w:val="00D43049"/>
    <w:rsid w:val="00D47E28"/>
    <w:rsid w:val="00D54967"/>
    <w:rsid w:val="00D56DD6"/>
    <w:rsid w:val="00D57910"/>
    <w:rsid w:val="00D5798B"/>
    <w:rsid w:val="00D57A11"/>
    <w:rsid w:val="00D61412"/>
    <w:rsid w:val="00D61993"/>
    <w:rsid w:val="00D620CA"/>
    <w:rsid w:val="00D62245"/>
    <w:rsid w:val="00D63451"/>
    <w:rsid w:val="00D650C7"/>
    <w:rsid w:val="00D7101A"/>
    <w:rsid w:val="00D71A29"/>
    <w:rsid w:val="00D7729E"/>
    <w:rsid w:val="00D77B0C"/>
    <w:rsid w:val="00D81222"/>
    <w:rsid w:val="00D814FA"/>
    <w:rsid w:val="00D833D4"/>
    <w:rsid w:val="00D84F79"/>
    <w:rsid w:val="00D852FB"/>
    <w:rsid w:val="00D8540E"/>
    <w:rsid w:val="00D85EDA"/>
    <w:rsid w:val="00D87337"/>
    <w:rsid w:val="00D87CC9"/>
    <w:rsid w:val="00D87E72"/>
    <w:rsid w:val="00D91ABA"/>
    <w:rsid w:val="00D92DDF"/>
    <w:rsid w:val="00D94D1A"/>
    <w:rsid w:val="00D961CD"/>
    <w:rsid w:val="00D96687"/>
    <w:rsid w:val="00D97771"/>
    <w:rsid w:val="00DA02DC"/>
    <w:rsid w:val="00DA0BF0"/>
    <w:rsid w:val="00DA22EA"/>
    <w:rsid w:val="00DA5588"/>
    <w:rsid w:val="00DA7B9B"/>
    <w:rsid w:val="00DA7CFA"/>
    <w:rsid w:val="00DB0A45"/>
    <w:rsid w:val="00DB66D6"/>
    <w:rsid w:val="00DB729A"/>
    <w:rsid w:val="00DC0184"/>
    <w:rsid w:val="00DC2003"/>
    <w:rsid w:val="00DC48BE"/>
    <w:rsid w:val="00DC5D0B"/>
    <w:rsid w:val="00DD0880"/>
    <w:rsid w:val="00DD0C2E"/>
    <w:rsid w:val="00DD15F6"/>
    <w:rsid w:val="00DD234D"/>
    <w:rsid w:val="00DD48C7"/>
    <w:rsid w:val="00DD4F8C"/>
    <w:rsid w:val="00DD7100"/>
    <w:rsid w:val="00DE0DD3"/>
    <w:rsid w:val="00DE48D8"/>
    <w:rsid w:val="00DF0A28"/>
    <w:rsid w:val="00DF0F3D"/>
    <w:rsid w:val="00DF1D47"/>
    <w:rsid w:val="00DF20DF"/>
    <w:rsid w:val="00DF2687"/>
    <w:rsid w:val="00DF369C"/>
    <w:rsid w:val="00DF40BC"/>
    <w:rsid w:val="00DF55F7"/>
    <w:rsid w:val="00DF6D0A"/>
    <w:rsid w:val="00E046ED"/>
    <w:rsid w:val="00E05FE5"/>
    <w:rsid w:val="00E06041"/>
    <w:rsid w:val="00E11346"/>
    <w:rsid w:val="00E13132"/>
    <w:rsid w:val="00E17203"/>
    <w:rsid w:val="00E178BD"/>
    <w:rsid w:val="00E249B0"/>
    <w:rsid w:val="00E33794"/>
    <w:rsid w:val="00E33B46"/>
    <w:rsid w:val="00E35F6E"/>
    <w:rsid w:val="00E369D0"/>
    <w:rsid w:val="00E40109"/>
    <w:rsid w:val="00E417E3"/>
    <w:rsid w:val="00E429E5"/>
    <w:rsid w:val="00E45385"/>
    <w:rsid w:val="00E4743E"/>
    <w:rsid w:val="00E477B4"/>
    <w:rsid w:val="00E512EC"/>
    <w:rsid w:val="00E5192C"/>
    <w:rsid w:val="00E56741"/>
    <w:rsid w:val="00E56AFF"/>
    <w:rsid w:val="00E572D8"/>
    <w:rsid w:val="00E57E49"/>
    <w:rsid w:val="00E6394E"/>
    <w:rsid w:val="00E63D74"/>
    <w:rsid w:val="00E65786"/>
    <w:rsid w:val="00E719AC"/>
    <w:rsid w:val="00E72475"/>
    <w:rsid w:val="00E743DD"/>
    <w:rsid w:val="00E744B0"/>
    <w:rsid w:val="00E752B7"/>
    <w:rsid w:val="00E76319"/>
    <w:rsid w:val="00E76563"/>
    <w:rsid w:val="00E773F9"/>
    <w:rsid w:val="00E77A4A"/>
    <w:rsid w:val="00E85038"/>
    <w:rsid w:val="00E850C6"/>
    <w:rsid w:val="00E85FD0"/>
    <w:rsid w:val="00E86857"/>
    <w:rsid w:val="00E86950"/>
    <w:rsid w:val="00E87E19"/>
    <w:rsid w:val="00E97147"/>
    <w:rsid w:val="00EA1CA4"/>
    <w:rsid w:val="00EA2EDA"/>
    <w:rsid w:val="00EA32EF"/>
    <w:rsid w:val="00EA6DA2"/>
    <w:rsid w:val="00EB012E"/>
    <w:rsid w:val="00EB100A"/>
    <w:rsid w:val="00EB274A"/>
    <w:rsid w:val="00EB35C3"/>
    <w:rsid w:val="00EB48F8"/>
    <w:rsid w:val="00EB557C"/>
    <w:rsid w:val="00EB6190"/>
    <w:rsid w:val="00EB7DDE"/>
    <w:rsid w:val="00EC14D6"/>
    <w:rsid w:val="00EC1FD8"/>
    <w:rsid w:val="00EC2367"/>
    <w:rsid w:val="00EC73A6"/>
    <w:rsid w:val="00ED153D"/>
    <w:rsid w:val="00ED2749"/>
    <w:rsid w:val="00ED490D"/>
    <w:rsid w:val="00ED57E2"/>
    <w:rsid w:val="00ED6EF6"/>
    <w:rsid w:val="00ED7AA6"/>
    <w:rsid w:val="00EE2829"/>
    <w:rsid w:val="00EE3576"/>
    <w:rsid w:val="00EE392D"/>
    <w:rsid w:val="00EE57EF"/>
    <w:rsid w:val="00EE5FF0"/>
    <w:rsid w:val="00EE6295"/>
    <w:rsid w:val="00EE6322"/>
    <w:rsid w:val="00EE69D6"/>
    <w:rsid w:val="00EE7D4A"/>
    <w:rsid w:val="00EF1219"/>
    <w:rsid w:val="00EF2702"/>
    <w:rsid w:val="00EF3D73"/>
    <w:rsid w:val="00EF447D"/>
    <w:rsid w:val="00EF47DD"/>
    <w:rsid w:val="00EF4E0D"/>
    <w:rsid w:val="00EF5402"/>
    <w:rsid w:val="00EF5DA5"/>
    <w:rsid w:val="00EF5F1D"/>
    <w:rsid w:val="00EF69F9"/>
    <w:rsid w:val="00EF72FF"/>
    <w:rsid w:val="00F00CA5"/>
    <w:rsid w:val="00F01F08"/>
    <w:rsid w:val="00F01F61"/>
    <w:rsid w:val="00F03815"/>
    <w:rsid w:val="00F0470D"/>
    <w:rsid w:val="00F04803"/>
    <w:rsid w:val="00F04CD4"/>
    <w:rsid w:val="00F064CE"/>
    <w:rsid w:val="00F07D83"/>
    <w:rsid w:val="00F1060F"/>
    <w:rsid w:val="00F117DF"/>
    <w:rsid w:val="00F1736C"/>
    <w:rsid w:val="00F22538"/>
    <w:rsid w:val="00F229E4"/>
    <w:rsid w:val="00F23C01"/>
    <w:rsid w:val="00F24D75"/>
    <w:rsid w:val="00F25493"/>
    <w:rsid w:val="00F2621D"/>
    <w:rsid w:val="00F26239"/>
    <w:rsid w:val="00F32D44"/>
    <w:rsid w:val="00F367BB"/>
    <w:rsid w:val="00F36E6A"/>
    <w:rsid w:val="00F4310A"/>
    <w:rsid w:val="00F439B9"/>
    <w:rsid w:val="00F4431D"/>
    <w:rsid w:val="00F46F73"/>
    <w:rsid w:val="00F51B2C"/>
    <w:rsid w:val="00F5341C"/>
    <w:rsid w:val="00F54EC4"/>
    <w:rsid w:val="00F55003"/>
    <w:rsid w:val="00F552B0"/>
    <w:rsid w:val="00F564D5"/>
    <w:rsid w:val="00F56608"/>
    <w:rsid w:val="00F57CC7"/>
    <w:rsid w:val="00F57EE6"/>
    <w:rsid w:val="00F624C0"/>
    <w:rsid w:val="00F6655C"/>
    <w:rsid w:val="00F70E23"/>
    <w:rsid w:val="00F73404"/>
    <w:rsid w:val="00F73AC3"/>
    <w:rsid w:val="00F73B54"/>
    <w:rsid w:val="00F73C16"/>
    <w:rsid w:val="00F73FEC"/>
    <w:rsid w:val="00F7410A"/>
    <w:rsid w:val="00F75B3D"/>
    <w:rsid w:val="00F8291C"/>
    <w:rsid w:val="00F82FB7"/>
    <w:rsid w:val="00F840B1"/>
    <w:rsid w:val="00F874AF"/>
    <w:rsid w:val="00F87CA1"/>
    <w:rsid w:val="00F87DD3"/>
    <w:rsid w:val="00F919A6"/>
    <w:rsid w:val="00F946D7"/>
    <w:rsid w:val="00F948E1"/>
    <w:rsid w:val="00F96296"/>
    <w:rsid w:val="00F973E5"/>
    <w:rsid w:val="00FA376C"/>
    <w:rsid w:val="00FA3A53"/>
    <w:rsid w:val="00FA5929"/>
    <w:rsid w:val="00FA5A12"/>
    <w:rsid w:val="00FB118F"/>
    <w:rsid w:val="00FB24DB"/>
    <w:rsid w:val="00FB2C9E"/>
    <w:rsid w:val="00FB5434"/>
    <w:rsid w:val="00FB5900"/>
    <w:rsid w:val="00FB66CB"/>
    <w:rsid w:val="00FB7FD9"/>
    <w:rsid w:val="00FC11A4"/>
    <w:rsid w:val="00FC3A6B"/>
    <w:rsid w:val="00FC6DE3"/>
    <w:rsid w:val="00FC7683"/>
    <w:rsid w:val="00FC77B3"/>
    <w:rsid w:val="00FD248C"/>
    <w:rsid w:val="00FD2AF9"/>
    <w:rsid w:val="00FD2DAD"/>
    <w:rsid w:val="00FD3B3A"/>
    <w:rsid w:val="00FD4D14"/>
    <w:rsid w:val="00FD5C67"/>
    <w:rsid w:val="00FD6BF3"/>
    <w:rsid w:val="00FE09BF"/>
    <w:rsid w:val="00FE27D0"/>
    <w:rsid w:val="00FE2C94"/>
    <w:rsid w:val="00FE369C"/>
    <w:rsid w:val="00FE3AC1"/>
    <w:rsid w:val="00FF03EB"/>
    <w:rsid w:val="00FF0E85"/>
    <w:rsid w:val="00FF26B9"/>
    <w:rsid w:val="00FF5079"/>
    <w:rsid w:val="00FF5165"/>
    <w:rsid w:val="00FF64E9"/>
    <w:rsid w:val="00FF77FC"/>
    <w:rsid w:val="13C10143"/>
    <w:rsid w:val="4AEA3D26"/>
    <w:rsid w:val="5FD3EC95"/>
    <w:rsid w:val="75D7E9E3"/>
    <w:rsid w:val="7D915E21"/>
    <w:rsid w:val="EF37CB8E"/>
    <w:rsid w:val="F9FC0A5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0" w:semiHidden="0"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unhideWhenUsed="0" w:uiPriority="0"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0"/>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1"/>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2"/>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4"/>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qFormat/>
    <w:uiPriority w:val="9"/>
    <w:pPr>
      <w:keepNext/>
      <w:keepLines/>
      <w:spacing w:before="280" w:after="290" w:line="480" w:lineRule="auto"/>
      <w:ind w:firstLine="0" w:firstLineChars="0"/>
      <w:outlineLvl w:val="4"/>
    </w:pPr>
    <w:rPr>
      <w:b/>
      <w:bCs/>
      <w:szCs w:val="28"/>
    </w:rPr>
  </w:style>
  <w:style w:type="character" w:default="1" w:styleId="15">
    <w:name w:val="Default Paragraph Font"/>
    <w:unhideWhenUsed/>
    <w:uiPriority w:val="1"/>
  </w:style>
  <w:style w:type="table" w:default="1" w:styleId="18">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6"/>
    <w:semiHidden/>
    <w:qFormat/>
    <w:uiPriority w:val="99"/>
    <w:rPr>
      <w:b/>
      <w:bCs/>
    </w:rPr>
  </w:style>
  <w:style w:type="paragraph" w:styleId="8">
    <w:name w:val="annotation text"/>
    <w:basedOn w:val="1"/>
    <w:link w:val="45"/>
    <w:qFormat/>
    <w:uiPriority w:val="0"/>
  </w:style>
  <w:style w:type="paragraph" w:styleId="9">
    <w:name w:val="Body Text"/>
    <w:basedOn w:val="1"/>
    <w:link w:val="54"/>
    <w:uiPriority w:val="0"/>
    <w:pPr>
      <w:spacing w:line="240" w:lineRule="auto"/>
      <w:ind w:firstLine="0" w:firstLineChars="0"/>
      <w:jc w:val="both"/>
    </w:pPr>
    <w:rPr>
      <w:rFonts w:ascii="Times New Roman" w:hAnsi="Times New Roman" w:eastAsia="仿宋_GB2312" w:cs="Times New Roman"/>
      <w:sz w:val="32"/>
      <w:szCs w:val="20"/>
    </w:rPr>
  </w:style>
  <w:style w:type="paragraph" w:styleId="10">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1">
    <w:name w:val="Balloon Text"/>
    <w:basedOn w:val="1"/>
    <w:link w:val="42"/>
    <w:semiHidden/>
    <w:uiPriority w:val="99"/>
    <w:pPr>
      <w:spacing w:line="240" w:lineRule="auto"/>
    </w:pPr>
    <w:rPr>
      <w:sz w:val="18"/>
      <w:szCs w:val="18"/>
    </w:rPr>
  </w:style>
  <w:style w:type="paragraph" w:styleId="12">
    <w:name w:val="footer"/>
    <w:basedOn w:val="1"/>
    <w:link w:val="41"/>
    <w:qFormat/>
    <w:uiPriority w:val="99"/>
    <w:pPr>
      <w:tabs>
        <w:tab w:val="center" w:pos="4153"/>
        <w:tab w:val="right" w:pos="8306"/>
      </w:tabs>
      <w:snapToGrid w:val="0"/>
      <w:spacing w:line="240" w:lineRule="auto"/>
    </w:pPr>
    <w:rPr>
      <w:sz w:val="18"/>
      <w:szCs w:val="18"/>
    </w:rPr>
  </w:style>
  <w:style w:type="paragraph" w:styleId="13">
    <w:name w:val="toc 1"/>
    <w:basedOn w:val="1"/>
    <w:next w:val="1"/>
    <w:qFormat/>
    <w:uiPriority w:val="39"/>
    <w:pPr>
      <w:spacing w:line="600" w:lineRule="exact"/>
      <w:ind w:firstLine="0" w:firstLineChars="0"/>
    </w:pPr>
    <w:rPr>
      <w:rFonts w:ascii="Times New Roman" w:hAnsi="Times New Roman" w:eastAsia="仿宋_GB2312"/>
      <w:b/>
      <w:sz w:val="32"/>
    </w:rPr>
  </w:style>
  <w:style w:type="paragraph" w:styleId="14">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qFormat/>
    <w:uiPriority w:val="99"/>
    <w:rPr>
      <w:sz w:val="21"/>
      <w:szCs w:val="21"/>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5"/>
    <w:link w:val="2"/>
    <w:semiHidden/>
    <w:qFormat/>
    <w:uiPriority w:val="9"/>
    <w:rPr>
      <w:b/>
      <w:bCs/>
      <w:kern w:val="44"/>
      <w:sz w:val="44"/>
      <w:szCs w:val="44"/>
    </w:rPr>
  </w:style>
  <w:style w:type="character" w:customStyle="1" w:styleId="21">
    <w:name w:val="标题 2 字符"/>
    <w:basedOn w:val="15"/>
    <w:link w:val="3"/>
    <w:semiHidden/>
    <w:qFormat/>
    <w:uiPriority w:val="9"/>
    <w:rPr>
      <w:rFonts w:asciiTheme="majorHAnsi" w:hAnsiTheme="majorHAnsi" w:cstheme="majorBidi"/>
      <w:b/>
      <w:bCs/>
      <w:sz w:val="32"/>
      <w:szCs w:val="32"/>
    </w:rPr>
  </w:style>
  <w:style w:type="character" w:customStyle="1" w:styleId="22">
    <w:name w:val="标题 3 字符"/>
    <w:basedOn w:val="15"/>
    <w:link w:val="4"/>
    <w:semiHidden/>
    <w:qFormat/>
    <w:uiPriority w:val="9"/>
    <w:rPr>
      <w:b/>
      <w:bCs/>
      <w:sz w:val="30"/>
      <w:szCs w:val="32"/>
    </w:rPr>
  </w:style>
  <w:style w:type="character" w:customStyle="1" w:styleId="23">
    <w:name w:val="标题 5 字符"/>
    <w:basedOn w:val="15"/>
    <w:link w:val="6"/>
    <w:semiHidden/>
    <w:qFormat/>
    <w:uiPriority w:val="9"/>
    <w:rPr>
      <w:b/>
      <w:bCs/>
      <w:szCs w:val="28"/>
    </w:rPr>
  </w:style>
  <w:style w:type="character" w:customStyle="1" w:styleId="24">
    <w:name w:val="标题 4 字符"/>
    <w:basedOn w:val="15"/>
    <w:link w:val="5"/>
    <w:semiHidden/>
    <w:qFormat/>
    <w:uiPriority w:val="9"/>
    <w:rPr>
      <w:rFonts w:asciiTheme="majorHAnsi" w:hAnsiTheme="majorHAnsi" w:eastAsiaTheme="majorEastAsia" w:cstheme="majorBidi"/>
      <w:b/>
      <w:bCs/>
      <w:sz w:val="28"/>
      <w:szCs w:val="28"/>
    </w:rPr>
  </w:style>
  <w:style w:type="paragraph" w:customStyle="1" w:styleId="25">
    <w:name w:val="市局绩效-标题"/>
    <w:basedOn w:val="2"/>
    <w:link w:val="27"/>
    <w:qFormat/>
    <w:uiPriority w:val="0"/>
    <w:pPr>
      <w:spacing w:line="600" w:lineRule="exact"/>
    </w:pPr>
    <w:rPr>
      <w:rFonts w:ascii="方正小标宋简体" w:hAnsi="方正小标宋简体" w:eastAsia="方正小标宋简体"/>
      <w:b w:val="0"/>
    </w:rPr>
  </w:style>
  <w:style w:type="paragraph" w:customStyle="1" w:styleId="26">
    <w:name w:val="市局绩效-正文"/>
    <w:basedOn w:val="1"/>
    <w:link w:val="29"/>
    <w:qFormat/>
    <w:uiPriority w:val="0"/>
    <w:pPr>
      <w:spacing w:line="600" w:lineRule="exact"/>
      <w:jc w:val="both"/>
    </w:pPr>
    <w:rPr>
      <w:rFonts w:ascii="Times New Roman" w:hAnsi="Times New Roman" w:eastAsia="仿宋_GB2312"/>
      <w:sz w:val="32"/>
    </w:rPr>
  </w:style>
  <w:style w:type="character" w:customStyle="1" w:styleId="27">
    <w:name w:val="市局绩效-标题 字符"/>
    <w:basedOn w:val="20"/>
    <w:link w:val="25"/>
    <w:qFormat/>
    <w:uiPriority w:val="0"/>
    <w:rPr>
      <w:rFonts w:ascii="方正小标宋简体" w:hAnsi="方正小标宋简体" w:eastAsia="方正小标宋简体"/>
      <w:b w:val="0"/>
      <w:kern w:val="44"/>
      <w:sz w:val="44"/>
      <w:szCs w:val="44"/>
    </w:rPr>
  </w:style>
  <w:style w:type="paragraph" w:customStyle="1" w:styleId="28">
    <w:name w:val="市局绩效-一级标题"/>
    <w:basedOn w:val="3"/>
    <w:link w:val="31"/>
    <w:qFormat/>
    <w:uiPriority w:val="0"/>
    <w:pPr>
      <w:spacing w:before="0" w:after="0" w:line="600" w:lineRule="exact"/>
      <w:ind w:firstLine="641"/>
      <w:jc w:val="both"/>
    </w:pPr>
    <w:rPr>
      <w:rFonts w:ascii="Times New Roman" w:hAnsi="Times New Roman" w:eastAsia="黑体"/>
      <w:b w:val="0"/>
    </w:rPr>
  </w:style>
  <w:style w:type="character" w:customStyle="1" w:styleId="29">
    <w:name w:val="市局绩效-正文 字符"/>
    <w:basedOn w:val="15"/>
    <w:link w:val="26"/>
    <w:qFormat/>
    <w:uiPriority w:val="0"/>
    <w:rPr>
      <w:rFonts w:ascii="Times New Roman" w:hAnsi="Times New Roman" w:eastAsia="仿宋_GB2312"/>
      <w:sz w:val="32"/>
    </w:rPr>
  </w:style>
  <w:style w:type="paragraph" w:customStyle="1" w:styleId="30">
    <w:name w:val="市局绩效-二级标题"/>
    <w:basedOn w:val="4"/>
    <w:link w:val="32"/>
    <w:qFormat/>
    <w:uiPriority w:val="0"/>
    <w:pPr>
      <w:spacing w:before="0" w:after="0" w:line="600" w:lineRule="exact"/>
      <w:ind w:firstLine="200" w:firstLineChars="200"/>
      <w:jc w:val="both"/>
    </w:pPr>
    <w:rPr>
      <w:rFonts w:eastAsia="楷体_GB2312"/>
      <w:b w:val="0"/>
      <w:sz w:val="32"/>
    </w:rPr>
  </w:style>
  <w:style w:type="character" w:customStyle="1" w:styleId="31">
    <w:name w:val="市局绩效-一级标题 字符"/>
    <w:basedOn w:val="21"/>
    <w:link w:val="28"/>
    <w:qFormat/>
    <w:uiPriority w:val="0"/>
    <w:rPr>
      <w:rFonts w:ascii="Times New Roman" w:hAnsi="Times New Roman" w:eastAsia="黑体" w:cstheme="majorBidi"/>
      <w:b w:val="0"/>
      <w:sz w:val="32"/>
      <w:szCs w:val="32"/>
    </w:rPr>
  </w:style>
  <w:style w:type="character" w:customStyle="1" w:styleId="32">
    <w:name w:val="市局绩效-二级标题 字符"/>
    <w:basedOn w:val="22"/>
    <w:link w:val="30"/>
    <w:qFormat/>
    <w:uiPriority w:val="0"/>
    <w:rPr>
      <w:rFonts w:eastAsia="楷体_GB2312"/>
      <w:b w:val="0"/>
      <w:sz w:val="32"/>
      <w:szCs w:val="32"/>
    </w:rPr>
  </w:style>
  <w:style w:type="paragraph" w:customStyle="1" w:styleId="33">
    <w:name w:val="市局绩效-表格标题"/>
    <w:basedOn w:val="1"/>
    <w:link w:val="35"/>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4">
    <w:name w:val="市局绩效-表格单位"/>
    <w:basedOn w:val="1"/>
    <w:link w:val="37"/>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5">
    <w:name w:val="市局绩效-表格标题 字符"/>
    <w:basedOn w:val="15"/>
    <w:link w:val="33"/>
    <w:qFormat/>
    <w:uiPriority w:val="0"/>
    <w:rPr>
      <w:rFonts w:ascii="Times New Roman" w:hAnsi="Times New Roman" w:eastAsia="黑体" w:cs="Times New Roman"/>
      <w:bCs/>
      <w:sz w:val="28"/>
      <w:szCs w:val="24"/>
    </w:rPr>
  </w:style>
  <w:style w:type="paragraph" w:customStyle="1" w:styleId="36">
    <w:name w:val="市局绩效-表格表头"/>
    <w:basedOn w:val="26"/>
    <w:link w:val="39"/>
    <w:qFormat/>
    <w:uiPriority w:val="0"/>
    <w:pPr>
      <w:spacing w:line="240" w:lineRule="auto"/>
      <w:ind w:firstLine="0" w:firstLineChars="0"/>
      <w:jc w:val="center"/>
    </w:pPr>
    <w:rPr>
      <w:rFonts w:eastAsia="宋体"/>
      <w:b/>
      <w:sz w:val="21"/>
    </w:rPr>
  </w:style>
  <w:style w:type="character" w:customStyle="1" w:styleId="37">
    <w:name w:val="市局绩效-表格单位 字符"/>
    <w:basedOn w:val="15"/>
    <w:link w:val="34"/>
    <w:qFormat/>
    <w:uiPriority w:val="0"/>
    <w:rPr>
      <w:rFonts w:ascii="Times New Roman" w:hAnsi="Times New Roman" w:eastAsia="宋体"/>
      <w:bCs/>
      <w:szCs w:val="18"/>
    </w:rPr>
  </w:style>
  <w:style w:type="paragraph" w:customStyle="1" w:styleId="38">
    <w:name w:val="市局绩效-表格内容"/>
    <w:basedOn w:val="26"/>
    <w:link w:val="40"/>
    <w:qFormat/>
    <w:uiPriority w:val="0"/>
    <w:pPr>
      <w:spacing w:line="240" w:lineRule="auto"/>
      <w:ind w:firstLine="0" w:firstLineChars="0"/>
      <w:jc w:val="center"/>
    </w:pPr>
    <w:rPr>
      <w:rFonts w:eastAsia="宋体"/>
      <w:sz w:val="21"/>
    </w:rPr>
  </w:style>
  <w:style w:type="character" w:customStyle="1" w:styleId="39">
    <w:name w:val="市局绩效-表格表头 字符"/>
    <w:basedOn w:val="29"/>
    <w:link w:val="36"/>
    <w:qFormat/>
    <w:uiPriority w:val="0"/>
    <w:rPr>
      <w:rFonts w:ascii="Times New Roman" w:hAnsi="Times New Roman" w:eastAsia="宋体"/>
      <w:b/>
      <w:sz w:val="32"/>
    </w:rPr>
  </w:style>
  <w:style w:type="character" w:customStyle="1" w:styleId="40">
    <w:name w:val="市局绩效-表格内容 字符"/>
    <w:basedOn w:val="29"/>
    <w:link w:val="38"/>
    <w:qFormat/>
    <w:uiPriority w:val="0"/>
    <w:rPr>
      <w:rFonts w:ascii="Times New Roman" w:hAnsi="Times New Roman" w:eastAsia="宋体"/>
      <w:sz w:val="32"/>
    </w:rPr>
  </w:style>
  <w:style w:type="character" w:customStyle="1" w:styleId="41">
    <w:name w:val="页脚 字符"/>
    <w:basedOn w:val="15"/>
    <w:link w:val="12"/>
    <w:qFormat/>
    <w:uiPriority w:val="99"/>
    <w:rPr>
      <w:sz w:val="18"/>
      <w:szCs w:val="18"/>
    </w:rPr>
  </w:style>
  <w:style w:type="character" w:customStyle="1" w:styleId="42">
    <w:name w:val="批注框文本 字符"/>
    <w:basedOn w:val="15"/>
    <w:link w:val="11"/>
    <w:semiHidden/>
    <w:qFormat/>
    <w:uiPriority w:val="99"/>
    <w:rPr>
      <w:sz w:val="18"/>
      <w:szCs w:val="18"/>
    </w:rPr>
  </w:style>
  <w:style w:type="paragraph" w:customStyle="1" w:styleId="43">
    <w:name w:val="市局绩效-注"/>
    <w:basedOn w:val="26"/>
    <w:link w:val="44"/>
    <w:qFormat/>
    <w:uiPriority w:val="0"/>
    <w:pPr>
      <w:ind w:firstLine="0" w:firstLineChars="0"/>
    </w:pPr>
    <w:rPr>
      <w:rFonts w:eastAsia="宋体"/>
      <w:bCs/>
      <w:sz w:val="21"/>
    </w:rPr>
  </w:style>
  <w:style w:type="character" w:customStyle="1" w:styleId="44">
    <w:name w:val="市局绩效-注 字符"/>
    <w:basedOn w:val="29"/>
    <w:link w:val="43"/>
    <w:qFormat/>
    <w:uiPriority w:val="0"/>
    <w:rPr>
      <w:rFonts w:ascii="Times New Roman" w:hAnsi="Times New Roman" w:eastAsia="宋体"/>
      <w:bCs/>
      <w:sz w:val="32"/>
    </w:rPr>
  </w:style>
  <w:style w:type="character" w:customStyle="1" w:styleId="45">
    <w:name w:val="批注文字 字符"/>
    <w:basedOn w:val="15"/>
    <w:link w:val="8"/>
    <w:qFormat/>
    <w:uiPriority w:val="0"/>
  </w:style>
  <w:style w:type="character" w:customStyle="1" w:styleId="46">
    <w:name w:val="批注主题 字符"/>
    <w:basedOn w:val="45"/>
    <w:link w:val="7"/>
    <w:semiHidden/>
    <w:qFormat/>
    <w:uiPriority w:val="99"/>
    <w:rPr>
      <w:b/>
      <w:bCs/>
    </w:rPr>
  </w:style>
  <w:style w:type="paragraph" w:customStyle="1" w:styleId="4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8">
    <w:name w:val="未处理的提及1"/>
    <w:basedOn w:val="15"/>
    <w:unhideWhenUsed/>
    <w:qFormat/>
    <w:uiPriority w:val="99"/>
    <w:rPr>
      <w:color w:val="605E5C"/>
      <w:shd w:val="clear" w:color="auto" w:fill="E1DFDD"/>
    </w:rPr>
  </w:style>
  <w:style w:type="paragraph" w:customStyle="1" w:styleId="49">
    <w:name w:val="绩效标题2"/>
    <w:basedOn w:val="3"/>
    <w:link w:val="50"/>
    <w:qFormat/>
    <w:uiPriority w:val="0"/>
    <w:pPr>
      <w:spacing w:before="0" w:after="0" w:line="480" w:lineRule="atLeast"/>
    </w:pPr>
    <w:rPr>
      <w:rFonts w:ascii="仿宋" w:hAnsi="仿宋" w:eastAsia="仿宋"/>
      <w:bCs w:val="0"/>
      <w:sz w:val="36"/>
      <w:szCs w:val="44"/>
    </w:rPr>
  </w:style>
  <w:style w:type="character" w:customStyle="1" w:styleId="50">
    <w:name w:val="绩效标题2 字符"/>
    <w:basedOn w:val="21"/>
    <w:link w:val="49"/>
    <w:qFormat/>
    <w:uiPriority w:val="0"/>
    <w:rPr>
      <w:rFonts w:ascii="仿宋" w:hAnsi="仿宋" w:eastAsia="仿宋" w:cstheme="majorBidi"/>
      <w:bCs w:val="0"/>
      <w:sz w:val="36"/>
      <w:szCs w:val="44"/>
    </w:rPr>
  </w:style>
  <w:style w:type="paragraph" w:customStyle="1" w:styleId="51">
    <w:name w:val="绩效正文"/>
    <w:basedOn w:val="1"/>
    <w:link w:val="52"/>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2">
    <w:name w:val="绩效正文 字符"/>
    <w:basedOn w:val="15"/>
    <w:link w:val="51"/>
    <w:qFormat/>
    <w:uiPriority w:val="0"/>
    <w:rPr>
      <w:rFonts w:ascii="Times New Roman" w:hAnsi="Times New Roman" w:eastAsia="仿宋_GB2312" w:cs="Times New Roman"/>
      <w:sz w:val="32"/>
      <w:szCs w:val="32"/>
    </w:rPr>
  </w:style>
  <w:style w:type="character" w:customStyle="1" w:styleId="53">
    <w:name w:val="NormalCharacter"/>
    <w:qFormat/>
    <w:uiPriority w:val="0"/>
  </w:style>
  <w:style w:type="character" w:customStyle="1" w:styleId="54">
    <w:name w:val="正文文本 字符"/>
    <w:basedOn w:val="15"/>
    <w:link w:val="9"/>
    <w:qFormat/>
    <w:uiPriority w:val="0"/>
    <w:rPr>
      <w:rFonts w:ascii="Times New Roman" w:hAnsi="Times New Roman" w:eastAsia="仿宋_GB2312" w:cs="Times New Roman"/>
      <w:sz w:val="32"/>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4069</Words>
  <Characters>23194</Characters>
  <Lines>193</Lines>
  <Paragraphs>54</Paragraphs>
  <TotalTime>0</TotalTime>
  <ScaleCrop>false</ScaleCrop>
  <LinksUpToDate>false</LinksUpToDate>
  <CharactersWithSpaces>27209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2021-10-06T04:17:00Z</dcterms:created>
  <dc:creator>忠晔 张</dc:creator>
  <cp:lastModifiedBy>User</cp:lastModifiedBy>
  <cp:lastPrinted>2022-07-10T12:02:00Z</cp:lastPrinted>
  <dcterms:modified xsi:type="dcterms:W3CDTF">2024-01-08T02:05:18Z</dcterms:modified>
  <cp:revision>989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BE12B52A4291991808FADA64D28B0453_42</vt:lpwstr>
  </property>
</Properties>
</file>