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ascii="Times New Roman" w:hAnsi="Times New Roman" w:eastAsia="方正小标宋简体"/>
          <w:sz w:val="52"/>
          <w:szCs w:val="52"/>
        </w:rPr>
        <w:t>项目支出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w:t>
      </w:r>
      <w:r>
        <w:rPr>
          <w:rFonts w:hint="eastAsia" w:ascii="Times New Roman" w:hAnsi="Times New Roman" w:eastAsia="方正小标宋简体" w:cs="Times New Roman"/>
          <w:sz w:val="40"/>
          <w:szCs w:val="40"/>
        </w:rPr>
        <w:t>2</w:t>
      </w:r>
      <w:r>
        <w:rPr>
          <w:rFonts w:ascii="Times New Roman" w:hAnsi="Times New Roman" w:eastAsia="方正小标宋简体"/>
          <w:sz w:val="40"/>
          <w:szCs w:val="36"/>
        </w:rPr>
        <w:t>年度）</w:t>
      </w:r>
    </w:p>
    <w:p>
      <w:pPr>
        <w:spacing w:line="600" w:lineRule="exact"/>
        <w:ind w:firstLine="640"/>
        <w:rPr>
          <w:rFonts w:ascii="Times New Roman" w:hAnsi="Times New Roman" w:eastAsia="黑体"/>
          <w:sz w:val="32"/>
          <w:szCs w:val="32"/>
        </w:rPr>
      </w:pPr>
    </w:p>
    <w:p>
      <w:pPr>
        <w:spacing w:line="600" w:lineRule="exact"/>
        <w:ind w:firstLine="640"/>
        <w:rPr>
          <w:rFonts w:ascii="Times New Roman" w:hAnsi="Times New Roman" w:eastAsia="黑体"/>
          <w:sz w:val="32"/>
          <w:szCs w:val="32"/>
        </w:rPr>
      </w:pPr>
    </w:p>
    <w:p>
      <w:pPr>
        <w:spacing w:line="600" w:lineRule="exact"/>
        <w:ind w:firstLine="640"/>
        <w:rPr>
          <w:rFonts w:ascii="Times New Roman" w:hAnsi="Times New Roman" w:eastAsia="黑体"/>
          <w:sz w:val="32"/>
          <w:szCs w:val="32"/>
        </w:rPr>
      </w:pPr>
    </w:p>
    <w:p>
      <w:pPr>
        <w:spacing w:line="600" w:lineRule="exact"/>
        <w:ind w:firstLine="640"/>
        <w:rPr>
          <w:rFonts w:ascii="Times New Roman" w:hAnsi="Times New Roman" w:eastAsia="黑体"/>
          <w:sz w:val="32"/>
          <w:szCs w:val="32"/>
        </w:rPr>
      </w:pPr>
    </w:p>
    <w:p>
      <w:pPr>
        <w:spacing w:line="600" w:lineRule="exact"/>
        <w:ind w:firstLine="640"/>
        <w:rPr>
          <w:rFonts w:ascii="Times New Roman" w:hAnsi="Times New Roman" w:eastAsia="黑体"/>
          <w:sz w:val="32"/>
          <w:szCs w:val="32"/>
        </w:rPr>
      </w:pPr>
    </w:p>
    <w:p>
      <w:pPr>
        <w:spacing w:line="900" w:lineRule="exact"/>
        <w:ind w:firstLine="0" w:firstLineChars="0"/>
        <w:rPr>
          <w:rFonts w:ascii="Times New Roman" w:hAnsi="Times New Roman" w:eastAsia="仿宋_GB2312"/>
          <w:sz w:val="32"/>
          <w:szCs w:val="32"/>
        </w:rPr>
      </w:pPr>
      <w:r>
        <w:rPr>
          <w:rFonts w:hint="eastAsia" w:ascii="Times New Roman" w:hAnsi="Times New Roman" w:eastAsia="仿宋_GB2312"/>
          <w:sz w:val="32"/>
          <w:szCs w:val="32"/>
        </w:rPr>
        <w:t>主 管 部 门：</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sz w:val="32"/>
          <w:szCs w:val="32"/>
          <w:u w:val="single"/>
        </w:rPr>
        <w:t>天津市和平区</w:t>
      </w:r>
      <w:r>
        <w:rPr>
          <w:rFonts w:hint="eastAsia" w:ascii="Times New Roman" w:hAnsi="Times New Roman" w:eastAsia="仿宋_GB2312"/>
          <w:sz w:val="32"/>
          <w:szCs w:val="32"/>
          <w:u w:val="single"/>
        </w:rPr>
        <w:t xml:space="preserve">发展和改革委员会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p>
    <w:p>
      <w:pPr>
        <w:spacing w:line="900" w:lineRule="exact"/>
        <w:ind w:left="2240" w:hanging="2240" w:hangingChars="700"/>
        <w:rPr>
          <w:rFonts w:ascii="Times New Roman" w:hAnsi="Times New Roman" w:eastAsia="仿宋_GB2312"/>
          <w:sz w:val="32"/>
          <w:szCs w:val="32"/>
          <w:u w:val="single"/>
        </w:rPr>
      </w:pPr>
      <w:r>
        <w:rPr>
          <w:rFonts w:hint="eastAsia" w:ascii="Times New Roman" w:hAnsi="Times New Roman" w:eastAsia="仿宋_GB2312"/>
          <w:sz w:val="32"/>
          <w:szCs w:val="32"/>
        </w:rPr>
        <w:t>项 目 单 位</w:t>
      </w:r>
      <w:r>
        <w:rPr>
          <w:rFonts w:ascii="Times New Roman" w:hAnsi="Times New Roman" w:eastAsia="仿宋_GB2312"/>
          <w:sz w:val="32"/>
          <w:szCs w:val="32"/>
        </w:rPr>
        <w:t>：</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sz w:val="32"/>
          <w:szCs w:val="32"/>
          <w:u w:val="single"/>
        </w:rPr>
        <w:t xml:space="preserve">天津市粮食储备有限公司 </w:t>
      </w:r>
      <w:r>
        <w:rPr>
          <w:rFonts w:ascii="Times New Roman" w:hAnsi="Times New Roman" w:eastAsia="仿宋_GB2312"/>
          <w:sz w:val="32"/>
          <w:szCs w:val="32"/>
          <w:u w:val="single"/>
        </w:rPr>
        <w:t xml:space="preserve">        </w:t>
      </w:r>
    </w:p>
    <w:p>
      <w:pPr>
        <w:spacing w:line="900" w:lineRule="exact"/>
        <w:ind w:left="0" w:leftChars="0" w:firstLine="2100" w:firstLineChars="750"/>
        <w:rPr>
          <w:rFonts w:ascii="Times New Roman" w:hAnsi="Times New Roman" w:eastAsia="仿宋_GB2312"/>
          <w:sz w:val="32"/>
          <w:szCs w:val="32"/>
          <w:u w:val="single"/>
        </w:rPr>
      </w:pPr>
      <w:r>
        <w:rPr>
          <w:rFonts w:hint="eastAsia" w:ascii="Times New Roman" w:hAnsi="Times New Roman" w:eastAsia="仿宋_GB2312"/>
          <w:spacing w:val="-20"/>
          <w:sz w:val="32"/>
          <w:szCs w:val="32"/>
          <w:u w:val="single"/>
          <w:lang w:val="en-US" w:eastAsia="zh-CN"/>
        </w:rPr>
        <w:t xml:space="preserve">  中</w:t>
      </w:r>
      <w:r>
        <w:rPr>
          <w:rFonts w:hint="eastAsia" w:ascii="Times New Roman" w:hAnsi="Times New Roman" w:eastAsia="仿宋_GB2312"/>
          <w:spacing w:val="-20"/>
          <w:sz w:val="32"/>
          <w:szCs w:val="32"/>
          <w:u w:val="single"/>
        </w:rPr>
        <w:t>粮利金（天津）粮油股份有限公司静海分公司</w:t>
      </w:r>
      <w:r>
        <w:rPr>
          <w:rFonts w:hint="eastAsia" w:ascii="Times New Roman" w:hAnsi="Times New Roman" w:eastAsia="仿宋_GB2312"/>
          <w:sz w:val="32"/>
          <w:szCs w:val="32"/>
          <w:u w:val="single"/>
        </w:rPr>
        <w:t xml:space="preserve"> </w:t>
      </w:r>
    </w:p>
    <w:p>
      <w:pPr>
        <w:spacing w:line="900" w:lineRule="exact"/>
        <w:ind w:left="2240" w:hanging="2240" w:hangingChars="700"/>
        <w:rPr>
          <w:rFonts w:ascii="Times New Roman" w:hAnsi="Times New Roman" w:eastAsia="仿宋_GB2312"/>
          <w:sz w:val="32"/>
          <w:szCs w:val="32"/>
          <w:u w:val="single"/>
        </w:rPr>
      </w:pPr>
      <w:r>
        <w:rPr>
          <w:rFonts w:hint="eastAsia" w:ascii="Times New Roman" w:hAnsi="Times New Roman" w:eastAsia="仿宋_GB2312"/>
          <w:sz w:val="32"/>
          <w:szCs w:val="32"/>
        </w:rPr>
        <w:t>项 目 名 称：</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新增储备粮粮权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有限公司</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07</w:t>
      </w:r>
      <w:r>
        <w:rPr>
          <w:rFonts w:hint="eastAsia" w:ascii="Times New Roman" w:hAnsi="Times New Roman" w:eastAsia="仿宋_GB2312"/>
          <w:sz w:val="32"/>
          <w:szCs w:val="32"/>
          <w:u w:val="single"/>
        </w:rPr>
        <w:t>月-</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黑体" w:cs="黑体"/>
          <w:sz w:val="32"/>
          <w:szCs w:val="32"/>
        </w:rPr>
      </w:pPr>
    </w:p>
    <w:p>
      <w:pPr>
        <w:widowControl/>
        <w:spacing w:line="240" w:lineRule="auto"/>
        <w:ind w:firstLine="0" w:firstLineChars="0"/>
        <w:rPr>
          <w:rFonts w:ascii="Times New Roman" w:hAnsi="Times New Roman" w:eastAsia="黑体" w:cs="黑体"/>
          <w:sz w:val="32"/>
          <w:szCs w:val="32"/>
        </w:rPr>
      </w:pPr>
      <w:r>
        <w:rPr>
          <w:rFonts w:ascii="Times New Roman" w:hAnsi="Times New Roman" w:eastAsia="黑体" w:cs="黑体"/>
          <w:sz w:val="32"/>
          <w:szCs w:val="32"/>
        </w:rPr>
        <w:br w:type="page"/>
      </w:r>
    </w:p>
    <w:sdt>
      <w:sdtPr>
        <w:rPr>
          <w:rFonts w:ascii="Times New Roman" w:hAnsi="Times New Roman" w:eastAsiaTheme="minorEastAsia" w:cstheme="minorBidi"/>
          <w:color w:val="auto"/>
          <w:kern w:val="2"/>
          <w:sz w:val="21"/>
          <w:szCs w:val="21"/>
          <w:lang w:val="zh-CN"/>
        </w:rPr>
        <w:id w:val="1322844121"/>
        <w:docPartObj>
          <w:docPartGallery w:val="Table of Contents"/>
          <w:docPartUnique/>
        </w:docPartObj>
      </w:sdtPr>
      <w:sdtEndPr>
        <w:rPr>
          <w:rFonts w:ascii="Times New Roman" w:hAnsi="Times New Roman" w:eastAsiaTheme="minorEastAsia" w:cstheme="minorBidi"/>
          <w:b/>
          <w:bCs/>
          <w:color w:val="auto"/>
          <w:kern w:val="2"/>
          <w:sz w:val="21"/>
          <w:szCs w:val="21"/>
          <w:lang w:val="zh-CN"/>
        </w:rPr>
      </w:sdtEndPr>
      <w:sdtContent>
        <w:p>
          <w:pPr>
            <w:pStyle w:val="50"/>
            <w:ind w:firstLine="420"/>
            <w:jc w:val="center"/>
            <w:rPr>
              <w:rFonts w:ascii="Times New Roman" w:hAnsi="Times New Roman" w:eastAsia="黑体"/>
              <w:color w:val="auto"/>
            </w:rPr>
          </w:pPr>
          <w:r>
            <w:rPr>
              <w:rFonts w:ascii="Times New Roman" w:hAnsi="Times New Roman" w:eastAsia="黑体"/>
              <w:color w:val="auto"/>
              <w:lang w:val="zh-CN"/>
            </w:rPr>
            <w:t>目</w:t>
          </w:r>
          <w:r>
            <w:rPr>
              <w:rFonts w:hint="eastAsia" w:ascii="Times New Roman" w:hAnsi="Times New Roman" w:eastAsia="黑体"/>
              <w:color w:val="auto"/>
              <w:lang w:val="zh-CN"/>
            </w:rPr>
            <w:t xml:space="preserve"> </w:t>
          </w:r>
          <w:r>
            <w:rPr>
              <w:rFonts w:ascii="Times New Roman" w:hAnsi="Times New Roman" w:eastAsia="黑体"/>
              <w:color w:val="auto"/>
              <w:lang w:val="zh-CN"/>
            </w:rPr>
            <w:t xml:space="preserve"> 录</w:t>
          </w:r>
        </w:p>
        <w:p>
          <w:pPr>
            <w:pStyle w:val="11"/>
            <w:tabs>
              <w:tab w:val="right" w:leader="dot" w:pos="8302"/>
            </w:tabs>
            <w:rPr>
              <w:rFonts w:cstheme="minorBidi"/>
              <w:kern w:val="2"/>
              <w:sz w:val="21"/>
              <w14:ligatures w14:val="standardContextual"/>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p>
        <w:p>
          <w:pPr>
            <w:pStyle w:val="12"/>
            <w:rPr>
              <w:rFonts w:asciiTheme="minorHAnsi" w:eastAsiaTheme="minorEastAsia" w:cstheme="minorBidi"/>
              <w:b w:val="0"/>
              <w:kern w:val="2"/>
              <w:sz w:val="21"/>
              <w:szCs w:val="22"/>
              <w14:ligatures w14:val="standardContextual"/>
            </w:rPr>
          </w:pPr>
          <w:r>
            <w:fldChar w:fldCharType="begin"/>
          </w:r>
          <w:r>
            <w:instrText xml:space="preserve"> HYPERLINK \l "_Toc147673514" </w:instrText>
          </w:r>
          <w:r>
            <w:fldChar w:fldCharType="separate"/>
          </w:r>
          <w:r>
            <w:rPr>
              <w:rStyle w:val="18"/>
            </w:rPr>
            <w:t>一、项目基本情况</w:t>
          </w:r>
          <w:r>
            <w:tab/>
          </w:r>
          <w:r>
            <w:fldChar w:fldCharType="begin"/>
          </w:r>
          <w:r>
            <w:instrText xml:space="preserve"> PAGEREF _Toc147673514 \h </w:instrText>
          </w:r>
          <w:r>
            <w:fldChar w:fldCharType="separate"/>
          </w:r>
          <w:r>
            <w:t>1</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"_Toc147673515" </w:instrText>
          </w:r>
          <w:r>
            <w:fldChar w:fldCharType="separate"/>
          </w:r>
          <w:r>
            <w:rPr>
              <w:rStyle w:val="18"/>
              <w:rFonts w:ascii="Times New Roman" w:hAnsi="Times New Roman"/>
            </w:rPr>
            <w:t>（一）项目概况</w:t>
          </w:r>
          <w:r>
            <w:tab/>
          </w:r>
          <w:r>
            <w:fldChar w:fldCharType="begin"/>
          </w:r>
          <w:r>
            <w:instrText xml:space="preserve"> PAGEREF _Toc147673515 \h </w:instrText>
          </w:r>
          <w:r>
            <w:fldChar w:fldCharType="separate"/>
          </w:r>
          <w:r>
            <w:t>1</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"_Toc147673516" </w:instrText>
          </w:r>
          <w:r>
            <w:fldChar w:fldCharType="separate"/>
          </w:r>
          <w:r>
            <w:rPr>
              <w:rStyle w:val="18"/>
              <w:rFonts w:ascii="Times New Roman" w:hAnsi="Times New Roman"/>
            </w:rPr>
            <w:t>（二）项目绩效目标</w:t>
          </w:r>
          <w:r>
            <w:tab/>
          </w:r>
          <w:r>
            <w:fldChar w:fldCharType="begin"/>
          </w:r>
          <w:r>
            <w:instrText xml:space="preserve"> PAGEREF _Toc147673516 \h </w:instrText>
          </w:r>
          <w:r>
            <w:fldChar w:fldCharType="separate"/>
          </w:r>
          <w:r>
            <w:t>3</w:t>
          </w:r>
          <w:r>
            <w:fldChar w:fldCharType="end"/>
          </w:r>
          <w:r>
            <w:fldChar w:fldCharType="end"/>
          </w:r>
        </w:p>
        <w:p>
          <w:pPr>
            <w:pStyle w:val="12"/>
            <w:rPr>
              <w:rFonts w:asciiTheme="minorHAnsi" w:eastAsiaTheme="minorEastAsia" w:cstheme="minorBidi"/>
              <w:b w:val="0"/>
              <w:kern w:val="2"/>
              <w:sz w:val="21"/>
              <w:szCs w:val="22"/>
              <w14:ligatures w14:val="standardContextual"/>
            </w:rPr>
          </w:pPr>
          <w:r>
            <w:fldChar w:fldCharType="begin"/>
          </w:r>
          <w:r>
            <w:instrText xml:space="preserve"> HYPERLINK \l "_Toc147673517" </w:instrText>
          </w:r>
          <w:r>
            <w:fldChar w:fldCharType="separate"/>
          </w:r>
          <w:r>
            <w:rPr>
              <w:rStyle w:val="18"/>
            </w:rPr>
            <w:t>二、绩效评价工作开展情况</w:t>
          </w:r>
          <w:r>
            <w:tab/>
          </w:r>
          <w:r>
            <w:fldChar w:fldCharType="begin"/>
          </w:r>
          <w:r>
            <w:instrText xml:space="preserve"> PAGEREF _Toc147673517 \h </w:instrText>
          </w:r>
          <w:r>
            <w:fldChar w:fldCharType="separate"/>
          </w:r>
          <w:r>
            <w:t>3</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"_Toc147673518" </w:instrText>
          </w:r>
          <w:r>
            <w:fldChar w:fldCharType="separate"/>
          </w:r>
          <w:r>
            <w:rPr>
              <w:rStyle w:val="18"/>
              <w:rFonts w:ascii="Times New Roman" w:hAnsi="Times New Roman"/>
            </w:rPr>
            <w:t>（一）绩效评价的目的、对象和范围</w:t>
          </w:r>
          <w:r>
            <w:tab/>
          </w:r>
          <w:r>
            <w:fldChar w:fldCharType="begin"/>
          </w:r>
          <w:r>
            <w:instrText xml:space="preserve"> PAGEREF _Toc147673518 \h </w:instrText>
          </w:r>
          <w:r>
            <w:fldChar w:fldCharType="separate"/>
          </w:r>
          <w:r>
            <w:t>3</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"_Toc147673519" </w:instrText>
          </w:r>
          <w:r>
            <w:fldChar w:fldCharType="separate"/>
          </w:r>
          <w:r>
            <w:rPr>
              <w:rStyle w:val="18"/>
              <w:rFonts w:ascii="Times New Roman" w:hAnsi="Times New Roman"/>
            </w:rPr>
            <w:t>（二）绩效评价原则、评价指标体系、评价方法</w:t>
          </w:r>
          <w:r>
            <w:tab/>
          </w:r>
          <w:r>
            <w:fldChar w:fldCharType="begin"/>
          </w:r>
          <w:r>
            <w:instrText xml:space="preserve"> PAGEREF _Toc147673519 \h </w:instrText>
          </w:r>
          <w:r>
            <w:fldChar w:fldCharType="separate"/>
          </w:r>
          <w:r>
            <w:t>5</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"_Toc147673520" </w:instrText>
          </w:r>
          <w:r>
            <w:fldChar w:fldCharType="separate"/>
          </w:r>
          <w:r>
            <w:rPr>
              <w:rStyle w:val="18"/>
              <w:rFonts w:ascii="Times New Roman" w:hAnsi="Times New Roman"/>
            </w:rPr>
            <w:t>（三）绩效评价工作过程</w:t>
          </w:r>
          <w:r>
            <w:tab/>
          </w:r>
          <w:r>
            <w:fldChar w:fldCharType="begin"/>
          </w:r>
          <w:r>
            <w:instrText xml:space="preserve"> PAGEREF _Toc147673520 \h </w:instrText>
          </w:r>
          <w:r>
            <w:fldChar w:fldCharType="separate"/>
          </w:r>
          <w:r>
            <w:t>10</w:t>
          </w:r>
          <w:r>
            <w:fldChar w:fldCharType="end"/>
          </w:r>
          <w:r>
            <w:fldChar w:fldCharType="end"/>
          </w:r>
        </w:p>
        <w:p>
          <w:pPr>
            <w:pStyle w:val="12"/>
            <w:rPr>
              <w:rFonts w:asciiTheme="minorHAnsi" w:eastAsiaTheme="minorEastAsia" w:cstheme="minorBidi"/>
              <w:b w:val="0"/>
              <w:kern w:val="2"/>
              <w:sz w:val="21"/>
              <w:szCs w:val="22"/>
              <w14:ligatures w14:val="standardContextual"/>
            </w:rPr>
          </w:pPr>
          <w:r>
            <w:fldChar w:fldCharType="begin"/>
          </w:r>
          <w:r>
            <w:instrText xml:space="preserve"> HYPERLINK \l "_Toc147673521" </w:instrText>
          </w:r>
          <w:r>
            <w:fldChar w:fldCharType="separate"/>
          </w:r>
          <w:r>
            <w:rPr>
              <w:rStyle w:val="18"/>
            </w:rPr>
            <w:t>三、综合评价情况及评价结论</w:t>
          </w:r>
          <w:r>
            <w:tab/>
          </w:r>
          <w:r>
            <w:fldChar w:fldCharType="begin"/>
          </w:r>
          <w:r>
            <w:instrText xml:space="preserve"> PAGEREF _Toc147673521 \h </w:instrText>
          </w:r>
          <w:r>
            <w:fldChar w:fldCharType="separate"/>
          </w:r>
          <w:r>
            <w:t>12</w:t>
          </w:r>
          <w:r>
            <w:fldChar w:fldCharType="end"/>
          </w:r>
          <w:r>
            <w:fldChar w:fldCharType="end"/>
          </w:r>
        </w:p>
        <w:p>
          <w:pPr>
            <w:pStyle w:val="12"/>
            <w:rPr>
              <w:rFonts w:asciiTheme="minorHAnsi" w:eastAsiaTheme="minorEastAsia" w:cstheme="minorBidi"/>
              <w:b w:val="0"/>
              <w:kern w:val="2"/>
              <w:sz w:val="21"/>
              <w:szCs w:val="22"/>
              <w14:ligatures w14:val="standardContextual"/>
            </w:rPr>
          </w:pPr>
          <w:r>
            <w:fldChar w:fldCharType="begin"/>
          </w:r>
          <w:r>
            <w:instrText xml:space="preserve"> HYPERLINK \l "_Toc147673522" </w:instrText>
          </w:r>
          <w:r>
            <w:fldChar w:fldCharType="separate"/>
          </w:r>
          <w:r>
            <w:rPr>
              <w:rStyle w:val="18"/>
            </w:rPr>
            <w:t>四、绩效评价指标分析</w:t>
          </w:r>
          <w:r>
            <w:tab/>
          </w:r>
          <w:r>
            <w:fldChar w:fldCharType="begin"/>
          </w:r>
          <w:r>
            <w:instrText xml:space="preserve"> PAGEREF _Toc147673522 \h </w:instrText>
          </w:r>
          <w:r>
            <w:fldChar w:fldCharType="separate"/>
          </w:r>
          <w:r>
            <w:t>13</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"_Toc147673523" </w:instrText>
          </w:r>
          <w:r>
            <w:fldChar w:fldCharType="separate"/>
          </w:r>
          <w:r>
            <w:rPr>
              <w:rStyle w:val="18"/>
              <w:rFonts w:ascii="Times New Roman" w:hAnsi="Times New Roman"/>
            </w:rPr>
            <w:t>（一）项目决策情况</w:t>
          </w:r>
          <w:r>
            <w:tab/>
          </w:r>
          <w:r>
            <w:fldChar w:fldCharType="begin"/>
          </w:r>
          <w:r>
            <w:instrText xml:space="preserve"> PAGEREF _Toc147673523 \h </w:instrText>
          </w:r>
          <w:r>
            <w:fldChar w:fldCharType="separate"/>
          </w:r>
          <w:r>
            <w:t>13</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"_Toc147673524" </w:instrText>
          </w:r>
          <w:r>
            <w:fldChar w:fldCharType="separate"/>
          </w:r>
          <w:r>
            <w:rPr>
              <w:rStyle w:val="18"/>
              <w:rFonts w:ascii="Times New Roman" w:hAnsi="Times New Roman"/>
            </w:rPr>
            <w:t>（二）项目过程情况</w:t>
          </w:r>
          <w:r>
            <w:tab/>
          </w:r>
          <w:r>
            <w:fldChar w:fldCharType="begin"/>
          </w:r>
          <w:r>
            <w:instrText xml:space="preserve"> PAGEREF _Toc147673524 \h </w:instrText>
          </w:r>
          <w:r>
            <w:fldChar w:fldCharType="separate"/>
          </w:r>
          <w:r>
            <w:t>17</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"_Toc147673525" </w:instrText>
          </w:r>
          <w:r>
            <w:fldChar w:fldCharType="separate"/>
          </w:r>
          <w:r>
            <w:rPr>
              <w:rStyle w:val="18"/>
              <w:rFonts w:ascii="Times New Roman" w:hAnsi="Times New Roman"/>
            </w:rPr>
            <w:t>（三）项目产出情况</w:t>
          </w:r>
          <w:r>
            <w:tab/>
          </w:r>
          <w:r>
            <w:fldChar w:fldCharType="begin"/>
          </w:r>
          <w:r>
            <w:instrText xml:space="preserve"> PAGEREF _Toc147673525 \h </w:instrText>
          </w:r>
          <w:r>
            <w:fldChar w:fldCharType="separate"/>
          </w:r>
          <w:r>
            <w:t>20</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"_Toc147673526" </w:instrText>
          </w:r>
          <w:r>
            <w:fldChar w:fldCharType="separate"/>
          </w:r>
          <w:r>
            <w:rPr>
              <w:rStyle w:val="18"/>
              <w:rFonts w:ascii="Times New Roman" w:hAnsi="Times New Roman"/>
            </w:rPr>
            <w:t>（四）项目效益情况</w:t>
          </w:r>
          <w:r>
            <w:tab/>
          </w:r>
          <w:r>
            <w:fldChar w:fldCharType="begin"/>
          </w:r>
          <w:r>
            <w:instrText xml:space="preserve"> PAGEREF _Toc147673526 \h </w:instrText>
          </w:r>
          <w:r>
            <w:fldChar w:fldCharType="separate"/>
          </w:r>
          <w:r>
            <w:t>23</w:t>
          </w:r>
          <w:r>
            <w:fldChar w:fldCharType="end"/>
          </w:r>
          <w:r>
            <w:fldChar w:fldCharType="end"/>
          </w:r>
        </w:p>
        <w:p>
          <w:pPr>
            <w:pStyle w:val="12"/>
            <w:rPr>
              <w:rFonts w:asciiTheme="minorHAnsi" w:eastAsiaTheme="minorEastAsia" w:cstheme="minorBidi"/>
              <w:b w:val="0"/>
              <w:kern w:val="2"/>
              <w:sz w:val="21"/>
              <w:szCs w:val="22"/>
              <w14:ligatures w14:val="standardContextual"/>
            </w:rPr>
          </w:pPr>
          <w:r>
            <w:fldChar w:fldCharType="begin"/>
          </w:r>
          <w:r>
            <w:instrText xml:space="preserve"> HYPERLINK \l "_Toc147673527" </w:instrText>
          </w:r>
          <w:r>
            <w:fldChar w:fldCharType="separate"/>
          </w:r>
          <w:r>
            <w:rPr>
              <w:rStyle w:val="18"/>
            </w:rPr>
            <w:t>五、存在的主要问题</w:t>
          </w:r>
          <w:r>
            <w:tab/>
          </w:r>
          <w:r>
            <w:fldChar w:fldCharType="begin"/>
          </w:r>
          <w:r>
            <w:instrText xml:space="preserve"> PAGEREF _Toc147673527 \h </w:instrText>
          </w:r>
          <w:r>
            <w:fldChar w:fldCharType="separate"/>
          </w:r>
          <w:r>
            <w:t>25</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"_Toc147673528" </w:instrText>
          </w:r>
          <w:r>
            <w:fldChar w:fldCharType="separate"/>
          </w:r>
          <w:r>
            <w:rPr>
              <w:rStyle w:val="18"/>
              <w:rFonts w:ascii="Times New Roman" w:hAnsi="Times New Roman"/>
            </w:rPr>
            <w:t>（一）项目绩效管理工作有待加强</w:t>
          </w:r>
          <w:r>
            <w:tab/>
          </w:r>
          <w:r>
            <w:fldChar w:fldCharType="begin"/>
          </w:r>
          <w:r>
            <w:instrText xml:space="preserve"> PAGEREF _Toc147673528 \h </w:instrText>
          </w:r>
          <w:r>
            <w:fldChar w:fldCharType="separate"/>
          </w:r>
          <w:r>
            <w:t>25</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"_Toc147673529" </w:instrText>
          </w:r>
          <w:r>
            <w:fldChar w:fldCharType="separate"/>
          </w:r>
          <w:r>
            <w:rPr>
              <w:rStyle w:val="18"/>
              <w:rFonts w:ascii="Times New Roman" w:hAnsi="Times New Roman"/>
            </w:rPr>
            <w:t>（二）财务核算规范性有待提高</w:t>
          </w:r>
          <w:r>
            <w:tab/>
          </w:r>
          <w:r>
            <w:fldChar w:fldCharType="begin"/>
          </w:r>
          <w:r>
            <w:instrText xml:space="preserve"> PAGEREF _Toc147673529 \h </w:instrText>
          </w:r>
          <w:r>
            <w:fldChar w:fldCharType="separate"/>
          </w:r>
          <w:r>
            <w:t>25</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"_Toc147673530" </w:instrText>
          </w:r>
          <w:r>
            <w:fldChar w:fldCharType="separate"/>
          </w:r>
          <w:r>
            <w:rPr>
              <w:rStyle w:val="18"/>
              <w:rFonts w:ascii="Times New Roman" w:hAnsi="Times New Roman"/>
            </w:rPr>
            <w:t>（三）管理制度机制健全性有待提高</w:t>
          </w:r>
          <w:r>
            <w:tab/>
          </w:r>
          <w:r>
            <w:fldChar w:fldCharType="begin"/>
          </w:r>
          <w:r>
            <w:instrText xml:space="preserve"> PAGEREF _Toc147673530 \h </w:instrText>
          </w:r>
          <w:r>
            <w:fldChar w:fldCharType="separate"/>
          </w:r>
          <w:r>
            <w:t>26</w:t>
          </w:r>
          <w:r>
            <w:fldChar w:fldCharType="end"/>
          </w:r>
          <w:r>
            <w:fldChar w:fldCharType="end"/>
          </w:r>
        </w:p>
        <w:p>
          <w:pPr>
            <w:pStyle w:val="12"/>
            <w:rPr>
              <w:rFonts w:asciiTheme="minorHAnsi" w:eastAsiaTheme="minorEastAsia" w:cstheme="minorBidi"/>
              <w:b w:val="0"/>
              <w:kern w:val="2"/>
              <w:sz w:val="21"/>
              <w:szCs w:val="22"/>
              <w14:ligatures w14:val="standardContextual"/>
            </w:rPr>
          </w:pPr>
          <w:r>
            <w:fldChar w:fldCharType="begin"/>
          </w:r>
          <w:r>
            <w:instrText xml:space="preserve"> HYPERLINK \l "_Toc147673531" </w:instrText>
          </w:r>
          <w:r>
            <w:fldChar w:fldCharType="separate"/>
          </w:r>
          <w:r>
            <w:rPr>
              <w:rStyle w:val="18"/>
            </w:rPr>
            <w:t>六、相关建议</w:t>
          </w:r>
          <w:r>
            <w:tab/>
          </w:r>
          <w:r>
            <w:fldChar w:fldCharType="begin"/>
          </w:r>
          <w:r>
            <w:instrText xml:space="preserve"> PAGEREF _Toc147673531 \h </w:instrText>
          </w:r>
          <w:r>
            <w:fldChar w:fldCharType="separate"/>
          </w:r>
          <w:r>
            <w:t>26</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"_Toc147673532" </w:instrText>
          </w:r>
          <w:r>
            <w:fldChar w:fldCharType="separate"/>
          </w:r>
          <w:r>
            <w:rPr>
              <w:rStyle w:val="18"/>
              <w:rFonts w:ascii="Times New Roman" w:hAnsi="Times New Roman"/>
            </w:rPr>
            <w:t>（一）加强项目绩效工作管理意识</w:t>
          </w:r>
          <w:r>
            <w:tab/>
          </w:r>
          <w:r>
            <w:fldChar w:fldCharType="begin"/>
          </w:r>
          <w:r>
            <w:instrText xml:space="preserve"> PAGEREF _Toc147673532 \h </w:instrText>
          </w:r>
          <w:r>
            <w:fldChar w:fldCharType="separate"/>
          </w:r>
          <w:r>
            <w:t>26</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"_Toc147673533" </w:instrText>
          </w:r>
          <w:r>
            <w:fldChar w:fldCharType="separate"/>
          </w:r>
          <w:r>
            <w:rPr>
              <w:rStyle w:val="18"/>
              <w:rFonts w:ascii="Times New Roman" w:hAnsi="Times New Roman"/>
            </w:rPr>
            <w:t>（二）规范调整财务核算数据</w:t>
          </w:r>
          <w:r>
            <w:tab/>
          </w:r>
          <w:r>
            <w:fldChar w:fldCharType="begin"/>
          </w:r>
          <w:r>
            <w:instrText xml:space="preserve"> PAGEREF _Toc147673533 \h </w:instrText>
          </w:r>
          <w:r>
            <w:fldChar w:fldCharType="separate"/>
          </w:r>
          <w:r>
            <w:t>27</w:t>
          </w:r>
          <w:r>
            <w:fldChar w:fldCharType="end"/>
          </w:r>
          <w:r>
            <w:fldChar w:fldCharType="end"/>
          </w:r>
        </w:p>
        <w:p>
          <w:pPr>
            <w:pStyle w:val="7"/>
            <w:rPr>
              <w:rFonts w:asciiTheme="minorHAnsi" w:eastAsiaTheme="minorEastAsia" w:cstheme="minorBidi"/>
              <w:spacing w:val="0"/>
              <w:sz w:val="21"/>
              <w:szCs w:val="22"/>
              <w14:ligatures w14:val="standardContextual"/>
            </w:rPr>
          </w:pPr>
          <w:r>
            <w:fldChar w:fldCharType="begin"/>
          </w:r>
          <w:r>
            <w:instrText xml:space="preserve"> HYPERLINK \l "_Toc147673534" </w:instrText>
          </w:r>
          <w:r>
            <w:fldChar w:fldCharType="separate"/>
          </w:r>
          <w:r>
            <w:rPr>
              <w:rStyle w:val="18"/>
              <w:rFonts w:ascii="Times New Roman" w:hAnsi="Times New Roman"/>
            </w:rPr>
            <w:t>（三）加强管理制度机制建立健全工作</w:t>
          </w:r>
          <w:r>
            <w:tab/>
          </w:r>
          <w:r>
            <w:fldChar w:fldCharType="begin"/>
          </w:r>
          <w:r>
            <w:instrText xml:space="preserve"> PAGEREF _Toc147673534 \h </w:instrText>
          </w:r>
          <w:r>
            <w:fldChar w:fldCharType="separate"/>
          </w:r>
          <w:r>
            <w:t>27</w:t>
          </w:r>
          <w:r>
            <w:fldChar w:fldCharType="end"/>
          </w:r>
          <w:r>
            <w:fldChar w:fldCharType="end"/>
          </w:r>
        </w:p>
        <w:p>
          <w:pPr>
            <w:pStyle w:val="12"/>
            <w:rPr>
              <w:rFonts w:asciiTheme="minorHAnsi" w:eastAsiaTheme="minorEastAsia" w:cstheme="minorBidi"/>
              <w:b w:val="0"/>
              <w:kern w:val="2"/>
              <w:sz w:val="21"/>
              <w:szCs w:val="22"/>
              <w14:ligatures w14:val="standardContextual"/>
            </w:rPr>
          </w:pPr>
          <w:r>
            <w:fldChar w:fldCharType="begin"/>
          </w:r>
          <w:r>
            <w:instrText xml:space="preserve"> HYPERLINK \l "_Toc147673535" </w:instrText>
          </w:r>
          <w:r>
            <w:fldChar w:fldCharType="separate"/>
          </w:r>
          <w:r>
            <w:rPr>
              <w:rStyle w:val="18"/>
              <w:lang w:eastAsia="zh-Hans"/>
            </w:rPr>
            <w:t>七、相关附件</w:t>
          </w:r>
          <w:r>
            <w:tab/>
          </w:r>
          <w:r>
            <w:fldChar w:fldCharType="begin"/>
          </w:r>
          <w:r>
            <w:instrText xml:space="preserve"> PAGEREF _Toc147673535 \h </w:instrText>
          </w:r>
          <w:r>
            <w:fldChar w:fldCharType="separate"/>
          </w:r>
          <w:r>
            <w:t>28</w:t>
          </w:r>
          <w:r>
            <w:fldChar w:fldCharType="end"/>
          </w:r>
          <w:r>
            <w:fldChar w:fldCharType="end"/>
          </w:r>
        </w:p>
        <w:p>
          <w:pPr>
            <w:ind w:firstLine="420"/>
            <w:rPr>
              <w:rFonts w:ascii="Times New Roman" w:hAnsi="Times New Roman"/>
              <w:color w:val="000000" w:themeColor="text1"/>
              <w14:textFill>
                <w14:solidFill>
                  <w14:schemeClr w14:val="tx1"/>
                </w14:solidFill>
              </w14:textFill>
            </w:rPr>
          </w:pPr>
          <w:r>
            <w:rPr>
              <w:rFonts w:ascii="Times New Roman" w:hAnsi="Times New Roman"/>
              <w:bCs/>
              <w:lang w:val="zh-CN"/>
            </w:rPr>
            <w:fldChar w:fldCharType="end"/>
          </w:r>
        </w:p>
      </w:sdtContent>
    </w:sdt>
    <w:p>
      <w:pPr>
        <w:pStyle w:val="25"/>
        <w:spacing w:before="0" w:after="0"/>
        <w:ind w:firstLine="420"/>
        <w:rPr>
          <w:rFonts w:ascii="Times New Roman" w:hAnsi="Times New Roman"/>
          <w:color w:val="000000" w:themeColor="text1"/>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2268" w:right="1797" w:bottom="1701" w:left="1797" w:header="851" w:footer="992" w:gutter="0"/>
          <w:pgNumType w:start="1"/>
          <w:cols w:space="425" w:num="1"/>
          <w:docGrid w:type="lines" w:linePitch="312" w:charSpace="0"/>
        </w:sectPr>
      </w:pPr>
    </w:p>
    <w:p>
      <w:pPr>
        <w:pStyle w:val="25"/>
        <w:spacing w:before="0" w:after="0"/>
        <w:ind w:firstLine="420"/>
        <w:jc w:val="center"/>
        <w:rPr>
          <w:rFonts w:ascii="Times New Roman" w:hAnsi="Times New Roman"/>
          <w:color w:val="000000" w:themeColor="text1"/>
          <w14:textFill>
            <w14:solidFill>
              <w14:schemeClr w14:val="tx1"/>
            </w14:solidFill>
          </w14:textFill>
        </w:rPr>
      </w:pPr>
      <w:bookmarkStart w:id="0" w:name="_Toc2118676651"/>
      <w:bookmarkStart w:id="1" w:name="_Toc147673513"/>
      <w:r>
        <w:rPr>
          <w:rFonts w:hint="eastAsia" w:ascii="Times New Roman" w:hAnsi="Times New Roman"/>
          <w:color w:val="000000" w:themeColor="text1"/>
          <w14:textFill>
            <w14:solidFill>
              <w14:schemeClr w14:val="tx1"/>
            </w14:solidFill>
          </w14:textFill>
        </w:rPr>
        <w:t>新增储备粮粮权项目</w:t>
      </w:r>
      <w:bookmarkStart w:id="43" w:name="_GoBack"/>
      <w:bookmarkEnd w:id="43"/>
      <w:r>
        <w:rPr>
          <w:rFonts w:hint="eastAsia" w:ascii="Times New Roman" w:hAnsi="Times New Roman"/>
          <w:color w:val="000000" w:themeColor="text1"/>
          <w14:textFill>
            <w14:solidFill>
              <w14:schemeClr w14:val="tx1"/>
            </w14:solidFill>
          </w14:textFill>
        </w:rPr>
        <w:t>绩效评价报告</w:t>
      </w:r>
      <w:bookmarkEnd w:id="0"/>
      <w:bookmarkEnd w:id="1"/>
    </w:p>
    <w:p>
      <w:pPr>
        <w:pStyle w:val="26"/>
        <w:ind w:firstLine="640"/>
      </w:pPr>
    </w:p>
    <w:p>
      <w:pPr>
        <w:pStyle w:val="26"/>
        <w:ind w:firstLine="640"/>
        <w:rPr>
          <w:color w:val="000000" w:themeColor="text1"/>
          <w14:textFill>
            <w14:solidFill>
              <w14:schemeClr w14:val="tx1"/>
            </w14:solidFill>
          </w14:textFill>
        </w:rPr>
      </w:pPr>
      <w:r>
        <w:rPr>
          <w:color w:val="000000" w:themeColor="text1"/>
          <w14:textFill>
            <w14:solidFill>
              <w14:schemeClr w14:val="tx1"/>
            </w14:solidFill>
          </w14:textFill>
        </w:rPr>
        <w:t>为提高财政资金使用效益，合理配置公共财政资源，根据</w:t>
      </w:r>
      <w:r>
        <w:rPr>
          <w:rFonts w:hint="eastAsia" w:cs="仿宋_GB2312"/>
          <w:kern w:val="0"/>
          <w:szCs w:val="32"/>
        </w:rPr>
        <w:t>《</w:t>
      </w:r>
      <w:r>
        <w:rPr>
          <w:rFonts w:hint="eastAsia"/>
          <w:color w:val="000000" w:themeColor="text1"/>
          <w14:textFill>
            <w14:solidFill>
              <w14:schemeClr w14:val="tx1"/>
            </w14:solidFill>
          </w14:textFill>
        </w:rPr>
        <w:t>中共和平区委</w:t>
      </w:r>
      <w:r>
        <w:rPr>
          <w:color w:val="000000" w:themeColor="text1"/>
          <w14:textFill>
            <w14:solidFill>
              <w14:schemeClr w14:val="tx1"/>
            </w14:solidFill>
          </w14:textFill>
        </w:rPr>
        <w:t xml:space="preserve"> 和平区人民政府印发</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关于全面推进预算绩效管理的实施方案</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的通知》</w:t>
      </w:r>
      <w:r>
        <w:rPr>
          <w:rFonts w:hint="eastAsia"/>
          <w:color w:val="000000" w:themeColor="text1"/>
          <w14:textFill>
            <w14:solidFill>
              <w14:schemeClr w14:val="tx1"/>
            </w14:solidFill>
          </w14:textFill>
        </w:rPr>
        <w:t>（津和党发〔</w:t>
      </w:r>
      <w:r>
        <w:rPr>
          <w:color w:val="000000" w:themeColor="text1"/>
          <w14:textFill>
            <w14:solidFill>
              <w14:schemeClr w14:val="tx1"/>
            </w14:solidFill>
          </w14:textFill>
        </w:rPr>
        <w:t>2019〕23号）和《</w:t>
      </w:r>
      <w:r>
        <w:rPr>
          <w:rFonts w:hint="eastAsia"/>
          <w:color w:val="000000" w:themeColor="text1"/>
          <w14:textFill>
            <w14:solidFill>
              <w14:schemeClr w14:val="tx1"/>
            </w14:solidFill>
          </w14:textFill>
        </w:rPr>
        <w:t>和平区项目支出绩效评价管理办法</w:t>
      </w:r>
      <w:r>
        <w:rPr>
          <w:color w:val="000000" w:themeColor="text1"/>
          <w14:textFill>
            <w14:solidFill>
              <w14:schemeClr w14:val="tx1"/>
            </w14:solidFill>
          </w14:textFill>
        </w:rPr>
        <w:t>》等文件要求，天津市</w:t>
      </w:r>
      <w:r>
        <w:rPr>
          <w:rFonts w:hint="eastAsia"/>
          <w:color w:val="000000" w:themeColor="text1"/>
          <w14:textFill>
            <w14:solidFill>
              <w14:schemeClr w14:val="tx1"/>
            </w14:solidFill>
          </w14:textFill>
        </w:rPr>
        <w:t>和平区</w:t>
      </w:r>
      <w:r>
        <w:rPr>
          <w:color w:val="000000" w:themeColor="text1"/>
          <w14:textFill>
            <w14:solidFill>
              <w14:schemeClr w14:val="tx1"/>
            </w14:solidFill>
          </w14:textFill>
        </w:rPr>
        <w:t>财政局</w:t>
      </w:r>
      <w:r>
        <w:rPr>
          <w:rFonts w:hint="eastAsia"/>
          <w:color w:val="000000" w:themeColor="text1"/>
          <w14:textFill>
            <w14:solidFill>
              <w14:schemeClr w14:val="tx1"/>
            </w14:solidFill>
          </w14:textFill>
        </w:rPr>
        <w:t>通过</w:t>
      </w:r>
      <w:r>
        <w:rPr>
          <w:color w:val="000000" w:themeColor="text1"/>
          <w14:textFill>
            <w14:solidFill>
              <w14:schemeClr w14:val="tx1"/>
            </w14:solidFill>
          </w14:textFill>
        </w:rPr>
        <w:t>引入第三方专业机构成立绩效评价组</w:t>
      </w:r>
      <w:r>
        <w:rPr>
          <w:rFonts w:hint="eastAsia"/>
          <w:color w:val="000000" w:themeColor="text1"/>
          <w14:textFill>
            <w14:solidFill>
              <w14:schemeClr w14:val="tx1"/>
            </w14:solidFill>
          </w14:textFill>
        </w:rPr>
        <w:t>的方式</w:t>
      </w:r>
      <w:r>
        <w:rPr>
          <w:color w:val="000000" w:themeColor="text1"/>
          <w14:textFill>
            <w14:solidFill>
              <w14:schemeClr w14:val="tx1"/>
            </w14:solidFill>
          </w14:textFill>
        </w:rPr>
        <w:t>，于</w:t>
      </w:r>
      <w:r>
        <w:rPr>
          <w:rFonts w:hint="eastAsia"/>
          <w:color w:val="000000" w:themeColor="text1"/>
          <w14:textFill>
            <w14:solidFill>
              <w14:schemeClr w14:val="tx1"/>
            </w14:solidFill>
          </w14:textFill>
        </w:rPr>
        <w:t>2023</w:t>
      </w:r>
      <w:r>
        <w:rPr>
          <w:color w:val="000000" w:themeColor="text1"/>
          <w14:textFill>
            <w14:solidFill>
              <w14:schemeClr w14:val="tx1"/>
            </w14:solidFill>
          </w14:textFill>
        </w:rPr>
        <w:t>年</w:t>
      </w:r>
      <w:r>
        <w:rPr>
          <w:rFonts w:hint="eastAsia"/>
          <w:color w:val="000000" w:themeColor="text1"/>
          <w14:textFill>
            <w14:solidFill>
              <w14:schemeClr w14:val="tx1"/>
            </w14:solidFill>
          </w14:textFill>
        </w:rPr>
        <w:t>7</w:t>
      </w:r>
      <w:r>
        <w:rPr>
          <w:color w:val="000000" w:themeColor="text1"/>
          <w14:textFill>
            <w14:solidFill>
              <w14:schemeClr w14:val="tx1"/>
            </w14:solidFill>
          </w14:textFill>
        </w:rPr>
        <w:t>月</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10</w:t>
      </w:r>
      <w:r>
        <w:rPr>
          <w:rFonts w:hint="eastAsia"/>
          <w:color w:val="000000" w:themeColor="text1"/>
          <w14:textFill>
            <w14:solidFill>
              <w14:schemeClr w14:val="tx1"/>
            </w14:solidFill>
          </w14:textFill>
        </w:rPr>
        <w:t>月</w:t>
      </w:r>
      <w:r>
        <w:t>，</w:t>
      </w:r>
      <w:r>
        <w:rPr>
          <w:color w:val="000000" w:themeColor="text1"/>
          <w14:textFill>
            <w14:solidFill>
              <w14:schemeClr w14:val="tx1"/>
            </w14:solidFill>
          </w14:textFill>
        </w:rPr>
        <w:t>对</w:t>
      </w:r>
      <w:r>
        <w:rPr>
          <w:rFonts w:hint="eastAsia"/>
          <w:color w:val="000000" w:themeColor="text1"/>
          <w14:textFill>
            <w14:solidFill>
              <w14:schemeClr w14:val="tx1"/>
            </w14:solidFill>
          </w14:textFill>
        </w:rPr>
        <w:t>天津市和平区发展和改革委员会</w:t>
      </w:r>
      <w:r>
        <w:rPr>
          <w:color w:val="000000" w:themeColor="text1"/>
          <w14:textFill>
            <w14:solidFill>
              <w14:schemeClr w14:val="tx1"/>
            </w14:solidFill>
          </w14:textFill>
        </w:rPr>
        <w:t>的“</w:t>
      </w:r>
      <w:r>
        <w:rPr>
          <w:rFonts w:hint="eastAsia"/>
          <w:color w:val="000000" w:themeColor="text1"/>
          <w14:textFill>
            <w14:solidFill>
              <w14:schemeClr w14:val="tx1"/>
            </w14:solidFill>
          </w14:textFill>
        </w:rPr>
        <w:t>新增储备粮粮权</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项目</w:t>
      </w:r>
      <w:r>
        <w:rPr>
          <w:color w:val="000000" w:themeColor="text1"/>
          <w14:textFill>
            <w14:solidFill>
              <w14:schemeClr w14:val="tx1"/>
            </w14:solidFill>
          </w14:textFill>
        </w:rPr>
        <w:t>开展了绩效评价。该项目评价结果为93分，评价等级为“</w:t>
      </w:r>
      <w:r>
        <w:rPr>
          <w:rFonts w:hint="eastAsia"/>
          <w:color w:val="000000" w:themeColor="text1"/>
          <w14:textFill>
            <w14:solidFill>
              <w14:schemeClr w14:val="tx1"/>
            </w14:solidFill>
          </w14:textFill>
        </w:rPr>
        <w:t>优</w:t>
      </w:r>
      <w:r>
        <w:rPr>
          <w:color w:val="000000" w:themeColor="text1"/>
          <w14:textFill>
            <w14:solidFill>
              <w14:schemeClr w14:val="tx1"/>
            </w14:solidFill>
          </w14:textFill>
        </w:rPr>
        <w:t>”，有关情况如下。</w:t>
      </w:r>
    </w:p>
    <w:p>
      <w:pPr>
        <w:pStyle w:val="29"/>
        <w:spacing w:before="0" w:after="0"/>
      </w:pPr>
      <w:bookmarkStart w:id="2" w:name="_Toc141634997"/>
      <w:bookmarkStart w:id="3" w:name="_Toc147673514"/>
      <w:r>
        <w:rPr>
          <w:rFonts w:hint="eastAsia"/>
        </w:rPr>
        <w:t>一、项目基本情况</w:t>
      </w:r>
      <w:bookmarkEnd w:id="2"/>
      <w:bookmarkEnd w:id="3"/>
    </w:p>
    <w:p>
      <w:pPr>
        <w:pStyle w:val="31"/>
        <w:spacing w:before="0" w:after="0"/>
        <w:ind w:firstLine="640"/>
        <w:rPr>
          <w:rFonts w:ascii="Times New Roman" w:hAnsi="Times New Roman"/>
        </w:rPr>
      </w:pPr>
      <w:bookmarkStart w:id="4" w:name="_Toc147673515"/>
      <w:bookmarkStart w:id="5" w:name="_Toc141634998"/>
      <w:r>
        <w:rPr>
          <w:rFonts w:hint="eastAsia" w:ascii="Times New Roman" w:hAnsi="Times New Roman"/>
        </w:rPr>
        <w:t>（一）项目概况</w:t>
      </w:r>
      <w:bookmarkEnd w:id="4"/>
      <w:bookmarkEnd w:id="5"/>
    </w:p>
    <w:p>
      <w:pPr>
        <w:pStyle w:val="26"/>
        <w:ind w:firstLine="640"/>
      </w:pPr>
      <w:r>
        <w:rPr>
          <w:rFonts w:hint="eastAsia"/>
        </w:rPr>
        <w:t>1.项目背景</w:t>
      </w:r>
    </w:p>
    <w:p>
      <w:pPr>
        <w:pStyle w:val="26"/>
        <w:ind w:firstLine="640"/>
      </w:pPr>
      <w:r>
        <w:rPr>
          <w:rFonts w:hint="eastAsia"/>
        </w:rPr>
        <w:t>粮食事关国运民生，粮食安全是国家安全的重要基础，</w:t>
      </w:r>
      <w:r>
        <w:rPr>
          <w:rFonts w:hint="eastAsia"/>
          <w:shd w:val="clear" w:color="auto" w:fill="FFFFFF"/>
        </w:rPr>
        <w:t>是应对突发事件的基本保障，是国家安全和国家综合实力的重要体现</w:t>
      </w:r>
      <w:r>
        <w:rPr>
          <w:rFonts w:hint="eastAsia"/>
        </w:rPr>
        <w:t>。而粮食储备是保障国家粮食安全的重要物质基础，是保障粮食安全的“压舱石”和“稳压器”，在关键时期能发挥守底线、稳预期、保安全的作用。</w:t>
      </w:r>
    </w:p>
    <w:p>
      <w:pPr>
        <w:pStyle w:val="26"/>
        <w:ind w:firstLine="640"/>
      </w:pPr>
      <w:r>
        <w:rPr>
          <w:rFonts w:hint="eastAsia"/>
        </w:rPr>
        <w:t>2.主要内容</w:t>
      </w:r>
    </w:p>
    <w:p>
      <w:pPr>
        <w:pStyle w:val="26"/>
        <w:ind w:firstLine="640"/>
      </w:pPr>
      <w:r>
        <w:rPr>
          <w:rFonts w:hint="eastAsia"/>
        </w:rPr>
        <w:t>新增储备粮粮权项目主要内容为针对本年新增3</w:t>
      </w:r>
      <w:r>
        <w:t>00</w:t>
      </w:r>
      <w:r>
        <w:rPr>
          <w:rFonts w:hint="eastAsia"/>
        </w:rPr>
        <w:t>吨市级储备小麦粉划转实施接收入库，并按计划开展辖区现有储备粮仓储监督检查工作。</w:t>
      </w:r>
    </w:p>
    <w:p>
      <w:pPr>
        <w:pStyle w:val="26"/>
        <w:ind w:firstLine="640"/>
      </w:pPr>
      <w:r>
        <w:rPr>
          <w:rFonts w:hint="eastAsia"/>
        </w:rPr>
        <w:t>3.项目组织管理</w:t>
      </w:r>
    </w:p>
    <w:p>
      <w:pPr>
        <w:pStyle w:val="26"/>
        <w:ind w:firstLine="640"/>
      </w:pPr>
      <w:r>
        <w:rPr>
          <w:rFonts w:hint="eastAsia"/>
        </w:rPr>
        <w:t>新增储备粮粮权项目主管单位为天津市和平区发展和改革委员会（以下简称“区发改委”），负责增储划转市级储备粮接收与现有储备粮仓储监督检查工作。具体实施单位分别为天津市粮食储备有限公司，负责区级储备粮日常代管工作；中粮利金（天津）粮油股份有限公司静海分公司，负责区级储备粮承储工作。</w:t>
      </w:r>
    </w:p>
    <w:p>
      <w:pPr>
        <w:pStyle w:val="26"/>
        <w:ind w:firstLine="640"/>
      </w:pPr>
      <w:r>
        <w:rPr>
          <w:rFonts w:hint="eastAsia"/>
        </w:rPr>
        <w:t>4.资金投入和使用情况</w:t>
      </w:r>
    </w:p>
    <w:p>
      <w:pPr>
        <w:pStyle w:val="26"/>
        <w:ind w:firstLine="640"/>
      </w:pPr>
      <w:r>
        <w:rPr>
          <w:rFonts w:hint="eastAsia"/>
        </w:rPr>
        <w:t>本项目2022年度资金计划下达金额为</w:t>
      </w:r>
      <w:r>
        <w:t>112.62</w:t>
      </w:r>
      <w:r>
        <w:rPr>
          <w:rFonts w:hint="eastAsia"/>
        </w:rPr>
        <w:t>万元，全部为区级预算资金。截至2022年12月底，实际到位资金为</w:t>
      </w:r>
      <w:r>
        <w:t>112.62</w:t>
      </w:r>
      <w:r>
        <w:rPr>
          <w:rFonts w:hint="eastAsia"/>
        </w:rPr>
        <w:t>万元，资金到位率为100%。项目资金主要用于新增储备粮划转结算费与管理过渡期（2</w:t>
      </w:r>
      <w:r>
        <w:t>022</w:t>
      </w:r>
      <w:r>
        <w:rPr>
          <w:rFonts w:hint="eastAsia"/>
        </w:rPr>
        <w:t>年7月1日至2</w:t>
      </w:r>
      <w:r>
        <w:t>022</w:t>
      </w:r>
      <w:r>
        <w:rPr>
          <w:rFonts w:hint="eastAsia"/>
        </w:rPr>
        <w:t>年1</w:t>
      </w:r>
      <w:r>
        <w:t>2</w:t>
      </w:r>
      <w:r>
        <w:rPr>
          <w:rFonts w:hint="eastAsia"/>
        </w:rPr>
        <w:t>月3</w:t>
      </w:r>
      <w:r>
        <w:t>1</w:t>
      </w:r>
      <w:r>
        <w:rPr>
          <w:rFonts w:hint="eastAsia"/>
        </w:rPr>
        <w:t>日）储存费，截至2022年12月底，项目实际支付资金为</w:t>
      </w:r>
      <w:r>
        <w:t>112.62</w:t>
      </w:r>
      <w:r>
        <w:rPr>
          <w:rFonts w:hint="eastAsia"/>
        </w:rPr>
        <w:t>万元，预算执行率为100%。</w:t>
      </w:r>
    </w:p>
    <w:p>
      <w:pPr>
        <w:pStyle w:val="26"/>
        <w:ind w:firstLine="640"/>
      </w:pPr>
      <w:r>
        <w:rPr>
          <w:rFonts w:hint="eastAsia"/>
        </w:rPr>
        <w:t>资金具体情况见表1：</w:t>
      </w:r>
    </w:p>
    <w:p>
      <w:pPr>
        <w:widowControl/>
        <w:spacing w:line="600" w:lineRule="exact"/>
        <w:ind w:firstLine="0" w:firstLineChars="0"/>
        <w:jc w:val="center"/>
        <w:rPr>
          <w:rFonts w:ascii="Times New Roman" w:hAnsi="Times New Roman" w:eastAsia="黑体" w:cs="Times New Roman"/>
          <w:bCs/>
          <w:sz w:val="28"/>
          <w:szCs w:val="24"/>
        </w:rPr>
      </w:pPr>
      <w:r>
        <w:rPr>
          <w:rFonts w:ascii="Times New Roman" w:hAnsi="Times New Roman" w:eastAsia="黑体" w:cs="Times New Roman"/>
          <w:bCs/>
          <w:sz w:val="28"/>
          <w:szCs w:val="24"/>
        </w:rPr>
        <w:t xml:space="preserve">表1  </w:t>
      </w:r>
      <w:r>
        <w:rPr>
          <w:rFonts w:hint="eastAsia" w:ascii="Times New Roman" w:hAnsi="Times New Roman" w:eastAsia="黑体" w:cs="Times New Roman"/>
          <w:bCs/>
          <w:sz w:val="28"/>
          <w:szCs w:val="24"/>
        </w:rPr>
        <w:t>区级</w:t>
      </w:r>
      <w:r>
        <w:rPr>
          <w:rFonts w:ascii="Times New Roman" w:hAnsi="Times New Roman" w:eastAsia="黑体" w:cs="Times New Roman"/>
          <w:bCs/>
          <w:sz w:val="28"/>
          <w:szCs w:val="24"/>
        </w:rPr>
        <w:t>资金预算执行率情况表</w:t>
      </w:r>
    </w:p>
    <w:p>
      <w:pPr>
        <w:widowControl/>
        <w:spacing w:line="240" w:lineRule="auto"/>
        <w:ind w:firstLine="0" w:firstLineChars="0"/>
        <w:jc w:val="right"/>
        <w:rPr>
          <w:rFonts w:ascii="Times New Roman" w:hAnsi="Times New Roman" w:eastAsia="宋体" w:cs="Times New Roman"/>
          <w:bCs/>
          <w:szCs w:val="18"/>
        </w:rPr>
      </w:pPr>
      <w:r>
        <w:rPr>
          <w:rFonts w:hint="eastAsia" w:ascii="Times New Roman" w:hAnsi="Times New Roman" w:eastAsia="宋体" w:cs="Times New Roman"/>
          <w:bCs/>
          <w:szCs w:val="18"/>
        </w:rPr>
        <w:t>单位：万元</w:t>
      </w:r>
    </w:p>
    <w:tbl>
      <w:tblPr>
        <w:tblStyle w:val="49"/>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422"/>
        <w:gridCol w:w="1422"/>
        <w:gridCol w:w="1421"/>
        <w:gridCol w:w="1421"/>
        <w:gridCol w:w="1421"/>
        <w:gridCol w:w="1421"/>
      </w:tblGrid>
      <w:tr>
        <w:trPr>
          <w:cantSplit/>
          <w:tblHeader/>
          <w:jc w:val="center"/>
        </w:trPr>
        <w:tc>
          <w:tcPr>
            <w:tcW w:w="834" w:type="pct"/>
            <w:vAlign w:val="center"/>
          </w:tcPr>
          <w:p>
            <w:pPr>
              <w:spacing w:line="240" w:lineRule="auto"/>
              <w:ind w:firstLine="0" w:firstLineChars="0"/>
              <w:jc w:val="center"/>
              <w:rPr>
                <w:rFonts w:ascii="Times New Roman" w:hAnsi="Times New Roman" w:eastAsia="黑体" w:cs="Times New Roman"/>
                <w:b/>
              </w:rPr>
            </w:pPr>
            <w:r>
              <w:rPr>
                <w:rFonts w:hint="eastAsia" w:ascii="Times New Roman" w:hAnsi="Times New Roman" w:eastAsia="黑体" w:cs="Times New Roman"/>
                <w:b/>
              </w:rPr>
              <w:t>资金计划</w:t>
            </w:r>
          </w:p>
          <w:p>
            <w:pPr>
              <w:spacing w:line="240" w:lineRule="auto"/>
              <w:ind w:firstLine="0" w:firstLineChars="0"/>
              <w:jc w:val="center"/>
              <w:rPr>
                <w:rFonts w:ascii="Times New Roman" w:hAnsi="Times New Roman" w:eastAsia="黑体" w:cs="Times New Roman"/>
                <w:b/>
              </w:rPr>
            </w:pPr>
            <w:r>
              <w:rPr>
                <w:rFonts w:hint="eastAsia" w:ascii="Times New Roman" w:hAnsi="Times New Roman" w:eastAsia="黑体" w:cs="Times New Roman"/>
                <w:b/>
              </w:rPr>
              <w:t>下达时间</w:t>
            </w:r>
          </w:p>
        </w:tc>
        <w:tc>
          <w:tcPr>
            <w:tcW w:w="834" w:type="pct"/>
            <w:vAlign w:val="center"/>
          </w:tcPr>
          <w:p>
            <w:pPr>
              <w:spacing w:line="240" w:lineRule="auto"/>
              <w:ind w:firstLine="0" w:firstLineChars="0"/>
              <w:jc w:val="center"/>
              <w:rPr>
                <w:rFonts w:ascii="Times New Roman" w:hAnsi="Times New Roman" w:eastAsia="黑体" w:cs="Times New Roman"/>
                <w:b/>
              </w:rPr>
            </w:pPr>
            <w:r>
              <w:rPr>
                <w:rFonts w:hint="eastAsia" w:ascii="Times New Roman" w:hAnsi="Times New Roman" w:eastAsia="黑体" w:cs="Times New Roman"/>
                <w:b/>
              </w:rPr>
              <w:t>资金计划</w:t>
            </w:r>
          </w:p>
          <w:p>
            <w:pPr>
              <w:spacing w:line="240" w:lineRule="auto"/>
              <w:ind w:firstLine="0" w:firstLineChars="0"/>
              <w:jc w:val="center"/>
              <w:rPr>
                <w:rFonts w:ascii="Times New Roman" w:hAnsi="Times New Roman" w:eastAsia="黑体" w:cs="Times New Roman"/>
                <w:b/>
              </w:rPr>
            </w:pPr>
            <w:r>
              <w:rPr>
                <w:rFonts w:hint="eastAsia" w:ascii="Times New Roman" w:hAnsi="Times New Roman" w:eastAsia="黑体" w:cs="Times New Roman"/>
                <w:b/>
              </w:rPr>
              <w:t>下达金额</w:t>
            </w:r>
          </w:p>
        </w:tc>
        <w:tc>
          <w:tcPr>
            <w:tcW w:w="833" w:type="pct"/>
            <w:vAlign w:val="center"/>
          </w:tcPr>
          <w:p>
            <w:pPr>
              <w:spacing w:line="240" w:lineRule="auto"/>
              <w:ind w:firstLine="0" w:firstLineChars="0"/>
              <w:jc w:val="center"/>
              <w:rPr>
                <w:rFonts w:ascii="Times New Roman" w:hAnsi="Times New Roman" w:eastAsia="黑体" w:cs="Times New Roman"/>
                <w:b/>
              </w:rPr>
            </w:pPr>
            <w:r>
              <w:rPr>
                <w:rFonts w:hint="eastAsia" w:ascii="Times New Roman" w:hAnsi="Times New Roman" w:eastAsia="黑体" w:cs="Times New Roman"/>
                <w:b/>
              </w:rPr>
              <w:t>实际到位</w:t>
            </w:r>
          </w:p>
          <w:p>
            <w:pPr>
              <w:spacing w:line="240" w:lineRule="auto"/>
              <w:ind w:firstLine="0" w:firstLineChars="0"/>
              <w:jc w:val="center"/>
              <w:rPr>
                <w:rFonts w:ascii="Times New Roman" w:hAnsi="Times New Roman" w:eastAsia="黑体" w:cs="Times New Roman"/>
                <w:b/>
              </w:rPr>
            </w:pPr>
            <w:r>
              <w:rPr>
                <w:rFonts w:hint="eastAsia" w:ascii="Times New Roman" w:hAnsi="Times New Roman" w:eastAsia="黑体" w:cs="Times New Roman"/>
                <w:b/>
              </w:rPr>
              <w:t>资金</w:t>
            </w:r>
          </w:p>
        </w:tc>
        <w:tc>
          <w:tcPr>
            <w:tcW w:w="833" w:type="pct"/>
            <w:vAlign w:val="center"/>
          </w:tcPr>
          <w:p>
            <w:pPr>
              <w:spacing w:line="240" w:lineRule="auto"/>
              <w:ind w:firstLine="0" w:firstLineChars="0"/>
              <w:jc w:val="center"/>
              <w:rPr>
                <w:rFonts w:ascii="Times New Roman" w:hAnsi="Times New Roman" w:eastAsia="黑体" w:cs="Times New Roman"/>
                <w:b/>
              </w:rPr>
            </w:pPr>
            <w:r>
              <w:rPr>
                <w:rFonts w:hint="eastAsia" w:ascii="Times New Roman" w:hAnsi="Times New Roman" w:eastAsia="黑体" w:cs="Times New Roman"/>
                <w:b/>
              </w:rPr>
              <w:t>资金到位率</w:t>
            </w:r>
          </w:p>
        </w:tc>
        <w:tc>
          <w:tcPr>
            <w:tcW w:w="833" w:type="pct"/>
            <w:vAlign w:val="center"/>
          </w:tcPr>
          <w:p>
            <w:pPr>
              <w:spacing w:line="240" w:lineRule="auto"/>
              <w:ind w:firstLine="0" w:firstLineChars="0"/>
              <w:jc w:val="center"/>
              <w:rPr>
                <w:rFonts w:ascii="Times New Roman" w:hAnsi="Times New Roman" w:eastAsia="黑体" w:cs="Times New Roman"/>
                <w:b/>
              </w:rPr>
            </w:pPr>
            <w:r>
              <w:rPr>
                <w:rFonts w:hint="eastAsia" w:ascii="Times New Roman" w:hAnsi="Times New Roman" w:eastAsia="黑体" w:cs="Times New Roman"/>
                <w:b/>
              </w:rPr>
              <w:t>实际支付</w:t>
            </w:r>
          </w:p>
          <w:p>
            <w:pPr>
              <w:spacing w:line="240" w:lineRule="auto"/>
              <w:ind w:firstLine="0" w:firstLineChars="0"/>
              <w:jc w:val="center"/>
              <w:rPr>
                <w:rFonts w:ascii="Times New Roman" w:hAnsi="Times New Roman" w:eastAsia="黑体" w:cs="Times New Roman"/>
                <w:b/>
              </w:rPr>
            </w:pPr>
            <w:r>
              <w:rPr>
                <w:rFonts w:hint="eastAsia" w:ascii="Times New Roman" w:hAnsi="Times New Roman" w:eastAsia="黑体" w:cs="Times New Roman"/>
                <w:b/>
              </w:rPr>
              <w:t>资金</w:t>
            </w:r>
          </w:p>
        </w:tc>
        <w:tc>
          <w:tcPr>
            <w:tcW w:w="833" w:type="pct"/>
            <w:vAlign w:val="center"/>
          </w:tcPr>
          <w:p>
            <w:pPr>
              <w:spacing w:line="240" w:lineRule="auto"/>
              <w:ind w:firstLine="0" w:firstLineChars="0"/>
              <w:jc w:val="center"/>
              <w:rPr>
                <w:rFonts w:ascii="Times New Roman" w:hAnsi="Times New Roman" w:eastAsia="黑体" w:cs="Times New Roman"/>
                <w:b/>
              </w:rPr>
            </w:pPr>
            <w:r>
              <w:rPr>
                <w:rFonts w:hint="eastAsia" w:ascii="Times New Roman" w:hAnsi="Times New Roman" w:eastAsia="黑体" w:cs="Times New Roman"/>
                <w:b/>
              </w:rPr>
              <w:t>预算执行率</w:t>
            </w:r>
          </w:p>
        </w:tc>
      </w:tr>
      <w:tr>
        <w:trPr>
          <w:cantSplit/>
          <w:trHeight w:val="454" w:hRule="atLeast"/>
          <w:jc w:val="center"/>
        </w:trPr>
        <w:tc>
          <w:tcPr>
            <w:tcW w:w="834" w:type="pct"/>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022</w:t>
            </w:r>
            <w:r>
              <w:rPr>
                <w:rFonts w:hint="eastAsia" w:ascii="Times New Roman" w:hAnsi="Times New Roman" w:eastAsia="宋体" w:cs="Times New Roman"/>
              </w:rPr>
              <w:t>年</w:t>
            </w:r>
          </w:p>
        </w:tc>
        <w:tc>
          <w:tcPr>
            <w:tcW w:w="834" w:type="pct"/>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12.62</w:t>
            </w:r>
          </w:p>
        </w:tc>
        <w:tc>
          <w:tcPr>
            <w:tcW w:w="833" w:type="pct"/>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12.62</w:t>
            </w:r>
          </w:p>
        </w:tc>
        <w:tc>
          <w:tcPr>
            <w:tcW w:w="833" w:type="pct"/>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00%</w:t>
            </w:r>
          </w:p>
        </w:tc>
        <w:tc>
          <w:tcPr>
            <w:tcW w:w="833" w:type="pct"/>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12.62</w:t>
            </w:r>
          </w:p>
        </w:tc>
        <w:tc>
          <w:tcPr>
            <w:tcW w:w="833" w:type="pct"/>
            <w:vAlign w:val="center"/>
          </w:tcPr>
          <w:p>
            <w:pPr>
              <w:ind w:firstLine="0" w:firstLineChars="0"/>
              <w:jc w:val="cente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00%</w:t>
            </w:r>
          </w:p>
        </w:tc>
      </w:tr>
    </w:tbl>
    <w:p>
      <w:pPr>
        <w:pStyle w:val="31"/>
        <w:spacing w:before="0" w:after="0"/>
        <w:ind w:firstLine="640"/>
        <w:rPr>
          <w:rFonts w:ascii="Times New Roman" w:hAnsi="Times New Roman"/>
        </w:rPr>
      </w:pPr>
      <w:bookmarkStart w:id="6" w:name="_Toc141634999"/>
      <w:bookmarkStart w:id="7" w:name="_Toc147673516"/>
      <w:r>
        <w:rPr>
          <w:rFonts w:hint="eastAsia" w:ascii="Times New Roman" w:hAnsi="Times New Roman"/>
        </w:rPr>
        <w:t>（二）项目绩效目标</w:t>
      </w:r>
      <w:bookmarkEnd w:id="6"/>
      <w:bookmarkEnd w:id="7"/>
    </w:p>
    <w:p>
      <w:pPr>
        <w:pStyle w:val="26"/>
        <w:ind w:firstLine="640"/>
      </w:pPr>
      <w:r>
        <w:rPr>
          <w:rFonts w:hint="eastAsia"/>
        </w:rPr>
        <w:t>新增储备粮粮权项目绩效目标为“足额缴纳了和平区成品储备粮仓储费用，完成了储备面粉</w:t>
      </w:r>
      <w:r>
        <w:t>300吨</w:t>
      </w:r>
      <w:r>
        <w:rPr>
          <w:rFonts w:hint="eastAsia"/>
          <w:lang w:eastAsia="zh-CN"/>
        </w:rPr>
        <w:t>，</w:t>
      </w:r>
      <w:r>
        <w:t>确保了和平区成品储备粮安全可靠，动态轮换，常储常新，维护了市场价格稳定</w:t>
      </w:r>
      <w:r>
        <w:rPr>
          <w:rFonts w:hint="eastAsia"/>
        </w:rPr>
        <w:t>”。</w:t>
      </w:r>
    </w:p>
    <w:p>
      <w:pPr>
        <w:pStyle w:val="29"/>
        <w:spacing w:before="0" w:after="0"/>
      </w:pPr>
      <w:bookmarkStart w:id="8" w:name="_Toc141635000"/>
      <w:bookmarkStart w:id="9" w:name="_Toc147673517"/>
      <w:r>
        <w:rPr>
          <w:rFonts w:hint="eastAsia"/>
        </w:rPr>
        <w:t>二、绩效评价工作开展情况</w:t>
      </w:r>
      <w:bookmarkEnd w:id="8"/>
      <w:bookmarkEnd w:id="9"/>
    </w:p>
    <w:p>
      <w:pPr>
        <w:pStyle w:val="31"/>
        <w:spacing w:before="0" w:after="0"/>
        <w:ind w:firstLine="640"/>
        <w:rPr>
          <w:rFonts w:ascii="Times New Roman" w:hAnsi="Times New Roman"/>
        </w:rPr>
      </w:pPr>
      <w:bookmarkStart w:id="10" w:name="_Toc147673518"/>
      <w:bookmarkStart w:id="11" w:name="_Toc141635001"/>
      <w:r>
        <w:rPr>
          <w:rFonts w:hint="eastAsia" w:ascii="Times New Roman" w:hAnsi="Times New Roman"/>
        </w:rPr>
        <w:t>（一）绩效评价的目的、对象和范围</w:t>
      </w:r>
      <w:bookmarkEnd w:id="10"/>
      <w:bookmarkEnd w:id="11"/>
    </w:p>
    <w:p>
      <w:pPr>
        <w:pStyle w:val="26"/>
        <w:ind w:firstLine="640"/>
      </w:pPr>
      <w:r>
        <w:rPr>
          <w:rFonts w:hint="eastAsia"/>
        </w:rPr>
        <w:t>1.绩效评价目的</w:t>
      </w:r>
    </w:p>
    <w:p>
      <w:pPr>
        <w:pStyle w:val="26"/>
        <w:ind w:firstLine="640"/>
      </w:pPr>
      <w:r>
        <w:rPr>
          <w:rFonts w:hint="eastAsia"/>
        </w:rPr>
        <w:t>本次评价以《财政部关于印发〈项目支出绩效评价管理办法〉的通知》（财预〔2020〕10号）《中共天津市委</w:t>
      </w:r>
      <w:r>
        <w:t xml:space="preserve"> 天津市人民政府印发〈关于全面推进预算绩效管理的实施方案〉的通知》（津党发〔2019〕25号）</w:t>
      </w:r>
      <w:r>
        <w:rPr>
          <w:rFonts w:hint="eastAsia"/>
        </w:rPr>
        <w:t>《天津市财政局关于印发</w:t>
      </w:r>
      <w:r>
        <w:t>〈</w:t>
      </w:r>
      <w:r>
        <w:rPr>
          <w:rFonts w:hint="eastAsia"/>
        </w:rPr>
        <w:t>全面推进预算绩效管理工作落实方案</w:t>
      </w:r>
      <w:r>
        <w:t>〉</w:t>
      </w:r>
      <w:r>
        <w:rPr>
          <w:rFonts w:hint="eastAsia"/>
        </w:rPr>
        <w:t>的通知</w:t>
      </w:r>
      <w:r>
        <w:t>》（津</w:t>
      </w:r>
      <w:r>
        <w:rPr>
          <w:rFonts w:hint="eastAsia"/>
        </w:rPr>
        <w:t>财绩效</w:t>
      </w:r>
      <w:r>
        <w:t>〔2020〕10号）</w:t>
      </w:r>
      <w:r>
        <w:rPr>
          <w:rFonts w:hint="eastAsia"/>
        </w:rPr>
        <w:t>《天津市人民政府办公厅关于转发市财政局拟定的天津市市级财政专项资金管理暂行办法的通知》（津政办发〔2015〕63号）《天津市市级财政项目支出绩效评价管理办法》（津财绩效〔2020〕12号）《中共和平区委</w:t>
      </w:r>
      <w:r>
        <w:t xml:space="preserve"> 和平区人民政府印发〈关于全面推进预算绩效管理的实施方案〉的通知》（津和党发〔2019〕23号）</w:t>
      </w:r>
      <w:r>
        <w:rPr>
          <w:rFonts w:hint="eastAsia"/>
        </w:rPr>
        <w:t>《和平区项目支出绩效评价管理办法》等文件为依据，对新增储备粮粮权项目财政专项资金使用绩效情况进行评价。开展此次评价工作的目的在于：</w:t>
      </w:r>
    </w:p>
    <w:p>
      <w:pPr>
        <w:spacing w:line="600" w:lineRule="exact"/>
        <w:ind w:firstLine="640"/>
        <w:rPr>
          <w:rFonts w:ascii="Times New Roman" w:hAnsi="Times New Roman" w:eastAsia="仿宋_GB2312"/>
          <w:sz w:val="32"/>
        </w:rPr>
      </w:pPr>
      <w:r>
        <w:rPr>
          <w:rFonts w:hint="eastAsia" w:ascii="Times New Roman" w:hAnsi="Times New Roman" w:eastAsia="仿宋_GB2312"/>
          <w:sz w:val="32"/>
        </w:rPr>
        <w:t>（1）通过本项目的实施情况进行核实评价，了解掌握项目的实施情况。</w:t>
      </w:r>
    </w:p>
    <w:p>
      <w:pPr>
        <w:spacing w:line="600" w:lineRule="exact"/>
        <w:ind w:firstLine="640"/>
        <w:rPr>
          <w:rFonts w:ascii="Times New Roman" w:hAnsi="Times New Roman" w:eastAsia="仿宋_GB2312"/>
          <w:sz w:val="32"/>
        </w:rPr>
      </w:pPr>
      <w:r>
        <w:rPr>
          <w:rFonts w:hint="eastAsia" w:ascii="Times New Roman" w:hAnsi="Times New Roman" w:eastAsia="仿宋_GB2312"/>
          <w:sz w:val="32"/>
        </w:rPr>
        <w:t>（2）根据项目实施的具体情况，评价其项目资金安排的科学性、合理性、规范性，完善项目管理办法，提高项目管理水平和资金的使用效率。</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（3）本次从决策、过程、产出、效益四个方面对</w:t>
      </w:r>
      <w:r>
        <w:rPr>
          <w:rFonts w:hint="eastAsia" w:ascii="Times New Roman" w:hAnsi="Times New Roman" w:eastAsia="仿宋_GB2312"/>
          <w:color w:val="030303"/>
          <w:sz w:val="32"/>
          <w:szCs w:val="32"/>
          <w:shd w:val="clear" w:color="auto" w:fill="FFFFFF"/>
        </w:rPr>
        <w:t>社区矫正工作经费</w:t>
      </w:r>
      <w:r>
        <w:rPr>
          <w:rFonts w:hint="eastAsia" w:ascii="Times New Roman" w:hAnsi="Times New Roman" w:eastAsia="仿宋_GB2312"/>
          <w:sz w:val="32"/>
        </w:rPr>
        <w:t>项目进行客观、公正的评价；总结项目管理与执行经验，发现项目管理和预算管理中存在的问题，提出改进意见和建议，为相关部门决策、管理提供参考依据，推动建立以绩效评价结果为导向的财政资金分配与管理制度。</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（4）进一步丰富和完善本项目绩效评价方法体系，推动建立以绩效评价结果为导向的财政资金分配与管理制度，提升财政资金科学化、精细化管理水平，为新增储备粮粮权项目专项资金的安排提供重要依据。</w:t>
      </w:r>
    </w:p>
    <w:p>
      <w:pPr>
        <w:pStyle w:val="26"/>
        <w:ind w:firstLine="640"/>
      </w:pPr>
      <w:r>
        <w:rPr>
          <w:rFonts w:hint="eastAsia"/>
        </w:rPr>
        <w:t>2.绩效评价对象和范围</w:t>
      </w:r>
    </w:p>
    <w:p>
      <w:pPr>
        <w:pStyle w:val="26"/>
        <w:ind w:firstLine="640"/>
      </w:pPr>
      <w:r>
        <w:rPr>
          <w:rFonts w:hint="eastAsia"/>
        </w:rPr>
        <w:t>本次绩效评价针对区发改委</w:t>
      </w:r>
      <w:r>
        <w:t>新增储备粮粮权项目</w:t>
      </w:r>
      <w:r>
        <w:rPr>
          <w:rFonts w:hint="eastAsia"/>
        </w:rPr>
        <w:t>展开，主要评价内容及范围如下：</w:t>
      </w:r>
    </w:p>
    <w:p>
      <w:pPr>
        <w:pStyle w:val="26"/>
        <w:ind w:firstLine="640"/>
      </w:pPr>
      <w:r>
        <w:rPr>
          <w:rFonts w:hint="eastAsia"/>
        </w:rPr>
        <w:t>（</w:t>
      </w:r>
      <w:r>
        <w:t>1）立项依据和立项程序情况；</w:t>
      </w:r>
    </w:p>
    <w:p>
      <w:pPr>
        <w:pStyle w:val="26"/>
        <w:ind w:firstLine="640"/>
      </w:pPr>
      <w:r>
        <w:rPr>
          <w:rFonts w:hint="eastAsia"/>
        </w:rPr>
        <w:t>（</w:t>
      </w:r>
      <w:r>
        <w:t>2）绩效目标和指标设定情况；</w:t>
      </w:r>
    </w:p>
    <w:p>
      <w:pPr>
        <w:pStyle w:val="26"/>
        <w:ind w:firstLine="640"/>
      </w:pPr>
      <w:r>
        <w:rPr>
          <w:rFonts w:hint="eastAsia"/>
        </w:rPr>
        <w:t>（</w:t>
      </w:r>
      <w:r>
        <w:t>3）预算编制和资金分配情况；</w:t>
      </w:r>
    </w:p>
    <w:p>
      <w:pPr>
        <w:pStyle w:val="26"/>
        <w:ind w:firstLine="640"/>
      </w:pPr>
      <w:r>
        <w:rPr>
          <w:rFonts w:hint="eastAsia"/>
        </w:rPr>
        <w:t>（</w:t>
      </w:r>
      <w:r>
        <w:t>4）资金管理和使用情况；</w:t>
      </w:r>
    </w:p>
    <w:p>
      <w:pPr>
        <w:pStyle w:val="26"/>
        <w:ind w:firstLine="640"/>
      </w:pPr>
      <w:r>
        <w:rPr>
          <w:rFonts w:hint="eastAsia"/>
        </w:rPr>
        <w:t>（</w:t>
      </w:r>
      <w:r>
        <w:t>5）相关制度办法的健全性及执行情况；</w:t>
      </w:r>
    </w:p>
    <w:p>
      <w:pPr>
        <w:pStyle w:val="26"/>
        <w:ind w:firstLine="640"/>
      </w:pPr>
      <w:r>
        <w:rPr>
          <w:rFonts w:hint="eastAsia"/>
        </w:rPr>
        <w:t>（</w:t>
      </w:r>
      <w:r>
        <w:t>6）实现的产出情况；</w:t>
      </w:r>
    </w:p>
    <w:p>
      <w:pPr>
        <w:pStyle w:val="26"/>
        <w:ind w:firstLine="640"/>
      </w:pPr>
      <w:r>
        <w:rPr>
          <w:rFonts w:hint="eastAsia"/>
        </w:rPr>
        <w:t>（</w:t>
      </w:r>
      <w:r>
        <w:t>7）取得的效益情况；</w:t>
      </w:r>
    </w:p>
    <w:p>
      <w:pPr>
        <w:pStyle w:val="26"/>
        <w:ind w:firstLine="640"/>
      </w:pPr>
      <w:r>
        <w:rPr>
          <w:rFonts w:hint="eastAsia"/>
        </w:rPr>
        <w:t>（</w:t>
      </w:r>
      <w:r>
        <w:t>8）其他相关内容。</w:t>
      </w:r>
    </w:p>
    <w:p>
      <w:pPr>
        <w:pStyle w:val="31"/>
        <w:spacing w:before="0" w:after="0"/>
        <w:ind w:firstLine="640"/>
        <w:rPr>
          <w:rFonts w:ascii="Times New Roman" w:hAnsi="Times New Roman"/>
        </w:rPr>
      </w:pPr>
      <w:bookmarkStart w:id="12" w:name="_Toc147673519"/>
      <w:bookmarkStart w:id="13" w:name="_Toc141635002"/>
      <w:r>
        <w:rPr>
          <w:rFonts w:hint="eastAsia" w:ascii="Times New Roman" w:hAnsi="Times New Roman"/>
        </w:rPr>
        <w:t>（二）</w:t>
      </w:r>
      <w:r>
        <w:rPr>
          <w:rFonts w:ascii="Times New Roman" w:hAnsi="Times New Roman"/>
        </w:rPr>
        <w:t>绩效评价</w:t>
      </w:r>
      <w:r>
        <w:rPr>
          <w:rFonts w:hint="eastAsia" w:ascii="Times New Roman" w:hAnsi="Times New Roman"/>
        </w:rPr>
        <w:t>原则、评价指标体系、评价方法</w:t>
      </w:r>
      <w:bookmarkEnd w:id="12"/>
      <w:bookmarkEnd w:id="13"/>
    </w:p>
    <w:p>
      <w:pPr>
        <w:pStyle w:val="26"/>
        <w:ind w:firstLine="640"/>
      </w:pPr>
      <w:r>
        <w:t>1.绩效评价原则</w:t>
      </w:r>
    </w:p>
    <w:p>
      <w:pPr>
        <w:pStyle w:val="26"/>
        <w:ind w:firstLine="640"/>
      </w:pPr>
      <w:r>
        <w:rPr>
          <w:rFonts w:hint="eastAsia"/>
        </w:rPr>
        <w:t>（</w:t>
      </w:r>
      <w:r>
        <w:t>1）坚持科学规范的原则。此次绩效评价运用科学合理的评价指标体系和方法，按照规范的程序，对支出绩效进行客观、公正的反映。</w:t>
      </w:r>
    </w:p>
    <w:p>
      <w:pPr>
        <w:pStyle w:val="26"/>
        <w:ind w:firstLine="640"/>
      </w:pPr>
      <w:r>
        <w:rPr>
          <w:rFonts w:hint="eastAsia"/>
        </w:rPr>
        <w:t>（</w:t>
      </w:r>
      <w:r>
        <w:t>2</w:t>
      </w:r>
      <w:r>
        <w:rPr>
          <w:rFonts w:hint="eastAsia"/>
        </w:rPr>
        <w:t>）坚持统筹兼顾的原则。此次评价委托第三方机构在单位自评的基础上开展。</w:t>
      </w:r>
    </w:p>
    <w:p>
      <w:pPr>
        <w:pStyle w:val="26"/>
        <w:ind w:firstLine="640"/>
      </w:pPr>
      <w:r>
        <w:rPr>
          <w:rFonts w:hint="eastAsia"/>
        </w:rPr>
        <w:t>（</w:t>
      </w:r>
      <w:r>
        <w:t>3</w:t>
      </w:r>
      <w:r>
        <w:rPr>
          <w:rFonts w:hint="eastAsia"/>
        </w:rPr>
        <w:t>）坚持激励约束的原则。本次绩效评价结果可以作为预算安排、政策调整、改进管理的参考，绩效评价工作将体现奖优罚劣和激励相容导向，有效要安排、低效要压减、无效要问责。</w:t>
      </w:r>
    </w:p>
    <w:p>
      <w:pPr>
        <w:pStyle w:val="26"/>
        <w:ind w:firstLine="640"/>
      </w:pPr>
      <w:r>
        <w:rPr>
          <w:rFonts w:hint="eastAsia"/>
        </w:rPr>
        <w:t>（</w:t>
      </w:r>
      <w:r>
        <w:t>4</w:t>
      </w:r>
      <w:r>
        <w:rPr>
          <w:rFonts w:hint="eastAsia"/>
        </w:rPr>
        <w:t>）坚持公开透明的原则。承诺绩效评价结果依法依规公开，自觉接受有关机构和社会监督。</w:t>
      </w:r>
    </w:p>
    <w:p>
      <w:pPr>
        <w:pStyle w:val="26"/>
        <w:ind w:firstLine="640"/>
      </w:pPr>
      <w:r>
        <w:rPr>
          <w:rFonts w:hint="eastAsia"/>
        </w:rPr>
        <w:t>（</w:t>
      </w:r>
      <w:r>
        <w:t>5）坚持综合绩效评价，定量分析与定性分析相结合的原则。</w:t>
      </w:r>
    </w:p>
    <w:p>
      <w:pPr>
        <w:pStyle w:val="26"/>
        <w:ind w:firstLine="640"/>
      </w:pPr>
      <w:r>
        <w:rPr>
          <w:rFonts w:hint="eastAsia"/>
        </w:rPr>
        <w:t>（</w:t>
      </w:r>
      <w:r>
        <w:t>6）坚持绩效相关性原则。此次绩效评价将针对具体支出及其产出绩效进行，评价结果将清晰反映支出和产出绩效之间的紧密对应关系。</w:t>
      </w:r>
    </w:p>
    <w:p>
      <w:pPr>
        <w:pStyle w:val="26"/>
        <w:ind w:firstLine="640"/>
      </w:pPr>
      <w:r>
        <w:rPr>
          <w:rFonts w:hint="eastAsia"/>
        </w:rPr>
        <w:t>2.评价指标体系</w:t>
      </w:r>
    </w:p>
    <w:p>
      <w:pPr>
        <w:pStyle w:val="26"/>
        <w:ind w:firstLine="640"/>
      </w:pPr>
      <w:r>
        <w:rPr>
          <w:rFonts w:hint="eastAsia"/>
        </w:rPr>
        <w:t>针对</w:t>
      </w:r>
      <w:r>
        <w:t>新增储备粮粮权项目</w:t>
      </w:r>
      <w:r>
        <w:rPr>
          <w:rFonts w:hint="eastAsia"/>
        </w:rPr>
        <w:t>情况，从决策、过程、产出及效益四大方面拟定绩效评价指标，其中：</w:t>
      </w:r>
    </w:p>
    <w:p>
      <w:pPr>
        <w:pStyle w:val="26"/>
        <w:ind w:firstLine="640"/>
      </w:pPr>
      <w:r>
        <w:rPr>
          <w:rFonts w:hint="eastAsia"/>
        </w:rPr>
        <w:t>（</w:t>
      </w:r>
      <w:r>
        <w:t>1）项目决策指标</w:t>
      </w:r>
    </w:p>
    <w:p>
      <w:pPr>
        <w:pStyle w:val="26"/>
        <w:ind w:firstLine="640"/>
      </w:pPr>
      <w:r>
        <w:rPr>
          <w:rFonts w:hint="eastAsia"/>
        </w:rPr>
        <w:t>①项目立项</w:t>
      </w:r>
    </w:p>
    <w:p>
      <w:pPr>
        <w:pStyle w:val="26"/>
        <w:ind w:firstLine="640"/>
      </w:pPr>
      <w:r>
        <w:t>a.立项依据充分性。</w:t>
      </w:r>
      <w:r>
        <w:rPr>
          <w:rFonts w:hint="eastAsia"/>
        </w:rPr>
        <w:t>项目立项是否符合法律法规、相关政策、发展规划以及部门职责，用于反映和考核项目立项依据情况。</w:t>
      </w:r>
    </w:p>
    <w:p>
      <w:pPr>
        <w:pStyle w:val="26"/>
        <w:ind w:firstLine="640"/>
      </w:pPr>
      <w:r>
        <w:t>b.立项程序规范性。项目申请、设立过程是否符合相关要求，用以反映和考核项目立项的规范情况。</w:t>
      </w:r>
    </w:p>
    <w:p>
      <w:pPr>
        <w:pStyle w:val="26"/>
        <w:ind w:firstLine="640"/>
      </w:pPr>
      <w:r>
        <w:rPr>
          <w:rFonts w:hint="eastAsia"/>
        </w:rPr>
        <w:t>②绩效目标</w:t>
      </w:r>
    </w:p>
    <w:p>
      <w:pPr>
        <w:pStyle w:val="26"/>
        <w:ind w:firstLine="640"/>
      </w:pPr>
      <w:r>
        <w:t>a.</w:t>
      </w:r>
      <w:r>
        <w:rPr>
          <w:rFonts w:hint="eastAsia"/>
        </w:rPr>
        <w:t>绩效目标明确性</w:t>
      </w:r>
      <w:r>
        <w:t>。</w:t>
      </w:r>
      <w:r>
        <w:rPr>
          <w:rFonts w:hint="eastAsia"/>
        </w:rPr>
        <w:t>依据绩效目标设定的绩效指标是否清晰、细化、可衡量等，用以反映和考核项目绩效目标的明细化情况。</w:t>
      </w:r>
    </w:p>
    <w:p>
      <w:pPr>
        <w:pStyle w:val="26"/>
        <w:ind w:firstLine="640"/>
      </w:pPr>
      <w:r>
        <w:t>b.绩效目标</w:t>
      </w:r>
      <w:r>
        <w:rPr>
          <w:rFonts w:hint="eastAsia"/>
        </w:rPr>
        <w:t>合理</w:t>
      </w:r>
      <w:r>
        <w:t>性。</w:t>
      </w:r>
      <w:r>
        <w:rPr>
          <w:rFonts w:hint="eastAsia"/>
        </w:rPr>
        <w:t>项目所设定的绩效目标是否依据充分，是否符合客观实际，用以反映和考核项目绩效目标与项目实施的相符情况。</w:t>
      </w:r>
    </w:p>
    <w:p>
      <w:pPr>
        <w:pStyle w:val="26"/>
        <w:ind w:firstLine="640"/>
      </w:pPr>
      <w:r>
        <w:rPr>
          <w:rFonts w:hint="eastAsia"/>
        </w:rPr>
        <w:t>③测算编制</w:t>
      </w:r>
    </w:p>
    <w:p>
      <w:pPr>
        <w:pStyle w:val="26"/>
        <w:ind w:firstLine="640"/>
      </w:pPr>
      <w:r>
        <w:t>a.</w:t>
      </w:r>
      <w:r>
        <w:rPr>
          <w:rFonts w:hint="eastAsia"/>
        </w:rPr>
        <w:t>测</w:t>
      </w:r>
      <w:r>
        <w:t>算</w:t>
      </w:r>
      <w:r>
        <w:rPr>
          <w:rFonts w:hint="eastAsia"/>
        </w:rPr>
        <w:t>内容合规</w:t>
      </w:r>
      <w:r>
        <w:t>性。</w:t>
      </w:r>
      <w:r>
        <w:rPr>
          <w:rFonts w:hint="eastAsia"/>
        </w:rPr>
        <w:t>项目预算测算内容是否符合相关政策文件规定范围。</w:t>
      </w:r>
    </w:p>
    <w:p>
      <w:pPr>
        <w:pStyle w:val="26"/>
        <w:ind w:firstLine="640"/>
      </w:pPr>
      <w:r>
        <w:t>b.</w:t>
      </w:r>
      <w:r>
        <w:rPr>
          <w:rFonts w:hint="eastAsia"/>
        </w:rPr>
        <w:t>测算标准合理性</w:t>
      </w:r>
      <w:r>
        <w:t>。</w:t>
      </w:r>
      <w:r>
        <w:rPr>
          <w:rFonts w:hint="eastAsia"/>
        </w:rPr>
        <w:t>项目预算测算项目支出标准是否符合相关政策制度或行业、领域规定。</w:t>
      </w:r>
    </w:p>
    <w:p>
      <w:pPr>
        <w:pStyle w:val="26"/>
        <w:ind w:firstLine="640"/>
      </w:pPr>
      <w:r>
        <w:t>c.</w:t>
      </w:r>
      <w:r>
        <w:rPr>
          <w:rFonts w:hint="eastAsia"/>
        </w:rPr>
        <w:t>测算数据客观性。项目预算测算数据是否客观、真实、准确。</w:t>
      </w:r>
    </w:p>
    <w:p>
      <w:pPr>
        <w:pStyle w:val="26"/>
        <w:ind w:firstLine="640"/>
      </w:pPr>
      <w:r>
        <w:t>d</w:t>
      </w:r>
      <w:r>
        <w:rPr>
          <w:rFonts w:hint="eastAsia"/>
        </w:rPr>
        <w:t>.测算过程细化度。测算过程是否细化清晰。</w:t>
      </w:r>
    </w:p>
    <w:p>
      <w:pPr>
        <w:pStyle w:val="26"/>
        <w:ind w:firstLine="640"/>
      </w:pPr>
      <w:r>
        <w:rPr>
          <w:rFonts w:hint="eastAsia"/>
        </w:rPr>
        <w:t>（</w:t>
      </w:r>
      <w:r>
        <w:t>2）项目过程指标</w:t>
      </w:r>
    </w:p>
    <w:p>
      <w:pPr>
        <w:pStyle w:val="26"/>
        <w:ind w:firstLine="640"/>
      </w:pPr>
      <w:r>
        <w:rPr>
          <w:rFonts w:hint="eastAsia"/>
        </w:rPr>
        <w:t>①资金管理</w:t>
      </w:r>
    </w:p>
    <w:p>
      <w:pPr>
        <w:pStyle w:val="26"/>
        <w:ind w:firstLine="640"/>
      </w:pPr>
      <w:r>
        <w:t>a.资金到位率。</w:t>
      </w:r>
      <w:r>
        <w:rPr>
          <w:rFonts w:hint="eastAsia"/>
        </w:rPr>
        <w:t>实际到位资金与预算资金的比率，用以反映和考核资金落实情况对项目实施的总体保障程度。</w:t>
      </w:r>
    </w:p>
    <w:p>
      <w:pPr>
        <w:pStyle w:val="26"/>
        <w:ind w:firstLine="640"/>
      </w:pPr>
      <w:r>
        <w:t>b.</w:t>
      </w:r>
      <w:r>
        <w:rPr>
          <w:rFonts w:hint="eastAsia"/>
        </w:rPr>
        <w:t>资金沉淀率。项目结转结余资金与实际到位资金的比率，用以反映和考核项目资金使用效率和效益。</w:t>
      </w:r>
    </w:p>
    <w:p>
      <w:pPr>
        <w:pStyle w:val="26"/>
        <w:ind w:firstLine="640"/>
      </w:pPr>
      <w:r>
        <w:t>c.预算执行率。</w:t>
      </w:r>
      <w:r>
        <w:rPr>
          <w:rFonts w:hint="eastAsia"/>
        </w:rPr>
        <w:t>项目预算资金是否按照计划执行，用以反映或考核项目预算执行情况。</w:t>
      </w:r>
    </w:p>
    <w:p>
      <w:pPr>
        <w:pStyle w:val="26"/>
        <w:ind w:firstLine="640"/>
      </w:pPr>
      <w:r>
        <w:rPr>
          <w:rFonts w:hint="eastAsia"/>
        </w:rPr>
        <w:t>d</w:t>
      </w:r>
      <w:r>
        <w:t>.资金使用合规性。</w:t>
      </w:r>
      <w:r>
        <w:rPr>
          <w:rFonts w:hint="eastAsia"/>
        </w:rPr>
        <w:t>项目资金使用是否符合相关的财务管理制度规定，用以反映和考核项目资金的规范运行情况。</w:t>
      </w:r>
    </w:p>
    <w:p>
      <w:pPr>
        <w:pStyle w:val="26"/>
        <w:ind w:firstLine="640"/>
      </w:pPr>
      <w:r>
        <w:rPr>
          <w:rFonts w:hint="eastAsia"/>
        </w:rPr>
        <w:t>②组织实施</w:t>
      </w:r>
    </w:p>
    <w:p>
      <w:pPr>
        <w:pStyle w:val="26"/>
        <w:ind w:firstLine="640"/>
      </w:pPr>
      <w:r>
        <w:t>a.管理制度健全性。</w:t>
      </w:r>
      <w:r>
        <w:rPr>
          <w:rFonts w:hint="eastAsia"/>
        </w:rPr>
        <w:t>项目实施单位的财务和业务管理制度是否健全，用以反映和考核财务和业务管理制度对项目顺利实施的保障情况。</w:t>
      </w:r>
    </w:p>
    <w:p>
      <w:pPr>
        <w:pStyle w:val="26"/>
        <w:ind w:firstLine="640"/>
      </w:pPr>
      <w:r>
        <w:t>b.制度执行有效性</w:t>
      </w:r>
      <w:r>
        <w:rPr>
          <w:rFonts w:hint="eastAsia"/>
        </w:rPr>
        <w:t>。评价内容主要从项目申报、项目实施、项目结项等</w:t>
      </w:r>
      <w:r>
        <w:t>3个环节开展，结合相关管理规定进行评价</w:t>
      </w:r>
      <w:r>
        <w:rPr>
          <w:rFonts w:hint="eastAsia"/>
        </w:rPr>
        <w:t>。</w:t>
      </w:r>
    </w:p>
    <w:p>
      <w:pPr>
        <w:pStyle w:val="26"/>
        <w:ind w:firstLine="640"/>
      </w:pPr>
      <w:r>
        <w:rPr>
          <w:rFonts w:hint="eastAsia"/>
        </w:rPr>
        <w:t>（</w:t>
      </w:r>
      <w:r>
        <w:t>3）项目产出指标</w:t>
      </w:r>
    </w:p>
    <w:p>
      <w:pPr>
        <w:pStyle w:val="26"/>
        <w:ind w:firstLine="640"/>
      </w:pPr>
      <w:r>
        <w:rPr>
          <w:rFonts w:hint="eastAsia"/>
        </w:rPr>
        <w:t>①产出数量</w:t>
      </w:r>
    </w:p>
    <w:p>
      <w:pPr>
        <w:pStyle w:val="26"/>
        <w:ind w:firstLine="640"/>
      </w:pPr>
      <w:r>
        <w:t>a.</w:t>
      </w:r>
      <w:r>
        <w:rPr>
          <w:rFonts w:hint="eastAsia"/>
        </w:rPr>
        <w:t>增储划转储备粮接收入库任务完成率。项目实施期间增储划转储备粮实际入库吨数与实际划转总吨数比对，反映增储划转储备粮接收入库任务的完成情况。</w:t>
      </w:r>
    </w:p>
    <w:p>
      <w:pPr>
        <w:pStyle w:val="26"/>
        <w:ind w:firstLine="640"/>
      </w:pPr>
      <w:r>
        <w:rPr>
          <w:rFonts w:hint="eastAsia"/>
        </w:rPr>
        <w:t>b</w:t>
      </w:r>
      <w:r>
        <w:t>.</w:t>
      </w:r>
      <w:r>
        <w:rPr>
          <w:rFonts w:hint="eastAsia"/>
        </w:rPr>
        <w:t>区级储备粮仓储管理监督检查任务完成率。项目实施期间实际开展区级储备粮仓储管理监督检查任务次数与计划开展监督检查任务次数比对，反映区级储备粮仓储管理监督检查任务的完成情况。</w:t>
      </w:r>
    </w:p>
    <w:p>
      <w:pPr>
        <w:pStyle w:val="26"/>
        <w:ind w:firstLine="640"/>
      </w:pPr>
      <w:r>
        <w:rPr>
          <w:rFonts w:hint="eastAsia"/>
        </w:rPr>
        <w:t>②产出质量</w:t>
      </w:r>
    </w:p>
    <w:p>
      <w:pPr>
        <w:pStyle w:val="26"/>
        <w:ind w:firstLine="640"/>
      </w:pPr>
      <w:r>
        <w:rPr>
          <w:rFonts w:hint="eastAsia"/>
        </w:rPr>
        <w:t>a</w:t>
      </w:r>
      <w:r>
        <w:t>.</w:t>
      </w:r>
      <w:r>
        <w:rPr>
          <w:rFonts w:hint="eastAsia"/>
        </w:rPr>
        <w:t>增储划转储备粮库存质量达标率。项目实施期间增储划转储备粮库存质量达标吨数与实际入库总吨数比对，反映增储划转储备粮库存质量是否达标的情况。</w:t>
      </w:r>
    </w:p>
    <w:p>
      <w:pPr>
        <w:pStyle w:val="26"/>
        <w:ind w:firstLine="640"/>
      </w:pPr>
      <w:r>
        <w:rPr>
          <w:rFonts w:hint="eastAsia"/>
        </w:rPr>
        <w:t>b</w:t>
      </w:r>
      <w:r>
        <w:t>.</w:t>
      </w:r>
      <w:r>
        <w:rPr>
          <w:rFonts w:hint="eastAsia"/>
        </w:rPr>
        <w:t>区级储备粮仓储管理监督检查任务开展合规率。项目实施期间区级储备粮仓储管理实际监督检查内容项数与应监督检查内容项数比对，反映区级储备粮仓储管理监督检查任务开展是否合规的情况。</w:t>
      </w:r>
    </w:p>
    <w:p>
      <w:pPr>
        <w:pStyle w:val="26"/>
        <w:ind w:firstLine="640"/>
      </w:pPr>
      <w:r>
        <w:rPr>
          <w:rFonts w:hint="eastAsia"/>
        </w:rPr>
        <w:t>③产出时效</w:t>
      </w:r>
    </w:p>
    <w:p>
      <w:pPr>
        <w:pStyle w:val="26"/>
        <w:ind w:firstLine="640"/>
      </w:pPr>
      <w:r>
        <w:rPr>
          <w:rFonts w:hint="eastAsia"/>
        </w:rPr>
        <w:t>a</w:t>
      </w:r>
      <w:r>
        <w:t>.</w:t>
      </w:r>
      <w:r>
        <w:rPr>
          <w:rFonts w:hint="eastAsia"/>
        </w:rPr>
        <w:t>增储划转储备粮接收入库任务完成及时率。项目实施期间按照既定进度安排开展并完成增储划转储备粮接收入库吨数与实际划转总吨数比对，反映增储划转储备粮接收入库工作是否及时开展并完成的情况。</w:t>
      </w:r>
    </w:p>
    <w:p>
      <w:pPr>
        <w:pStyle w:val="26"/>
        <w:ind w:firstLine="640"/>
      </w:pPr>
      <w:r>
        <w:rPr>
          <w:rFonts w:hint="eastAsia"/>
        </w:rPr>
        <w:t>b</w:t>
      </w:r>
      <w:r>
        <w:t>.</w:t>
      </w:r>
      <w:r>
        <w:rPr>
          <w:rFonts w:hint="eastAsia"/>
        </w:rPr>
        <w:t>区级储备粮仓储管理监督检查任务完成及时率。项目实施期间按照既定工作进度安排开展并完成区级储备粮仓储管理监督检查任务次数与区级储备粮仓储管理监督检查任务完成总次数比对，反映区级储备粮仓储管理监督检查任务工作是否及时开展并完成的情况。</w:t>
      </w:r>
    </w:p>
    <w:p>
      <w:pPr>
        <w:pStyle w:val="26"/>
        <w:ind w:firstLine="640"/>
      </w:pPr>
      <w:r>
        <w:rPr>
          <w:rFonts w:hint="eastAsia"/>
        </w:rPr>
        <w:t>④产出成本</w:t>
      </w:r>
    </w:p>
    <w:p>
      <w:pPr>
        <w:pStyle w:val="26"/>
        <w:ind w:firstLine="640"/>
      </w:pPr>
      <w:r>
        <w:rPr>
          <w:rFonts w:hint="eastAsia"/>
        </w:rPr>
        <w:t>增储划转储备粮接收储存成本节约率。项目实施期间增储划转储备粮接收储存实际支出成本与计划支出成本比对，反映增储划转储备粮接收储存成本控制情况。</w:t>
      </w:r>
    </w:p>
    <w:p>
      <w:pPr>
        <w:pStyle w:val="26"/>
        <w:ind w:firstLine="640"/>
      </w:pPr>
      <w:r>
        <w:rPr>
          <w:rFonts w:hint="eastAsia"/>
        </w:rPr>
        <w:t>（</w:t>
      </w:r>
      <w:r>
        <w:t>4）项目</w:t>
      </w:r>
      <w:r>
        <w:rPr>
          <w:rFonts w:hint="eastAsia"/>
        </w:rPr>
        <w:t>效益指标</w:t>
      </w:r>
    </w:p>
    <w:p>
      <w:pPr>
        <w:pStyle w:val="26"/>
        <w:ind w:firstLine="640"/>
      </w:pPr>
      <w:r>
        <w:rPr>
          <w:rFonts w:hint="eastAsia"/>
        </w:rPr>
        <w:t>①社会效益</w:t>
      </w:r>
    </w:p>
    <w:p>
      <w:pPr>
        <w:pStyle w:val="26"/>
        <w:ind w:firstLine="640"/>
      </w:pPr>
      <w:r>
        <w:rPr>
          <w:rFonts w:hint="eastAsia"/>
        </w:rPr>
        <w:t>辖区粮食安全保障能力提升情况。项目实施期间通过开展增储划转储备粮接收入库与仓储管理监督检查工作，反映相关工作对辖区粮食安全保障能力的提升情况。</w:t>
      </w:r>
    </w:p>
    <w:p>
      <w:pPr>
        <w:pStyle w:val="26"/>
        <w:ind w:firstLine="640"/>
      </w:pPr>
      <w:r>
        <w:rPr>
          <w:rFonts w:hint="eastAsia"/>
        </w:rPr>
        <w:t>②可持续影响</w:t>
      </w:r>
    </w:p>
    <w:p>
      <w:pPr>
        <w:pStyle w:val="26"/>
        <w:ind w:firstLine="640"/>
      </w:pPr>
      <w:r>
        <w:rPr>
          <w:rFonts w:hint="eastAsia"/>
        </w:rPr>
        <w:t>区级储备粮长效管理机制健全性。区级储备粮长效管理机制健全性情况，用以反映区发改委对辖区储备粮长效管理工作可持续性开展的保障情况。</w:t>
      </w:r>
    </w:p>
    <w:p>
      <w:pPr>
        <w:pStyle w:val="26"/>
        <w:ind w:firstLine="640"/>
      </w:pPr>
      <w:r>
        <w:rPr>
          <w:rFonts w:hint="eastAsia"/>
        </w:rPr>
        <w:t>③服务对象满意度</w:t>
      </w:r>
    </w:p>
    <w:p>
      <w:pPr>
        <w:pStyle w:val="26"/>
        <w:ind w:firstLine="0" w:firstLineChars="0"/>
      </w:pPr>
      <w:r>
        <w:rPr>
          <w:rFonts w:hint="eastAsia"/>
        </w:rPr>
        <w:t xml:space="preserve"> </w:t>
      </w:r>
      <w:r>
        <w:t xml:space="preserve">  </w:t>
      </w:r>
      <w:r>
        <w:rPr>
          <w:rFonts w:hint="eastAsia"/>
        </w:rPr>
        <w:t>辖区居民满意度。通过调查问卷中针对辖区成品粮供应量及价格情况满意的辖区居民人数与参与满意度调查辖区居民总人数比对，反映参与调查辖区居民对本项目实施开展成效的满意程度。</w:t>
      </w:r>
    </w:p>
    <w:p>
      <w:pPr>
        <w:pStyle w:val="26"/>
        <w:ind w:firstLine="640"/>
      </w:pPr>
      <w:r>
        <w:rPr>
          <w:rFonts w:hint="eastAsia"/>
        </w:rPr>
        <w:t>3</w:t>
      </w:r>
      <w:r>
        <w:t>.</w:t>
      </w:r>
      <w:r>
        <w:rPr>
          <w:rFonts w:hint="eastAsia"/>
        </w:rPr>
        <w:t>绩效评价方法</w:t>
      </w:r>
    </w:p>
    <w:p>
      <w:pPr>
        <w:pStyle w:val="26"/>
        <w:ind w:firstLine="640"/>
      </w:pPr>
      <w:r>
        <w:rPr>
          <w:rFonts w:hint="eastAsia"/>
        </w:rPr>
        <w:t>结合项目具体情况，本次绩效评价主要运用指标分析法结合比较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并选取区发改委</w:t>
      </w:r>
      <w:r>
        <w:t>进行了现场评价</w:t>
      </w:r>
      <w:r>
        <w:rPr>
          <w:rFonts w:hint="eastAsia"/>
        </w:rPr>
        <w:t>，</w:t>
      </w:r>
      <w:r>
        <w:t>绩效评价指标体系详见附件。</w:t>
      </w:r>
    </w:p>
    <w:p>
      <w:pPr>
        <w:pStyle w:val="31"/>
        <w:spacing w:before="0" w:after="0"/>
        <w:ind w:firstLine="640"/>
        <w:rPr>
          <w:rFonts w:ascii="Times New Roman" w:hAnsi="Times New Roman"/>
        </w:rPr>
      </w:pPr>
      <w:bookmarkStart w:id="14" w:name="_Toc141635003"/>
      <w:bookmarkStart w:id="15" w:name="_Toc147673520"/>
      <w:r>
        <w:rPr>
          <w:rFonts w:hint="eastAsia" w:ascii="Times New Roman" w:hAnsi="Times New Roman"/>
        </w:rPr>
        <w:t>（三）绩效评价工作过程</w:t>
      </w:r>
      <w:bookmarkEnd w:id="14"/>
      <w:bookmarkEnd w:id="15"/>
    </w:p>
    <w:p>
      <w:pPr>
        <w:pStyle w:val="26"/>
        <w:ind w:firstLine="640"/>
      </w:pPr>
      <w:r>
        <w:rPr>
          <w:rFonts w:hint="eastAsia"/>
        </w:rPr>
        <w:t>1.前期准备阶段</w:t>
      </w:r>
    </w:p>
    <w:p>
      <w:pPr>
        <w:pStyle w:val="26"/>
        <w:ind w:firstLine="640"/>
      </w:pPr>
      <w:r>
        <w:rPr>
          <w:rFonts w:hint="eastAsia"/>
        </w:rPr>
        <w:t>（</w:t>
      </w:r>
      <w:r>
        <w:t>1）成立绩效评价项目组</w:t>
      </w:r>
    </w:p>
    <w:p>
      <w:pPr>
        <w:pStyle w:val="26"/>
        <w:ind w:firstLine="640"/>
      </w:pPr>
      <w:r>
        <w:rPr>
          <w:rFonts w:hint="eastAsia"/>
        </w:rPr>
        <w:t>天津市和平区财政局（以下简称“区财政部门”）</w:t>
      </w:r>
      <w:r>
        <w:t>委托</w:t>
      </w:r>
      <w:r>
        <w:rPr>
          <w:rFonts w:hint="eastAsia"/>
        </w:rPr>
        <w:t>第三方机构</w:t>
      </w:r>
      <w:r>
        <w:t>对新增储备粮粮权项目进行绩效评价工作。</w:t>
      </w:r>
    </w:p>
    <w:p>
      <w:pPr>
        <w:pStyle w:val="26"/>
        <w:ind w:firstLine="640"/>
      </w:pPr>
      <w:r>
        <w:t>2023年7月18日，绩效评价项目组（以下简称“评价组”）赴</w:t>
      </w:r>
      <w:r>
        <w:rPr>
          <w:rFonts w:hint="eastAsia"/>
        </w:rPr>
        <w:t>区发改委</w:t>
      </w:r>
      <w:r>
        <w:t>参加项目见面会，听取了该单位对“新增储备粮粮权项目”的</w:t>
      </w:r>
      <w:r>
        <w:rPr>
          <w:rFonts w:hint="eastAsia"/>
        </w:rPr>
        <w:t>项目背景、申请立项、资金落实、业务管理、财务管理、项目产出、项目效益</w:t>
      </w:r>
      <w:r>
        <w:t>等方面的情况介绍，并对项目后续评价工作的基本原则及所需的各类资料文件提出了要求。</w:t>
      </w:r>
    </w:p>
    <w:p>
      <w:pPr>
        <w:pStyle w:val="26"/>
        <w:ind w:firstLine="640"/>
      </w:pPr>
      <w:r>
        <w:rPr>
          <w:rFonts w:hint="eastAsia"/>
        </w:rPr>
        <w:t>（</w:t>
      </w:r>
      <w:r>
        <w:t>2）制定绩效评价方案</w:t>
      </w:r>
    </w:p>
    <w:p>
      <w:pPr>
        <w:pStyle w:val="26"/>
        <w:ind w:firstLine="640"/>
      </w:pPr>
      <w:r>
        <w:rPr>
          <w:rFonts w:hint="eastAsia"/>
        </w:rPr>
        <w:t>根据有关文件要求，评价项目组制定了《</w:t>
      </w:r>
      <w:r>
        <w:t>新增储备粮粮权项目绩效评价实施方案》，</w:t>
      </w:r>
      <w:r>
        <w:rPr>
          <w:rFonts w:hint="eastAsia"/>
        </w:rPr>
        <w:t>根据评价方案组织开展项目评价工作。</w:t>
      </w:r>
    </w:p>
    <w:p>
      <w:pPr>
        <w:pStyle w:val="26"/>
        <w:ind w:firstLine="640"/>
      </w:pPr>
      <w:r>
        <w:rPr>
          <w:rFonts w:hint="eastAsia"/>
        </w:rPr>
        <w:t>（</w:t>
      </w:r>
      <w:r>
        <w:t>3）指标体系设计</w:t>
      </w:r>
    </w:p>
    <w:p>
      <w:pPr>
        <w:pStyle w:val="26"/>
        <w:ind w:firstLine="640"/>
      </w:pPr>
      <w:r>
        <w:rPr>
          <w:rFonts w:hint="eastAsia"/>
        </w:rPr>
        <w:t>根据</w:t>
      </w:r>
      <w:r>
        <w:t>新增储备粮粮权项目绩效目标及实际工作需要，从决策、过程、产出、效益四个维度出发，设立项目立项、绩效目标、</w:t>
      </w:r>
      <w:r>
        <w:rPr>
          <w:rFonts w:hint="eastAsia"/>
        </w:rPr>
        <w:t>预算编制</w:t>
      </w:r>
      <w:r>
        <w:t>、资金管理、组织实施、产出数量、产出质量、产出时效、产出成本、</w:t>
      </w:r>
      <w:r>
        <w:rPr>
          <w:rFonts w:hint="eastAsia"/>
        </w:rPr>
        <w:t>社会</w:t>
      </w:r>
      <w:r>
        <w:t>效益、</w:t>
      </w:r>
      <w:r>
        <w:rPr>
          <w:rFonts w:hint="eastAsia"/>
        </w:rPr>
        <w:t>可持续影响、服务对象</w:t>
      </w:r>
      <w:r>
        <w:t>满意度12</w:t>
      </w:r>
      <w:r>
        <w:rPr>
          <w:rFonts w:hint="eastAsia"/>
        </w:rPr>
        <w:t>项</w:t>
      </w:r>
      <w:r>
        <w:t>二级指标和24</w:t>
      </w:r>
      <w:r>
        <w:rPr>
          <w:rFonts w:hint="eastAsia"/>
        </w:rPr>
        <w:t>项</w:t>
      </w:r>
      <w:r>
        <w:t>三级指标，采取指标分值百分制，将24</w:t>
      </w:r>
      <w:r>
        <w:rPr>
          <w:rFonts w:hint="eastAsia"/>
        </w:rPr>
        <w:t>项三级</w:t>
      </w:r>
      <w:r>
        <w:t>指标量化为100分</w:t>
      </w:r>
      <w:r>
        <w:rPr>
          <w:rFonts w:hint="eastAsia"/>
        </w:rPr>
        <w:t>，</w:t>
      </w:r>
      <w:r>
        <w:t>分值权重在征求被评单位意见的基础上确定，</w:t>
      </w:r>
      <w:r>
        <w:rPr>
          <w:rFonts w:hint="eastAsia"/>
        </w:rPr>
        <w:t>详见附件。</w:t>
      </w:r>
    </w:p>
    <w:p>
      <w:pPr>
        <w:pStyle w:val="26"/>
        <w:ind w:firstLine="640"/>
      </w:pPr>
      <w:r>
        <w:rPr>
          <w:rFonts w:hint="eastAsia"/>
        </w:rPr>
        <w:t>2.评价实施阶段</w:t>
      </w:r>
    </w:p>
    <w:p>
      <w:pPr>
        <w:pStyle w:val="26"/>
        <w:ind w:firstLine="640"/>
      </w:pPr>
      <w:r>
        <w:rPr>
          <w:rFonts w:hint="eastAsia"/>
        </w:rPr>
        <w:t>（</w:t>
      </w:r>
      <w:r>
        <w:t>1）正式进驻。评价组</w:t>
      </w:r>
      <w:r>
        <w:rPr>
          <w:rFonts w:hint="eastAsia"/>
        </w:rPr>
        <w:t>于</w:t>
      </w:r>
      <w:r>
        <w:t>2023年7月25日正式进驻</w:t>
      </w:r>
      <w:r>
        <w:rPr>
          <w:rFonts w:hint="eastAsia"/>
        </w:rPr>
        <w:t>区发改委</w:t>
      </w:r>
      <w:r>
        <w:t>实施评价工作。</w:t>
      </w:r>
    </w:p>
    <w:p>
      <w:pPr>
        <w:pStyle w:val="26"/>
        <w:ind w:firstLine="640"/>
      </w:pPr>
      <w:r>
        <w:rPr>
          <w:rFonts w:hint="eastAsia"/>
        </w:rPr>
        <w:t>（</w:t>
      </w:r>
      <w:r>
        <w:t>2）全面审查。评价过程中，评价组对新增储备粮粮权项目的文件依据、预算编制、制度执行、资金拨付、资金使用情况、产生效益等方面进行了全面梳理。评价组根据</w:t>
      </w:r>
      <w:r>
        <w:rPr>
          <w:rFonts w:hint="eastAsia"/>
        </w:rPr>
        <w:t>《天津市地方粮食储备管理条例》《市粮食和物资局关于印发天津市市级储备粮质量安全管理办法的通知》《天津市粮食和物资局关于加强区级储备粮质量安全管理工作的通知》《市发展改革委市粮食和物资局关于进一步加强区级储备粮管理的通知》《和平区区级储备粮管理办法》</w:t>
      </w:r>
      <w:r>
        <w:t>等文件，对专项经费的到位情况、</w:t>
      </w:r>
      <w:r>
        <w:rPr>
          <w:rFonts w:hint="eastAsia"/>
        </w:rPr>
        <w:t>预算编制、实施进度等相关业务文件及财务数据进行了核查。</w:t>
      </w:r>
    </w:p>
    <w:p>
      <w:pPr>
        <w:pStyle w:val="26"/>
        <w:ind w:firstLine="640"/>
      </w:pPr>
      <w:r>
        <w:rPr>
          <w:rFonts w:hint="eastAsia"/>
        </w:rPr>
        <w:t>（</w:t>
      </w:r>
      <w:r>
        <w:t>3）实地核查。评价组对</w:t>
      </w:r>
      <w:r>
        <w:rPr>
          <w:rFonts w:hint="eastAsia"/>
        </w:rPr>
        <w:t>区发改委新增储备粮粮权项目工作开展情况进行实地核查</w:t>
      </w:r>
      <w:r>
        <w:t>。通过现场实际勘察，了解</w:t>
      </w:r>
      <w:r>
        <w:rPr>
          <w:rFonts w:hint="eastAsia"/>
        </w:rPr>
        <w:t>新增储备粮粮权项目</w:t>
      </w:r>
      <w:r>
        <w:t>的实际情况，完成调查</w:t>
      </w:r>
      <w:r>
        <w:rPr>
          <w:rFonts w:hint="eastAsia"/>
        </w:rPr>
        <w:t>表</w:t>
      </w:r>
      <w:r>
        <w:t>；并对</w:t>
      </w:r>
      <w:r>
        <w:rPr>
          <w:rFonts w:hint="eastAsia"/>
        </w:rPr>
        <w:t>辖区群众</w:t>
      </w:r>
      <w:r>
        <w:t>进行满意度调查。</w:t>
      </w:r>
    </w:p>
    <w:p>
      <w:pPr>
        <w:pStyle w:val="26"/>
        <w:ind w:firstLine="640"/>
      </w:pPr>
      <w:r>
        <w:rPr>
          <w:rFonts w:hint="eastAsia"/>
        </w:rPr>
        <w:t>（</w:t>
      </w:r>
      <w:r>
        <w:t>4）评价打分。按照绩效评价指标体系</w:t>
      </w:r>
      <w:r>
        <w:rPr>
          <w:rFonts w:hint="eastAsia"/>
        </w:rPr>
        <w:t>内容</w:t>
      </w:r>
      <w:r>
        <w:t>对各绩效评价指标进行了评分。</w:t>
      </w:r>
    </w:p>
    <w:p>
      <w:pPr>
        <w:pStyle w:val="26"/>
        <w:ind w:firstLine="640"/>
      </w:pPr>
      <w:r>
        <w:rPr>
          <w:rFonts w:hint="eastAsia"/>
        </w:rPr>
        <w:t>（</w:t>
      </w:r>
      <w:r>
        <w:t>5）编制报告。评价组根据</w:t>
      </w:r>
      <w:r>
        <w:rPr>
          <w:rFonts w:hint="eastAsia"/>
        </w:rPr>
        <w:t>现场</w:t>
      </w:r>
      <w:r>
        <w:t>评价打分</w:t>
      </w:r>
      <w:r>
        <w:rPr>
          <w:rFonts w:hint="eastAsia"/>
        </w:rPr>
        <w:t>，</w:t>
      </w:r>
      <w:r>
        <w:t>编制绩效评价报告，全面梳理</w:t>
      </w:r>
      <w:r>
        <w:rPr>
          <w:rFonts w:hint="eastAsia"/>
        </w:rPr>
        <w:t>本</w:t>
      </w:r>
      <w:r>
        <w:t>项目在决策依据、过程管理、产出情况、取得效益等方面存在的问题及工作建议。</w:t>
      </w:r>
    </w:p>
    <w:p>
      <w:pPr>
        <w:pStyle w:val="29"/>
        <w:spacing w:before="0" w:after="0"/>
      </w:pPr>
      <w:bookmarkStart w:id="16" w:name="_Toc147673521"/>
      <w:bookmarkStart w:id="17" w:name="_Toc141635004"/>
      <w:r>
        <w:rPr>
          <w:rFonts w:hint="eastAsia"/>
        </w:rPr>
        <w:t>三、综合评价情况及评价结论</w:t>
      </w:r>
      <w:bookmarkEnd w:id="16"/>
      <w:bookmarkEnd w:id="17"/>
    </w:p>
    <w:p>
      <w:pPr>
        <w:pStyle w:val="26"/>
        <w:ind w:firstLine="640"/>
      </w:pPr>
      <w:r>
        <w:rPr>
          <w:rFonts w:hint="eastAsia"/>
        </w:rPr>
        <w:t>经过综合评价，</w:t>
      </w:r>
      <w:r>
        <w:t>新增储备粮粮权项目</w:t>
      </w:r>
      <w:r>
        <w:rPr>
          <w:rFonts w:hint="eastAsia"/>
        </w:rPr>
        <w:t>得分</w:t>
      </w:r>
      <w:r>
        <w:t>93分，评价等级为“</w:t>
      </w:r>
      <w:r>
        <w:rPr>
          <w:rFonts w:hint="eastAsia"/>
        </w:rPr>
        <w:t>优</w:t>
      </w:r>
      <w:r>
        <w:t>”。其中，项目决策14分，项目过程21分，项目产出38分，项目效益20分。</w:t>
      </w:r>
    </w:p>
    <w:p>
      <w:pPr>
        <w:pStyle w:val="26"/>
        <w:ind w:firstLine="640"/>
      </w:pPr>
      <w:r>
        <w:rPr>
          <w:rFonts w:hint="eastAsia"/>
        </w:rPr>
        <w:t>具体情况见表2所示</w:t>
      </w:r>
      <w:r>
        <w:t>：</w:t>
      </w:r>
    </w:p>
    <w:p>
      <w:pPr>
        <w:pStyle w:val="26"/>
        <w:ind w:firstLine="0" w:firstLineChars="0"/>
        <w:jc w:val="center"/>
        <w:rPr>
          <w:rFonts w:eastAsia="黑体" w:cs="黑体"/>
          <w:sz w:val="28"/>
          <w:szCs w:val="28"/>
        </w:rPr>
      </w:pPr>
      <w:r>
        <w:rPr>
          <w:rFonts w:hint="eastAsia" w:eastAsia="黑体" w:cs="Times New Roman"/>
          <w:bCs/>
          <w:sz w:val="28"/>
          <w:szCs w:val="24"/>
        </w:rPr>
        <w:t>表</w:t>
      </w:r>
      <w:r>
        <w:rPr>
          <w:rFonts w:eastAsia="黑体" w:cs="Times New Roman"/>
          <w:bCs/>
          <w:sz w:val="28"/>
          <w:szCs w:val="24"/>
        </w:rPr>
        <w:t>2</w:t>
      </w:r>
      <w:r>
        <w:rPr>
          <w:rFonts w:hint="eastAsia" w:eastAsia="黑体" w:cs="Times New Roman"/>
          <w:bCs/>
          <w:sz w:val="28"/>
          <w:szCs w:val="24"/>
        </w:rPr>
        <w:t xml:space="preserve"> </w:t>
      </w:r>
      <w:r>
        <w:rPr>
          <w:rFonts w:hint="eastAsia" w:eastAsia="黑体" w:cs="黑体"/>
          <w:bCs/>
          <w:sz w:val="28"/>
          <w:szCs w:val="28"/>
        </w:rPr>
        <w:t xml:space="preserve"> </w:t>
      </w:r>
      <w:r>
        <w:rPr>
          <w:rFonts w:hint="eastAsia" w:eastAsia="黑体" w:cs="黑体"/>
          <w:sz w:val="28"/>
          <w:szCs w:val="28"/>
        </w:rPr>
        <w:t xml:space="preserve"> </w:t>
      </w:r>
      <w:r>
        <w:rPr>
          <w:rFonts w:eastAsia="黑体" w:cs="黑体"/>
          <w:sz w:val="28"/>
          <w:szCs w:val="28"/>
        </w:rPr>
        <w:t>新增储备粮粮权项目</w:t>
      </w:r>
      <w:r>
        <w:rPr>
          <w:rFonts w:hint="eastAsia" w:eastAsia="黑体" w:cs="黑体"/>
          <w:sz w:val="28"/>
          <w:szCs w:val="28"/>
        </w:rPr>
        <w:t>绩效得分情况表</w:t>
      </w:r>
    </w:p>
    <w:tbl>
      <w:tblPr>
        <w:tblStyle w:val="15"/>
        <w:tblW w:w="763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65"/>
        <w:gridCol w:w="1264"/>
        <w:gridCol w:w="1265"/>
        <w:gridCol w:w="1292"/>
        <w:gridCol w:w="1265"/>
        <w:gridCol w:w="1283"/>
      </w:tblGrid>
      <w:tr>
        <w:trPr>
          <w:trHeight w:val="454" w:hRule="exact"/>
          <w:jc w:val="center"/>
        </w:trPr>
        <w:tc>
          <w:tcPr>
            <w:tcW w:w="1265" w:type="dxa"/>
            <w:vAlign w:val="center"/>
          </w:tcPr>
          <w:p>
            <w:pPr>
              <w:pStyle w:val="40"/>
              <w:rPr>
                <w:rFonts w:eastAsia="黑体" w:cs="黑体"/>
                <w:b w:val="0"/>
                <w:bCs/>
                <w:kern w:val="0"/>
                <w:sz w:val="21"/>
              </w:rPr>
            </w:pPr>
            <w:r>
              <w:rPr>
                <w:rFonts w:hint="eastAsia" w:eastAsia="黑体" w:cs="黑体"/>
                <w:b w:val="0"/>
                <w:bCs/>
                <w:kern w:val="0"/>
                <w:sz w:val="21"/>
              </w:rPr>
              <w:t>指标</w:t>
            </w:r>
          </w:p>
        </w:tc>
        <w:tc>
          <w:tcPr>
            <w:tcW w:w="1264" w:type="dxa"/>
            <w:vAlign w:val="center"/>
          </w:tcPr>
          <w:p>
            <w:pPr>
              <w:pStyle w:val="40"/>
              <w:rPr>
                <w:rFonts w:eastAsia="黑体" w:cs="黑体"/>
                <w:b w:val="0"/>
                <w:bCs/>
                <w:kern w:val="0"/>
                <w:sz w:val="21"/>
              </w:rPr>
            </w:pPr>
            <w:r>
              <w:rPr>
                <w:rFonts w:hint="eastAsia" w:eastAsia="黑体" w:cs="黑体"/>
                <w:b w:val="0"/>
                <w:bCs/>
                <w:kern w:val="0"/>
                <w:sz w:val="21"/>
              </w:rPr>
              <w:t>项目决策</w:t>
            </w:r>
          </w:p>
        </w:tc>
        <w:tc>
          <w:tcPr>
            <w:tcW w:w="1265" w:type="dxa"/>
            <w:vAlign w:val="center"/>
          </w:tcPr>
          <w:p>
            <w:pPr>
              <w:pStyle w:val="40"/>
              <w:rPr>
                <w:rFonts w:eastAsia="黑体" w:cs="黑体"/>
                <w:b w:val="0"/>
                <w:bCs/>
                <w:kern w:val="0"/>
                <w:sz w:val="21"/>
              </w:rPr>
            </w:pPr>
            <w:r>
              <w:rPr>
                <w:rFonts w:hint="eastAsia" w:eastAsia="黑体" w:cs="黑体"/>
                <w:b w:val="0"/>
                <w:bCs/>
                <w:kern w:val="0"/>
                <w:sz w:val="21"/>
              </w:rPr>
              <w:t>项目过程</w:t>
            </w:r>
          </w:p>
        </w:tc>
        <w:tc>
          <w:tcPr>
            <w:tcW w:w="1292" w:type="dxa"/>
            <w:vAlign w:val="center"/>
          </w:tcPr>
          <w:p>
            <w:pPr>
              <w:pStyle w:val="40"/>
              <w:rPr>
                <w:rFonts w:eastAsia="黑体" w:cs="黑体"/>
                <w:b w:val="0"/>
                <w:bCs/>
                <w:kern w:val="0"/>
                <w:sz w:val="21"/>
              </w:rPr>
            </w:pPr>
            <w:r>
              <w:rPr>
                <w:rFonts w:hint="eastAsia" w:eastAsia="黑体" w:cs="黑体"/>
                <w:b w:val="0"/>
                <w:bCs/>
                <w:kern w:val="0"/>
                <w:sz w:val="21"/>
              </w:rPr>
              <w:t>项目产出</w:t>
            </w:r>
          </w:p>
        </w:tc>
        <w:tc>
          <w:tcPr>
            <w:tcW w:w="1265" w:type="dxa"/>
            <w:vAlign w:val="center"/>
          </w:tcPr>
          <w:p>
            <w:pPr>
              <w:pStyle w:val="40"/>
              <w:rPr>
                <w:rFonts w:eastAsia="黑体" w:cs="黑体"/>
                <w:b w:val="0"/>
                <w:bCs/>
                <w:kern w:val="0"/>
                <w:sz w:val="21"/>
              </w:rPr>
            </w:pPr>
            <w:r>
              <w:rPr>
                <w:rFonts w:hint="eastAsia" w:eastAsia="黑体" w:cs="黑体"/>
                <w:b w:val="0"/>
                <w:bCs/>
                <w:kern w:val="0"/>
                <w:sz w:val="21"/>
              </w:rPr>
              <w:t>项目效益</w:t>
            </w:r>
          </w:p>
        </w:tc>
        <w:tc>
          <w:tcPr>
            <w:tcW w:w="1283" w:type="dxa"/>
            <w:vAlign w:val="center"/>
          </w:tcPr>
          <w:p>
            <w:pPr>
              <w:pStyle w:val="40"/>
              <w:rPr>
                <w:rFonts w:eastAsia="黑体" w:cs="黑体"/>
                <w:b w:val="0"/>
                <w:bCs/>
                <w:kern w:val="0"/>
                <w:sz w:val="21"/>
              </w:rPr>
            </w:pPr>
            <w:r>
              <w:rPr>
                <w:rFonts w:hint="eastAsia" w:eastAsia="黑体" w:cs="黑体"/>
                <w:b w:val="0"/>
                <w:bCs/>
                <w:kern w:val="0"/>
                <w:sz w:val="21"/>
              </w:rPr>
              <w:t>合计</w:t>
            </w:r>
          </w:p>
        </w:tc>
      </w:tr>
      <w:tr>
        <w:trPr>
          <w:trHeight w:val="454" w:hRule="exact"/>
          <w:jc w:val="center"/>
        </w:trPr>
        <w:tc>
          <w:tcPr>
            <w:tcW w:w="1265" w:type="dxa"/>
            <w:vAlign w:val="center"/>
          </w:tcPr>
          <w:p>
            <w:pPr>
              <w:pStyle w:val="39"/>
              <w:jc w:val="center"/>
              <w:rPr>
                <w:kern w:val="0"/>
                <w:sz w:val="21"/>
              </w:rPr>
            </w:pPr>
            <w:r>
              <w:rPr>
                <w:rFonts w:hint="eastAsia"/>
                <w:kern w:val="0"/>
                <w:sz w:val="21"/>
              </w:rPr>
              <w:t>分值</w:t>
            </w:r>
          </w:p>
        </w:tc>
        <w:tc>
          <w:tcPr>
            <w:tcW w:w="1264" w:type="dxa"/>
            <w:vAlign w:val="center"/>
          </w:tcPr>
          <w:p>
            <w:pPr>
              <w:pStyle w:val="39"/>
              <w:jc w:val="center"/>
              <w:rPr>
                <w:kern w:val="0"/>
                <w:sz w:val="21"/>
              </w:rPr>
            </w:pPr>
            <w:r>
              <w:rPr>
                <w:kern w:val="0"/>
                <w:sz w:val="21"/>
              </w:rPr>
              <w:t>17</w:t>
            </w:r>
          </w:p>
        </w:tc>
        <w:tc>
          <w:tcPr>
            <w:tcW w:w="1265" w:type="dxa"/>
            <w:vAlign w:val="center"/>
          </w:tcPr>
          <w:p>
            <w:pPr>
              <w:pStyle w:val="39"/>
              <w:jc w:val="center"/>
              <w:rPr>
                <w:kern w:val="0"/>
                <w:sz w:val="21"/>
              </w:rPr>
            </w:pPr>
            <w:r>
              <w:rPr>
                <w:kern w:val="0"/>
                <w:sz w:val="21"/>
              </w:rPr>
              <w:t>23</w:t>
            </w:r>
          </w:p>
        </w:tc>
        <w:tc>
          <w:tcPr>
            <w:tcW w:w="1292" w:type="dxa"/>
            <w:vAlign w:val="center"/>
          </w:tcPr>
          <w:p>
            <w:pPr>
              <w:pStyle w:val="39"/>
              <w:jc w:val="center"/>
              <w:rPr>
                <w:kern w:val="0"/>
                <w:sz w:val="21"/>
              </w:rPr>
            </w:pPr>
            <w:r>
              <w:rPr>
                <w:kern w:val="0"/>
                <w:sz w:val="21"/>
              </w:rPr>
              <w:t>38</w:t>
            </w:r>
          </w:p>
        </w:tc>
        <w:tc>
          <w:tcPr>
            <w:tcW w:w="1265" w:type="dxa"/>
            <w:vAlign w:val="center"/>
          </w:tcPr>
          <w:p>
            <w:pPr>
              <w:pStyle w:val="39"/>
              <w:jc w:val="center"/>
              <w:rPr>
                <w:kern w:val="0"/>
                <w:sz w:val="21"/>
              </w:rPr>
            </w:pPr>
            <w:r>
              <w:rPr>
                <w:kern w:val="0"/>
                <w:sz w:val="21"/>
              </w:rPr>
              <w:t>22</w:t>
            </w:r>
          </w:p>
        </w:tc>
        <w:tc>
          <w:tcPr>
            <w:tcW w:w="1283" w:type="dxa"/>
            <w:vAlign w:val="center"/>
          </w:tcPr>
          <w:p>
            <w:pPr>
              <w:pStyle w:val="39"/>
              <w:jc w:val="center"/>
              <w:rPr>
                <w:kern w:val="0"/>
                <w:sz w:val="21"/>
              </w:rPr>
            </w:pPr>
            <w:r>
              <w:rPr>
                <w:kern w:val="0"/>
                <w:sz w:val="21"/>
              </w:rPr>
              <w:t>100</w:t>
            </w:r>
          </w:p>
        </w:tc>
      </w:tr>
      <w:tr>
        <w:trPr>
          <w:trHeight w:val="454" w:hRule="exact"/>
          <w:jc w:val="center"/>
        </w:trPr>
        <w:tc>
          <w:tcPr>
            <w:tcW w:w="1265" w:type="dxa"/>
            <w:vAlign w:val="center"/>
          </w:tcPr>
          <w:p>
            <w:pPr>
              <w:pStyle w:val="39"/>
              <w:jc w:val="center"/>
              <w:rPr>
                <w:kern w:val="0"/>
                <w:sz w:val="21"/>
              </w:rPr>
            </w:pPr>
            <w:r>
              <w:rPr>
                <w:rFonts w:hint="eastAsia"/>
                <w:kern w:val="0"/>
                <w:sz w:val="21"/>
              </w:rPr>
              <w:t>得分</w:t>
            </w:r>
          </w:p>
        </w:tc>
        <w:tc>
          <w:tcPr>
            <w:tcW w:w="1264" w:type="dxa"/>
            <w:vAlign w:val="center"/>
          </w:tcPr>
          <w:p>
            <w:pPr>
              <w:pStyle w:val="39"/>
              <w:jc w:val="center"/>
              <w:rPr>
                <w:kern w:val="0"/>
                <w:sz w:val="21"/>
              </w:rPr>
            </w:pPr>
            <w:r>
              <w:rPr>
                <w:rFonts w:hint="eastAsia"/>
                <w:kern w:val="0"/>
                <w:sz w:val="21"/>
              </w:rPr>
              <w:t>1</w:t>
            </w:r>
            <w:r>
              <w:rPr>
                <w:kern w:val="0"/>
                <w:sz w:val="21"/>
              </w:rPr>
              <w:t>4</w:t>
            </w:r>
          </w:p>
        </w:tc>
        <w:tc>
          <w:tcPr>
            <w:tcW w:w="1265" w:type="dxa"/>
            <w:vAlign w:val="center"/>
          </w:tcPr>
          <w:p>
            <w:pPr>
              <w:pStyle w:val="39"/>
              <w:jc w:val="center"/>
              <w:rPr>
                <w:kern w:val="0"/>
                <w:sz w:val="21"/>
              </w:rPr>
            </w:pPr>
            <w:r>
              <w:rPr>
                <w:rFonts w:hint="eastAsia"/>
                <w:kern w:val="0"/>
                <w:sz w:val="21"/>
              </w:rPr>
              <w:t>2</w:t>
            </w:r>
            <w:r>
              <w:rPr>
                <w:kern w:val="0"/>
                <w:sz w:val="21"/>
              </w:rPr>
              <w:t>1</w:t>
            </w:r>
          </w:p>
        </w:tc>
        <w:tc>
          <w:tcPr>
            <w:tcW w:w="1292" w:type="dxa"/>
            <w:vAlign w:val="center"/>
          </w:tcPr>
          <w:p>
            <w:pPr>
              <w:pStyle w:val="39"/>
              <w:jc w:val="center"/>
              <w:rPr>
                <w:kern w:val="0"/>
                <w:sz w:val="21"/>
              </w:rPr>
            </w:pPr>
            <w:r>
              <w:rPr>
                <w:rFonts w:hint="eastAsia"/>
                <w:kern w:val="0"/>
                <w:sz w:val="21"/>
              </w:rPr>
              <w:t>3</w:t>
            </w:r>
            <w:r>
              <w:rPr>
                <w:kern w:val="0"/>
                <w:sz w:val="21"/>
              </w:rPr>
              <w:t>8</w:t>
            </w:r>
          </w:p>
        </w:tc>
        <w:tc>
          <w:tcPr>
            <w:tcW w:w="1265" w:type="dxa"/>
            <w:vAlign w:val="center"/>
          </w:tcPr>
          <w:p>
            <w:pPr>
              <w:pStyle w:val="39"/>
              <w:jc w:val="center"/>
              <w:rPr>
                <w:kern w:val="0"/>
                <w:sz w:val="21"/>
              </w:rPr>
            </w:pPr>
            <w:r>
              <w:rPr>
                <w:rFonts w:hint="eastAsia"/>
                <w:kern w:val="0"/>
                <w:sz w:val="21"/>
              </w:rPr>
              <w:t>2</w:t>
            </w:r>
            <w:r>
              <w:rPr>
                <w:kern w:val="0"/>
                <w:sz w:val="21"/>
              </w:rPr>
              <w:t>0</w:t>
            </w:r>
          </w:p>
        </w:tc>
        <w:tc>
          <w:tcPr>
            <w:tcW w:w="1283" w:type="dxa"/>
            <w:vAlign w:val="center"/>
          </w:tcPr>
          <w:p>
            <w:pPr>
              <w:pStyle w:val="39"/>
              <w:jc w:val="center"/>
              <w:rPr>
                <w:kern w:val="0"/>
                <w:sz w:val="21"/>
              </w:rPr>
            </w:pPr>
            <w:r>
              <w:rPr>
                <w:rFonts w:hint="eastAsia"/>
                <w:kern w:val="0"/>
                <w:sz w:val="21"/>
              </w:rPr>
              <w:t>9</w:t>
            </w:r>
            <w:r>
              <w:rPr>
                <w:kern w:val="0"/>
                <w:sz w:val="21"/>
              </w:rPr>
              <w:t>3</w:t>
            </w:r>
          </w:p>
        </w:tc>
      </w:tr>
      <w:tr>
        <w:trPr>
          <w:trHeight w:val="454" w:hRule="exact"/>
          <w:jc w:val="center"/>
        </w:trPr>
        <w:tc>
          <w:tcPr>
            <w:tcW w:w="1265" w:type="dxa"/>
            <w:vAlign w:val="center"/>
          </w:tcPr>
          <w:p>
            <w:pPr>
              <w:pStyle w:val="39"/>
              <w:jc w:val="center"/>
              <w:rPr>
                <w:kern w:val="0"/>
                <w:sz w:val="21"/>
              </w:rPr>
            </w:pPr>
            <w:r>
              <w:rPr>
                <w:rFonts w:hint="eastAsia"/>
                <w:kern w:val="0"/>
                <w:sz w:val="21"/>
              </w:rPr>
              <w:t>得分率</w:t>
            </w:r>
          </w:p>
        </w:tc>
        <w:tc>
          <w:tcPr>
            <w:tcW w:w="1264" w:type="dxa"/>
            <w:vAlign w:val="center"/>
          </w:tcPr>
          <w:p>
            <w:pPr>
              <w:pStyle w:val="39"/>
              <w:jc w:val="center"/>
              <w:rPr>
                <w:kern w:val="0"/>
                <w:sz w:val="21"/>
              </w:rPr>
            </w:pPr>
            <w:r>
              <w:rPr>
                <w:rFonts w:hint="eastAsia"/>
                <w:kern w:val="0"/>
                <w:sz w:val="21"/>
              </w:rPr>
              <w:t>8</w:t>
            </w:r>
            <w:r>
              <w:rPr>
                <w:kern w:val="0"/>
                <w:sz w:val="21"/>
              </w:rPr>
              <w:t>2.35%</w:t>
            </w:r>
          </w:p>
        </w:tc>
        <w:tc>
          <w:tcPr>
            <w:tcW w:w="1265" w:type="dxa"/>
            <w:vAlign w:val="center"/>
          </w:tcPr>
          <w:p>
            <w:pPr>
              <w:pStyle w:val="39"/>
              <w:jc w:val="center"/>
              <w:rPr>
                <w:kern w:val="0"/>
                <w:sz w:val="21"/>
              </w:rPr>
            </w:pPr>
            <w:r>
              <w:rPr>
                <w:rFonts w:hint="eastAsia"/>
                <w:kern w:val="0"/>
                <w:sz w:val="21"/>
              </w:rPr>
              <w:t>9</w:t>
            </w:r>
            <w:r>
              <w:rPr>
                <w:kern w:val="0"/>
                <w:sz w:val="21"/>
              </w:rPr>
              <w:t>1.3%</w:t>
            </w:r>
          </w:p>
        </w:tc>
        <w:tc>
          <w:tcPr>
            <w:tcW w:w="1292" w:type="dxa"/>
            <w:vAlign w:val="center"/>
          </w:tcPr>
          <w:p>
            <w:pPr>
              <w:pStyle w:val="39"/>
              <w:jc w:val="center"/>
              <w:rPr>
                <w:kern w:val="0"/>
                <w:sz w:val="21"/>
              </w:rPr>
            </w:pPr>
            <w:r>
              <w:rPr>
                <w:rFonts w:hint="eastAsia"/>
                <w:kern w:val="0"/>
                <w:sz w:val="21"/>
              </w:rPr>
              <w:t>1</w:t>
            </w:r>
            <w:r>
              <w:rPr>
                <w:kern w:val="0"/>
                <w:sz w:val="21"/>
              </w:rPr>
              <w:t>00%</w:t>
            </w:r>
          </w:p>
        </w:tc>
        <w:tc>
          <w:tcPr>
            <w:tcW w:w="1265" w:type="dxa"/>
            <w:vAlign w:val="center"/>
          </w:tcPr>
          <w:p>
            <w:pPr>
              <w:pStyle w:val="39"/>
              <w:jc w:val="center"/>
              <w:rPr>
                <w:kern w:val="0"/>
                <w:sz w:val="21"/>
              </w:rPr>
            </w:pPr>
            <w:r>
              <w:rPr>
                <w:rFonts w:hint="eastAsia"/>
                <w:kern w:val="0"/>
                <w:sz w:val="21"/>
              </w:rPr>
              <w:t>9</w:t>
            </w:r>
            <w:r>
              <w:rPr>
                <w:kern w:val="0"/>
                <w:sz w:val="21"/>
              </w:rPr>
              <w:t>0.91%</w:t>
            </w:r>
          </w:p>
        </w:tc>
        <w:tc>
          <w:tcPr>
            <w:tcW w:w="1283" w:type="dxa"/>
            <w:vAlign w:val="center"/>
          </w:tcPr>
          <w:p>
            <w:pPr>
              <w:pStyle w:val="39"/>
              <w:jc w:val="center"/>
              <w:rPr>
                <w:kern w:val="0"/>
                <w:sz w:val="21"/>
              </w:rPr>
            </w:pPr>
            <w:r>
              <w:rPr>
                <w:rFonts w:hint="eastAsia"/>
                <w:kern w:val="0"/>
                <w:sz w:val="21"/>
              </w:rPr>
              <w:t>9</w:t>
            </w:r>
            <w:r>
              <w:rPr>
                <w:kern w:val="0"/>
                <w:sz w:val="21"/>
              </w:rPr>
              <w:t>3%</w:t>
            </w:r>
          </w:p>
        </w:tc>
      </w:tr>
    </w:tbl>
    <w:p>
      <w:pPr>
        <w:pStyle w:val="26"/>
        <w:ind w:firstLine="640"/>
        <w:rPr>
          <w:rFonts w:cs="仿宋_GB2312"/>
        </w:rPr>
      </w:pPr>
      <w:r>
        <w:rPr>
          <w:rFonts w:hint="eastAsia" w:cs="仿宋_GB2312"/>
        </w:rPr>
        <w:t>评价结论：本项目立项依据充分、立项程序规范，预算测算内容合规、标准合理、数据客观，测算过程细化。</w:t>
      </w:r>
      <w:r>
        <w:rPr>
          <w:rFonts w:hint="eastAsia"/>
        </w:rPr>
        <w:t>财政预算保障资金及时到位，项目资金使用合规，服务对象对项目整体执行效果满意度较高。但存在绩效目标设定规范性不高、绩效指标设定细化程度不足、财务核算规范性不高、储备粮质量安全管理制度机制有待建立健全的问题。</w:t>
      </w:r>
    </w:p>
    <w:p>
      <w:pPr>
        <w:pStyle w:val="29"/>
        <w:spacing w:before="0" w:after="0"/>
      </w:pPr>
      <w:bookmarkStart w:id="18" w:name="_Toc147673522"/>
      <w:bookmarkStart w:id="19" w:name="_Toc141635005"/>
      <w:r>
        <w:rPr>
          <w:rFonts w:hint="eastAsia"/>
        </w:rPr>
        <w:t>四、绩效评价指标分析</w:t>
      </w:r>
      <w:bookmarkEnd w:id="18"/>
      <w:bookmarkEnd w:id="19"/>
    </w:p>
    <w:p>
      <w:pPr>
        <w:pStyle w:val="31"/>
        <w:spacing w:before="0" w:after="0"/>
        <w:ind w:firstLine="640"/>
        <w:rPr>
          <w:rFonts w:ascii="Times New Roman" w:hAnsi="Times New Roman"/>
        </w:rPr>
      </w:pPr>
      <w:bookmarkStart w:id="20" w:name="_Toc141635006"/>
      <w:bookmarkStart w:id="21" w:name="_Toc147673523"/>
      <w:r>
        <w:rPr>
          <w:rFonts w:hint="eastAsia" w:ascii="Times New Roman" w:hAnsi="Times New Roman"/>
        </w:rPr>
        <w:t>（一）项目决策情况</w:t>
      </w:r>
      <w:bookmarkEnd w:id="20"/>
      <w:bookmarkEnd w:id="21"/>
    </w:p>
    <w:p>
      <w:pPr>
        <w:pStyle w:val="26"/>
        <w:ind w:firstLine="640"/>
      </w:pPr>
      <w:r>
        <w:rPr>
          <w:rFonts w:hint="eastAsia"/>
        </w:rPr>
        <w:t>决策指标主要包括项目立项、绩效目标、预算编制</w:t>
      </w:r>
      <w:r>
        <w:t>3</w:t>
      </w:r>
      <w:r>
        <w:rPr>
          <w:rFonts w:hint="eastAsia"/>
        </w:rPr>
        <w:t>项</w:t>
      </w:r>
      <w:r>
        <w:t>二级指标，8项三级指标，基础总分17分，合计得分14分。</w:t>
      </w:r>
    </w:p>
    <w:p>
      <w:pPr>
        <w:pStyle w:val="26"/>
        <w:ind w:firstLine="640"/>
      </w:pPr>
      <w:bookmarkStart w:id="22" w:name="_Hlk142608856"/>
      <w:r>
        <w:t>1.项目立项</w:t>
      </w:r>
    </w:p>
    <w:p>
      <w:pPr>
        <w:pStyle w:val="26"/>
        <w:ind w:firstLine="640"/>
      </w:pPr>
      <w:r>
        <w:rPr>
          <w:rFonts w:hint="eastAsia"/>
        </w:rPr>
        <w:t>（</w:t>
      </w:r>
      <w:r>
        <w:t>1）立项依据充分性（总分2分，得分2分）。</w:t>
      </w:r>
      <w:r>
        <w:rPr>
          <w:rFonts w:hint="eastAsia"/>
        </w:rPr>
        <w:t>新增储备粮粮权项目立项依据《市发展改革委 市粮食和物资局 市财政局关于将部分市级储备小麦粉划转市内六区的通知》（津粮调〔20</w:t>
      </w:r>
      <w:r>
        <w:t>22</w:t>
      </w:r>
      <w:r>
        <w:rPr>
          <w:rFonts w:hint="eastAsia"/>
        </w:rPr>
        <w:t>〕1</w:t>
      </w:r>
      <w:r>
        <w:t>3</w:t>
      </w:r>
      <w:r>
        <w:rPr>
          <w:rFonts w:hint="eastAsia"/>
        </w:rPr>
        <w:t>号）文件，与文件中“</w:t>
      </w:r>
      <w:r>
        <w:rPr>
          <w:rFonts w:hint="eastAsia"/>
          <w:szCs w:val="32"/>
        </w:rPr>
        <w:t>为落实市委巡视五组专项巡视和粮食安全政策落实情况专项审计整改要求，进一步提升我市粮食安全保障能力，解决市内六区成品粮储备未达核定规模且应急保障能力弱的问题，经市人民政府同意，决定将部分市级储备小麦粉划转市内六区。</w:t>
      </w:r>
      <w:r>
        <w:rPr>
          <w:rFonts w:hint="eastAsia"/>
        </w:rPr>
        <w:t>”以及“市级储备粮划转市内六区后，市内六区应按照承储合同数量给予成本支持、拨付储存费用。”的内容相匹配；此外，根据区发改委主要职责第十条“负责粮食储备安全，根据市政府的要求和部署提出启动应急方案和相应行动建议。承担粮食市场监测和粮食储备任务。”内容划分，该单位为辖区储备粮管理工作的主责部门。新增储备粮粮权项目立项符合国家法律法规、国民经济发展规划和相关政策；符合行业发展规划和政策要求；与部门职责范围相符，属于部门履职所需；属于公共财政支持范围；未与其他部门同类项目或部门内部相关项目重复。</w:t>
      </w:r>
    </w:p>
    <w:p>
      <w:pPr>
        <w:pStyle w:val="26"/>
        <w:ind w:firstLine="640"/>
      </w:pPr>
      <w:r>
        <w:rPr>
          <w:rFonts w:hint="eastAsia"/>
        </w:rPr>
        <w:t>（</w:t>
      </w:r>
      <w:r>
        <w:t>2）立项程序规范性（总分2分，得分2分）。</w:t>
      </w:r>
      <w:r>
        <w:rPr>
          <w:rFonts w:hint="eastAsia"/>
        </w:rPr>
        <w:t>新增储备粮粮权项目按照规定的程序申请设立实施</w:t>
      </w:r>
      <w:r>
        <w:t>，有完整的</w:t>
      </w:r>
      <w:r>
        <w:rPr>
          <w:rFonts w:hint="eastAsia"/>
        </w:rPr>
        <w:t>三重一大</w:t>
      </w:r>
      <w:r>
        <w:t>会议记录、审批文件、项目申请设立材料，立项程序符合规范要求。</w:t>
      </w:r>
    </w:p>
    <w:p>
      <w:pPr>
        <w:pStyle w:val="26"/>
        <w:ind w:firstLine="640"/>
      </w:pPr>
      <w:r>
        <w:t>2.绩效目标</w:t>
      </w:r>
    </w:p>
    <w:p>
      <w:pPr>
        <w:pStyle w:val="26"/>
        <w:ind w:firstLine="640"/>
      </w:pPr>
      <w:r>
        <w:rPr>
          <w:rFonts w:hint="eastAsia"/>
        </w:rPr>
        <w:t>（</w:t>
      </w:r>
      <w:r>
        <w:t>1）</w:t>
      </w:r>
      <w:r>
        <w:rPr>
          <w:rFonts w:hint="eastAsia"/>
        </w:rPr>
        <w:t>绩效目标明确性</w:t>
      </w:r>
      <w:r>
        <w:t>（总分2分，得分1分）。根据《天津市财政局关于印发</w:t>
      </w:r>
      <w:r>
        <w:rPr>
          <w:rFonts w:hint="eastAsia"/>
          <w:lang w:eastAsia="zh-CN"/>
        </w:rPr>
        <w:t>〈</w:t>
      </w:r>
      <w:r>
        <w:t>天津市市级部门预算绩效目标管理办法</w:t>
      </w:r>
      <w:r>
        <w:rPr>
          <w:rFonts w:hint="eastAsia"/>
          <w:lang w:eastAsia="zh-CN"/>
        </w:rPr>
        <w:t>〉</w:t>
      </w:r>
      <w:r>
        <w:t>的通知》（津财绩效〔2020〕16 号）文件要求</w:t>
      </w:r>
      <w:r>
        <w:rPr>
          <w:rFonts w:hint="eastAsia"/>
        </w:rPr>
        <w:t>，绩效目标应指向明确、细化量化、合理可行、相应匹配，实现可审核、可监控、可评价</w:t>
      </w:r>
      <w:r>
        <w:t>；</w:t>
      </w:r>
      <w:r>
        <w:rPr>
          <w:rFonts w:hint="eastAsia"/>
        </w:rPr>
        <w:t>根据本项目支出绩效目标表（经预算一体化平台导出），区发改委所设定的绩效指标虽与项目实际任务数相一致，但通过分析《市发展改革委 市粮食和物资局 市财政局关于将部分市级储备小麦粉划转市内六区的通知》（津粮调〔20</w:t>
      </w:r>
      <w:r>
        <w:t>22</w:t>
      </w:r>
      <w:r>
        <w:rPr>
          <w:rFonts w:hint="eastAsia"/>
        </w:rPr>
        <w:t>〕1</w:t>
      </w:r>
      <w:r>
        <w:t>3</w:t>
      </w:r>
      <w:r>
        <w:rPr>
          <w:rFonts w:hint="eastAsia"/>
        </w:rPr>
        <w:t>号）与《区级储备小麦粉委托代管协议》文件内容，本项目预算资金由新增市级储备粮划转结算费与管理过渡期（2</w:t>
      </w:r>
      <w:r>
        <w:t>022</w:t>
      </w:r>
      <w:r>
        <w:rPr>
          <w:rFonts w:hint="eastAsia"/>
        </w:rPr>
        <w:t>年7月1日至2</w:t>
      </w:r>
      <w:r>
        <w:t>022</w:t>
      </w:r>
      <w:r>
        <w:rPr>
          <w:rFonts w:hint="eastAsia"/>
        </w:rPr>
        <w:t>年1</w:t>
      </w:r>
      <w:r>
        <w:t>2</w:t>
      </w:r>
      <w:r>
        <w:rPr>
          <w:rFonts w:hint="eastAsia"/>
        </w:rPr>
        <w:t>月3</w:t>
      </w:r>
      <w:r>
        <w:t>1</w:t>
      </w:r>
      <w:r>
        <w:rPr>
          <w:rFonts w:hint="eastAsia"/>
        </w:rPr>
        <w:t>日）储存费两部分构成，而现有成本指标为“储备粮储存经费≤</w:t>
      </w:r>
      <w:r>
        <w:t>112.62</w:t>
      </w:r>
      <w:r>
        <w:rPr>
          <w:rFonts w:hint="eastAsia"/>
        </w:rPr>
        <w:t>万元”，未根据项目资金实际使用方向细化设定，存在成本指标细化程度不足的问题</w:t>
      </w:r>
      <w:r>
        <w:rPr>
          <w:rFonts w:hint="eastAsia" w:cs="Times New Roman"/>
          <w:color w:val="333333"/>
          <w:szCs w:val="32"/>
        </w:rPr>
        <w:t>。</w:t>
      </w:r>
    </w:p>
    <w:p>
      <w:pPr>
        <w:pStyle w:val="26"/>
        <w:ind w:firstLine="640"/>
      </w:pPr>
      <w:r>
        <w:rPr>
          <w:rFonts w:hint="eastAsia"/>
        </w:rPr>
        <w:t>（</w:t>
      </w:r>
      <w:r>
        <w:t>2）</w:t>
      </w:r>
      <w:r>
        <w:rPr>
          <w:rFonts w:hint="eastAsia"/>
        </w:rPr>
        <w:t>绩效目标合理性</w:t>
      </w:r>
      <w:r>
        <w:t>（总分4分，得分2分）。</w:t>
      </w:r>
      <w:r>
        <w:rPr>
          <w:rFonts w:hint="eastAsia"/>
          <w:bCs/>
        </w:rPr>
        <w:t>根据《天津市财政局关于印发</w:t>
      </w:r>
      <w:r>
        <w:rPr>
          <w:rFonts w:hint="eastAsia"/>
          <w:bCs/>
          <w:lang w:eastAsia="zh-CN"/>
        </w:rPr>
        <w:t>〈</w:t>
      </w:r>
      <w:r>
        <w:rPr>
          <w:bCs/>
        </w:rPr>
        <w:t>天津市市级部门预算绩效目标管理办法</w:t>
      </w:r>
      <w:r>
        <w:rPr>
          <w:rFonts w:hint="eastAsia"/>
          <w:bCs/>
          <w:lang w:eastAsia="zh-CN"/>
        </w:rPr>
        <w:t>〉</w:t>
      </w:r>
      <w:r>
        <w:rPr>
          <w:bCs/>
        </w:rPr>
        <w:t>的通知》（津财绩效〔2020〕16号）文件要求</w:t>
      </w:r>
      <w:r>
        <w:rPr>
          <w:rFonts w:hint="eastAsia"/>
          <w:bCs/>
        </w:rPr>
        <w:t>，</w:t>
      </w:r>
      <w:r>
        <w:rPr>
          <w:bCs/>
        </w:rPr>
        <w:t>绩效目标要能清晰反映预算资金的预期产出和效果</w:t>
      </w:r>
      <w:r>
        <w:rPr>
          <w:rFonts w:hint="eastAsia"/>
          <w:bCs/>
        </w:rPr>
        <w:t>；</w:t>
      </w:r>
      <w:r>
        <w:rPr>
          <w:rFonts w:hint="eastAsia"/>
        </w:rPr>
        <w:t>根据本项目支出绩效目标表（经预算一体化平台导出），区发改委所设定的绩效目标为“足额缴纳了和平区成品储备粮仓储费用，完成了储备面粉</w:t>
      </w:r>
      <w:r>
        <w:t>300吨</w:t>
      </w:r>
      <w:r>
        <w:rPr>
          <w:rFonts w:hint="eastAsia"/>
          <w:lang w:eastAsia="zh-CN"/>
        </w:rPr>
        <w:t>，</w:t>
      </w:r>
      <w:r>
        <w:t>确保了和平区成品储备粮安全可靠，动态轮换，常储常新，维护了市场价格稳定</w:t>
      </w:r>
      <w:r>
        <w:rPr>
          <w:rFonts w:hint="eastAsia"/>
        </w:rPr>
        <w:t>”，现有绩效目标内容为项目实施后实际产出与效果，与绩效目标应能清晰反映</w:t>
      </w:r>
      <w:r>
        <w:rPr>
          <w:bCs/>
        </w:rPr>
        <w:t>预算资金的</w:t>
      </w:r>
      <w:r>
        <w:rPr>
          <w:rFonts w:hint="eastAsia"/>
        </w:rPr>
        <w:t>预期产出和效果的要求不符，绩效目标设定规范性有待提高。区发改委已围绕新增储备粮划转接收管理工作内容</w:t>
      </w:r>
      <w:r>
        <w:rPr>
          <w:rFonts w:hint="eastAsia"/>
          <w:bCs/>
        </w:rPr>
        <w:t>细化分解为具体的绩效指标，且成本指标</w:t>
      </w:r>
      <w:r>
        <w:rPr>
          <w:bCs/>
        </w:rPr>
        <w:t>与预算确定的资金量相匹配</w:t>
      </w:r>
      <w:r>
        <w:rPr>
          <w:rFonts w:hint="eastAsia"/>
          <w:bCs/>
        </w:rPr>
        <w:t>。</w:t>
      </w:r>
    </w:p>
    <w:p>
      <w:pPr>
        <w:pStyle w:val="26"/>
        <w:ind w:firstLine="640"/>
      </w:pPr>
      <w:r>
        <w:t>3.</w:t>
      </w:r>
      <w:r>
        <w:rPr>
          <w:rFonts w:hint="eastAsia"/>
        </w:rPr>
        <w:t>预算编制</w:t>
      </w:r>
    </w:p>
    <w:p>
      <w:pPr>
        <w:pStyle w:val="26"/>
        <w:ind w:firstLine="640"/>
      </w:pPr>
      <w:r>
        <w:rPr>
          <w:rFonts w:hint="eastAsia"/>
        </w:rPr>
        <w:t>（</w:t>
      </w:r>
      <w:r>
        <w:t>1）</w:t>
      </w:r>
      <w:r>
        <w:rPr>
          <w:rFonts w:hint="eastAsia"/>
        </w:rPr>
        <w:t>测算内容合规性</w:t>
      </w:r>
      <w:r>
        <w:t>（总分2分，得分2分）。</w:t>
      </w:r>
      <w:r>
        <w:rPr>
          <w:rFonts w:hint="eastAsia"/>
        </w:rPr>
        <w:t>本项目预算测算内容主要为增储划转储备粮结算费与管理过渡期（2</w:t>
      </w:r>
      <w:r>
        <w:t>022</w:t>
      </w:r>
      <w:r>
        <w:rPr>
          <w:rFonts w:hint="eastAsia"/>
        </w:rPr>
        <w:t>年7月1日至2</w:t>
      </w:r>
      <w:r>
        <w:t>022</w:t>
      </w:r>
      <w:r>
        <w:rPr>
          <w:rFonts w:hint="eastAsia"/>
        </w:rPr>
        <w:t>年1</w:t>
      </w:r>
      <w:r>
        <w:t>2</w:t>
      </w:r>
      <w:r>
        <w:rPr>
          <w:rFonts w:hint="eastAsia"/>
        </w:rPr>
        <w:t>月3</w:t>
      </w:r>
      <w:r>
        <w:t>1</w:t>
      </w:r>
      <w:r>
        <w:rPr>
          <w:rFonts w:hint="eastAsia"/>
        </w:rPr>
        <w:t>日）储存费，符合《市发展改革委</w:t>
      </w:r>
      <w:r>
        <w:t xml:space="preserve"> 市粮食和物资局 市财政局关于将部分市级储备小麦粉划转市内六区的通知》（津粮调〔2022〕13号）文件</w:t>
      </w:r>
      <w:r>
        <w:rPr>
          <w:rFonts w:hint="eastAsia"/>
        </w:rPr>
        <w:t>规定范围，预算测算内容不存在重复测算政策规定内相同内容，测算内容合规性较高。</w:t>
      </w:r>
    </w:p>
    <w:p>
      <w:pPr>
        <w:pStyle w:val="26"/>
        <w:ind w:firstLine="640"/>
      </w:pPr>
      <w:r>
        <w:rPr>
          <w:rFonts w:hint="eastAsia"/>
        </w:rPr>
        <w:t>（</w:t>
      </w:r>
      <w:r>
        <w:t>2）</w:t>
      </w:r>
      <w:r>
        <w:rPr>
          <w:rFonts w:hint="eastAsia"/>
        </w:rPr>
        <w:t>测算标准合理性</w:t>
      </w:r>
      <w:r>
        <w:t>（总分1分，得分1分）。</w:t>
      </w:r>
      <w:r>
        <w:rPr>
          <w:rFonts w:hint="eastAsia"/>
        </w:rPr>
        <w:t>本项目预算测算标准依据《和平区区级储备粮管理办法》</w:t>
      </w:r>
      <w:r>
        <w:t>文件</w:t>
      </w:r>
      <w:r>
        <w:rPr>
          <w:rFonts w:hint="eastAsia"/>
        </w:rPr>
        <w:t>确定，符合文件第十五条“储备粮收购价格按区发展改革委（区粮食办公室）与承储企业双方商定的市场价格执行；储备粮储存保管费用，按市级储备粮储存费标准执行。”的规定，</w:t>
      </w:r>
      <w:r>
        <w:rPr>
          <w:rFonts w:hint="eastAsia"/>
          <w:bCs/>
        </w:rPr>
        <w:t>测算标准合理性较高。</w:t>
      </w:r>
    </w:p>
    <w:p>
      <w:pPr>
        <w:pStyle w:val="26"/>
        <w:ind w:firstLine="640"/>
      </w:pPr>
      <w:r>
        <w:rPr>
          <w:rFonts w:hint="eastAsia"/>
        </w:rPr>
        <w:t>（</w:t>
      </w:r>
      <w:r>
        <w:t>3）</w:t>
      </w:r>
      <w:r>
        <w:rPr>
          <w:rFonts w:hint="eastAsia"/>
        </w:rPr>
        <w:t>测算数据客观性</w:t>
      </w:r>
      <w:r>
        <w:t>（总分2分，得分2分）。</w:t>
      </w:r>
    </w:p>
    <w:p>
      <w:pPr>
        <w:pStyle w:val="26"/>
        <w:ind w:firstLine="640"/>
      </w:pPr>
      <w:r>
        <w:rPr>
          <w:rFonts w:hint="eastAsia"/>
        </w:rPr>
        <w:t>本项目预算测算数据符合完成本年新增储备粮划转结算与管理过渡期储存工作所需经费客观需求，增储划转储备粮吨数、每吨结算价格所参照平均交易价格标准与区级储备粮现行储存费用标准等项目预算测算数据均有合规佐证依据，测算数据客观性较高。</w:t>
      </w:r>
    </w:p>
    <w:p>
      <w:pPr>
        <w:pStyle w:val="26"/>
        <w:ind w:firstLine="640"/>
      </w:pPr>
      <w:r>
        <w:rPr>
          <w:rFonts w:hint="eastAsia"/>
        </w:rPr>
        <w:t>（</w:t>
      </w:r>
      <w:r>
        <w:t>4）</w:t>
      </w:r>
      <w:r>
        <w:rPr>
          <w:rFonts w:hint="eastAsia"/>
        </w:rPr>
        <w:t>测算过程细化度</w:t>
      </w:r>
      <w:r>
        <w:t>（总分2分，得分2分）。</w:t>
      </w:r>
    </w:p>
    <w:p>
      <w:pPr>
        <w:pStyle w:val="26"/>
        <w:ind w:firstLine="640"/>
      </w:pPr>
      <w:r>
        <w:rPr>
          <w:rFonts w:hint="eastAsia"/>
        </w:rPr>
        <w:t>本项目已按事权划分准确核定了本级财政支出，项目预算资金全部由区级财力进行保障，且区发改委已按照项目经费实际支出内容（增储划转储备粮结算费、管理过渡期</w:t>
      </w:r>
      <w:r>
        <w:t>储存费</w:t>
      </w:r>
      <w:r>
        <w:rPr>
          <w:rFonts w:hint="eastAsia"/>
        </w:rPr>
        <w:t>）准确核定了资本性支出与商品和服务类支出成本，项目预算测算过程细化程度较高</w:t>
      </w:r>
      <w:r>
        <w:rPr>
          <w:rFonts w:hint="eastAsia"/>
          <w:bCs/>
        </w:rPr>
        <w:t>。</w:t>
      </w:r>
    </w:p>
    <w:p>
      <w:pPr>
        <w:pStyle w:val="31"/>
        <w:spacing w:before="0" w:after="0"/>
        <w:ind w:firstLine="640"/>
        <w:rPr>
          <w:rFonts w:ascii="Times New Roman" w:hAnsi="Times New Roman"/>
        </w:rPr>
      </w:pPr>
      <w:bookmarkStart w:id="23" w:name="_Toc147673524"/>
      <w:bookmarkStart w:id="24" w:name="_Toc141635007"/>
      <w:r>
        <w:rPr>
          <w:rFonts w:hint="eastAsia" w:ascii="Times New Roman" w:hAnsi="Times New Roman"/>
        </w:rPr>
        <w:t>（二）项目过程情况</w:t>
      </w:r>
      <w:bookmarkEnd w:id="23"/>
      <w:bookmarkEnd w:id="24"/>
    </w:p>
    <w:p>
      <w:pPr>
        <w:pStyle w:val="26"/>
        <w:ind w:firstLine="640"/>
      </w:pPr>
      <w:r>
        <w:rPr>
          <w:rFonts w:hint="eastAsia"/>
        </w:rPr>
        <w:t>过程指标主要包括资金管理、组织实施</w:t>
      </w:r>
      <w:r>
        <w:t>2</w:t>
      </w:r>
      <w:r>
        <w:rPr>
          <w:rFonts w:hint="eastAsia"/>
        </w:rPr>
        <w:t>项</w:t>
      </w:r>
      <w:r>
        <w:t>二级指标，6项三级指标，基础总分23分，合计得分21分。</w:t>
      </w:r>
    </w:p>
    <w:p>
      <w:pPr>
        <w:pStyle w:val="26"/>
        <w:ind w:firstLine="640"/>
      </w:pPr>
      <w:r>
        <w:t>1.资金管理</w:t>
      </w:r>
    </w:p>
    <w:p>
      <w:pPr>
        <w:pStyle w:val="26"/>
        <w:ind w:firstLine="640"/>
      </w:pPr>
      <w:r>
        <w:rPr>
          <w:rFonts w:hint="eastAsia"/>
        </w:rPr>
        <w:t>（</w:t>
      </w:r>
      <w:r>
        <w:t>1）资金到位率（总分2分，得分2分）。</w:t>
      </w:r>
      <w:r>
        <w:rPr>
          <w:rFonts w:hint="eastAsia"/>
        </w:rPr>
        <w:t>新增储备粮粮权项目</w:t>
      </w:r>
      <w:r>
        <w:rPr>
          <w:rFonts w:hint="eastAsia"/>
          <w:bCs/>
        </w:rPr>
        <w:t>共计申请预算资金</w:t>
      </w:r>
      <w:r>
        <w:rPr>
          <w:bCs/>
        </w:rPr>
        <w:t>112.62</w:t>
      </w:r>
      <w:r>
        <w:rPr>
          <w:rFonts w:hint="eastAsia"/>
          <w:bCs/>
        </w:rPr>
        <w:t>万元，全部为区级财政预算资金，截至2</w:t>
      </w:r>
      <w:r>
        <w:rPr>
          <w:bCs/>
        </w:rPr>
        <w:t>022</w:t>
      </w:r>
      <w:r>
        <w:rPr>
          <w:rFonts w:hint="eastAsia"/>
          <w:bCs/>
        </w:rPr>
        <w:t>年</w:t>
      </w:r>
      <w:r>
        <w:rPr>
          <w:bCs/>
        </w:rPr>
        <w:t>12</w:t>
      </w:r>
      <w:r>
        <w:rPr>
          <w:rFonts w:hint="eastAsia"/>
          <w:bCs/>
        </w:rPr>
        <w:t>月</w:t>
      </w:r>
      <w:r>
        <w:rPr>
          <w:bCs/>
        </w:rPr>
        <w:t>31</w:t>
      </w:r>
      <w:r>
        <w:rPr>
          <w:rFonts w:hint="eastAsia"/>
          <w:bCs/>
        </w:rPr>
        <w:t>日，项目实际到位预算资金</w:t>
      </w:r>
      <w:r>
        <w:rPr>
          <w:bCs/>
        </w:rPr>
        <w:t>112.62</w:t>
      </w:r>
      <w:r>
        <w:rPr>
          <w:rFonts w:hint="eastAsia"/>
          <w:bCs/>
        </w:rPr>
        <w:t>万元，资金到位率为1</w:t>
      </w:r>
      <w:r>
        <w:rPr>
          <w:bCs/>
        </w:rPr>
        <w:t>00</w:t>
      </w:r>
      <w:r>
        <w:rPr>
          <w:rFonts w:hint="eastAsia"/>
          <w:bCs/>
        </w:rPr>
        <w:t>%。</w:t>
      </w:r>
    </w:p>
    <w:p>
      <w:pPr>
        <w:pStyle w:val="26"/>
        <w:ind w:firstLine="640"/>
      </w:pPr>
      <w:r>
        <w:rPr>
          <w:rFonts w:hint="eastAsia"/>
        </w:rPr>
        <w:t>（</w:t>
      </w:r>
      <w:r>
        <w:t>2）</w:t>
      </w:r>
      <w:r>
        <w:rPr>
          <w:rFonts w:hint="eastAsia"/>
        </w:rPr>
        <w:t>资金沉淀率</w:t>
      </w:r>
      <w:r>
        <w:t>（总分1分，得分1分）。</w:t>
      </w:r>
      <w:r>
        <w:rPr>
          <w:rFonts w:hint="eastAsia"/>
        </w:rPr>
        <w:t>新增储备粮粮权项目本年</w:t>
      </w:r>
      <w:r>
        <w:rPr>
          <w:rFonts w:hint="eastAsia"/>
          <w:bCs/>
        </w:rPr>
        <w:t>实际到位预算资金</w:t>
      </w:r>
      <w:r>
        <w:rPr>
          <w:bCs/>
        </w:rPr>
        <w:t>112.62</w:t>
      </w:r>
      <w:r>
        <w:rPr>
          <w:rFonts w:hint="eastAsia"/>
          <w:bCs/>
        </w:rPr>
        <w:t>万元</w:t>
      </w:r>
      <w:r>
        <w:t>，</w:t>
      </w:r>
      <w:r>
        <w:rPr>
          <w:rFonts w:hint="eastAsia"/>
        </w:rPr>
        <w:t>年末结转结余预算资金0万元，资金沉淀率为</w:t>
      </w:r>
      <w:r>
        <w:t>0%。</w:t>
      </w:r>
    </w:p>
    <w:p>
      <w:pPr>
        <w:pStyle w:val="26"/>
        <w:ind w:firstLine="640"/>
      </w:pPr>
      <w:r>
        <w:rPr>
          <w:rFonts w:hint="eastAsia"/>
        </w:rPr>
        <w:t>（</w:t>
      </w:r>
      <w:r>
        <w:t>3）</w:t>
      </w:r>
      <w:r>
        <w:rPr>
          <w:rFonts w:hint="eastAsia"/>
        </w:rPr>
        <w:t>预算执行</w:t>
      </w:r>
      <w:r>
        <w:t>率（总分2分，得分2分）。</w:t>
      </w:r>
    </w:p>
    <w:p>
      <w:pPr>
        <w:pStyle w:val="26"/>
        <w:ind w:firstLine="640"/>
      </w:pPr>
      <w:r>
        <w:rPr>
          <w:rFonts w:hint="eastAsia"/>
          <w:bCs/>
        </w:rPr>
        <w:t>截至2</w:t>
      </w:r>
      <w:r>
        <w:rPr>
          <w:bCs/>
        </w:rPr>
        <w:t>022</w:t>
      </w:r>
      <w:r>
        <w:rPr>
          <w:rFonts w:hint="eastAsia"/>
          <w:bCs/>
        </w:rPr>
        <w:t>年</w:t>
      </w:r>
      <w:r>
        <w:rPr>
          <w:bCs/>
        </w:rPr>
        <w:t>12</w:t>
      </w:r>
      <w:r>
        <w:rPr>
          <w:rFonts w:hint="eastAsia"/>
          <w:bCs/>
        </w:rPr>
        <w:t>月</w:t>
      </w:r>
      <w:r>
        <w:rPr>
          <w:bCs/>
        </w:rPr>
        <w:t>31</w:t>
      </w:r>
      <w:r>
        <w:rPr>
          <w:rFonts w:hint="eastAsia"/>
          <w:bCs/>
        </w:rPr>
        <w:t>日，</w:t>
      </w:r>
      <w:r>
        <w:rPr>
          <w:rFonts w:hint="eastAsia"/>
        </w:rPr>
        <w:t>新增储备粮粮权项目</w:t>
      </w:r>
      <w:r>
        <w:rPr>
          <w:rFonts w:hint="eastAsia"/>
          <w:bCs/>
        </w:rPr>
        <w:t>实际到位预算资金</w:t>
      </w:r>
      <w:r>
        <w:rPr>
          <w:bCs/>
        </w:rPr>
        <w:t>112.62</w:t>
      </w:r>
      <w:r>
        <w:rPr>
          <w:rFonts w:hint="eastAsia"/>
          <w:bCs/>
        </w:rPr>
        <w:t>万元。根据区发改委所提供预算一体化指标执行情况与财务核算平台支付明细数据统计，本项目实际支出预算资金</w:t>
      </w:r>
      <w:r>
        <w:rPr>
          <w:bCs/>
        </w:rPr>
        <w:t>112.62</w:t>
      </w:r>
      <w:r>
        <w:rPr>
          <w:rFonts w:hint="eastAsia"/>
          <w:bCs/>
        </w:rPr>
        <w:t>万元，预算执行率为</w:t>
      </w:r>
      <w:r>
        <w:rPr>
          <w:bCs/>
        </w:rPr>
        <w:t>100</w:t>
      </w:r>
      <w:r>
        <w:rPr>
          <w:rFonts w:hint="eastAsia"/>
          <w:bCs/>
        </w:rPr>
        <w:t>%。</w:t>
      </w:r>
    </w:p>
    <w:p>
      <w:pPr>
        <w:pStyle w:val="26"/>
        <w:ind w:firstLine="640"/>
      </w:pPr>
      <w:r>
        <w:rPr>
          <w:rFonts w:hint="eastAsia"/>
        </w:rPr>
        <w:t>（</w:t>
      </w:r>
      <w:r>
        <w:t>4）</w:t>
      </w:r>
      <w:r>
        <w:rPr>
          <w:rFonts w:hint="eastAsia"/>
        </w:rPr>
        <w:t>资金使用合规性</w:t>
      </w:r>
      <w:r>
        <w:t>（总分11分，得分10分）。</w:t>
      </w:r>
    </w:p>
    <w:p>
      <w:pPr>
        <w:pStyle w:val="26"/>
        <w:ind w:firstLine="640"/>
        <w:rPr>
          <w:bCs/>
        </w:rPr>
      </w:pPr>
      <w:r>
        <w:rPr>
          <w:rFonts w:hint="eastAsia"/>
          <w:bCs/>
        </w:rPr>
        <w:t>区发改委所提供记账凭证及请款单据完整，项目资金拨付有完整的审批程序和手续，各项明细支出有完整的请款申请及资金审批单据；项目支出符合预算批复规定用途；项目资金不存在截留、挤占、挪用、虚列支出等情况；各项审计、巡视、财政检查等工作未针对本项目提出相关待整改问题。但在查阅本项目财务记账凭证过程中发现，区发改委将本次增储划转3</w:t>
      </w:r>
      <w:r>
        <w:rPr>
          <w:bCs/>
        </w:rPr>
        <w:t>00</w:t>
      </w:r>
      <w:r>
        <w:rPr>
          <w:rFonts w:hint="eastAsia"/>
          <w:bCs/>
        </w:rPr>
        <w:t>吨储备小麦粉结算费用列入财务会计商品和服务费用科目核算，且原有2</w:t>
      </w:r>
      <w:r>
        <w:rPr>
          <w:bCs/>
        </w:rPr>
        <w:t>00</w:t>
      </w:r>
      <w:r>
        <w:rPr>
          <w:rFonts w:hint="eastAsia"/>
          <w:bCs/>
        </w:rPr>
        <w:t>吨储备小麦粉亦未按照取得成本列入政府储备物资科目核算。根据《政府会计准则第</w:t>
      </w:r>
      <w:r>
        <w:rPr>
          <w:bCs/>
        </w:rPr>
        <w:t>6号—政府储备物资</w:t>
      </w:r>
      <w:r>
        <w:rPr>
          <w:rFonts w:hint="eastAsia"/>
          <w:bCs/>
        </w:rPr>
        <w:t>》（财会〔</w:t>
      </w:r>
      <w:r>
        <w:rPr>
          <w:bCs/>
        </w:rPr>
        <w:t>2017〕23号）</w:t>
      </w:r>
      <w:r>
        <w:rPr>
          <w:rFonts w:hint="eastAsia"/>
          <w:bCs/>
        </w:rPr>
        <w:t>文件第二条“政府储备物资包括战略及能源物资、抢险抗灾救灾物资、农产品、医药物资和其他重要商品物资”、第七条“政府储备物资在取得时应当按照成本进行初始计量”、第八条“政府会计主体购入的政府储备物资，其成本包括购买价款和政府会计主体承担的相关税费、运输费、装卸费、保险费、检测费以及使政府储备物资达到目前场所和状态所发生的归属于政府储备物资成本的其他支出”、第十二条“仓储费用、日常维护费用以及不能归属于使政府储备物资达到目前场所和状态所发生的其他支出不计入政府储备物资成本”上述4项条文规定，财务核算规范性有待提高。</w:t>
      </w:r>
    </w:p>
    <w:p>
      <w:pPr>
        <w:pStyle w:val="26"/>
        <w:ind w:firstLine="640"/>
      </w:pPr>
      <w:r>
        <w:t>2.</w:t>
      </w:r>
      <w:r>
        <w:rPr>
          <w:rFonts w:hint="eastAsia"/>
        </w:rPr>
        <w:t>组织实施</w:t>
      </w:r>
    </w:p>
    <w:p>
      <w:pPr>
        <w:pStyle w:val="26"/>
        <w:ind w:firstLine="640"/>
      </w:pPr>
      <w:r>
        <w:rPr>
          <w:rFonts w:hint="eastAsia"/>
        </w:rPr>
        <w:t>（</w:t>
      </w:r>
      <w:r>
        <w:t>1）</w:t>
      </w:r>
      <w:r>
        <w:rPr>
          <w:rFonts w:hint="eastAsia"/>
        </w:rPr>
        <w:t>管理制度健全性</w:t>
      </w:r>
      <w:r>
        <w:t>（总分2分，得分1分）。</w:t>
      </w:r>
    </w:p>
    <w:p>
      <w:pPr>
        <w:pStyle w:val="26"/>
        <w:ind w:firstLine="640"/>
      </w:pPr>
      <w:r>
        <w:rPr>
          <w:rFonts w:hint="eastAsia"/>
        </w:rPr>
        <w:t>区发改委根据储备粮管理工作实际情况与单位经济业务内部控制需要，制定了《和平区区级储备粮管理办法》《和平区粮食应急预案》《和平区发改委内控管理制度》《和平区发改委内控管理手册》，相关制度与上位法要求相符，侧重点明细；现有财务和业务管理制度合法、合规、完整。但区发改委未单独制定区级政府储备粮食质量安全管理制度，与《天津市粮食和物资局关于加强区级储备粮质量安全管理工作的通知》文件中 “各区粮食行政管理部门应以《粮食质量安全监管办法》《政府储备粮食质量安全管理办法》为依据，参照《天津市市级储备粮质量安全管理办法》，健全区级储备粮质量安全管理制度，进一步明确出入库和储存期间的质量安全管理要求”的规定不符，管理制度健全性有待提高。</w:t>
      </w:r>
    </w:p>
    <w:p>
      <w:pPr>
        <w:pStyle w:val="26"/>
        <w:ind w:firstLine="640"/>
      </w:pPr>
      <w:r>
        <w:rPr>
          <w:rFonts w:hint="eastAsia"/>
        </w:rPr>
        <w:t>（</w:t>
      </w:r>
      <w:r>
        <w:t>2）</w:t>
      </w:r>
      <w:r>
        <w:rPr>
          <w:rFonts w:hint="eastAsia"/>
        </w:rPr>
        <w:t>制度执行有效性</w:t>
      </w:r>
      <w:r>
        <w:t>（总分5分，得分5分）</w:t>
      </w:r>
      <w:r>
        <w:rPr>
          <w:rFonts w:hint="eastAsia"/>
        </w:rPr>
        <w:t>。</w:t>
      </w:r>
    </w:p>
    <w:p>
      <w:pPr>
        <w:pStyle w:val="26"/>
        <w:ind w:firstLine="640"/>
      </w:pPr>
      <w:r>
        <w:rPr>
          <w:rFonts w:hint="eastAsia"/>
        </w:rPr>
        <w:t>根据区发改委所提供本项目前期申报材料、项目资金使用申请、资金报销凭单、储备粮划转验收报告、实地监督检查记录、检验检测报告等相关材料与现场调研沟通反馈结果，项目实施遵守相关法律法规和业务管理制度规定，项目资金支出手续完备，项目实施人力、仓储资源保障到位；项目实施过程中各项请款、付款文件与业务工作记录文件齐全并及时归档，</w:t>
      </w:r>
      <w:r>
        <w:t>项目</w:t>
      </w:r>
      <w:r>
        <w:rPr>
          <w:rFonts w:hint="eastAsia"/>
        </w:rPr>
        <w:t>制度执行有效。</w:t>
      </w:r>
      <w:bookmarkEnd w:id="22"/>
    </w:p>
    <w:p>
      <w:pPr>
        <w:pStyle w:val="31"/>
        <w:spacing w:before="0" w:after="0"/>
        <w:ind w:firstLine="640"/>
        <w:rPr>
          <w:rFonts w:ascii="Times New Roman" w:hAnsi="Times New Roman"/>
        </w:rPr>
      </w:pPr>
      <w:bookmarkStart w:id="25" w:name="_Toc147673525"/>
      <w:bookmarkStart w:id="26" w:name="_Toc141635008"/>
      <w:r>
        <w:rPr>
          <w:rFonts w:hint="eastAsia" w:ascii="Times New Roman" w:hAnsi="Times New Roman"/>
        </w:rPr>
        <w:t>（三）项目产出情况</w:t>
      </w:r>
      <w:bookmarkEnd w:id="25"/>
      <w:bookmarkEnd w:id="26"/>
      <w:r>
        <w:rPr>
          <w:rFonts w:hint="eastAsia" w:ascii="Times New Roman" w:hAnsi="Times New Roman"/>
        </w:rPr>
        <w:t xml:space="preserve"> </w:t>
      </w:r>
    </w:p>
    <w:p>
      <w:pPr>
        <w:pStyle w:val="26"/>
        <w:ind w:firstLine="640"/>
      </w:pPr>
      <w:r>
        <w:rPr>
          <w:rFonts w:hint="eastAsia"/>
        </w:rPr>
        <w:t>产出指标主要包括产出数量、产出质量、产出时效、产出成本</w:t>
      </w:r>
      <w:r>
        <w:t>4</w:t>
      </w:r>
      <w:r>
        <w:rPr>
          <w:rFonts w:hint="eastAsia"/>
        </w:rPr>
        <w:t>项</w:t>
      </w:r>
      <w:r>
        <w:t>二级指标，7项三级指标，基础总分38分，合计得分38分。</w:t>
      </w:r>
    </w:p>
    <w:p>
      <w:pPr>
        <w:pStyle w:val="26"/>
        <w:ind w:firstLine="640"/>
      </w:pPr>
      <w:r>
        <w:t>1.产出数量</w:t>
      </w:r>
    </w:p>
    <w:p>
      <w:pPr>
        <w:pStyle w:val="26"/>
        <w:ind w:firstLine="640"/>
        <w:rPr>
          <w:bCs/>
        </w:rPr>
      </w:pPr>
      <w:r>
        <w:rPr>
          <w:rFonts w:hint="eastAsia"/>
        </w:rPr>
        <w:t>（1）增储划转储备粮接收入库任务完成率（总分</w:t>
      </w:r>
      <w:r>
        <w:t>4</w:t>
      </w:r>
      <w:r>
        <w:rPr>
          <w:rFonts w:hint="eastAsia"/>
        </w:rPr>
        <w:t>分，得分</w:t>
      </w:r>
      <w:r>
        <w:t>4</w:t>
      </w:r>
      <w:r>
        <w:rPr>
          <w:rFonts w:hint="eastAsia"/>
        </w:rPr>
        <w:t>分）。根据现场调研沟通反馈结果与区发改委所提供市级成品粮储备划转明细表、市级储备小麦粉实物划转通知单、地方成品粮储备移交表、区级储备粮委托代管协议、区级政策性储备成品粮库存明细表文件，2</w:t>
      </w:r>
      <w:r>
        <w:t>022</w:t>
      </w:r>
      <w:r>
        <w:rPr>
          <w:rFonts w:hint="eastAsia"/>
        </w:rPr>
        <w:t>年天津市粮食储备有限公司向和平区所划转3</w:t>
      </w:r>
      <w:r>
        <w:t>00</w:t>
      </w:r>
      <w:r>
        <w:rPr>
          <w:rFonts w:hint="eastAsia"/>
        </w:rPr>
        <w:t>吨一等小麦粉已由区发改委于当年8月完成粮权接收工作</w:t>
      </w:r>
      <w:r>
        <w:rPr>
          <w:rFonts w:hint="eastAsia"/>
          <w:bCs/>
        </w:rPr>
        <w:t>，并由中粮利金（天津）粮油股份有限公司静海分公司完成了3</w:t>
      </w:r>
      <w:r>
        <w:rPr>
          <w:bCs/>
        </w:rPr>
        <w:t>00</w:t>
      </w:r>
      <w:r>
        <w:rPr>
          <w:rFonts w:hint="eastAsia"/>
          <w:bCs/>
        </w:rPr>
        <w:t>吨小麦粉实物入库工作，</w:t>
      </w:r>
      <w:r>
        <w:rPr>
          <w:rFonts w:hint="eastAsia"/>
        </w:rPr>
        <w:t>增储划转储备粮接收入库任务完成率</w:t>
      </w:r>
      <w:r>
        <w:rPr>
          <w:rFonts w:hint="eastAsia"/>
          <w:bCs/>
        </w:rPr>
        <w:t>为1</w:t>
      </w:r>
      <w:r>
        <w:rPr>
          <w:bCs/>
        </w:rPr>
        <w:t>00</w:t>
      </w:r>
      <w:r>
        <w:rPr>
          <w:rFonts w:hint="eastAsia"/>
          <w:bCs/>
        </w:rPr>
        <w:t>%。</w:t>
      </w:r>
    </w:p>
    <w:p>
      <w:pPr>
        <w:pStyle w:val="26"/>
        <w:ind w:firstLine="640"/>
        <w:rPr>
          <w:bCs/>
        </w:rPr>
      </w:pPr>
      <w:r>
        <w:rPr>
          <w:rFonts w:hint="eastAsia"/>
        </w:rPr>
        <w:t>（</w:t>
      </w:r>
      <w:r>
        <w:t>2</w:t>
      </w:r>
      <w:r>
        <w:rPr>
          <w:rFonts w:hint="eastAsia"/>
        </w:rPr>
        <w:t>）区级储备粮仓储管理监督检查任务完成率（总分</w:t>
      </w:r>
      <w:r>
        <w:t>5</w:t>
      </w:r>
      <w:r>
        <w:rPr>
          <w:rFonts w:hint="eastAsia"/>
        </w:rPr>
        <w:t>分，得分</w:t>
      </w:r>
      <w:r>
        <w:t>5</w:t>
      </w:r>
      <w:r>
        <w:rPr>
          <w:rFonts w:hint="eastAsia"/>
        </w:rPr>
        <w:t>分）。根据现场调研沟通反馈结果与和平区人民政府政务网所公开的区发改委</w:t>
      </w:r>
      <w:r>
        <w:t>2022年行政执法工作报告</w:t>
      </w:r>
      <w:r>
        <w:rPr>
          <w:rFonts w:hint="eastAsia"/>
        </w:rPr>
        <w:t>，区发改委于本年针对区级储备粮承储企业共计开展</w:t>
      </w:r>
      <w:r>
        <w:t>4次现场实地检查</w:t>
      </w:r>
      <w:r>
        <w:rPr>
          <w:rFonts w:hint="eastAsia"/>
        </w:rPr>
        <w:t>工作</w:t>
      </w:r>
      <w:r>
        <w:t>，</w:t>
      </w:r>
      <w:r>
        <w:rPr>
          <w:rFonts w:hint="eastAsia"/>
        </w:rPr>
        <w:t>同时通过</w:t>
      </w:r>
      <w:r>
        <w:t>委托</w:t>
      </w:r>
      <w:r>
        <w:rPr>
          <w:rFonts w:hint="eastAsia"/>
        </w:rPr>
        <w:t>第三方</w:t>
      </w:r>
      <w:r>
        <w:t>专业检测机构</w:t>
      </w:r>
      <w:r>
        <w:rPr>
          <w:rFonts w:hint="eastAsia"/>
        </w:rPr>
        <w:t>开展</w:t>
      </w:r>
      <w:r>
        <w:t>2次</w:t>
      </w:r>
      <w:r>
        <w:rPr>
          <w:rFonts w:hint="eastAsia"/>
        </w:rPr>
        <w:t>区级储备粮</w:t>
      </w:r>
      <w:r>
        <w:t>质量强检</w:t>
      </w:r>
      <w:r>
        <w:rPr>
          <w:rFonts w:hint="eastAsia"/>
        </w:rPr>
        <w:t>工作，有效完成了《和平区区级储备粮管理办法》文件第二十四条“每年对储备粮进行定期检查不少于3次、质量检验检测不少于2次”的监督检查任务要求，区级储备粮仓储管理监督检查任务完成率</w:t>
      </w:r>
      <w:r>
        <w:rPr>
          <w:rFonts w:hint="eastAsia"/>
          <w:bCs/>
        </w:rPr>
        <w:t>为1</w:t>
      </w:r>
      <w:r>
        <w:rPr>
          <w:bCs/>
        </w:rPr>
        <w:t>00</w:t>
      </w:r>
      <w:r>
        <w:rPr>
          <w:rFonts w:hint="eastAsia"/>
          <w:bCs/>
        </w:rPr>
        <w:t>%。</w:t>
      </w:r>
    </w:p>
    <w:p>
      <w:pPr>
        <w:pStyle w:val="26"/>
        <w:ind w:firstLine="640"/>
      </w:pPr>
      <w:r>
        <w:t>2.产出</w:t>
      </w:r>
      <w:r>
        <w:rPr>
          <w:rFonts w:hint="eastAsia"/>
        </w:rPr>
        <w:t xml:space="preserve">质量 </w:t>
      </w:r>
    </w:p>
    <w:p>
      <w:pPr>
        <w:pStyle w:val="26"/>
        <w:ind w:firstLine="640"/>
        <w:rPr>
          <w:bCs/>
        </w:rPr>
      </w:pPr>
      <w:r>
        <w:rPr>
          <w:rFonts w:hint="eastAsia"/>
        </w:rPr>
        <w:t>（</w:t>
      </w:r>
      <w:r>
        <w:t>1</w:t>
      </w:r>
      <w:r>
        <w:rPr>
          <w:rFonts w:hint="eastAsia"/>
        </w:rPr>
        <w:t>）增储划转储备粮库存质量达标率（总分</w:t>
      </w:r>
      <w:r>
        <w:t>5</w:t>
      </w:r>
      <w:r>
        <w:rPr>
          <w:rFonts w:hint="eastAsia"/>
        </w:rPr>
        <w:t>分，得分</w:t>
      </w:r>
      <w:r>
        <w:t>5</w:t>
      </w:r>
      <w:r>
        <w:rPr>
          <w:rFonts w:hint="eastAsia"/>
        </w:rPr>
        <w:t>分）。</w:t>
      </w:r>
      <w:r>
        <w:rPr>
          <w:rFonts w:hint="eastAsia"/>
          <w:bCs/>
        </w:rPr>
        <w:t>根据现场调研沟通反馈结果与区发改委所提供市级储备小麦粉实物划转验收报告、现场检查记录文件，区发改委本年所接收增储划转小麦粉数量、生产年限、质量等级、储存方式均符合</w:t>
      </w:r>
      <w:r>
        <w:rPr>
          <w:rFonts w:hint="eastAsia"/>
        </w:rPr>
        <w:t>《市发展改革委 市粮食和物资局 市财政局关于将部分市级储备小麦粉划转市内六区的通知》（津粮调〔20</w:t>
      </w:r>
      <w:r>
        <w:t>22</w:t>
      </w:r>
      <w:r>
        <w:rPr>
          <w:rFonts w:hint="eastAsia"/>
        </w:rPr>
        <w:t>〕1</w:t>
      </w:r>
      <w:r>
        <w:t>3</w:t>
      </w:r>
      <w:r>
        <w:rPr>
          <w:rFonts w:hint="eastAsia"/>
        </w:rPr>
        <w:t>号）文件要求，此外承储企业在</w:t>
      </w:r>
      <w:r>
        <w:rPr>
          <w:rFonts w:hint="eastAsia"/>
          <w:bCs/>
        </w:rPr>
        <w:t>增储划转3</w:t>
      </w:r>
      <w:r>
        <w:rPr>
          <w:bCs/>
        </w:rPr>
        <w:t>00</w:t>
      </w:r>
      <w:r>
        <w:rPr>
          <w:rFonts w:hint="eastAsia"/>
          <w:bCs/>
        </w:rPr>
        <w:t>吨小麦粉入库后严格按照《和平区区级储备粮管理办法》第十六条“区级储备粮实行动态储备，纳入存储企业商业流转，轮换周期一般不超过3个月”的文件要求实施了区级储备小麦粉轮换工作</w:t>
      </w:r>
      <w:r>
        <w:rPr>
          <w:bCs/>
        </w:rPr>
        <w:t>。</w:t>
      </w:r>
      <w:r>
        <w:rPr>
          <w:rFonts w:hint="eastAsia"/>
          <w:bCs/>
        </w:rPr>
        <w:t>综上所述，</w:t>
      </w:r>
      <w:r>
        <w:rPr>
          <w:rFonts w:hint="eastAsia"/>
        </w:rPr>
        <w:t>增储划转储备粮库存质量达标率</w:t>
      </w:r>
      <w:r>
        <w:rPr>
          <w:rFonts w:hint="eastAsia"/>
          <w:bCs/>
        </w:rPr>
        <w:t>为1</w:t>
      </w:r>
      <w:r>
        <w:rPr>
          <w:bCs/>
        </w:rPr>
        <w:t>00</w:t>
      </w:r>
      <w:r>
        <w:rPr>
          <w:rFonts w:hint="eastAsia"/>
          <w:bCs/>
        </w:rPr>
        <w:t>%。</w:t>
      </w:r>
    </w:p>
    <w:p>
      <w:pPr>
        <w:pStyle w:val="26"/>
        <w:ind w:firstLine="640"/>
        <w:rPr>
          <w:bCs/>
        </w:rPr>
      </w:pPr>
      <w:r>
        <w:rPr>
          <w:rFonts w:hint="eastAsia"/>
        </w:rPr>
        <w:t>（</w:t>
      </w:r>
      <w:r>
        <w:t>2</w:t>
      </w:r>
      <w:r>
        <w:rPr>
          <w:rFonts w:hint="eastAsia"/>
        </w:rPr>
        <w:t>）区级储备粮仓储管理监督检查任务开展合规率（总分</w:t>
      </w:r>
      <w:r>
        <w:t>5</w:t>
      </w:r>
      <w:r>
        <w:rPr>
          <w:rFonts w:hint="eastAsia"/>
        </w:rPr>
        <w:t>分，得分</w:t>
      </w:r>
      <w:r>
        <w:t>5</w:t>
      </w:r>
      <w:r>
        <w:rPr>
          <w:rFonts w:hint="eastAsia"/>
        </w:rPr>
        <w:t>分）。</w:t>
      </w:r>
      <w:r>
        <w:rPr>
          <w:rFonts w:hint="eastAsia"/>
          <w:bCs/>
        </w:rPr>
        <w:t>根据现场调研沟通反馈结果与区发改委</w:t>
      </w:r>
      <w:r>
        <w:rPr>
          <w:rFonts w:hint="eastAsia"/>
        </w:rPr>
        <w:t>所提供承储企业</w:t>
      </w:r>
      <w:r>
        <w:rPr>
          <w:rFonts w:hint="eastAsia"/>
          <w:bCs/>
        </w:rPr>
        <w:t>现场检查记录、储备粮质量检验检测报告文件</w:t>
      </w:r>
      <w:r>
        <w:rPr>
          <w:rFonts w:hint="eastAsia"/>
        </w:rPr>
        <w:t>，区发改委主要针对承储企业安全生产管理情况、区级储备粮库实物保管账、统计账、会计账账目相符情况、区级储备粮储存方式、数量以及轮换情况开展现场监督检查，根据监督检查结果形成现场检查记录与执法文书；同时通过委托具有相关资质第三方检验检测机构针对现有区级储备小麦粉</w:t>
      </w:r>
      <w:r>
        <w:rPr>
          <w:rFonts w:hint="eastAsia" w:cs="Times New Roman"/>
          <w:bCs/>
          <w:color w:val="000000"/>
          <w:kern w:val="21"/>
          <w:szCs w:val="32"/>
        </w:rPr>
        <w:t>加工精度、灰分含量、脂肪酸值等常规质量指标以及铅、镉、总汞、总砷含量等食品安全指标进行质量强检并形成检验检测报告，前述</w:t>
      </w:r>
      <w:r>
        <w:rPr>
          <w:rFonts w:hint="eastAsia"/>
          <w:bCs/>
        </w:rPr>
        <w:t>现场检查与质量强检工作内容符合《天津市市级储备粮质量安全管理办法》《和平区区级储备粮管理办法》相关文件要求</w:t>
      </w:r>
      <w:r>
        <w:rPr>
          <w:rFonts w:hint="eastAsia" w:eastAsia="仿宋"/>
          <w:szCs w:val="32"/>
        </w:rPr>
        <w:t>。</w:t>
      </w:r>
      <w:r>
        <w:rPr>
          <w:rFonts w:hint="eastAsia"/>
          <w:bCs/>
        </w:rPr>
        <w:t>综上所述，</w:t>
      </w:r>
      <w:r>
        <w:rPr>
          <w:rFonts w:hint="eastAsia"/>
        </w:rPr>
        <w:t>区级储备粮仓储管理监督检查任务开展合规率</w:t>
      </w:r>
      <w:r>
        <w:rPr>
          <w:rFonts w:hint="eastAsia"/>
          <w:bCs/>
        </w:rPr>
        <w:t>为1</w:t>
      </w:r>
      <w:r>
        <w:rPr>
          <w:bCs/>
        </w:rPr>
        <w:t>00</w:t>
      </w:r>
      <w:r>
        <w:rPr>
          <w:rFonts w:hint="eastAsia"/>
          <w:bCs/>
        </w:rPr>
        <w:t>%。</w:t>
      </w:r>
    </w:p>
    <w:p>
      <w:pPr>
        <w:pStyle w:val="26"/>
        <w:ind w:firstLine="640"/>
      </w:pPr>
      <w:r>
        <w:t>3.产出</w:t>
      </w:r>
      <w:r>
        <w:rPr>
          <w:rFonts w:hint="eastAsia"/>
        </w:rPr>
        <w:t xml:space="preserve">时效 </w:t>
      </w:r>
    </w:p>
    <w:p>
      <w:pPr>
        <w:pStyle w:val="26"/>
        <w:ind w:firstLine="640"/>
        <w:rPr>
          <w:bCs/>
        </w:rPr>
      </w:pPr>
      <w:r>
        <w:rPr>
          <w:rFonts w:hint="eastAsia"/>
        </w:rPr>
        <w:t>（</w:t>
      </w:r>
      <w:r>
        <w:t>1</w:t>
      </w:r>
      <w:r>
        <w:rPr>
          <w:rFonts w:hint="eastAsia"/>
        </w:rPr>
        <w:t>）增储划转储备粮接收入库任务完成及时率（总分</w:t>
      </w:r>
      <w:r>
        <w:t>5</w:t>
      </w:r>
      <w:r>
        <w:rPr>
          <w:rFonts w:hint="eastAsia"/>
        </w:rPr>
        <w:t>分，得分</w:t>
      </w:r>
      <w:r>
        <w:t>5</w:t>
      </w:r>
      <w:r>
        <w:rPr>
          <w:rFonts w:hint="eastAsia"/>
        </w:rPr>
        <w:t>分）。根据现场调研沟通反馈结果</w:t>
      </w:r>
      <w:r>
        <w:rPr>
          <w:rFonts w:hint="eastAsia"/>
          <w:bCs/>
        </w:rPr>
        <w:t>与区发改委所提供市级储备小麦粉实物划转通知单、地方成品粮储备移交表、市级储备小麦粉实物划转验收报告文件</w:t>
      </w:r>
      <w:r>
        <w:rPr>
          <w:rFonts w:hint="eastAsia"/>
        </w:rPr>
        <w:t>，天津市粮食储备有限公司于2</w:t>
      </w:r>
      <w:r>
        <w:t>022</w:t>
      </w:r>
      <w:r>
        <w:rPr>
          <w:rFonts w:hint="eastAsia"/>
        </w:rPr>
        <w:t>年7月2</w:t>
      </w:r>
      <w:r>
        <w:t>9</w:t>
      </w:r>
      <w:r>
        <w:rPr>
          <w:rFonts w:hint="eastAsia"/>
        </w:rPr>
        <w:t>日向区发改委发出3</w:t>
      </w:r>
      <w:r>
        <w:t>00</w:t>
      </w:r>
      <w:r>
        <w:rPr>
          <w:rFonts w:hint="eastAsia"/>
        </w:rPr>
        <w:t>吨</w:t>
      </w:r>
      <w:r>
        <w:rPr>
          <w:rFonts w:hint="eastAsia"/>
          <w:bCs/>
        </w:rPr>
        <w:t>市级储备小麦粉</w:t>
      </w:r>
      <w:r>
        <w:rPr>
          <w:rFonts w:hint="eastAsia"/>
        </w:rPr>
        <w:t>实物划转通知，区发改委于8月2</w:t>
      </w:r>
      <w:r>
        <w:t>3</w:t>
      </w:r>
      <w:r>
        <w:rPr>
          <w:rFonts w:hint="eastAsia"/>
        </w:rPr>
        <w:t>日完成增储划转3</w:t>
      </w:r>
      <w:r>
        <w:t>00</w:t>
      </w:r>
      <w:r>
        <w:rPr>
          <w:rFonts w:hint="eastAsia"/>
        </w:rPr>
        <w:t>吨小麦粉验收入库工作，未出现增储划转储备粮接收入库延缓的情况。</w:t>
      </w:r>
      <w:r>
        <w:rPr>
          <w:rFonts w:hint="eastAsia"/>
          <w:bCs/>
        </w:rPr>
        <w:t>综上所述，</w:t>
      </w:r>
      <w:r>
        <w:rPr>
          <w:rFonts w:hint="eastAsia"/>
        </w:rPr>
        <w:t>增储划转储备粮接收入库任务完成及时率</w:t>
      </w:r>
      <w:r>
        <w:rPr>
          <w:rFonts w:hint="eastAsia"/>
          <w:bCs/>
        </w:rPr>
        <w:t>为1</w:t>
      </w:r>
      <w:r>
        <w:rPr>
          <w:bCs/>
        </w:rPr>
        <w:t>00</w:t>
      </w:r>
      <w:r>
        <w:rPr>
          <w:rFonts w:hint="eastAsia"/>
          <w:bCs/>
        </w:rPr>
        <w:t>%。</w:t>
      </w:r>
    </w:p>
    <w:p>
      <w:pPr>
        <w:pStyle w:val="26"/>
        <w:ind w:firstLine="640"/>
        <w:rPr>
          <w:bCs/>
        </w:rPr>
      </w:pPr>
      <w:r>
        <w:rPr>
          <w:rFonts w:hint="eastAsia"/>
        </w:rPr>
        <w:t>（</w:t>
      </w:r>
      <w:r>
        <w:t>2</w:t>
      </w:r>
      <w:r>
        <w:rPr>
          <w:rFonts w:hint="eastAsia"/>
        </w:rPr>
        <w:t>）区级储备粮仓储管理监督检查任务完成及时率（总分</w:t>
      </w:r>
      <w:r>
        <w:t>5</w:t>
      </w:r>
      <w:r>
        <w:rPr>
          <w:rFonts w:hint="eastAsia"/>
        </w:rPr>
        <w:t>分，得分</w:t>
      </w:r>
      <w:r>
        <w:t>5</w:t>
      </w:r>
      <w:r>
        <w:rPr>
          <w:rFonts w:hint="eastAsia"/>
        </w:rPr>
        <w:t>分）。</w:t>
      </w:r>
      <w:r>
        <w:rPr>
          <w:rFonts w:hint="eastAsia"/>
          <w:bCs/>
        </w:rPr>
        <w:t>根据现场调研沟通反馈结果</w:t>
      </w:r>
      <w:r>
        <w:rPr>
          <w:rFonts w:hint="eastAsia"/>
          <w:bCs/>
          <w:lang w:eastAsia="zh-CN"/>
        </w:rPr>
        <w:t>与</w:t>
      </w:r>
      <w:r>
        <w:rPr>
          <w:rFonts w:hint="eastAsia"/>
          <w:bCs/>
        </w:rPr>
        <w:t>区发改委</w:t>
      </w:r>
      <w:r>
        <w:rPr>
          <w:rFonts w:hint="eastAsia"/>
        </w:rPr>
        <w:t>所提供承储企业</w:t>
      </w:r>
      <w:r>
        <w:rPr>
          <w:rFonts w:hint="eastAsia"/>
          <w:bCs/>
        </w:rPr>
        <w:t>现场检查记录、储备粮质量检验检测报告文件</w:t>
      </w:r>
      <w:r>
        <w:rPr>
          <w:rFonts w:hint="eastAsia"/>
        </w:rPr>
        <w:t>，区发改委于2</w:t>
      </w:r>
      <w:r>
        <w:t>022</w:t>
      </w:r>
      <w:r>
        <w:rPr>
          <w:rFonts w:hint="eastAsia"/>
        </w:rPr>
        <w:t>年内共计开展并完成4次承储企业</w:t>
      </w:r>
      <w:r>
        <w:rPr>
          <w:rFonts w:hint="eastAsia"/>
          <w:bCs/>
        </w:rPr>
        <w:t>现场监督检查任务、2次储备粮质量检验检测任务，满足</w:t>
      </w:r>
      <w:r>
        <w:rPr>
          <w:rFonts w:hint="eastAsia"/>
        </w:rPr>
        <w:t>《和平区区级储备粮管理办法》文件第二十四条“每年对储备粮进行定期检查不少于3次、质量检验检测不少于2次”的监督检查任务时间要求。</w:t>
      </w:r>
      <w:r>
        <w:rPr>
          <w:rFonts w:hint="eastAsia"/>
          <w:bCs/>
        </w:rPr>
        <w:t>综上所述，</w:t>
      </w:r>
      <w:r>
        <w:rPr>
          <w:rFonts w:hint="eastAsia"/>
        </w:rPr>
        <w:t>区级储备粮仓储管理监督检查任务完成及时率</w:t>
      </w:r>
      <w:r>
        <w:rPr>
          <w:rFonts w:hint="eastAsia"/>
          <w:bCs/>
        </w:rPr>
        <w:t>为1</w:t>
      </w:r>
      <w:r>
        <w:rPr>
          <w:bCs/>
        </w:rPr>
        <w:t>00</w:t>
      </w:r>
      <w:r>
        <w:rPr>
          <w:rFonts w:hint="eastAsia"/>
          <w:bCs/>
        </w:rPr>
        <w:t>%。</w:t>
      </w:r>
    </w:p>
    <w:p>
      <w:pPr>
        <w:pStyle w:val="26"/>
        <w:ind w:firstLine="640"/>
        <w:rPr>
          <w:color w:val="FF0000"/>
          <w:sz w:val="28"/>
          <w:szCs w:val="20"/>
        </w:rPr>
      </w:pPr>
      <w:r>
        <w:t>4.产出</w:t>
      </w:r>
      <w:r>
        <w:rPr>
          <w:rFonts w:hint="eastAsia"/>
        </w:rPr>
        <w:t>成本</w:t>
      </w:r>
    </w:p>
    <w:p>
      <w:pPr>
        <w:pStyle w:val="26"/>
        <w:ind w:firstLine="640"/>
        <w:rPr>
          <w:bCs/>
        </w:rPr>
      </w:pPr>
      <w:r>
        <w:rPr>
          <w:rFonts w:hint="eastAsia"/>
        </w:rPr>
        <w:t>增储划转储备粮收储成本节约率（总分</w:t>
      </w:r>
      <w:r>
        <w:t>9</w:t>
      </w:r>
      <w:r>
        <w:rPr>
          <w:rFonts w:hint="eastAsia"/>
        </w:rPr>
        <w:t>分，得分</w:t>
      </w:r>
      <w:r>
        <w:t>9</w:t>
      </w:r>
      <w:r>
        <w:rPr>
          <w:rFonts w:hint="eastAsia"/>
        </w:rPr>
        <w:t>分）。</w:t>
      </w:r>
      <w:r>
        <w:rPr>
          <w:rFonts w:hint="eastAsia"/>
          <w:bCs/>
        </w:rPr>
        <w:t>根据区发改委所提供本项目预算指标执行情况、支出明细账与决算表数据统计，</w:t>
      </w:r>
      <w:r>
        <w:rPr>
          <w:rFonts w:hint="eastAsia"/>
        </w:rPr>
        <w:t>增储划转储备粮收储工作计划</w:t>
      </w:r>
      <w:r>
        <w:rPr>
          <w:rFonts w:hint="eastAsia"/>
          <w:bCs/>
        </w:rPr>
        <w:t>投入</w:t>
      </w:r>
      <w:r>
        <w:rPr>
          <w:bCs/>
        </w:rPr>
        <w:t>112.62万元</w:t>
      </w:r>
      <w:r>
        <w:rPr>
          <w:rFonts w:hint="eastAsia"/>
          <w:bCs/>
        </w:rPr>
        <w:t>，实际支出</w:t>
      </w:r>
      <w:r>
        <w:rPr>
          <w:bCs/>
        </w:rPr>
        <w:t>112.62</w:t>
      </w:r>
      <w:r>
        <w:rPr>
          <w:rFonts w:hint="eastAsia"/>
          <w:bCs/>
        </w:rPr>
        <w:t>万元。综上所述，</w:t>
      </w:r>
      <w:r>
        <w:rPr>
          <w:rFonts w:hint="eastAsia"/>
        </w:rPr>
        <w:t>增储划转储备粮收储成本节约率</w:t>
      </w:r>
      <w:r>
        <w:rPr>
          <w:rFonts w:hint="eastAsia"/>
          <w:bCs/>
        </w:rPr>
        <w:t>为</w:t>
      </w:r>
      <w:r>
        <w:rPr>
          <w:bCs/>
        </w:rPr>
        <w:t>0</w:t>
      </w:r>
      <w:r>
        <w:rPr>
          <w:rFonts w:hint="eastAsia"/>
          <w:bCs/>
        </w:rPr>
        <w:t>。</w:t>
      </w:r>
    </w:p>
    <w:p>
      <w:pPr>
        <w:pStyle w:val="31"/>
        <w:spacing w:before="0" w:after="0"/>
        <w:ind w:firstLine="640"/>
        <w:rPr>
          <w:rFonts w:ascii="Times New Roman" w:hAnsi="Times New Roman"/>
        </w:rPr>
      </w:pPr>
      <w:bookmarkStart w:id="27" w:name="_Toc141635009"/>
      <w:bookmarkStart w:id="28" w:name="_Toc147673526"/>
      <w:r>
        <w:rPr>
          <w:rFonts w:hint="eastAsia" w:ascii="Times New Roman" w:hAnsi="Times New Roman"/>
        </w:rPr>
        <w:t>（四）项目效益情况</w:t>
      </w:r>
      <w:bookmarkEnd w:id="27"/>
      <w:bookmarkEnd w:id="28"/>
    </w:p>
    <w:p>
      <w:pPr>
        <w:pStyle w:val="26"/>
        <w:ind w:firstLine="640"/>
      </w:pPr>
      <w:r>
        <w:rPr>
          <w:rFonts w:hint="eastAsia"/>
        </w:rPr>
        <w:t>效益指标主要包括社会效益、可持续影响、服务对象满意度</w:t>
      </w:r>
      <w:r>
        <w:t>3</w:t>
      </w:r>
      <w:r>
        <w:rPr>
          <w:rFonts w:hint="eastAsia"/>
        </w:rPr>
        <w:t>项</w:t>
      </w:r>
      <w:r>
        <w:t>二级指标，3项三级指标，基础总分22分，合计得分20分。</w:t>
      </w:r>
    </w:p>
    <w:p>
      <w:pPr>
        <w:pStyle w:val="26"/>
        <w:ind w:firstLine="640"/>
      </w:pPr>
      <w:r>
        <w:rPr>
          <w:rFonts w:hint="eastAsia"/>
        </w:rPr>
        <w:t>1.社会效益</w:t>
      </w:r>
    </w:p>
    <w:p>
      <w:pPr>
        <w:pStyle w:val="26"/>
        <w:ind w:firstLine="640"/>
      </w:pPr>
      <w:r>
        <w:rPr>
          <w:rFonts w:hint="eastAsia"/>
        </w:rPr>
        <w:t>辖区粮食安全保障能力提升情况（总分</w:t>
      </w:r>
      <w:r>
        <w:t>10</w:t>
      </w:r>
      <w:r>
        <w:rPr>
          <w:rFonts w:hint="eastAsia"/>
        </w:rPr>
        <w:t>分，得分</w:t>
      </w:r>
      <w:r>
        <w:t>10</w:t>
      </w:r>
      <w:r>
        <w:rPr>
          <w:rFonts w:hint="eastAsia"/>
        </w:rPr>
        <w:t>分）。根据现场调研沟通反馈结果</w:t>
      </w:r>
      <w:r>
        <w:t>，</w:t>
      </w:r>
      <w:r>
        <w:rPr>
          <w:rFonts w:hint="eastAsia"/>
        </w:rPr>
        <w:t>区发改委通过完成2</w:t>
      </w:r>
      <w:r>
        <w:t>022</w:t>
      </w:r>
      <w:r>
        <w:rPr>
          <w:rFonts w:hint="eastAsia"/>
        </w:rPr>
        <w:t>年3</w:t>
      </w:r>
      <w:r>
        <w:t>00</w:t>
      </w:r>
      <w:r>
        <w:rPr>
          <w:rFonts w:hint="eastAsia"/>
        </w:rPr>
        <w:t>吨增储划转市级储备小麦粉接收入库工作，和平区现有成品粮（小麦粉）储备规模达到5</w:t>
      </w:r>
      <w:r>
        <w:t>00</w:t>
      </w:r>
      <w:r>
        <w:rPr>
          <w:rFonts w:hint="eastAsia"/>
        </w:rPr>
        <w:t>吨，与2</w:t>
      </w:r>
      <w:r>
        <w:t>016</w:t>
      </w:r>
      <w:r>
        <w:rPr>
          <w:rFonts w:hint="eastAsia"/>
        </w:rPr>
        <w:t>年市发展改革委、市粮食和物资局核定的区级储备规模要求相符；同时区发改委通过开展承储企业</w:t>
      </w:r>
      <w:r>
        <w:t>现场实地检查</w:t>
      </w:r>
      <w:r>
        <w:rPr>
          <w:rFonts w:hint="eastAsia"/>
        </w:rPr>
        <w:t>并</w:t>
      </w:r>
      <w:r>
        <w:t>委托第三方专业检测机构</w:t>
      </w:r>
      <w:r>
        <w:rPr>
          <w:rFonts w:hint="eastAsia"/>
        </w:rPr>
        <w:t>实施</w:t>
      </w:r>
      <w:r>
        <w:t>区级储备粮质量强检工作</w:t>
      </w:r>
      <w:r>
        <w:rPr>
          <w:rFonts w:hint="eastAsia"/>
        </w:rPr>
        <w:t>，有效确保了现有5</w:t>
      </w:r>
      <w:r>
        <w:t>00</w:t>
      </w:r>
      <w:r>
        <w:rPr>
          <w:rFonts w:hint="eastAsia"/>
        </w:rPr>
        <w:t>吨储备小麦粉数量、质量与储存安全，为辖区应对粮食安全问题提供了坚实的成品粮应急保供能力。</w:t>
      </w:r>
    </w:p>
    <w:p>
      <w:pPr>
        <w:pStyle w:val="26"/>
        <w:ind w:firstLine="640"/>
      </w:pPr>
      <w:r>
        <w:t>2</w:t>
      </w:r>
      <w:r>
        <w:rPr>
          <w:rFonts w:hint="eastAsia"/>
        </w:rPr>
        <w:t>.可持续影响</w:t>
      </w:r>
    </w:p>
    <w:p>
      <w:pPr>
        <w:pStyle w:val="26"/>
        <w:ind w:firstLine="640"/>
      </w:pPr>
      <w:r>
        <w:rPr>
          <w:rFonts w:hint="eastAsia"/>
        </w:rPr>
        <w:t>区级储备粮长效管理机制健全性（总分</w:t>
      </w:r>
      <w:r>
        <w:t>6</w:t>
      </w:r>
      <w:r>
        <w:rPr>
          <w:rFonts w:hint="eastAsia"/>
        </w:rPr>
        <w:t>分，得分</w:t>
      </w:r>
      <w:r>
        <w:t>4</w:t>
      </w:r>
      <w:r>
        <w:rPr>
          <w:rFonts w:hint="eastAsia"/>
        </w:rPr>
        <w:t>分）。区发改委通过制定《和平区区级储备粮管理办法》《和平区粮食应急预案》，上述文件明确了储备粮储存、轮换、动用和监督管理工作环节的具体要求与在辖区发生粮食应急状态时，对原粮及成品粮采购、调拨、运输、供应等方面的应对工作要求，为区级储备粮日常管理与应急使用管理工作的顺利开展提供了有力保障。但在现场沟通调研中发现，区发改委未制定区级政府储备粮食质量安全管理制度，明确储备粮出入库和储存期间的质量安全管理要求，存在储备粮质量安全管理机制健全性有待提高的问题。</w:t>
      </w:r>
    </w:p>
    <w:p>
      <w:pPr>
        <w:pStyle w:val="26"/>
        <w:ind w:firstLine="640"/>
      </w:pPr>
      <w:r>
        <w:t>3.</w:t>
      </w:r>
      <w:r>
        <w:rPr>
          <w:rFonts w:hint="eastAsia"/>
        </w:rPr>
        <w:t>服务对象满意度</w:t>
      </w:r>
    </w:p>
    <w:p>
      <w:pPr>
        <w:pStyle w:val="26"/>
        <w:ind w:firstLine="640"/>
      </w:pPr>
      <w:r>
        <w:rPr>
          <w:rFonts w:hint="eastAsia"/>
        </w:rPr>
        <w:t>辖区居民满意度</w:t>
      </w:r>
      <w:r>
        <w:t>（总分6分，得分6分）。</w:t>
      </w:r>
      <w:r>
        <w:rPr>
          <w:rFonts w:hint="eastAsia"/>
        </w:rPr>
        <w:t>依据</w:t>
      </w:r>
      <w:r>
        <w:t>新增储备粮粮权项目主要实施内容，</w:t>
      </w:r>
      <w:r>
        <w:rPr>
          <w:rFonts w:hint="eastAsia"/>
        </w:rPr>
        <w:t>新增储备粮粮权项目</w:t>
      </w:r>
      <w:r>
        <w:t>实际受益对象</w:t>
      </w:r>
      <w:r>
        <w:rPr>
          <w:rFonts w:hint="eastAsia"/>
        </w:rPr>
        <w:t>主要为和平区辖</w:t>
      </w:r>
      <w:r>
        <w:t>内全体居民</w:t>
      </w:r>
      <w:r>
        <w:rPr>
          <w:rFonts w:hint="eastAsia"/>
          <w:lang w:eastAsia="zh-CN"/>
        </w:rPr>
        <w:t>（</w:t>
      </w:r>
      <w:r>
        <w:t>含外来人员、流动人员</w:t>
      </w:r>
      <w:r>
        <w:rPr>
          <w:rFonts w:hint="eastAsia"/>
          <w:lang w:eastAsia="zh-CN"/>
        </w:rPr>
        <w:t>）</w:t>
      </w:r>
      <w:r>
        <w:t>，</w:t>
      </w:r>
      <w:r>
        <w:rPr>
          <w:rFonts w:hint="eastAsia"/>
        </w:rPr>
        <w:t>评价组</w:t>
      </w:r>
      <w:r>
        <w:t>对</w:t>
      </w:r>
      <w:r>
        <w:rPr>
          <w:rFonts w:hint="eastAsia"/>
        </w:rPr>
        <w:t>1</w:t>
      </w:r>
      <w:r>
        <w:t>00</w:t>
      </w:r>
      <w:r>
        <w:rPr>
          <w:rFonts w:hint="eastAsia"/>
        </w:rPr>
        <w:t>名辖区居民</w:t>
      </w:r>
      <w:r>
        <w:t>进行随机满意度调查，共发放100份问卷，实际收回有效问卷共100份，</w:t>
      </w:r>
      <w:r>
        <w:rPr>
          <w:rFonts w:hint="eastAsia"/>
        </w:rPr>
        <w:t>针对成品粮供应是否充裕、成品粮零售价格是否平稳等问题进行满意度调查，辖区居民的综合满意度为</w:t>
      </w:r>
      <w:r>
        <w:t>100%</w:t>
      </w:r>
      <w:r>
        <w:rPr>
          <w:rFonts w:hint="eastAsia"/>
        </w:rPr>
        <w:t>。</w:t>
      </w:r>
    </w:p>
    <w:p>
      <w:pPr>
        <w:pStyle w:val="29"/>
      </w:pPr>
      <w:bookmarkStart w:id="29" w:name="_Toc147673527"/>
      <w:bookmarkStart w:id="30" w:name="_Toc141635010"/>
      <w:r>
        <w:rPr>
          <w:rFonts w:hint="eastAsia"/>
        </w:rPr>
        <w:t>五、</w:t>
      </w:r>
      <w:bookmarkStart w:id="31" w:name="_Hlk141628425"/>
      <w:r>
        <w:rPr>
          <w:rFonts w:hint="eastAsia"/>
        </w:rPr>
        <w:t>存在的主要问题</w:t>
      </w:r>
      <w:bookmarkEnd w:id="29"/>
      <w:bookmarkEnd w:id="30"/>
      <w:bookmarkEnd w:id="31"/>
    </w:p>
    <w:p>
      <w:pPr>
        <w:pStyle w:val="31"/>
        <w:spacing w:before="0" w:after="0"/>
        <w:ind w:firstLine="640"/>
        <w:rPr>
          <w:rFonts w:ascii="Times New Roman" w:hAnsi="Times New Roman"/>
        </w:rPr>
      </w:pPr>
      <w:bookmarkStart w:id="32" w:name="_Toc147673528"/>
      <w:r>
        <w:rPr>
          <w:rFonts w:hint="eastAsia" w:ascii="Times New Roman" w:hAnsi="Times New Roman"/>
        </w:rPr>
        <w:t>（一）项目绩效管理工作有待加强</w:t>
      </w:r>
      <w:bookmarkEnd w:id="32"/>
    </w:p>
    <w:p>
      <w:pPr>
        <w:pStyle w:val="26"/>
        <w:ind w:firstLine="640"/>
      </w:pPr>
      <w:r>
        <w:rPr>
          <w:rFonts w:hint="eastAsia"/>
        </w:rPr>
        <w:t>区发改委针对本项目所设定的绩效目标为“足额缴纳了和平区成品储备粮仓储费用，完成了储备面粉</w:t>
      </w:r>
      <w:r>
        <w:t>300吨</w:t>
      </w:r>
      <w:r>
        <w:rPr>
          <w:rFonts w:hint="eastAsia"/>
          <w:lang w:eastAsia="zh-CN"/>
        </w:rPr>
        <w:t>，</w:t>
      </w:r>
      <w:r>
        <w:t>确保了和平区成品储备粮安全可靠，动态轮换，常储常新，维护了市场价格稳定</w:t>
      </w:r>
      <w:r>
        <w:rPr>
          <w:rFonts w:hint="eastAsia"/>
        </w:rPr>
        <w:t>”，现有绩效目标内容为项目工作实施完成后实际产出与效益，与绩效目标应能清晰反映</w:t>
      </w:r>
      <w:r>
        <w:rPr>
          <w:bCs/>
        </w:rPr>
        <w:t>预算资金</w:t>
      </w:r>
      <w:r>
        <w:rPr>
          <w:rFonts w:hint="eastAsia"/>
        </w:rPr>
        <w:t>预期产出和效果的设定要求不符，绩效目标设定规范性有待提高；此外现有成本指标为“储备粮储存经费≤</w:t>
      </w:r>
      <w:r>
        <w:t>112.62万元”，未根据项目资金实际使用方向细化设定，存在成本指标细化程度不足的问题。</w:t>
      </w:r>
    </w:p>
    <w:p>
      <w:pPr>
        <w:pStyle w:val="31"/>
        <w:spacing w:before="0" w:after="0"/>
        <w:ind w:firstLine="640"/>
        <w:rPr>
          <w:rFonts w:ascii="Times New Roman" w:hAnsi="Times New Roman"/>
        </w:rPr>
      </w:pPr>
      <w:bookmarkStart w:id="33" w:name="_Toc147673529"/>
      <w:r>
        <w:rPr>
          <w:rFonts w:hint="eastAsia" w:ascii="Times New Roman" w:hAnsi="Times New Roman"/>
        </w:rPr>
        <w:t>（二）财务核算规范性有待提高</w:t>
      </w:r>
      <w:bookmarkEnd w:id="33"/>
    </w:p>
    <w:p>
      <w:pPr>
        <w:pStyle w:val="26"/>
        <w:ind w:firstLine="640"/>
      </w:pPr>
      <w:r>
        <w:rPr>
          <w:rFonts w:hint="eastAsia"/>
        </w:rPr>
        <w:t>通过查阅本项目财务记账凭证发现，区发改委</w:t>
      </w:r>
      <w:r>
        <w:rPr>
          <w:rFonts w:hint="eastAsia"/>
          <w:bCs/>
        </w:rPr>
        <w:t>将本次增储划转3</w:t>
      </w:r>
      <w:r>
        <w:rPr>
          <w:bCs/>
        </w:rPr>
        <w:t>00</w:t>
      </w:r>
      <w:r>
        <w:rPr>
          <w:rFonts w:hint="eastAsia"/>
          <w:bCs/>
        </w:rPr>
        <w:t>吨储备小麦粉结算费用列入财务会计商品和服务费用科目核算，且原有2</w:t>
      </w:r>
      <w:r>
        <w:rPr>
          <w:bCs/>
        </w:rPr>
        <w:t>00</w:t>
      </w:r>
      <w:r>
        <w:rPr>
          <w:rFonts w:hint="eastAsia"/>
          <w:bCs/>
        </w:rPr>
        <w:t>吨储备小麦粉亦未按照取得成本列入政府储备物资科目核算</w:t>
      </w:r>
      <w:r>
        <w:rPr>
          <w:rFonts w:hint="eastAsia"/>
        </w:rPr>
        <w:t>，与《政府会计准则第</w:t>
      </w:r>
      <w:r>
        <w:t>6号—政府储备物资》（财会〔2017〕23号）文件第七条“政府储备物资在取得时应当按照成本进行初始计量”</w:t>
      </w:r>
      <w:r>
        <w:rPr>
          <w:rFonts w:hint="eastAsia"/>
        </w:rPr>
        <w:t>及</w:t>
      </w:r>
      <w:r>
        <w:t>第八条“政府会计主体购入的政府储备物资，其成本包括购买价款和政府会计主体承担的相关税费、运输费、装卸费、保险费、检测费以及使政府储备物资达到目前场所和状态所发生的归属于政府储备物资成本的</w:t>
      </w:r>
      <w:r>
        <w:rPr>
          <w:rFonts w:hint="eastAsia"/>
        </w:rPr>
        <w:t>其他支出”的规定不符，存在财务会计科目使用不规范的问题。</w:t>
      </w:r>
    </w:p>
    <w:p>
      <w:pPr>
        <w:pStyle w:val="31"/>
        <w:spacing w:before="0" w:after="0"/>
        <w:ind w:firstLine="640"/>
        <w:rPr>
          <w:rFonts w:ascii="Times New Roman" w:hAnsi="Times New Roman"/>
        </w:rPr>
      </w:pPr>
      <w:bookmarkStart w:id="34" w:name="_Toc147673530"/>
      <w:bookmarkStart w:id="35" w:name="_Toc141635013"/>
      <w:r>
        <w:rPr>
          <w:rFonts w:hint="eastAsia" w:ascii="Times New Roman" w:hAnsi="Times New Roman"/>
        </w:rPr>
        <w:t>（三）管理制度机制健全性有待提高</w:t>
      </w:r>
      <w:bookmarkEnd w:id="34"/>
    </w:p>
    <w:p>
      <w:pPr>
        <w:pStyle w:val="26"/>
        <w:ind w:firstLine="640"/>
      </w:pPr>
      <w:r>
        <w:rPr>
          <w:rFonts w:hint="eastAsia"/>
        </w:rPr>
        <w:t>区发改委未制定区级政府储备粮食质量安全管理制度，与《天津市粮食和物资局关于加强区级储备粮质量安全管理工作的通知》文件中</w:t>
      </w:r>
      <w:r>
        <w:t xml:space="preserve"> “各区粮食行政管理部门应以《粮食质量安全监管办法》《政府储备粮食质量安全管理办法》为依据，参照《天津市市级储备粮质量安全管理办法》，健全区级储备粮质量安全管理制度，进一步明确出入库和储存期间的质量安全管理要求”的</w:t>
      </w:r>
      <w:r>
        <w:rPr>
          <w:rFonts w:hint="eastAsia"/>
        </w:rPr>
        <w:t>规定</w:t>
      </w:r>
      <w:r>
        <w:t>不符，管理制度</w:t>
      </w:r>
      <w:r>
        <w:rPr>
          <w:rFonts w:hint="eastAsia"/>
        </w:rPr>
        <w:t>机制</w:t>
      </w:r>
      <w:r>
        <w:t>健全性有待提高。</w:t>
      </w:r>
    </w:p>
    <w:p>
      <w:pPr>
        <w:pStyle w:val="29"/>
        <w:spacing w:before="0" w:after="0"/>
      </w:pPr>
      <w:bookmarkStart w:id="36" w:name="_Toc147673531"/>
      <w:r>
        <w:rPr>
          <w:rFonts w:hint="eastAsia"/>
        </w:rPr>
        <w:t>六、相关建议</w:t>
      </w:r>
      <w:bookmarkEnd w:id="35"/>
      <w:bookmarkEnd w:id="36"/>
    </w:p>
    <w:p>
      <w:pPr>
        <w:pStyle w:val="31"/>
        <w:spacing w:before="0" w:after="0"/>
        <w:ind w:firstLine="640"/>
        <w:rPr>
          <w:rFonts w:ascii="Times New Roman" w:hAnsi="Times New Roman"/>
        </w:rPr>
      </w:pPr>
      <w:bookmarkStart w:id="37" w:name="_Toc141635014"/>
      <w:bookmarkStart w:id="38" w:name="_Toc147673532"/>
      <w:r>
        <w:rPr>
          <w:rFonts w:hint="eastAsia" w:ascii="Times New Roman" w:hAnsi="Times New Roman"/>
        </w:rPr>
        <w:t>（一）加强项目绩效工作管理意识</w:t>
      </w:r>
      <w:bookmarkEnd w:id="37"/>
      <w:bookmarkEnd w:id="38"/>
    </w:p>
    <w:p>
      <w:pPr>
        <w:pStyle w:val="26"/>
        <w:ind w:firstLine="640"/>
        <w:rPr>
          <w:rFonts w:cs="仿宋"/>
          <w:szCs w:val="32"/>
        </w:rPr>
      </w:pPr>
      <w:r>
        <w:rPr>
          <w:rFonts w:hint="eastAsia"/>
        </w:rPr>
        <w:t>建议区发改委</w:t>
      </w:r>
      <w:r>
        <w:rPr>
          <w:rFonts w:hint="eastAsia" w:cs="仿宋"/>
          <w:w w:val="95"/>
          <w:szCs w:val="32"/>
        </w:rPr>
        <w:t>定期组织各业务科室开展预算绩效管理培训，深化理解预算绩效管理工作必要性，贯彻落实财政绩效管理工作要求，规范绩效目标指标设定。项目绩效目标是对项目实施预期达到的产出和效果的具体描述，目标内容应能清晰反映项目预期开展的具体工作和预期产生的效益结果，目标内容简明扼要。成本指标应根据项目资金具体支出方向进行细化设定，结合本项目实际情况可细化为</w:t>
      </w:r>
      <w:r>
        <w:rPr>
          <w:rFonts w:hint="eastAsia"/>
        </w:rPr>
        <w:t>增储划转储备粮结算费与</w:t>
      </w:r>
      <w:r>
        <w:t>储存费</w:t>
      </w:r>
      <w:r>
        <w:rPr>
          <w:rFonts w:hint="eastAsia"/>
        </w:rPr>
        <w:t>。</w:t>
      </w:r>
    </w:p>
    <w:p>
      <w:pPr>
        <w:pStyle w:val="31"/>
        <w:spacing w:before="0" w:after="0"/>
        <w:ind w:firstLine="640"/>
        <w:rPr>
          <w:rFonts w:ascii="Times New Roman" w:hAnsi="Times New Roman"/>
        </w:rPr>
      </w:pPr>
      <w:bookmarkStart w:id="39" w:name="_Toc141635015"/>
      <w:bookmarkStart w:id="40" w:name="_Toc147673533"/>
      <w:r>
        <w:rPr>
          <w:rFonts w:hint="eastAsia" w:ascii="Times New Roman" w:hAnsi="Times New Roman"/>
        </w:rPr>
        <w:t>（二）</w:t>
      </w:r>
      <w:bookmarkEnd w:id="39"/>
      <w:r>
        <w:rPr>
          <w:rFonts w:hint="eastAsia" w:ascii="Times New Roman" w:hAnsi="Times New Roman"/>
        </w:rPr>
        <w:t>规范调整财务核算数据</w:t>
      </w:r>
      <w:bookmarkEnd w:id="40"/>
    </w:p>
    <w:p>
      <w:pPr>
        <w:pStyle w:val="26"/>
        <w:ind w:firstLine="640"/>
      </w:pPr>
      <w:r>
        <w:rPr>
          <w:rFonts w:hint="eastAsia"/>
        </w:rPr>
        <w:t>建议区发改委按照2</w:t>
      </w:r>
      <w:r>
        <w:t>022</w:t>
      </w:r>
      <w:r>
        <w:rPr>
          <w:rFonts w:hint="eastAsia"/>
        </w:rPr>
        <w:t>年增储划转3</w:t>
      </w:r>
      <w:r>
        <w:t>00</w:t>
      </w:r>
      <w:r>
        <w:rPr>
          <w:rFonts w:hint="eastAsia"/>
        </w:rPr>
        <w:t>吨市级储备小麦粉粮权接收实际结算费用确定取得成本，原有2</w:t>
      </w:r>
      <w:r>
        <w:t>00</w:t>
      </w:r>
      <w:r>
        <w:rPr>
          <w:rFonts w:hint="eastAsia"/>
        </w:rPr>
        <w:t>吨储备小麦粉以取得时点所发生结算费用（剔除</w:t>
      </w:r>
      <w:r>
        <w:rPr>
          <w:rFonts w:hint="eastAsia"/>
          <w:bCs/>
        </w:rPr>
        <w:t>仓储费用、日常维护费用</w:t>
      </w:r>
      <w:r>
        <w:rPr>
          <w:rFonts w:hint="eastAsia"/>
        </w:rPr>
        <w:t>）确定取得成本，通过采取编制调整凭证的形式对应调增财务会计政府储备物资与累计盈余科目余额，并将前述账务调整事项于2</w:t>
      </w:r>
      <w:r>
        <w:t>023</w:t>
      </w:r>
      <w:r>
        <w:rPr>
          <w:rFonts w:hint="eastAsia"/>
        </w:rPr>
        <w:t>年政府财务报告中进行列报。</w:t>
      </w:r>
    </w:p>
    <w:p>
      <w:pPr>
        <w:pStyle w:val="31"/>
        <w:spacing w:before="0" w:after="0"/>
        <w:ind w:firstLine="640"/>
        <w:rPr>
          <w:rFonts w:ascii="Times New Roman" w:hAnsi="Times New Roman"/>
        </w:rPr>
      </w:pPr>
      <w:bookmarkStart w:id="41" w:name="_Toc147673534"/>
      <w:r>
        <w:rPr>
          <w:rFonts w:hint="eastAsia" w:ascii="Times New Roman" w:hAnsi="Times New Roman"/>
        </w:rPr>
        <w:t>（三）加强管理制度机制建立健全工作</w:t>
      </w:r>
      <w:bookmarkEnd w:id="41"/>
    </w:p>
    <w:p>
      <w:pPr>
        <w:pStyle w:val="26"/>
        <w:ind w:firstLine="640"/>
      </w:pPr>
      <w:r>
        <w:rPr>
          <w:rFonts w:hint="eastAsia"/>
        </w:rPr>
        <w:t>建议区发改委天津市粮食和物资局关于加强区级储备粮质量安全管理工作的要求，以《粮食质量安全监管办法》《政府储备粮食质量安全管理办法》为依据，参照《天津市市级储备粮质量安全管理办法》，建立涵盖储备粮（小麦、稻谷、玉米、小麦粉、大米和食用植物油）入库、储存和出库质量管控、质量检验管理、监督检查各环节工作要求，明确各类储备粮质量检验项目的区级政府储备粮食质量安全管理制度，为规范开展政府粮食储备质量安全管理工作提供制度抓手。</w:t>
      </w:r>
    </w:p>
    <w:p>
      <w:pPr>
        <w:pStyle w:val="29"/>
        <w:rPr>
          <w:lang w:eastAsia="zh-Hans"/>
        </w:rPr>
      </w:pPr>
      <w:bookmarkStart w:id="42" w:name="_Toc147673535"/>
      <w:r>
        <w:rPr>
          <w:rFonts w:hint="eastAsia"/>
          <w:lang w:eastAsia="zh-Hans"/>
        </w:rPr>
        <w:t>七、相关附件</w:t>
      </w:r>
      <w:bookmarkEnd w:id="42"/>
    </w:p>
    <w:p>
      <w:pPr>
        <w:pStyle w:val="26"/>
        <w:ind w:left="1556" w:leftChars="304" w:hanging="918" w:hangingChars="287"/>
        <w:rPr>
          <w:color w:val="000000" w:themeColor="text1"/>
          <w14:textFill>
            <w14:solidFill>
              <w14:schemeClr w14:val="tx1"/>
            </w14:solidFill>
          </w14:textFill>
        </w:rPr>
      </w:pPr>
      <w:r>
        <w:rPr>
          <w:rFonts w:hint="eastAsia"/>
          <w:color w:val="000000" w:themeColor="text1"/>
          <w14:textFill>
            <w14:solidFill>
              <w14:schemeClr w14:val="tx1"/>
            </w14:solidFill>
          </w14:textFill>
        </w:rPr>
        <w:t>附件：天津市和平区发展和改革委员会新增储备粮粮权项目绩效评价指标体系及评分表</w:t>
      </w:r>
    </w:p>
    <w:sectPr>
      <w:footerReference r:id="rId11" w:type="default"/>
      <w:pgSz w:w="11906" w:h="16838"/>
      <w:pgMar w:top="2268" w:right="1797" w:bottom="1701" w:left="179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等线 Light">
    <w:altName w:val="汉仪中等线KW"/>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9"/>
          <w:ind w:firstLine="420"/>
          <w:jc w:val="center"/>
        </w:pPr>
        <w:r>
          <w:fldChar w:fldCharType="begin"/>
        </w:r>
        <w:r>
          <w:instrText xml:space="preserve">PAGE   \* MERGEFORMAT</w:instrText>
        </w:r>
        <w:r>
          <w:fldChar w:fldCharType="separate"/>
        </w:r>
        <w:r>
          <w:rPr>
            <w:lang w:val="zh-CN"/>
          </w:rPr>
          <w:t>2</w:t>
        </w:r>
        <w:r>
          <w:fldChar w:fldCharType="end"/>
        </w:r>
      </w:p>
    </w:sdtContent>
  </w:sdt>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kZWM4YjIxYThkNmM0YzhiZDBkMGJiNDM5ZWY2ZGQifQ=="/>
  </w:docVars>
  <w:rsids>
    <w:rsidRoot w:val="0072406C"/>
    <w:rsid w:val="000003BE"/>
    <w:rsid w:val="000005C4"/>
    <w:rsid w:val="00001AE1"/>
    <w:rsid w:val="00001BB3"/>
    <w:rsid w:val="00001F53"/>
    <w:rsid w:val="000020B8"/>
    <w:rsid w:val="00002F90"/>
    <w:rsid w:val="00005983"/>
    <w:rsid w:val="00006499"/>
    <w:rsid w:val="000073F1"/>
    <w:rsid w:val="00007BA4"/>
    <w:rsid w:val="00010D37"/>
    <w:rsid w:val="000117A7"/>
    <w:rsid w:val="000122EC"/>
    <w:rsid w:val="00012D12"/>
    <w:rsid w:val="00013271"/>
    <w:rsid w:val="000144F2"/>
    <w:rsid w:val="0001457A"/>
    <w:rsid w:val="00016A60"/>
    <w:rsid w:val="00016E3C"/>
    <w:rsid w:val="00017840"/>
    <w:rsid w:val="00020870"/>
    <w:rsid w:val="00020A59"/>
    <w:rsid w:val="000238A0"/>
    <w:rsid w:val="00023BD1"/>
    <w:rsid w:val="00023D8C"/>
    <w:rsid w:val="00025085"/>
    <w:rsid w:val="00030C03"/>
    <w:rsid w:val="00030E1F"/>
    <w:rsid w:val="00033A5C"/>
    <w:rsid w:val="00033B3B"/>
    <w:rsid w:val="000351BD"/>
    <w:rsid w:val="00035AD0"/>
    <w:rsid w:val="00035C47"/>
    <w:rsid w:val="000378FB"/>
    <w:rsid w:val="000412B8"/>
    <w:rsid w:val="000415A2"/>
    <w:rsid w:val="000423D1"/>
    <w:rsid w:val="00043307"/>
    <w:rsid w:val="00044528"/>
    <w:rsid w:val="000448D5"/>
    <w:rsid w:val="000448F6"/>
    <w:rsid w:val="00044AA3"/>
    <w:rsid w:val="00044D9E"/>
    <w:rsid w:val="00045C8D"/>
    <w:rsid w:val="00046641"/>
    <w:rsid w:val="000471A7"/>
    <w:rsid w:val="00047673"/>
    <w:rsid w:val="00047DA4"/>
    <w:rsid w:val="000514F5"/>
    <w:rsid w:val="0005371E"/>
    <w:rsid w:val="000546E2"/>
    <w:rsid w:val="0005499E"/>
    <w:rsid w:val="00055543"/>
    <w:rsid w:val="000557A4"/>
    <w:rsid w:val="00056206"/>
    <w:rsid w:val="00060636"/>
    <w:rsid w:val="00060AAF"/>
    <w:rsid w:val="00060FDE"/>
    <w:rsid w:val="0006101C"/>
    <w:rsid w:val="00063ABA"/>
    <w:rsid w:val="00063D08"/>
    <w:rsid w:val="0006469E"/>
    <w:rsid w:val="00064896"/>
    <w:rsid w:val="00064E5E"/>
    <w:rsid w:val="00070190"/>
    <w:rsid w:val="000707E7"/>
    <w:rsid w:val="00073049"/>
    <w:rsid w:val="00074120"/>
    <w:rsid w:val="00075F16"/>
    <w:rsid w:val="000766A1"/>
    <w:rsid w:val="000834AE"/>
    <w:rsid w:val="000863E0"/>
    <w:rsid w:val="00086531"/>
    <w:rsid w:val="000874BB"/>
    <w:rsid w:val="00087AF3"/>
    <w:rsid w:val="00087C72"/>
    <w:rsid w:val="00087DB5"/>
    <w:rsid w:val="00091A99"/>
    <w:rsid w:val="00092274"/>
    <w:rsid w:val="00092A72"/>
    <w:rsid w:val="0009479F"/>
    <w:rsid w:val="00095919"/>
    <w:rsid w:val="00097C03"/>
    <w:rsid w:val="000A0167"/>
    <w:rsid w:val="000A0EB3"/>
    <w:rsid w:val="000A1A1B"/>
    <w:rsid w:val="000A22B6"/>
    <w:rsid w:val="000A269B"/>
    <w:rsid w:val="000A374D"/>
    <w:rsid w:val="000A546C"/>
    <w:rsid w:val="000A6A64"/>
    <w:rsid w:val="000A7113"/>
    <w:rsid w:val="000A73F1"/>
    <w:rsid w:val="000B159D"/>
    <w:rsid w:val="000B212C"/>
    <w:rsid w:val="000B21BC"/>
    <w:rsid w:val="000B23CF"/>
    <w:rsid w:val="000B311C"/>
    <w:rsid w:val="000B357B"/>
    <w:rsid w:val="000B42F3"/>
    <w:rsid w:val="000B4678"/>
    <w:rsid w:val="000B4E77"/>
    <w:rsid w:val="000B5151"/>
    <w:rsid w:val="000B5267"/>
    <w:rsid w:val="000B6765"/>
    <w:rsid w:val="000B6868"/>
    <w:rsid w:val="000B6FB3"/>
    <w:rsid w:val="000B7D78"/>
    <w:rsid w:val="000C0241"/>
    <w:rsid w:val="000C1676"/>
    <w:rsid w:val="000C17CE"/>
    <w:rsid w:val="000C1875"/>
    <w:rsid w:val="000C18A6"/>
    <w:rsid w:val="000C1980"/>
    <w:rsid w:val="000C24B7"/>
    <w:rsid w:val="000C2923"/>
    <w:rsid w:val="000C2EE0"/>
    <w:rsid w:val="000C3E86"/>
    <w:rsid w:val="000C592D"/>
    <w:rsid w:val="000C5A83"/>
    <w:rsid w:val="000C5C99"/>
    <w:rsid w:val="000C6B83"/>
    <w:rsid w:val="000C7A63"/>
    <w:rsid w:val="000D045D"/>
    <w:rsid w:val="000D191B"/>
    <w:rsid w:val="000D208D"/>
    <w:rsid w:val="000D2D10"/>
    <w:rsid w:val="000D4EA7"/>
    <w:rsid w:val="000D4FE0"/>
    <w:rsid w:val="000D6438"/>
    <w:rsid w:val="000D67EA"/>
    <w:rsid w:val="000D6EBE"/>
    <w:rsid w:val="000D7DA2"/>
    <w:rsid w:val="000E02B8"/>
    <w:rsid w:val="000E0E2F"/>
    <w:rsid w:val="000E3301"/>
    <w:rsid w:val="000E467C"/>
    <w:rsid w:val="000E4B75"/>
    <w:rsid w:val="000E4F59"/>
    <w:rsid w:val="000E79D7"/>
    <w:rsid w:val="000F00E2"/>
    <w:rsid w:val="000F03EE"/>
    <w:rsid w:val="000F1FBC"/>
    <w:rsid w:val="000F21F0"/>
    <w:rsid w:val="000F283D"/>
    <w:rsid w:val="000F2A5F"/>
    <w:rsid w:val="000F2BEA"/>
    <w:rsid w:val="000F2F39"/>
    <w:rsid w:val="000F3EBF"/>
    <w:rsid w:val="000F42EB"/>
    <w:rsid w:val="000F4542"/>
    <w:rsid w:val="000F530E"/>
    <w:rsid w:val="000F5E55"/>
    <w:rsid w:val="000F6A02"/>
    <w:rsid w:val="000F7EB2"/>
    <w:rsid w:val="00100448"/>
    <w:rsid w:val="00100F0F"/>
    <w:rsid w:val="00103625"/>
    <w:rsid w:val="0010532F"/>
    <w:rsid w:val="001056F5"/>
    <w:rsid w:val="001060F6"/>
    <w:rsid w:val="0010633B"/>
    <w:rsid w:val="0010757A"/>
    <w:rsid w:val="00111D71"/>
    <w:rsid w:val="00111E5D"/>
    <w:rsid w:val="00111EE8"/>
    <w:rsid w:val="0011390D"/>
    <w:rsid w:val="00113E11"/>
    <w:rsid w:val="00114362"/>
    <w:rsid w:val="00114B99"/>
    <w:rsid w:val="00115F12"/>
    <w:rsid w:val="00116E23"/>
    <w:rsid w:val="0011703B"/>
    <w:rsid w:val="00120282"/>
    <w:rsid w:val="00120DF6"/>
    <w:rsid w:val="001210D3"/>
    <w:rsid w:val="00122664"/>
    <w:rsid w:val="00123E52"/>
    <w:rsid w:val="00124789"/>
    <w:rsid w:val="00124B7D"/>
    <w:rsid w:val="00125E82"/>
    <w:rsid w:val="00126316"/>
    <w:rsid w:val="00130284"/>
    <w:rsid w:val="00130A78"/>
    <w:rsid w:val="001319D1"/>
    <w:rsid w:val="001337A1"/>
    <w:rsid w:val="00134003"/>
    <w:rsid w:val="00134577"/>
    <w:rsid w:val="00141969"/>
    <w:rsid w:val="001441F7"/>
    <w:rsid w:val="00145D90"/>
    <w:rsid w:val="001461E5"/>
    <w:rsid w:val="001463AB"/>
    <w:rsid w:val="00146AFE"/>
    <w:rsid w:val="00147F88"/>
    <w:rsid w:val="00150900"/>
    <w:rsid w:val="001512E1"/>
    <w:rsid w:val="001516C2"/>
    <w:rsid w:val="00152AFE"/>
    <w:rsid w:val="00153670"/>
    <w:rsid w:val="00153816"/>
    <w:rsid w:val="00153A90"/>
    <w:rsid w:val="0015538E"/>
    <w:rsid w:val="00157073"/>
    <w:rsid w:val="00157934"/>
    <w:rsid w:val="00164A63"/>
    <w:rsid w:val="00165852"/>
    <w:rsid w:val="00165A04"/>
    <w:rsid w:val="00165E4E"/>
    <w:rsid w:val="00166BA5"/>
    <w:rsid w:val="00166C0F"/>
    <w:rsid w:val="00167682"/>
    <w:rsid w:val="00167F9D"/>
    <w:rsid w:val="001712AF"/>
    <w:rsid w:val="001728DB"/>
    <w:rsid w:val="00173415"/>
    <w:rsid w:val="0017402E"/>
    <w:rsid w:val="00174DEC"/>
    <w:rsid w:val="00175501"/>
    <w:rsid w:val="00176475"/>
    <w:rsid w:val="0017682A"/>
    <w:rsid w:val="00180335"/>
    <w:rsid w:val="00181EFF"/>
    <w:rsid w:val="00182C53"/>
    <w:rsid w:val="00182D73"/>
    <w:rsid w:val="001835DE"/>
    <w:rsid w:val="00184A9C"/>
    <w:rsid w:val="0018565B"/>
    <w:rsid w:val="001863CA"/>
    <w:rsid w:val="00187ABC"/>
    <w:rsid w:val="00190A59"/>
    <w:rsid w:val="00192D1E"/>
    <w:rsid w:val="0019306C"/>
    <w:rsid w:val="00193C69"/>
    <w:rsid w:val="00194FC1"/>
    <w:rsid w:val="00195A93"/>
    <w:rsid w:val="001971C3"/>
    <w:rsid w:val="00197FEB"/>
    <w:rsid w:val="001A317B"/>
    <w:rsid w:val="001A63BF"/>
    <w:rsid w:val="001A6DE2"/>
    <w:rsid w:val="001B07AA"/>
    <w:rsid w:val="001B1089"/>
    <w:rsid w:val="001B1CB7"/>
    <w:rsid w:val="001B21D3"/>
    <w:rsid w:val="001B479F"/>
    <w:rsid w:val="001B5737"/>
    <w:rsid w:val="001B74BB"/>
    <w:rsid w:val="001B798C"/>
    <w:rsid w:val="001B7D12"/>
    <w:rsid w:val="001C078C"/>
    <w:rsid w:val="001C08E3"/>
    <w:rsid w:val="001C12BF"/>
    <w:rsid w:val="001C1A59"/>
    <w:rsid w:val="001C1D72"/>
    <w:rsid w:val="001C24A4"/>
    <w:rsid w:val="001C3961"/>
    <w:rsid w:val="001C45E9"/>
    <w:rsid w:val="001C5563"/>
    <w:rsid w:val="001C562A"/>
    <w:rsid w:val="001C7314"/>
    <w:rsid w:val="001D0196"/>
    <w:rsid w:val="001D02BC"/>
    <w:rsid w:val="001D1A59"/>
    <w:rsid w:val="001D34A0"/>
    <w:rsid w:val="001D41B8"/>
    <w:rsid w:val="001D51C4"/>
    <w:rsid w:val="001D6D48"/>
    <w:rsid w:val="001E0C47"/>
    <w:rsid w:val="001E0E2F"/>
    <w:rsid w:val="001E1F24"/>
    <w:rsid w:val="001E4294"/>
    <w:rsid w:val="001E4682"/>
    <w:rsid w:val="001E54C2"/>
    <w:rsid w:val="001E6CFB"/>
    <w:rsid w:val="001E76A9"/>
    <w:rsid w:val="001F014E"/>
    <w:rsid w:val="001F0DED"/>
    <w:rsid w:val="001F1D06"/>
    <w:rsid w:val="001F1DD9"/>
    <w:rsid w:val="001F2F49"/>
    <w:rsid w:val="001F4ADF"/>
    <w:rsid w:val="001F642B"/>
    <w:rsid w:val="001F7DD3"/>
    <w:rsid w:val="002011A9"/>
    <w:rsid w:val="00201E3C"/>
    <w:rsid w:val="00202247"/>
    <w:rsid w:val="002035EF"/>
    <w:rsid w:val="00205987"/>
    <w:rsid w:val="00207979"/>
    <w:rsid w:val="002103BF"/>
    <w:rsid w:val="002107B6"/>
    <w:rsid w:val="00210C19"/>
    <w:rsid w:val="00212278"/>
    <w:rsid w:val="002132CC"/>
    <w:rsid w:val="00216FEC"/>
    <w:rsid w:val="0022354C"/>
    <w:rsid w:val="00223986"/>
    <w:rsid w:val="002240EF"/>
    <w:rsid w:val="002245BF"/>
    <w:rsid w:val="002248D0"/>
    <w:rsid w:val="002268C7"/>
    <w:rsid w:val="00226FE7"/>
    <w:rsid w:val="0022741B"/>
    <w:rsid w:val="002303BF"/>
    <w:rsid w:val="00230BB7"/>
    <w:rsid w:val="00231FC7"/>
    <w:rsid w:val="00232A7B"/>
    <w:rsid w:val="002332F8"/>
    <w:rsid w:val="0023375B"/>
    <w:rsid w:val="00234170"/>
    <w:rsid w:val="002343A4"/>
    <w:rsid w:val="00235094"/>
    <w:rsid w:val="002361D1"/>
    <w:rsid w:val="00237309"/>
    <w:rsid w:val="00241F30"/>
    <w:rsid w:val="00246B75"/>
    <w:rsid w:val="00247A87"/>
    <w:rsid w:val="002512E1"/>
    <w:rsid w:val="00253102"/>
    <w:rsid w:val="002544D7"/>
    <w:rsid w:val="00255F1C"/>
    <w:rsid w:val="00256C05"/>
    <w:rsid w:val="00256FA3"/>
    <w:rsid w:val="00260DD7"/>
    <w:rsid w:val="00261A90"/>
    <w:rsid w:val="00261E6F"/>
    <w:rsid w:val="002627F7"/>
    <w:rsid w:val="00263BAE"/>
    <w:rsid w:val="0026454E"/>
    <w:rsid w:val="00265AA3"/>
    <w:rsid w:val="00265E02"/>
    <w:rsid w:val="00266CFC"/>
    <w:rsid w:val="00267BAC"/>
    <w:rsid w:val="002703C1"/>
    <w:rsid w:val="002706ED"/>
    <w:rsid w:val="00271BF7"/>
    <w:rsid w:val="0027310F"/>
    <w:rsid w:val="0027311A"/>
    <w:rsid w:val="00273C0A"/>
    <w:rsid w:val="00273DBE"/>
    <w:rsid w:val="00274BC8"/>
    <w:rsid w:val="00275FB4"/>
    <w:rsid w:val="002773ED"/>
    <w:rsid w:val="002776F4"/>
    <w:rsid w:val="00281004"/>
    <w:rsid w:val="00281F72"/>
    <w:rsid w:val="002828AB"/>
    <w:rsid w:val="00282EB6"/>
    <w:rsid w:val="00283098"/>
    <w:rsid w:val="00283AAF"/>
    <w:rsid w:val="0028441E"/>
    <w:rsid w:val="00290178"/>
    <w:rsid w:val="00290F91"/>
    <w:rsid w:val="0029291B"/>
    <w:rsid w:val="002931B7"/>
    <w:rsid w:val="002931DC"/>
    <w:rsid w:val="00295C5E"/>
    <w:rsid w:val="002974EB"/>
    <w:rsid w:val="002A0E56"/>
    <w:rsid w:val="002A1610"/>
    <w:rsid w:val="002A375B"/>
    <w:rsid w:val="002A38E3"/>
    <w:rsid w:val="002A7694"/>
    <w:rsid w:val="002A7DEC"/>
    <w:rsid w:val="002B01A3"/>
    <w:rsid w:val="002B05E6"/>
    <w:rsid w:val="002B1AEA"/>
    <w:rsid w:val="002B1B16"/>
    <w:rsid w:val="002B218C"/>
    <w:rsid w:val="002B2CB5"/>
    <w:rsid w:val="002B39DC"/>
    <w:rsid w:val="002B4F27"/>
    <w:rsid w:val="002B571D"/>
    <w:rsid w:val="002B5E9B"/>
    <w:rsid w:val="002B630E"/>
    <w:rsid w:val="002B7CC5"/>
    <w:rsid w:val="002B7F75"/>
    <w:rsid w:val="002C0624"/>
    <w:rsid w:val="002C0F49"/>
    <w:rsid w:val="002C17CF"/>
    <w:rsid w:val="002C3F6B"/>
    <w:rsid w:val="002C5275"/>
    <w:rsid w:val="002C79A8"/>
    <w:rsid w:val="002D0374"/>
    <w:rsid w:val="002D0E62"/>
    <w:rsid w:val="002D48E8"/>
    <w:rsid w:val="002D5CA3"/>
    <w:rsid w:val="002D6D74"/>
    <w:rsid w:val="002D6DC7"/>
    <w:rsid w:val="002D7317"/>
    <w:rsid w:val="002E0421"/>
    <w:rsid w:val="002E2AE4"/>
    <w:rsid w:val="002E309E"/>
    <w:rsid w:val="002E3F97"/>
    <w:rsid w:val="002E4881"/>
    <w:rsid w:val="002E672E"/>
    <w:rsid w:val="002F1813"/>
    <w:rsid w:val="002F1E63"/>
    <w:rsid w:val="002F1F72"/>
    <w:rsid w:val="002F3582"/>
    <w:rsid w:val="002F3CE4"/>
    <w:rsid w:val="002F3CE5"/>
    <w:rsid w:val="002F4D04"/>
    <w:rsid w:val="002F633B"/>
    <w:rsid w:val="002F7121"/>
    <w:rsid w:val="002F7174"/>
    <w:rsid w:val="002F7B3A"/>
    <w:rsid w:val="002F7D91"/>
    <w:rsid w:val="0030157C"/>
    <w:rsid w:val="00301A80"/>
    <w:rsid w:val="00301C0B"/>
    <w:rsid w:val="00302782"/>
    <w:rsid w:val="003042ED"/>
    <w:rsid w:val="00310CD4"/>
    <w:rsid w:val="003116ED"/>
    <w:rsid w:val="003119CD"/>
    <w:rsid w:val="00312AD8"/>
    <w:rsid w:val="00312E74"/>
    <w:rsid w:val="00313920"/>
    <w:rsid w:val="00313EDD"/>
    <w:rsid w:val="00314642"/>
    <w:rsid w:val="00314D5D"/>
    <w:rsid w:val="00315181"/>
    <w:rsid w:val="0031741D"/>
    <w:rsid w:val="00321370"/>
    <w:rsid w:val="0032143F"/>
    <w:rsid w:val="0032210F"/>
    <w:rsid w:val="00322C5C"/>
    <w:rsid w:val="00322E6A"/>
    <w:rsid w:val="00323B14"/>
    <w:rsid w:val="00324B28"/>
    <w:rsid w:val="0032686A"/>
    <w:rsid w:val="00326BDA"/>
    <w:rsid w:val="0032710F"/>
    <w:rsid w:val="00327723"/>
    <w:rsid w:val="00327DF3"/>
    <w:rsid w:val="00327EB7"/>
    <w:rsid w:val="00330258"/>
    <w:rsid w:val="00331D2B"/>
    <w:rsid w:val="00332A30"/>
    <w:rsid w:val="00334699"/>
    <w:rsid w:val="00335FAA"/>
    <w:rsid w:val="00336FA4"/>
    <w:rsid w:val="00337983"/>
    <w:rsid w:val="00337E10"/>
    <w:rsid w:val="003408EC"/>
    <w:rsid w:val="00341B27"/>
    <w:rsid w:val="003428C4"/>
    <w:rsid w:val="00342AE3"/>
    <w:rsid w:val="00343E73"/>
    <w:rsid w:val="00345470"/>
    <w:rsid w:val="003460CA"/>
    <w:rsid w:val="00347A91"/>
    <w:rsid w:val="00347AEE"/>
    <w:rsid w:val="00350B45"/>
    <w:rsid w:val="0035135B"/>
    <w:rsid w:val="00353233"/>
    <w:rsid w:val="003556DF"/>
    <w:rsid w:val="00356978"/>
    <w:rsid w:val="00357DCC"/>
    <w:rsid w:val="003600FA"/>
    <w:rsid w:val="00362573"/>
    <w:rsid w:val="0036389A"/>
    <w:rsid w:val="00364CAE"/>
    <w:rsid w:val="00366836"/>
    <w:rsid w:val="00366E2E"/>
    <w:rsid w:val="003675FC"/>
    <w:rsid w:val="00367CA9"/>
    <w:rsid w:val="00371B76"/>
    <w:rsid w:val="00373B55"/>
    <w:rsid w:val="00374E0D"/>
    <w:rsid w:val="003751DA"/>
    <w:rsid w:val="00376BB3"/>
    <w:rsid w:val="00377339"/>
    <w:rsid w:val="0037792A"/>
    <w:rsid w:val="003806C0"/>
    <w:rsid w:val="00380811"/>
    <w:rsid w:val="003830E3"/>
    <w:rsid w:val="003858DE"/>
    <w:rsid w:val="00385DA9"/>
    <w:rsid w:val="0038607E"/>
    <w:rsid w:val="003860B2"/>
    <w:rsid w:val="00386B84"/>
    <w:rsid w:val="00386BC6"/>
    <w:rsid w:val="00387B4E"/>
    <w:rsid w:val="00387F03"/>
    <w:rsid w:val="00390039"/>
    <w:rsid w:val="0039150A"/>
    <w:rsid w:val="003929B5"/>
    <w:rsid w:val="0039398A"/>
    <w:rsid w:val="00393EF2"/>
    <w:rsid w:val="003965A8"/>
    <w:rsid w:val="003A0E67"/>
    <w:rsid w:val="003A1E91"/>
    <w:rsid w:val="003A2BEB"/>
    <w:rsid w:val="003A3986"/>
    <w:rsid w:val="003A58A6"/>
    <w:rsid w:val="003A5FCE"/>
    <w:rsid w:val="003A6F1A"/>
    <w:rsid w:val="003A6FED"/>
    <w:rsid w:val="003A753E"/>
    <w:rsid w:val="003B09E1"/>
    <w:rsid w:val="003B49CA"/>
    <w:rsid w:val="003B6104"/>
    <w:rsid w:val="003B67CB"/>
    <w:rsid w:val="003B784C"/>
    <w:rsid w:val="003C099C"/>
    <w:rsid w:val="003C0F0D"/>
    <w:rsid w:val="003C111D"/>
    <w:rsid w:val="003C1C0D"/>
    <w:rsid w:val="003C1FE2"/>
    <w:rsid w:val="003C2929"/>
    <w:rsid w:val="003C4068"/>
    <w:rsid w:val="003C4E2C"/>
    <w:rsid w:val="003C62C4"/>
    <w:rsid w:val="003C741D"/>
    <w:rsid w:val="003C74AD"/>
    <w:rsid w:val="003C75B7"/>
    <w:rsid w:val="003C7A8C"/>
    <w:rsid w:val="003D27C8"/>
    <w:rsid w:val="003D4DEC"/>
    <w:rsid w:val="003D51FD"/>
    <w:rsid w:val="003D5CAA"/>
    <w:rsid w:val="003D6D09"/>
    <w:rsid w:val="003E024D"/>
    <w:rsid w:val="003E2133"/>
    <w:rsid w:val="003E2248"/>
    <w:rsid w:val="003E22D5"/>
    <w:rsid w:val="003E69C0"/>
    <w:rsid w:val="003E6DC8"/>
    <w:rsid w:val="003E7BF8"/>
    <w:rsid w:val="003F0D16"/>
    <w:rsid w:val="003F13E9"/>
    <w:rsid w:val="003F4409"/>
    <w:rsid w:val="003F497B"/>
    <w:rsid w:val="003F4E08"/>
    <w:rsid w:val="003F4F2D"/>
    <w:rsid w:val="003F51CB"/>
    <w:rsid w:val="003F559A"/>
    <w:rsid w:val="003F5ED4"/>
    <w:rsid w:val="003F6275"/>
    <w:rsid w:val="003F6283"/>
    <w:rsid w:val="003F715C"/>
    <w:rsid w:val="00400C7B"/>
    <w:rsid w:val="004014C5"/>
    <w:rsid w:val="0040171B"/>
    <w:rsid w:val="004023D4"/>
    <w:rsid w:val="004028E0"/>
    <w:rsid w:val="00402DBD"/>
    <w:rsid w:val="00404A75"/>
    <w:rsid w:val="00404DD5"/>
    <w:rsid w:val="00405524"/>
    <w:rsid w:val="00406062"/>
    <w:rsid w:val="00406C8C"/>
    <w:rsid w:val="00412851"/>
    <w:rsid w:val="00412F84"/>
    <w:rsid w:val="00413820"/>
    <w:rsid w:val="00413EA5"/>
    <w:rsid w:val="004146B0"/>
    <w:rsid w:val="004146EE"/>
    <w:rsid w:val="00414BB4"/>
    <w:rsid w:val="00416825"/>
    <w:rsid w:val="00417890"/>
    <w:rsid w:val="00421FAA"/>
    <w:rsid w:val="00425F97"/>
    <w:rsid w:val="004264DB"/>
    <w:rsid w:val="0042737B"/>
    <w:rsid w:val="00427B57"/>
    <w:rsid w:val="00427D25"/>
    <w:rsid w:val="00427E4B"/>
    <w:rsid w:val="00430D70"/>
    <w:rsid w:val="00431ED6"/>
    <w:rsid w:val="00432E53"/>
    <w:rsid w:val="00434CFD"/>
    <w:rsid w:val="00435327"/>
    <w:rsid w:val="00437035"/>
    <w:rsid w:val="00437EF0"/>
    <w:rsid w:val="00441F72"/>
    <w:rsid w:val="00443CEA"/>
    <w:rsid w:val="00443CEF"/>
    <w:rsid w:val="00444FDD"/>
    <w:rsid w:val="00446345"/>
    <w:rsid w:val="004463FB"/>
    <w:rsid w:val="00446F0B"/>
    <w:rsid w:val="00447249"/>
    <w:rsid w:val="004476E7"/>
    <w:rsid w:val="00450127"/>
    <w:rsid w:val="0045174F"/>
    <w:rsid w:val="00451948"/>
    <w:rsid w:val="00451A69"/>
    <w:rsid w:val="00452A06"/>
    <w:rsid w:val="004531BE"/>
    <w:rsid w:val="00454C05"/>
    <w:rsid w:val="004551E4"/>
    <w:rsid w:val="00455A94"/>
    <w:rsid w:val="00455B15"/>
    <w:rsid w:val="00455DDA"/>
    <w:rsid w:val="0045649A"/>
    <w:rsid w:val="00461DDE"/>
    <w:rsid w:val="004629AF"/>
    <w:rsid w:val="0046568D"/>
    <w:rsid w:val="00465FDE"/>
    <w:rsid w:val="004667E0"/>
    <w:rsid w:val="00470A40"/>
    <w:rsid w:val="00471ED5"/>
    <w:rsid w:val="004721A3"/>
    <w:rsid w:val="004734C8"/>
    <w:rsid w:val="00473BEF"/>
    <w:rsid w:val="00475266"/>
    <w:rsid w:val="00476390"/>
    <w:rsid w:val="004770FF"/>
    <w:rsid w:val="004777DA"/>
    <w:rsid w:val="00480579"/>
    <w:rsid w:val="00481B60"/>
    <w:rsid w:val="00484964"/>
    <w:rsid w:val="004849A9"/>
    <w:rsid w:val="00486A74"/>
    <w:rsid w:val="0049033A"/>
    <w:rsid w:val="00490828"/>
    <w:rsid w:val="00491F82"/>
    <w:rsid w:val="0049268E"/>
    <w:rsid w:val="00492F60"/>
    <w:rsid w:val="0049322D"/>
    <w:rsid w:val="004939CC"/>
    <w:rsid w:val="00493A76"/>
    <w:rsid w:val="00493B11"/>
    <w:rsid w:val="00494D4B"/>
    <w:rsid w:val="00494E8B"/>
    <w:rsid w:val="0049723F"/>
    <w:rsid w:val="00497492"/>
    <w:rsid w:val="004A0310"/>
    <w:rsid w:val="004A1721"/>
    <w:rsid w:val="004A1867"/>
    <w:rsid w:val="004A1EB0"/>
    <w:rsid w:val="004A2CBA"/>
    <w:rsid w:val="004A4B2B"/>
    <w:rsid w:val="004A4E22"/>
    <w:rsid w:val="004A521C"/>
    <w:rsid w:val="004A6A46"/>
    <w:rsid w:val="004A76CD"/>
    <w:rsid w:val="004A7A26"/>
    <w:rsid w:val="004B03DD"/>
    <w:rsid w:val="004B0F4F"/>
    <w:rsid w:val="004B14BA"/>
    <w:rsid w:val="004B436F"/>
    <w:rsid w:val="004B47CB"/>
    <w:rsid w:val="004C0C35"/>
    <w:rsid w:val="004C2C0A"/>
    <w:rsid w:val="004C3271"/>
    <w:rsid w:val="004C4473"/>
    <w:rsid w:val="004C4F8B"/>
    <w:rsid w:val="004C57B3"/>
    <w:rsid w:val="004C5E2E"/>
    <w:rsid w:val="004C6243"/>
    <w:rsid w:val="004C6435"/>
    <w:rsid w:val="004C6E2C"/>
    <w:rsid w:val="004C7E13"/>
    <w:rsid w:val="004D173F"/>
    <w:rsid w:val="004D2029"/>
    <w:rsid w:val="004D207A"/>
    <w:rsid w:val="004D2266"/>
    <w:rsid w:val="004D23A4"/>
    <w:rsid w:val="004D24B7"/>
    <w:rsid w:val="004D2622"/>
    <w:rsid w:val="004D305B"/>
    <w:rsid w:val="004D3A54"/>
    <w:rsid w:val="004D55C4"/>
    <w:rsid w:val="004D645A"/>
    <w:rsid w:val="004D6C07"/>
    <w:rsid w:val="004D7C80"/>
    <w:rsid w:val="004E06F6"/>
    <w:rsid w:val="004E0898"/>
    <w:rsid w:val="004E3E7F"/>
    <w:rsid w:val="004E5A42"/>
    <w:rsid w:val="004E6F8C"/>
    <w:rsid w:val="004E7677"/>
    <w:rsid w:val="004F011B"/>
    <w:rsid w:val="004F350F"/>
    <w:rsid w:val="004F4681"/>
    <w:rsid w:val="004F7DF3"/>
    <w:rsid w:val="00501510"/>
    <w:rsid w:val="00501928"/>
    <w:rsid w:val="00502275"/>
    <w:rsid w:val="0050454C"/>
    <w:rsid w:val="00504B69"/>
    <w:rsid w:val="00506830"/>
    <w:rsid w:val="00507CD2"/>
    <w:rsid w:val="00511D27"/>
    <w:rsid w:val="00512A98"/>
    <w:rsid w:val="00513276"/>
    <w:rsid w:val="00513AB9"/>
    <w:rsid w:val="005140B4"/>
    <w:rsid w:val="005141DC"/>
    <w:rsid w:val="005146A9"/>
    <w:rsid w:val="00514E21"/>
    <w:rsid w:val="00514F54"/>
    <w:rsid w:val="00514FE8"/>
    <w:rsid w:val="0051551B"/>
    <w:rsid w:val="00515C6C"/>
    <w:rsid w:val="00515D55"/>
    <w:rsid w:val="005174E4"/>
    <w:rsid w:val="005207A1"/>
    <w:rsid w:val="0052327C"/>
    <w:rsid w:val="00523FC9"/>
    <w:rsid w:val="00524277"/>
    <w:rsid w:val="00524D84"/>
    <w:rsid w:val="00525E6D"/>
    <w:rsid w:val="005303DB"/>
    <w:rsid w:val="00530D23"/>
    <w:rsid w:val="00530DA3"/>
    <w:rsid w:val="005330D7"/>
    <w:rsid w:val="005336DA"/>
    <w:rsid w:val="00533BC8"/>
    <w:rsid w:val="005358CA"/>
    <w:rsid w:val="00536A41"/>
    <w:rsid w:val="00536EEA"/>
    <w:rsid w:val="005378BD"/>
    <w:rsid w:val="005403B2"/>
    <w:rsid w:val="00540AD9"/>
    <w:rsid w:val="00541491"/>
    <w:rsid w:val="00543625"/>
    <w:rsid w:val="0054421A"/>
    <w:rsid w:val="00545DBD"/>
    <w:rsid w:val="00546ED0"/>
    <w:rsid w:val="0054711D"/>
    <w:rsid w:val="005473B9"/>
    <w:rsid w:val="00550033"/>
    <w:rsid w:val="0055049D"/>
    <w:rsid w:val="0055141A"/>
    <w:rsid w:val="00551754"/>
    <w:rsid w:val="00551F4E"/>
    <w:rsid w:val="00552AC1"/>
    <w:rsid w:val="00552D6B"/>
    <w:rsid w:val="00555DE1"/>
    <w:rsid w:val="00557ED2"/>
    <w:rsid w:val="00561D89"/>
    <w:rsid w:val="0056366A"/>
    <w:rsid w:val="00564730"/>
    <w:rsid w:val="00567008"/>
    <w:rsid w:val="00567C74"/>
    <w:rsid w:val="00570AE0"/>
    <w:rsid w:val="00570F3F"/>
    <w:rsid w:val="0057186E"/>
    <w:rsid w:val="005729AB"/>
    <w:rsid w:val="005738EC"/>
    <w:rsid w:val="00573A24"/>
    <w:rsid w:val="00575AFF"/>
    <w:rsid w:val="00576452"/>
    <w:rsid w:val="00577FD0"/>
    <w:rsid w:val="005807DB"/>
    <w:rsid w:val="00580E9A"/>
    <w:rsid w:val="00582E2E"/>
    <w:rsid w:val="00585538"/>
    <w:rsid w:val="00590539"/>
    <w:rsid w:val="00596921"/>
    <w:rsid w:val="00597300"/>
    <w:rsid w:val="005A0AAF"/>
    <w:rsid w:val="005A2136"/>
    <w:rsid w:val="005A22EA"/>
    <w:rsid w:val="005A2734"/>
    <w:rsid w:val="005A3C6E"/>
    <w:rsid w:val="005A5A8E"/>
    <w:rsid w:val="005A721F"/>
    <w:rsid w:val="005A73B3"/>
    <w:rsid w:val="005A7DB7"/>
    <w:rsid w:val="005A7F3E"/>
    <w:rsid w:val="005B180A"/>
    <w:rsid w:val="005B2534"/>
    <w:rsid w:val="005B2D65"/>
    <w:rsid w:val="005B4521"/>
    <w:rsid w:val="005B47B4"/>
    <w:rsid w:val="005B4DAD"/>
    <w:rsid w:val="005B54C0"/>
    <w:rsid w:val="005B6738"/>
    <w:rsid w:val="005B68C8"/>
    <w:rsid w:val="005B7962"/>
    <w:rsid w:val="005C04A7"/>
    <w:rsid w:val="005C2F74"/>
    <w:rsid w:val="005C35F0"/>
    <w:rsid w:val="005C3BF4"/>
    <w:rsid w:val="005C4B54"/>
    <w:rsid w:val="005C4D5B"/>
    <w:rsid w:val="005D052F"/>
    <w:rsid w:val="005D0C3D"/>
    <w:rsid w:val="005D0D16"/>
    <w:rsid w:val="005D1A04"/>
    <w:rsid w:val="005D26DD"/>
    <w:rsid w:val="005D314B"/>
    <w:rsid w:val="005D4698"/>
    <w:rsid w:val="005D5161"/>
    <w:rsid w:val="005E03B9"/>
    <w:rsid w:val="005E114D"/>
    <w:rsid w:val="005E246F"/>
    <w:rsid w:val="005E4201"/>
    <w:rsid w:val="005E5FE4"/>
    <w:rsid w:val="005E7540"/>
    <w:rsid w:val="005E7FA6"/>
    <w:rsid w:val="005F0758"/>
    <w:rsid w:val="005F1566"/>
    <w:rsid w:val="005F1DA7"/>
    <w:rsid w:val="005F2D31"/>
    <w:rsid w:val="005F3F5A"/>
    <w:rsid w:val="005F46A8"/>
    <w:rsid w:val="005F5A42"/>
    <w:rsid w:val="005F67D3"/>
    <w:rsid w:val="005F708F"/>
    <w:rsid w:val="005F719F"/>
    <w:rsid w:val="00601154"/>
    <w:rsid w:val="006011FD"/>
    <w:rsid w:val="00604A5B"/>
    <w:rsid w:val="00605399"/>
    <w:rsid w:val="00605B2D"/>
    <w:rsid w:val="00605C72"/>
    <w:rsid w:val="0060655D"/>
    <w:rsid w:val="00606932"/>
    <w:rsid w:val="00607490"/>
    <w:rsid w:val="00607FFE"/>
    <w:rsid w:val="006102C8"/>
    <w:rsid w:val="006114B5"/>
    <w:rsid w:val="006121FC"/>
    <w:rsid w:val="006128B9"/>
    <w:rsid w:val="00613A54"/>
    <w:rsid w:val="00614D74"/>
    <w:rsid w:val="00615803"/>
    <w:rsid w:val="00616E7A"/>
    <w:rsid w:val="00617830"/>
    <w:rsid w:val="00620A64"/>
    <w:rsid w:val="006218BB"/>
    <w:rsid w:val="00626523"/>
    <w:rsid w:val="00626CA6"/>
    <w:rsid w:val="00627081"/>
    <w:rsid w:val="006302B8"/>
    <w:rsid w:val="00631EC5"/>
    <w:rsid w:val="00633585"/>
    <w:rsid w:val="0063361C"/>
    <w:rsid w:val="00634027"/>
    <w:rsid w:val="006343A3"/>
    <w:rsid w:val="00634856"/>
    <w:rsid w:val="00635328"/>
    <w:rsid w:val="00635445"/>
    <w:rsid w:val="0064016A"/>
    <w:rsid w:val="006416CF"/>
    <w:rsid w:val="00641BBB"/>
    <w:rsid w:val="00641DC0"/>
    <w:rsid w:val="00642177"/>
    <w:rsid w:val="006430B9"/>
    <w:rsid w:val="006438BD"/>
    <w:rsid w:val="00643976"/>
    <w:rsid w:val="00643E6F"/>
    <w:rsid w:val="00644824"/>
    <w:rsid w:val="00645B2C"/>
    <w:rsid w:val="00647007"/>
    <w:rsid w:val="00652689"/>
    <w:rsid w:val="00652AA1"/>
    <w:rsid w:val="00652B55"/>
    <w:rsid w:val="006545AD"/>
    <w:rsid w:val="006560B7"/>
    <w:rsid w:val="00657787"/>
    <w:rsid w:val="00657BEF"/>
    <w:rsid w:val="00660339"/>
    <w:rsid w:val="00661417"/>
    <w:rsid w:val="00661678"/>
    <w:rsid w:val="00661CC8"/>
    <w:rsid w:val="00662D00"/>
    <w:rsid w:val="00662F73"/>
    <w:rsid w:val="006637B4"/>
    <w:rsid w:val="006644A0"/>
    <w:rsid w:val="00664C26"/>
    <w:rsid w:val="00665338"/>
    <w:rsid w:val="00665471"/>
    <w:rsid w:val="00665C75"/>
    <w:rsid w:val="006661C4"/>
    <w:rsid w:val="0066697F"/>
    <w:rsid w:val="00667098"/>
    <w:rsid w:val="0067125D"/>
    <w:rsid w:val="0067305F"/>
    <w:rsid w:val="0067381D"/>
    <w:rsid w:val="00674963"/>
    <w:rsid w:val="0067603C"/>
    <w:rsid w:val="0067653B"/>
    <w:rsid w:val="00676597"/>
    <w:rsid w:val="00677136"/>
    <w:rsid w:val="00677510"/>
    <w:rsid w:val="00681148"/>
    <w:rsid w:val="0068320B"/>
    <w:rsid w:val="00683B69"/>
    <w:rsid w:val="00684536"/>
    <w:rsid w:val="006850C5"/>
    <w:rsid w:val="00686743"/>
    <w:rsid w:val="0069177F"/>
    <w:rsid w:val="006926EE"/>
    <w:rsid w:val="0069491F"/>
    <w:rsid w:val="006964E8"/>
    <w:rsid w:val="006967A5"/>
    <w:rsid w:val="006967F5"/>
    <w:rsid w:val="00696FA1"/>
    <w:rsid w:val="006A08E8"/>
    <w:rsid w:val="006A20D6"/>
    <w:rsid w:val="006A23E3"/>
    <w:rsid w:val="006A2B64"/>
    <w:rsid w:val="006A2DE0"/>
    <w:rsid w:val="006A2FD6"/>
    <w:rsid w:val="006A46A7"/>
    <w:rsid w:val="006A5311"/>
    <w:rsid w:val="006A5614"/>
    <w:rsid w:val="006A6597"/>
    <w:rsid w:val="006A6B40"/>
    <w:rsid w:val="006B087F"/>
    <w:rsid w:val="006B31BD"/>
    <w:rsid w:val="006B39CF"/>
    <w:rsid w:val="006B5601"/>
    <w:rsid w:val="006B5B7B"/>
    <w:rsid w:val="006B5D14"/>
    <w:rsid w:val="006B7974"/>
    <w:rsid w:val="006C02BE"/>
    <w:rsid w:val="006C0AB2"/>
    <w:rsid w:val="006C17D0"/>
    <w:rsid w:val="006C2F92"/>
    <w:rsid w:val="006C3494"/>
    <w:rsid w:val="006C3F50"/>
    <w:rsid w:val="006C649E"/>
    <w:rsid w:val="006C71AC"/>
    <w:rsid w:val="006D01A0"/>
    <w:rsid w:val="006D360B"/>
    <w:rsid w:val="006D360C"/>
    <w:rsid w:val="006D3A31"/>
    <w:rsid w:val="006D57DD"/>
    <w:rsid w:val="006D5B9D"/>
    <w:rsid w:val="006E27E2"/>
    <w:rsid w:val="006E2F03"/>
    <w:rsid w:val="006E5FCA"/>
    <w:rsid w:val="006E7536"/>
    <w:rsid w:val="006E7AB3"/>
    <w:rsid w:val="006F0073"/>
    <w:rsid w:val="006F27D5"/>
    <w:rsid w:val="006F6A05"/>
    <w:rsid w:val="006F735D"/>
    <w:rsid w:val="006F791F"/>
    <w:rsid w:val="006F79FB"/>
    <w:rsid w:val="00700682"/>
    <w:rsid w:val="007018AE"/>
    <w:rsid w:val="00701BF7"/>
    <w:rsid w:val="007026A9"/>
    <w:rsid w:val="00702AAC"/>
    <w:rsid w:val="0070458F"/>
    <w:rsid w:val="00704E00"/>
    <w:rsid w:val="00705C20"/>
    <w:rsid w:val="00706FBB"/>
    <w:rsid w:val="007078AA"/>
    <w:rsid w:val="0070795D"/>
    <w:rsid w:val="00710688"/>
    <w:rsid w:val="00710D36"/>
    <w:rsid w:val="007128B3"/>
    <w:rsid w:val="007136AA"/>
    <w:rsid w:val="007148D3"/>
    <w:rsid w:val="007155C1"/>
    <w:rsid w:val="00715658"/>
    <w:rsid w:val="0071642A"/>
    <w:rsid w:val="00716DFD"/>
    <w:rsid w:val="00717CDE"/>
    <w:rsid w:val="00720313"/>
    <w:rsid w:val="00720E5C"/>
    <w:rsid w:val="00721A13"/>
    <w:rsid w:val="00722F27"/>
    <w:rsid w:val="007238ED"/>
    <w:rsid w:val="00723A9E"/>
    <w:rsid w:val="0072406C"/>
    <w:rsid w:val="00724CD2"/>
    <w:rsid w:val="00724F0D"/>
    <w:rsid w:val="00725413"/>
    <w:rsid w:val="00726AB9"/>
    <w:rsid w:val="007270BE"/>
    <w:rsid w:val="00727246"/>
    <w:rsid w:val="0073061E"/>
    <w:rsid w:val="00731192"/>
    <w:rsid w:val="007311DC"/>
    <w:rsid w:val="00733A38"/>
    <w:rsid w:val="00733D58"/>
    <w:rsid w:val="00734406"/>
    <w:rsid w:val="007352AF"/>
    <w:rsid w:val="00735AAA"/>
    <w:rsid w:val="00736636"/>
    <w:rsid w:val="007413AE"/>
    <w:rsid w:val="0074398B"/>
    <w:rsid w:val="00743D9F"/>
    <w:rsid w:val="007457D6"/>
    <w:rsid w:val="00746D5E"/>
    <w:rsid w:val="00747CC6"/>
    <w:rsid w:val="00751669"/>
    <w:rsid w:val="00752697"/>
    <w:rsid w:val="00752CC5"/>
    <w:rsid w:val="00753B66"/>
    <w:rsid w:val="00753FA6"/>
    <w:rsid w:val="00755965"/>
    <w:rsid w:val="00755BF5"/>
    <w:rsid w:val="00755CFC"/>
    <w:rsid w:val="007600FC"/>
    <w:rsid w:val="00765687"/>
    <w:rsid w:val="0076580B"/>
    <w:rsid w:val="00766004"/>
    <w:rsid w:val="00766125"/>
    <w:rsid w:val="007664D6"/>
    <w:rsid w:val="0076760C"/>
    <w:rsid w:val="0077207C"/>
    <w:rsid w:val="007725D6"/>
    <w:rsid w:val="00772A7B"/>
    <w:rsid w:val="007742EE"/>
    <w:rsid w:val="00774C6E"/>
    <w:rsid w:val="007755FF"/>
    <w:rsid w:val="0077612A"/>
    <w:rsid w:val="00776BD3"/>
    <w:rsid w:val="00777178"/>
    <w:rsid w:val="00777B17"/>
    <w:rsid w:val="00780389"/>
    <w:rsid w:val="00780E54"/>
    <w:rsid w:val="0078178B"/>
    <w:rsid w:val="007817C2"/>
    <w:rsid w:val="00781AF0"/>
    <w:rsid w:val="007822AF"/>
    <w:rsid w:val="007824EC"/>
    <w:rsid w:val="007826E4"/>
    <w:rsid w:val="0078376A"/>
    <w:rsid w:val="00783EF7"/>
    <w:rsid w:val="00787D5D"/>
    <w:rsid w:val="00791250"/>
    <w:rsid w:val="007913A9"/>
    <w:rsid w:val="0079249B"/>
    <w:rsid w:val="00793756"/>
    <w:rsid w:val="00793DA5"/>
    <w:rsid w:val="00794F43"/>
    <w:rsid w:val="0079572B"/>
    <w:rsid w:val="00795E9B"/>
    <w:rsid w:val="007978EB"/>
    <w:rsid w:val="007A2EF5"/>
    <w:rsid w:val="007A30BB"/>
    <w:rsid w:val="007A3904"/>
    <w:rsid w:val="007A3FEC"/>
    <w:rsid w:val="007A5095"/>
    <w:rsid w:val="007A52E2"/>
    <w:rsid w:val="007A5449"/>
    <w:rsid w:val="007A5608"/>
    <w:rsid w:val="007A5898"/>
    <w:rsid w:val="007A7D6A"/>
    <w:rsid w:val="007B1D23"/>
    <w:rsid w:val="007B4B22"/>
    <w:rsid w:val="007C0DD6"/>
    <w:rsid w:val="007C23F8"/>
    <w:rsid w:val="007C2941"/>
    <w:rsid w:val="007C2FED"/>
    <w:rsid w:val="007C3BEF"/>
    <w:rsid w:val="007C52BB"/>
    <w:rsid w:val="007C6756"/>
    <w:rsid w:val="007C6774"/>
    <w:rsid w:val="007C6972"/>
    <w:rsid w:val="007C7D5A"/>
    <w:rsid w:val="007D104C"/>
    <w:rsid w:val="007D15F9"/>
    <w:rsid w:val="007D1B16"/>
    <w:rsid w:val="007D2668"/>
    <w:rsid w:val="007D2A91"/>
    <w:rsid w:val="007D5ECB"/>
    <w:rsid w:val="007D6335"/>
    <w:rsid w:val="007D73CE"/>
    <w:rsid w:val="007E3090"/>
    <w:rsid w:val="007E38A7"/>
    <w:rsid w:val="007E4B4B"/>
    <w:rsid w:val="007E575E"/>
    <w:rsid w:val="007E5884"/>
    <w:rsid w:val="007E6F12"/>
    <w:rsid w:val="007E75F0"/>
    <w:rsid w:val="007F01BF"/>
    <w:rsid w:val="007F1669"/>
    <w:rsid w:val="007F29D3"/>
    <w:rsid w:val="007F2A3C"/>
    <w:rsid w:val="007F460D"/>
    <w:rsid w:val="008007C8"/>
    <w:rsid w:val="008029DA"/>
    <w:rsid w:val="008030BE"/>
    <w:rsid w:val="00803BCC"/>
    <w:rsid w:val="00807E1A"/>
    <w:rsid w:val="008105CE"/>
    <w:rsid w:val="00812DBB"/>
    <w:rsid w:val="008130D4"/>
    <w:rsid w:val="00815B82"/>
    <w:rsid w:val="00816DFF"/>
    <w:rsid w:val="008174C3"/>
    <w:rsid w:val="00817E66"/>
    <w:rsid w:val="0082044D"/>
    <w:rsid w:val="00821554"/>
    <w:rsid w:val="008215C1"/>
    <w:rsid w:val="00823A92"/>
    <w:rsid w:val="00824A5B"/>
    <w:rsid w:val="00825C95"/>
    <w:rsid w:val="00825D47"/>
    <w:rsid w:val="0083304D"/>
    <w:rsid w:val="008337D7"/>
    <w:rsid w:val="00834E2B"/>
    <w:rsid w:val="008357E2"/>
    <w:rsid w:val="0084077D"/>
    <w:rsid w:val="008407DF"/>
    <w:rsid w:val="00842316"/>
    <w:rsid w:val="00846D4D"/>
    <w:rsid w:val="008504AD"/>
    <w:rsid w:val="00850AD4"/>
    <w:rsid w:val="00851544"/>
    <w:rsid w:val="00851964"/>
    <w:rsid w:val="008537C0"/>
    <w:rsid w:val="00853F00"/>
    <w:rsid w:val="008546A7"/>
    <w:rsid w:val="008553BB"/>
    <w:rsid w:val="00855A04"/>
    <w:rsid w:val="00855EA6"/>
    <w:rsid w:val="008566E6"/>
    <w:rsid w:val="008571C9"/>
    <w:rsid w:val="0085758A"/>
    <w:rsid w:val="0085781F"/>
    <w:rsid w:val="00857D90"/>
    <w:rsid w:val="00860A9D"/>
    <w:rsid w:val="0086241D"/>
    <w:rsid w:val="00862EE0"/>
    <w:rsid w:val="00866317"/>
    <w:rsid w:val="008671E5"/>
    <w:rsid w:val="008755D9"/>
    <w:rsid w:val="00876FA3"/>
    <w:rsid w:val="008779D7"/>
    <w:rsid w:val="008804B7"/>
    <w:rsid w:val="00880AAA"/>
    <w:rsid w:val="008828A9"/>
    <w:rsid w:val="008832BD"/>
    <w:rsid w:val="00885397"/>
    <w:rsid w:val="0088551C"/>
    <w:rsid w:val="00885E16"/>
    <w:rsid w:val="008864C8"/>
    <w:rsid w:val="008867C3"/>
    <w:rsid w:val="00886CD0"/>
    <w:rsid w:val="00890C0B"/>
    <w:rsid w:val="008912FF"/>
    <w:rsid w:val="00891CB6"/>
    <w:rsid w:val="00893197"/>
    <w:rsid w:val="0089436B"/>
    <w:rsid w:val="00894694"/>
    <w:rsid w:val="00895CB3"/>
    <w:rsid w:val="008968CD"/>
    <w:rsid w:val="00897153"/>
    <w:rsid w:val="008971F6"/>
    <w:rsid w:val="00897DD5"/>
    <w:rsid w:val="00897F6E"/>
    <w:rsid w:val="008A3BAE"/>
    <w:rsid w:val="008A665B"/>
    <w:rsid w:val="008A7520"/>
    <w:rsid w:val="008A7C1B"/>
    <w:rsid w:val="008B4564"/>
    <w:rsid w:val="008B5110"/>
    <w:rsid w:val="008B5971"/>
    <w:rsid w:val="008B5E9D"/>
    <w:rsid w:val="008B6997"/>
    <w:rsid w:val="008B6B0E"/>
    <w:rsid w:val="008C0FA6"/>
    <w:rsid w:val="008C1E7E"/>
    <w:rsid w:val="008C2282"/>
    <w:rsid w:val="008C2B9B"/>
    <w:rsid w:val="008C4185"/>
    <w:rsid w:val="008C5016"/>
    <w:rsid w:val="008D087D"/>
    <w:rsid w:val="008D1CD0"/>
    <w:rsid w:val="008D1DDE"/>
    <w:rsid w:val="008D2B88"/>
    <w:rsid w:val="008D3A8B"/>
    <w:rsid w:val="008D65CB"/>
    <w:rsid w:val="008D6A48"/>
    <w:rsid w:val="008D7A44"/>
    <w:rsid w:val="008E1134"/>
    <w:rsid w:val="008E2576"/>
    <w:rsid w:val="008E2BB0"/>
    <w:rsid w:val="008E5096"/>
    <w:rsid w:val="008E5997"/>
    <w:rsid w:val="008E6199"/>
    <w:rsid w:val="008E6689"/>
    <w:rsid w:val="008E6AFD"/>
    <w:rsid w:val="008E77B6"/>
    <w:rsid w:val="008E7C4A"/>
    <w:rsid w:val="008F0A17"/>
    <w:rsid w:val="008F51B0"/>
    <w:rsid w:val="008F53A1"/>
    <w:rsid w:val="008F611E"/>
    <w:rsid w:val="008F733B"/>
    <w:rsid w:val="008F78BE"/>
    <w:rsid w:val="009013BE"/>
    <w:rsid w:val="00901B2F"/>
    <w:rsid w:val="009029A8"/>
    <w:rsid w:val="00905229"/>
    <w:rsid w:val="0090536E"/>
    <w:rsid w:val="00905CC7"/>
    <w:rsid w:val="00905E42"/>
    <w:rsid w:val="009075D5"/>
    <w:rsid w:val="0091123C"/>
    <w:rsid w:val="009123D3"/>
    <w:rsid w:val="0091277B"/>
    <w:rsid w:val="00913028"/>
    <w:rsid w:val="00913E81"/>
    <w:rsid w:val="009141D2"/>
    <w:rsid w:val="009167EC"/>
    <w:rsid w:val="009172AB"/>
    <w:rsid w:val="00921458"/>
    <w:rsid w:val="00922583"/>
    <w:rsid w:val="009238CA"/>
    <w:rsid w:val="00923F77"/>
    <w:rsid w:val="009241A6"/>
    <w:rsid w:val="00925C23"/>
    <w:rsid w:val="00926A42"/>
    <w:rsid w:val="009270DC"/>
    <w:rsid w:val="00927439"/>
    <w:rsid w:val="00927CAE"/>
    <w:rsid w:val="0093139E"/>
    <w:rsid w:val="00931D99"/>
    <w:rsid w:val="00932403"/>
    <w:rsid w:val="00932504"/>
    <w:rsid w:val="009330F2"/>
    <w:rsid w:val="009349B8"/>
    <w:rsid w:val="00934EBA"/>
    <w:rsid w:val="0093500F"/>
    <w:rsid w:val="00936A01"/>
    <w:rsid w:val="00940175"/>
    <w:rsid w:val="009403A9"/>
    <w:rsid w:val="009430E2"/>
    <w:rsid w:val="009432D7"/>
    <w:rsid w:val="009468EE"/>
    <w:rsid w:val="009514A4"/>
    <w:rsid w:val="009516BD"/>
    <w:rsid w:val="00952341"/>
    <w:rsid w:val="00952753"/>
    <w:rsid w:val="00952F7B"/>
    <w:rsid w:val="00954CCF"/>
    <w:rsid w:val="009555FF"/>
    <w:rsid w:val="00956F27"/>
    <w:rsid w:val="009571AF"/>
    <w:rsid w:val="0095752D"/>
    <w:rsid w:val="009602D3"/>
    <w:rsid w:val="009604E8"/>
    <w:rsid w:val="00960BB5"/>
    <w:rsid w:val="009617DA"/>
    <w:rsid w:val="009624D7"/>
    <w:rsid w:val="0096327E"/>
    <w:rsid w:val="009641D8"/>
    <w:rsid w:val="00965A31"/>
    <w:rsid w:val="009674D7"/>
    <w:rsid w:val="00967690"/>
    <w:rsid w:val="009676F4"/>
    <w:rsid w:val="0096784A"/>
    <w:rsid w:val="00967A5C"/>
    <w:rsid w:val="00970D8F"/>
    <w:rsid w:val="00970EBB"/>
    <w:rsid w:val="00971E03"/>
    <w:rsid w:val="009723E4"/>
    <w:rsid w:val="00972DCA"/>
    <w:rsid w:val="0097691A"/>
    <w:rsid w:val="0097717E"/>
    <w:rsid w:val="0097760A"/>
    <w:rsid w:val="00980CC4"/>
    <w:rsid w:val="00981225"/>
    <w:rsid w:val="009817BA"/>
    <w:rsid w:val="00983D9B"/>
    <w:rsid w:val="00984CC1"/>
    <w:rsid w:val="00987344"/>
    <w:rsid w:val="00991833"/>
    <w:rsid w:val="009936CA"/>
    <w:rsid w:val="00993B57"/>
    <w:rsid w:val="00995AA3"/>
    <w:rsid w:val="00996211"/>
    <w:rsid w:val="00996F30"/>
    <w:rsid w:val="00997416"/>
    <w:rsid w:val="00997D4D"/>
    <w:rsid w:val="009A09D5"/>
    <w:rsid w:val="009A0EF2"/>
    <w:rsid w:val="009A1319"/>
    <w:rsid w:val="009A165B"/>
    <w:rsid w:val="009A26E2"/>
    <w:rsid w:val="009A26E4"/>
    <w:rsid w:val="009A324D"/>
    <w:rsid w:val="009A3AA8"/>
    <w:rsid w:val="009A6CF8"/>
    <w:rsid w:val="009B029F"/>
    <w:rsid w:val="009B04AF"/>
    <w:rsid w:val="009B075B"/>
    <w:rsid w:val="009B08EF"/>
    <w:rsid w:val="009B09E0"/>
    <w:rsid w:val="009B1D0D"/>
    <w:rsid w:val="009B3CC6"/>
    <w:rsid w:val="009B6462"/>
    <w:rsid w:val="009B69F3"/>
    <w:rsid w:val="009B6ADC"/>
    <w:rsid w:val="009B734E"/>
    <w:rsid w:val="009B7A4E"/>
    <w:rsid w:val="009C07B4"/>
    <w:rsid w:val="009C0E01"/>
    <w:rsid w:val="009C1D0D"/>
    <w:rsid w:val="009C2131"/>
    <w:rsid w:val="009C2C56"/>
    <w:rsid w:val="009C454B"/>
    <w:rsid w:val="009C73E1"/>
    <w:rsid w:val="009C75C9"/>
    <w:rsid w:val="009C7F80"/>
    <w:rsid w:val="009D0FD8"/>
    <w:rsid w:val="009D130A"/>
    <w:rsid w:val="009D16E5"/>
    <w:rsid w:val="009D1B07"/>
    <w:rsid w:val="009D2257"/>
    <w:rsid w:val="009D2D5B"/>
    <w:rsid w:val="009D34BB"/>
    <w:rsid w:val="009D3F53"/>
    <w:rsid w:val="009D59F2"/>
    <w:rsid w:val="009D652C"/>
    <w:rsid w:val="009D7331"/>
    <w:rsid w:val="009D7902"/>
    <w:rsid w:val="009E137B"/>
    <w:rsid w:val="009E1F32"/>
    <w:rsid w:val="009E2566"/>
    <w:rsid w:val="009E28A2"/>
    <w:rsid w:val="009E3F56"/>
    <w:rsid w:val="009E49C4"/>
    <w:rsid w:val="009E535E"/>
    <w:rsid w:val="009E58D6"/>
    <w:rsid w:val="009E5A38"/>
    <w:rsid w:val="009F00CA"/>
    <w:rsid w:val="009F11D0"/>
    <w:rsid w:val="009F1F3A"/>
    <w:rsid w:val="009F3215"/>
    <w:rsid w:val="009F445D"/>
    <w:rsid w:val="009F5762"/>
    <w:rsid w:val="009F685A"/>
    <w:rsid w:val="009F75DF"/>
    <w:rsid w:val="00A008CE"/>
    <w:rsid w:val="00A00DAC"/>
    <w:rsid w:val="00A01384"/>
    <w:rsid w:val="00A01936"/>
    <w:rsid w:val="00A02241"/>
    <w:rsid w:val="00A02927"/>
    <w:rsid w:val="00A03B1D"/>
    <w:rsid w:val="00A044BC"/>
    <w:rsid w:val="00A04C89"/>
    <w:rsid w:val="00A050F6"/>
    <w:rsid w:val="00A05B9A"/>
    <w:rsid w:val="00A06429"/>
    <w:rsid w:val="00A074FF"/>
    <w:rsid w:val="00A11612"/>
    <w:rsid w:val="00A11A94"/>
    <w:rsid w:val="00A12936"/>
    <w:rsid w:val="00A12DFA"/>
    <w:rsid w:val="00A14E31"/>
    <w:rsid w:val="00A157FD"/>
    <w:rsid w:val="00A172D5"/>
    <w:rsid w:val="00A17B20"/>
    <w:rsid w:val="00A22112"/>
    <w:rsid w:val="00A229B4"/>
    <w:rsid w:val="00A22E84"/>
    <w:rsid w:val="00A23C2F"/>
    <w:rsid w:val="00A25553"/>
    <w:rsid w:val="00A257DD"/>
    <w:rsid w:val="00A25CCE"/>
    <w:rsid w:val="00A27C1A"/>
    <w:rsid w:val="00A312D1"/>
    <w:rsid w:val="00A32FBF"/>
    <w:rsid w:val="00A350D6"/>
    <w:rsid w:val="00A35D98"/>
    <w:rsid w:val="00A3725C"/>
    <w:rsid w:val="00A3764C"/>
    <w:rsid w:val="00A37A2A"/>
    <w:rsid w:val="00A37CCE"/>
    <w:rsid w:val="00A40A2C"/>
    <w:rsid w:val="00A40E3B"/>
    <w:rsid w:val="00A4105B"/>
    <w:rsid w:val="00A42938"/>
    <w:rsid w:val="00A42C9E"/>
    <w:rsid w:val="00A439E4"/>
    <w:rsid w:val="00A4431F"/>
    <w:rsid w:val="00A45CBB"/>
    <w:rsid w:val="00A45E38"/>
    <w:rsid w:val="00A47296"/>
    <w:rsid w:val="00A47E53"/>
    <w:rsid w:val="00A47FCC"/>
    <w:rsid w:val="00A52C3D"/>
    <w:rsid w:val="00A53D30"/>
    <w:rsid w:val="00A541D0"/>
    <w:rsid w:val="00A55D0A"/>
    <w:rsid w:val="00A5601A"/>
    <w:rsid w:val="00A570CF"/>
    <w:rsid w:val="00A577AB"/>
    <w:rsid w:val="00A60016"/>
    <w:rsid w:val="00A602CD"/>
    <w:rsid w:val="00A61631"/>
    <w:rsid w:val="00A618EB"/>
    <w:rsid w:val="00A63888"/>
    <w:rsid w:val="00A64E08"/>
    <w:rsid w:val="00A6580D"/>
    <w:rsid w:val="00A65D78"/>
    <w:rsid w:val="00A66F3B"/>
    <w:rsid w:val="00A67433"/>
    <w:rsid w:val="00A67566"/>
    <w:rsid w:val="00A67631"/>
    <w:rsid w:val="00A70BFC"/>
    <w:rsid w:val="00A71026"/>
    <w:rsid w:val="00A74826"/>
    <w:rsid w:val="00A75310"/>
    <w:rsid w:val="00A757C5"/>
    <w:rsid w:val="00A75F79"/>
    <w:rsid w:val="00A8018F"/>
    <w:rsid w:val="00A80DC7"/>
    <w:rsid w:val="00A82416"/>
    <w:rsid w:val="00A824AC"/>
    <w:rsid w:val="00A844A3"/>
    <w:rsid w:val="00A850C3"/>
    <w:rsid w:val="00A87B94"/>
    <w:rsid w:val="00A90062"/>
    <w:rsid w:val="00A91F20"/>
    <w:rsid w:val="00A94F2F"/>
    <w:rsid w:val="00A955A8"/>
    <w:rsid w:val="00A956C5"/>
    <w:rsid w:val="00A95844"/>
    <w:rsid w:val="00A966E9"/>
    <w:rsid w:val="00AA1114"/>
    <w:rsid w:val="00AA1792"/>
    <w:rsid w:val="00AA225A"/>
    <w:rsid w:val="00AA2736"/>
    <w:rsid w:val="00AA2E44"/>
    <w:rsid w:val="00AA3826"/>
    <w:rsid w:val="00AA6112"/>
    <w:rsid w:val="00AA7DA6"/>
    <w:rsid w:val="00AB0EF5"/>
    <w:rsid w:val="00AB14BD"/>
    <w:rsid w:val="00AB235A"/>
    <w:rsid w:val="00AB37CE"/>
    <w:rsid w:val="00AB5D8B"/>
    <w:rsid w:val="00AB63CF"/>
    <w:rsid w:val="00AB6624"/>
    <w:rsid w:val="00AC119C"/>
    <w:rsid w:val="00AC24CB"/>
    <w:rsid w:val="00AC265E"/>
    <w:rsid w:val="00AC3064"/>
    <w:rsid w:val="00AC34AB"/>
    <w:rsid w:val="00AC38E0"/>
    <w:rsid w:val="00AC537D"/>
    <w:rsid w:val="00AD13F6"/>
    <w:rsid w:val="00AD178A"/>
    <w:rsid w:val="00AD24BD"/>
    <w:rsid w:val="00AD42EE"/>
    <w:rsid w:val="00AD4BFC"/>
    <w:rsid w:val="00AD5183"/>
    <w:rsid w:val="00AD761A"/>
    <w:rsid w:val="00AD7DE4"/>
    <w:rsid w:val="00AE0FA4"/>
    <w:rsid w:val="00AE105A"/>
    <w:rsid w:val="00AE1AA8"/>
    <w:rsid w:val="00AE3213"/>
    <w:rsid w:val="00AE3A81"/>
    <w:rsid w:val="00AE43D4"/>
    <w:rsid w:val="00AE7C1B"/>
    <w:rsid w:val="00AF033D"/>
    <w:rsid w:val="00AF1489"/>
    <w:rsid w:val="00AF1AE8"/>
    <w:rsid w:val="00AF1D4B"/>
    <w:rsid w:val="00AF2F93"/>
    <w:rsid w:val="00AF5D8A"/>
    <w:rsid w:val="00AF5E3B"/>
    <w:rsid w:val="00AF7A37"/>
    <w:rsid w:val="00B01E15"/>
    <w:rsid w:val="00B04A7A"/>
    <w:rsid w:val="00B051E1"/>
    <w:rsid w:val="00B051E7"/>
    <w:rsid w:val="00B05D72"/>
    <w:rsid w:val="00B05DD7"/>
    <w:rsid w:val="00B05F0F"/>
    <w:rsid w:val="00B07A8F"/>
    <w:rsid w:val="00B112E1"/>
    <w:rsid w:val="00B12281"/>
    <w:rsid w:val="00B127E2"/>
    <w:rsid w:val="00B130A9"/>
    <w:rsid w:val="00B13AD7"/>
    <w:rsid w:val="00B15B78"/>
    <w:rsid w:val="00B1641C"/>
    <w:rsid w:val="00B165AB"/>
    <w:rsid w:val="00B17529"/>
    <w:rsid w:val="00B23B0D"/>
    <w:rsid w:val="00B261C1"/>
    <w:rsid w:val="00B26202"/>
    <w:rsid w:val="00B26AA9"/>
    <w:rsid w:val="00B27FB4"/>
    <w:rsid w:val="00B301DC"/>
    <w:rsid w:val="00B31D89"/>
    <w:rsid w:val="00B337CE"/>
    <w:rsid w:val="00B3468F"/>
    <w:rsid w:val="00B36155"/>
    <w:rsid w:val="00B36CE2"/>
    <w:rsid w:val="00B3779E"/>
    <w:rsid w:val="00B405B5"/>
    <w:rsid w:val="00B41126"/>
    <w:rsid w:val="00B4113C"/>
    <w:rsid w:val="00B41C55"/>
    <w:rsid w:val="00B42885"/>
    <w:rsid w:val="00B45CCA"/>
    <w:rsid w:val="00B461CD"/>
    <w:rsid w:val="00B50CFF"/>
    <w:rsid w:val="00B513AE"/>
    <w:rsid w:val="00B52B88"/>
    <w:rsid w:val="00B53432"/>
    <w:rsid w:val="00B53EFC"/>
    <w:rsid w:val="00B54AA5"/>
    <w:rsid w:val="00B55455"/>
    <w:rsid w:val="00B55848"/>
    <w:rsid w:val="00B55BE5"/>
    <w:rsid w:val="00B56C2D"/>
    <w:rsid w:val="00B60135"/>
    <w:rsid w:val="00B611FD"/>
    <w:rsid w:val="00B63F1A"/>
    <w:rsid w:val="00B64E12"/>
    <w:rsid w:val="00B64E3B"/>
    <w:rsid w:val="00B663ED"/>
    <w:rsid w:val="00B67A33"/>
    <w:rsid w:val="00B7178A"/>
    <w:rsid w:val="00B72712"/>
    <w:rsid w:val="00B74F1B"/>
    <w:rsid w:val="00B81512"/>
    <w:rsid w:val="00B8156C"/>
    <w:rsid w:val="00B81C57"/>
    <w:rsid w:val="00B829CA"/>
    <w:rsid w:val="00B83777"/>
    <w:rsid w:val="00B84749"/>
    <w:rsid w:val="00B84CD8"/>
    <w:rsid w:val="00B84EA0"/>
    <w:rsid w:val="00B86848"/>
    <w:rsid w:val="00B90FC0"/>
    <w:rsid w:val="00B92349"/>
    <w:rsid w:val="00B937A6"/>
    <w:rsid w:val="00B93D61"/>
    <w:rsid w:val="00B94543"/>
    <w:rsid w:val="00B9478C"/>
    <w:rsid w:val="00B95F28"/>
    <w:rsid w:val="00B97445"/>
    <w:rsid w:val="00B97616"/>
    <w:rsid w:val="00BA0F19"/>
    <w:rsid w:val="00BA248B"/>
    <w:rsid w:val="00BA5DB8"/>
    <w:rsid w:val="00BA5F07"/>
    <w:rsid w:val="00BA66CB"/>
    <w:rsid w:val="00BA6742"/>
    <w:rsid w:val="00BB282A"/>
    <w:rsid w:val="00BB40F2"/>
    <w:rsid w:val="00BB506E"/>
    <w:rsid w:val="00BB7310"/>
    <w:rsid w:val="00BB739D"/>
    <w:rsid w:val="00BC04C5"/>
    <w:rsid w:val="00BC1627"/>
    <w:rsid w:val="00BC1995"/>
    <w:rsid w:val="00BC1A9D"/>
    <w:rsid w:val="00BC4EB4"/>
    <w:rsid w:val="00BC56A5"/>
    <w:rsid w:val="00BC62DE"/>
    <w:rsid w:val="00BC6A8B"/>
    <w:rsid w:val="00BC79F5"/>
    <w:rsid w:val="00BD124E"/>
    <w:rsid w:val="00BD4DEA"/>
    <w:rsid w:val="00BD4E10"/>
    <w:rsid w:val="00BD6674"/>
    <w:rsid w:val="00BD74FF"/>
    <w:rsid w:val="00BD7D89"/>
    <w:rsid w:val="00BE080C"/>
    <w:rsid w:val="00BE0D5D"/>
    <w:rsid w:val="00BE0E10"/>
    <w:rsid w:val="00BE436B"/>
    <w:rsid w:val="00BE6195"/>
    <w:rsid w:val="00BE79E5"/>
    <w:rsid w:val="00BF013A"/>
    <w:rsid w:val="00BF16B9"/>
    <w:rsid w:val="00BF2965"/>
    <w:rsid w:val="00BF313E"/>
    <w:rsid w:val="00BF33A1"/>
    <w:rsid w:val="00BF3D61"/>
    <w:rsid w:val="00BF4512"/>
    <w:rsid w:val="00BF4E61"/>
    <w:rsid w:val="00BF6F75"/>
    <w:rsid w:val="00C00B65"/>
    <w:rsid w:val="00C0172F"/>
    <w:rsid w:val="00C03FC7"/>
    <w:rsid w:val="00C062FB"/>
    <w:rsid w:val="00C065A8"/>
    <w:rsid w:val="00C066E7"/>
    <w:rsid w:val="00C078D0"/>
    <w:rsid w:val="00C11809"/>
    <w:rsid w:val="00C11D29"/>
    <w:rsid w:val="00C12C1E"/>
    <w:rsid w:val="00C154F0"/>
    <w:rsid w:val="00C1552E"/>
    <w:rsid w:val="00C16CA6"/>
    <w:rsid w:val="00C20E80"/>
    <w:rsid w:val="00C20F71"/>
    <w:rsid w:val="00C22473"/>
    <w:rsid w:val="00C2347C"/>
    <w:rsid w:val="00C23B03"/>
    <w:rsid w:val="00C26823"/>
    <w:rsid w:val="00C26F49"/>
    <w:rsid w:val="00C33470"/>
    <w:rsid w:val="00C34D19"/>
    <w:rsid w:val="00C37148"/>
    <w:rsid w:val="00C3751E"/>
    <w:rsid w:val="00C401D5"/>
    <w:rsid w:val="00C411AC"/>
    <w:rsid w:val="00C427A5"/>
    <w:rsid w:val="00C442EE"/>
    <w:rsid w:val="00C44FB3"/>
    <w:rsid w:val="00C45070"/>
    <w:rsid w:val="00C4523E"/>
    <w:rsid w:val="00C46677"/>
    <w:rsid w:val="00C4729C"/>
    <w:rsid w:val="00C473BF"/>
    <w:rsid w:val="00C47642"/>
    <w:rsid w:val="00C477AB"/>
    <w:rsid w:val="00C47AE6"/>
    <w:rsid w:val="00C516B7"/>
    <w:rsid w:val="00C51B53"/>
    <w:rsid w:val="00C543B6"/>
    <w:rsid w:val="00C577CA"/>
    <w:rsid w:val="00C57F8D"/>
    <w:rsid w:val="00C61EB2"/>
    <w:rsid w:val="00C62EBE"/>
    <w:rsid w:val="00C63714"/>
    <w:rsid w:val="00C64D43"/>
    <w:rsid w:val="00C6560A"/>
    <w:rsid w:val="00C66B22"/>
    <w:rsid w:val="00C76633"/>
    <w:rsid w:val="00C773C0"/>
    <w:rsid w:val="00C77729"/>
    <w:rsid w:val="00C824BC"/>
    <w:rsid w:val="00C8332F"/>
    <w:rsid w:val="00C835D8"/>
    <w:rsid w:val="00C90EF0"/>
    <w:rsid w:val="00C9110F"/>
    <w:rsid w:val="00C91167"/>
    <w:rsid w:val="00C92EED"/>
    <w:rsid w:val="00C93524"/>
    <w:rsid w:val="00C93EE8"/>
    <w:rsid w:val="00C93F48"/>
    <w:rsid w:val="00C9409A"/>
    <w:rsid w:val="00C94C0D"/>
    <w:rsid w:val="00C95D32"/>
    <w:rsid w:val="00CA0854"/>
    <w:rsid w:val="00CA1BB8"/>
    <w:rsid w:val="00CA2B72"/>
    <w:rsid w:val="00CA4D11"/>
    <w:rsid w:val="00CA5612"/>
    <w:rsid w:val="00CA64C0"/>
    <w:rsid w:val="00CA7DBE"/>
    <w:rsid w:val="00CB0AC9"/>
    <w:rsid w:val="00CB0B17"/>
    <w:rsid w:val="00CB0D52"/>
    <w:rsid w:val="00CB13E7"/>
    <w:rsid w:val="00CB2F6D"/>
    <w:rsid w:val="00CB323C"/>
    <w:rsid w:val="00CB328C"/>
    <w:rsid w:val="00CB5055"/>
    <w:rsid w:val="00CB5F44"/>
    <w:rsid w:val="00CB6E5E"/>
    <w:rsid w:val="00CC1B57"/>
    <w:rsid w:val="00CC3327"/>
    <w:rsid w:val="00CC3E80"/>
    <w:rsid w:val="00CC5558"/>
    <w:rsid w:val="00CC5709"/>
    <w:rsid w:val="00CC6490"/>
    <w:rsid w:val="00CC699E"/>
    <w:rsid w:val="00CC6C9D"/>
    <w:rsid w:val="00CC72E0"/>
    <w:rsid w:val="00CD160D"/>
    <w:rsid w:val="00CD1DC7"/>
    <w:rsid w:val="00CD21E8"/>
    <w:rsid w:val="00CD223A"/>
    <w:rsid w:val="00CD240A"/>
    <w:rsid w:val="00CD25FF"/>
    <w:rsid w:val="00CD3093"/>
    <w:rsid w:val="00CD3D39"/>
    <w:rsid w:val="00CD497A"/>
    <w:rsid w:val="00CD5084"/>
    <w:rsid w:val="00CD670E"/>
    <w:rsid w:val="00CD6776"/>
    <w:rsid w:val="00CD7117"/>
    <w:rsid w:val="00CE0E00"/>
    <w:rsid w:val="00CE1AA1"/>
    <w:rsid w:val="00CE309F"/>
    <w:rsid w:val="00CE3F8D"/>
    <w:rsid w:val="00CE3F97"/>
    <w:rsid w:val="00CE468E"/>
    <w:rsid w:val="00CE5C28"/>
    <w:rsid w:val="00CE63D6"/>
    <w:rsid w:val="00CE64A6"/>
    <w:rsid w:val="00CF07BE"/>
    <w:rsid w:val="00CF0EA0"/>
    <w:rsid w:val="00CF2635"/>
    <w:rsid w:val="00CF481A"/>
    <w:rsid w:val="00CF4D11"/>
    <w:rsid w:val="00CF4DA9"/>
    <w:rsid w:val="00CF4FF8"/>
    <w:rsid w:val="00CF69AE"/>
    <w:rsid w:val="00CF79AB"/>
    <w:rsid w:val="00CF7BCA"/>
    <w:rsid w:val="00D00550"/>
    <w:rsid w:val="00D00645"/>
    <w:rsid w:val="00D0072F"/>
    <w:rsid w:val="00D00934"/>
    <w:rsid w:val="00D02325"/>
    <w:rsid w:val="00D04839"/>
    <w:rsid w:val="00D0533C"/>
    <w:rsid w:val="00D0600F"/>
    <w:rsid w:val="00D06089"/>
    <w:rsid w:val="00D068D2"/>
    <w:rsid w:val="00D06C67"/>
    <w:rsid w:val="00D07779"/>
    <w:rsid w:val="00D077E3"/>
    <w:rsid w:val="00D1164F"/>
    <w:rsid w:val="00D127EE"/>
    <w:rsid w:val="00D12BB8"/>
    <w:rsid w:val="00D130AF"/>
    <w:rsid w:val="00D14076"/>
    <w:rsid w:val="00D15EF7"/>
    <w:rsid w:val="00D17C6C"/>
    <w:rsid w:val="00D20FCA"/>
    <w:rsid w:val="00D2254D"/>
    <w:rsid w:val="00D238CB"/>
    <w:rsid w:val="00D23D65"/>
    <w:rsid w:val="00D2484D"/>
    <w:rsid w:val="00D25E6B"/>
    <w:rsid w:val="00D26703"/>
    <w:rsid w:val="00D270C0"/>
    <w:rsid w:val="00D3033D"/>
    <w:rsid w:val="00D305C7"/>
    <w:rsid w:val="00D319B2"/>
    <w:rsid w:val="00D31AB1"/>
    <w:rsid w:val="00D31B50"/>
    <w:rsid w:val="00D33D6D"/>
    <w:rsid w:val="00D35E66"/>
    <w:rsid w:val="00D40428"/>
    <w:rsid w:val="00D40B7F"/>
    <w:rsid w:val="00D411BF"/>
    <w:rsid w:val="00D45141"/>
    <w:rsid w:val="00D47985"/>
    <w:rsid w:val="00D51D3D"/>
    <w:rsid w:val="00D52083"/>
    <w:rsid w:val="00D532F4"/>
    <w:rsid w:val="00D5368D"/>
    <w:rsid w:val="00D54688"/>
    <w:rsid w:val="00D548A6"/>
    <w:rsid w:val="00D54EB5"/>
    <w:rsid w:val="00D55470"/>
    <w:rsid w:val="00D55573"/>
    <w:rsid w:val="00D57E6C"/>
    <w:rsid w:val="00D61B14"/>
    <w:rsid w:val="00D625FD"/>
    <w:rsid w:val="00D62620"/>
    <w:rsid w:val="00D639CD"/>
    <w:rsid w:val="00D63C83"/>
    <w:rsid w:val="00D6547D"/>
    <w:rsid w:val="00D65B75"/>
    <w:rsid w:val="00D66D10"/>
    <w:rsid w:val="00D6794F"/>
    <w:rsid w:val="00D67B33"/>
    <w:rsid w:val="00D72203"/>
    <w:rsid w:val="00D7274A"/>
    <w:rsid w:val="00D727F0"/>
    <w:rsid w:val="00D7408F"/>
    <w:rsid w:val="00D800CD"/>
    <w:rsid w:val="00D806EF"/>
    <w:rsid w:val="00D80E8D"/>
    <w:rsid w:val="00D81858"/>
    <w:rsid w:val="00D829B9"/>
    <w:rsid w:val="00D82BC2"/>
    <w:rsid w:val="00D831D0"/>
    <w:rsid w:val="00D83605"/>
    <w:rsid w:val="00D84D00"/>
    <w:rsid w:val="00D8552E"/>
    <w:rsid w:val="00D9018B"/>
    <w:rsid w:val="00D92902"/>
    <w:rsid w:val="00D92E45"/>
    <w:rsid w:val="00D93B10"/>
    <w:rsid w:val="00D9613F"/>
    <w:rsid w:val="00D97346"/>
    <w:rsid w:val="00D97491"/>
    <w:rsid w:val="00D97871"/>
    <w:rsid w:val="00DA0700"/>
    <w:rsid w:val="00DA0DB8"/>
    <w:rsid w:val="00DA11E8"/>
    <w:rsid w:val="00DA19F0"/>
    <w:rsid w:val="00DA5BF2"/>
    <w:rsid w:val="00DB0268"/>
    <w:rsid w:val="00DB093C"/>
    <w:rsid w:val="00DB1CEC"/>
    <w:rsid w:val="00DB271E"/>
    <w:rsid w:val="00DB2FC6"/>
    <w:rsid w:val="00DB30FE"/>
    <w:rsid w:val="00DB3170"/>
    <w:rsid w:val="00DB3388"/>
    <w:rsid w:val="00DB3863"/>
    <w:rsid w:val="00DB3BA1"/>
    <w:rsid w:val="00DB4157"/>
    <w:rsid w:val="00DB4700"/>
    <w:rsid w:val="00DB5EFD"/>
    <w:rsid w:val="00DB78ED"/>
    <w:rsid w:val="00DC0CDE"/>
    <w:rsid w:val="00DC100F"/>
    <w:rsid w:val="00DC170B"/>
    <w:rsid w:val="00DC17A8"/>
    <w:rsid w:val="00DC47A3"/>
    <w:rsid w:val="00DC54E0"/>
    <w:rsid w:val="00DC5814"/>
    <w:rsid w:val="00DC5FC2"/>
    <w:rsid w:val="00DC6857"/>
    <w:rsid w:val="00DC737C"/>
    <w:rsid w:val="00DC7C3C"/>
    <w:rsid w:val="00DD04B1"/>
    <w:rsid w:val="00DD0825"/>
    <w:rsid w:val="00DD3418"/>
    <w:rsid w:val="00DD5B4A"/>
    <w:rsid w:val="00DE1BF9"/>
    <w:rsid w:val="00DE1D7D"/>
    <w:rsid w:val="00DE51CC"/>
    <w:rsid w:val="00DE5B9F"/>
    <w:rsid w:val="00DE604E"/>
    <w:rsid w:val="00DE68F2"/>
    <w:rsid w:val="00DE6F29"/>
    <w:rsid w:val="00DE711D"/>
    <w:rsid w:val="00DF02AF"/>
    <w:rsid w:val="00DF0B38"/>
    <w:rsid w:val="00DF0F0F"/>
    <w:rsid w:val="00DF5362"/>
    <w:rsid w:val="00DF56EB"/>
    <w:rsid w:val="00DF5D24"/>
    <w:rsid w:val="00DF692E"/>
    <w:rsid w:val="00DF7250"/>
    <w:rsid w:val="00DF789A"/>
    <w:rsid w:val="00DF79E5"/>
    <w:rsid w:val="00E0029E"/>
    <w:rsid w:val="00E01A62"/>
    <w:rsid w:val="00E0222A"/>
    <w:rsid w:val="00E0318C"/>
    <w:rsid w:val="00E031E3"/>
    <w:rsid w:val="00E039EC"/>
    <w:rsid w:val="00E043C8"/>
    <w:rsid w:val="00E06365"/>
    <w:rsid w:val="00E07310"/>
    <w:rsid w:val="00E1198E"/>
    <w:rsid w:val="00E1229B"/>
    <w:rsid w:val="00E122DB"/>
    <w:rsid w:val="00E130D0"/>
    <w:rsid w:val="00E14079"/>
    <w:rsid w:val="00E14219"/>
    <w:rsid w:val="00E15179"/>
    <w:rsid w:val="00E156CB"/>
    <w:rsid w:val="00E161EB"/>
    <w:rsid w:val="00E16E02"/>
    <w:rsid w:val="00E21D6B"/>
    <w:rsid w:val="00E231BE"/>
    <w:rsid w:val="00E253E6"/>
    <w:rsid w:val="00E2608A"/>
    <w:rsid w:val="00E2687E"/>
    <w:rsid w:val="00E268A4"/>
    <w:rsid w:val="00E27617"/>
    <w:rsid w:val="00E276D2"/>
    <w:rsid w:val="00E302C4"/>
    <w:rsid w:val="00E307BF"/>
    <w:rsid w:val="00E31C5C"/>
    <w:rsid w:val="00E34C1B"/>
    <w:rsid w:val="00E34D3D"/>
    <w:rsid w:val="00E36365"/>
    <w:rsid w:val="00E40108"/>
    <w:rsid w:val="00E4046E"/>
    <w:rsid w:val="00E41C4F"/>
    <w:rsid w:val="00E42678"/>
    <w:rsid w:val="00E4331B"/>
    <w:rsid w:val="00E434D5"/>
    <w:rsid w:val="00E4351E"/>
    <w:rsid w:val="00E45147"/>
    <w:rsid w:val="00E4763E"/>
    <w:rsid w:val="00E504F9"/>
    <w:rsid w:val="00E50721"/>
    <w:rsid w:val="00E50B95"/>
    <w:rsid w:val="00E52AFE"/>
    <w:rsid w:val="00E52CEE"/>
    <w:rsid w:val="00E53421"/>
    <w:rsid w:val="00E53D37"/>
    <w:rsid w:val="00E545B4"/>
    <w:rsid w:val="00E549F1"/>
    <w:rsid w:val="00E56432"/>
    <w:rsid w:val="00E565CE"/>
    <w:rsid w:val="00E5667F"/>
    <w:rsid w:val="00E57151"/>
    <w:rsid w:val="00E60467"/>
    <w:rsid w:val="00E6071C"/>
    <w:rsid w:val="00E60B08"/>
    <w:rsid w:val="00E61241"/>
    <w:rsid w:val="00E61A52"/>
    <w:rsid w:val="00E622C1"/>
    <w:rsid w:val="00E63C40"/>
    <w:rsid w:val="00E63D30"/>
    <w:rsid w:val="00E63FDD"/>
    <w:rsid w:val="00E65110"/>
    <w:rsid w:val="00E6644B"/>
    <w:rsid w:val="00E679EE"/>
    <w:rsid w:val="00E703C6"/>
    <w:rsid w:val="00E735A1"/>
    <w:rsid w:val="00E7513A"/>
    <w:rsid w:val="00E75CCF"/>
    <w:rsid w:val="00E77298"/>
    <w:rsid w:val="00E8115F"/>
    <w:rsid w:val="00E814AD"/>
    <w:rsid w:val="00E81575"/>
    <w:rsid w:val="00E82C4F"/>
    <w:rsid w:val="00E82DD0"/>
    <w:rsid w:val="00E84E19"/>
    <w:rsid w:val="00E850AD"/>
    <w:rsid w:val="00E85893"/>
    <w:rsid w:val="00E906B6"/>
    <w:rsid w:val="00E908C0"/>
    <w:rsid w:val="00E910B5"/>
    <w:rsid w:val="00E91253"/>
    <w:rsid w:val="00E91568"/>
    <w:rsid w:val="00E91F55"/>
    <w:rsid w:val="00E92359"/>
    <w:rsid w:val="00E93B4C"/>
    <w:rsid w:val="00E93DCE"/>
    <w:rsid w:val="00E95031"/>
    <w:rsid w:val="00E95563"/>
    <w:rsid w:val="00E965CD"/>
    <w:rsid w:val="00E96B0A"/>
    <w:rsid w:val="00E97162"/>
    <w:rsid w:val="00E97374"/>
    <w:rsid w:val="00E97DCF"/>
    <w:rsid w:val="00EA0416"/>
    <w:rsid w:val="00EA2508"/>
    <w:rsid w:val="00EA2BEE"/>
    <w:rsid w:val="00EA4B39"/>
    <w:rsid w:val="00EB1110"/>
    <w:rsid w:val="00EB2D8B"/>
    <w:rsid w:val="00EB4D9A"/>
    <w:rsid w:val="00EB5855"/>
    <w:rsid w:val="00EB663A"/>
    <w:rsid w:val="00EB746D"/>
    <w:rsid w:val="00EC0B0A"/>
    <w:rsid w:val="00EC0CA9"/>
    <w:rsid w:val="00EC111F"/>
    <w:rsid w:val="00EC1332"/>
    <w:rsid w:val="00EC13D3"/>
    <w:rsid w:val="00EC1B17"/>
    <w:rsid w:val="00EC2A20"/>
    <w:rsid w:val="00EC418C"/>
    <w:rsid w:val="00EC48AA"/>
    <w:rsid w:val="00EC6862"/>
    <w:rsid w:val="00ED0228"/>
    <w:rsid w:val="00ED144D"/>
    <w:rsid w:val="00ED16CF"/>
    <w:rsid w:val="00ED1A07"/>
    <w:rsid w:val="00ED3AAF"/>
    <w:rsid w:val="00ED3BB1"/>
    <w:rsid w:val="00ED42C9"/>
    <w:rsid w:val="00ED6234"/>
    <w:rsid w:val="00ED6489"/>
    <w:rsid w:val="00ED7CD1"/>
    <w:rsid w:val="00EE0838"/>
    <w:rsid w:val="00EE0F03"/>
    <w:rsid w:val="00EE143E"/>
    <w:rsid w:val="00EE159C"/>
    <w:rsid w:val="00EE1AFF"/>
    <w:rsid w:val="00EE2BD1"/>
    <w:rsid w:val="00EE3539"/>
    <w:rsid w:val="00EE4750"/>
    <w:rsid w:val="00EE52FD"/>
    <w:rsid w:val="00EE5A74"/>
    <w:rsid w:val="00EE610B"/>
    <w:rsid w:val="00EE7DD4"/>
    <w:rsid w:val="00EF0D1F"/>
    <w:rsid w:val="00EF13C1"/>
    <w:rsid w:val="00EF269E"/>
    <w:rsid w:val="00EF4859"/>
    <w:rsid w:val="00EF4E50"/>
    <w:rsid w:val="00EF524E"/>
    <w:rsid w:val="00EF6F2D"/>
    <w:rsid w:val="00EF7A42"/>
    <w:rsid w:val="00F0038F"/>
    <w:rsid w:val="00F01A5C"/>
    <w:rsid w:val="00F01AA1"/>
    <w:rsid w:val="00F022AC"/>
    <w:rsid w:val="00F029AD"/>
    <w:rsid w:val="00F030EC"/>
    <w:rsid w:val="00F04744"/>
    <w:rsid w:val="00F04A0E"/>
    <w:rsid w:val="00F04DD3"/>
    <w:rsid w:val="00F05863"/>
    <w:rsid w:val="00F05A3F"/>
    <w:rsid w:val="00F0740C"/>
    <w:rsid w:val="00F1086C"/>
    <w:rsid w:val="00F12D2B"/>
    <w:rsid w:val="00F1345C"/>
    <w:rsid w:val="00F151A1"/>
    <w:rsid w:val="00F159AB"/>
    <w:rsid w:val="00F176A3"/>
    <w:rsid w:val="00F179E7"/>
    <w:rsid w:val="00F20183"/>
    <w:rsid w:val="00F213B0"/>
    <w:rsid w:val="00F21442"/>
    <w:rsid w:val="00F21C9A"/>
    <w:rsid w:val="00F22186"/>
    <w:rsid w:val="00F22D60"/>
    <w:rsid w:val="00F22FD8"/>
    <w:rsid w:val="00F238DF"/>
    <w:rsid w:val="00F24540"/>
    <w:rsid w:val="00F253FD"/>
    <w:rsid w:val="00F25DAD"/>
    <w:rsid w:val="00F26FB2"/>
    <w:rsid w:val="00F276DD"/>
    <w:rsid w:val="00F27E1A"/>
    <w:rsid w:val="00F3018A"/>
    <w:rsid w:val="00F303B3"/>
    <w:rsid w:val="00F30FE9"/>
    <w:rsid w:val="00F3207F"/>
    <w:rsid w:val="00F3212F"/>
    <w:rsid w:val="00F3419C"/>
    <w:rsid w:val="00F348B3"/>
    <w:rsid w:val="00F34E91"/>
    <w:rsid w:val="00F355FA"/>
    <w:rsid w:val="00F35664"/>
    <w:rsid w:val="00F3778E"/>
    <w:rsid w:val="00F37B09"/>
    <w:rsid w:val="00F4050E"/>
    <w:rsid w:val="00F4099E"/>
    <w:rsid w:val="00F4198B"/>
    <w:rsid w:val="00F4357E"/>
    <w:rsid w:val="00F44B29"/>
    <w:rsid w:val="00F452DE"/>
    <w:rsid w:val="00F468D0"/>
    <w:rsid w:val="00F502D3"/>
    <w:rsid w:val="00F50F31"/>
    <w:rsid w:val="00F52B94"/>
    <w:rsid w:val="00F53931"/>
    <w:rsid w:val="00F543B3"/>
    <w:rsid w:val="00F5573C"/>
    <w:rsid w:val="00F56E6B"/>
    <w:rsid w:val="00F571F5"/>
    <w:rsid w:val="00F57444"/>
    <w:rsid w:val="00F6051B"/>
    <w:rsid w:val="00F62CEB"/>
    <w:rsid w:val="00F6428A"/>
    <w:rsid w:val="00F64A1B"/>
    <w:rsid w:val="00F67BF7"/>
    <w:rsid w:val="00F7110F"/>
    <w:rsid w:val="00F720E8"/>
    <w:rsid w:val="00F728D0"/>
    <w:rsid w:val="00F72C4E"/>
    <w:rsid w:val="00F7409C"/>
    <w:rsid w:val="00F74513"/>
    <w:rsid w:val="00F77EC9"/>
    <w:rsid w:val="00F81895"/>
    <w:rsid w:val="00F83A73"/>
    <w:rsid w:val="00F83D4E"/>
    <w:rsid w:val="00F84C27"/>
    <w:rsid w:val="00F84F26"/>
    <w:rsid w:val="00F90C8A"/>
    <w:rsid w:val="00F923C7"/>
    <w:rsid w:val="00F94D86"/>
    <w:rsid w:val="00F9628A"/>
    <w:rsid w:val="00F97E3D"/>
    <w:rsid w:val="00FA158D"/>
    <w:rsid w:val="00FA273A"/>
    <w:rsid w:val="00FA28FB"/>
    <w:rsid w:val="00FA2A69"/>
    <w:rsid w:val="00FA56AE"/>
    <w:rsid w:val="00FA5A75"/>
    <w:rsid w:val="00FA694F"/>
    <w:rsid w:val="00FA721E"/>
    <w:rsid w:val="00FA77E3"/>
    <w:rsid w:val="00FB1A96"/>
    <w:rsid w:val="00FB29C2"/>
    <w:rsid w:val="00FB3C5B"/>
    <w:rsid w:val="00FB45DF"/>
    <w:rsid w:val="00FB6BA6"/>
    <w:rsid w:val="00FB6C04"/>
    <w:rsid w:val="00FC03F1"/>
    <w:rsid w:val="00FC066A"/>
    <w:rsid w:val="00FC14ED"/>
    <w:rsid w:val="00FC1A2C"/>
    <w:rsid w:val="00FC22A7"/>
    <w:rsid w:val="00FC24C0"/>
    <w:rsid w:val="00FC2979"/>
    <w:rsid w:val="00FC3889"/>
    <w:rsid w:val="00FC501E"/>
    <w:rsid w:val="00FC51C1"/>
    <w:rsid w:val="00FC5924"/>
    <w:rsid w:val="00FC6C21"/>
    <w:rsid w:val="00FC7707"/>
    <w:rsid w:val="00FD1169"/>
    <w:rsid w:val="00FD23DD"/>
    <w:rsid w:val="00FD2621"/>
    <w:rsid w:val="00FD3D9E"/>
    <w:rsid w:val="00FD4070"/>
    <w:rsid w:val="00FD4B96"/>
    <w:rsid w:val="00FD66A9"/>
    <w:rsid w:val="00FE01A7"/>
    <w:rsid w:val="00FE01A9"/>
    <w:rsid w:val="00FE1B95"/>
    <w:rsid w:val="00FE1E3D"/>
    <w:rsid w:val="00FE219F"/>
    <w:rsid w:val="00FE241C"/>
    <w:rsid w:val="00FE309B"/>
    <w:rsid w:val="00FE39C2"/>
    <w:rsid w:val="00FE5087"/>
    <w:rsid w:val="00FE61D4"/>
    <w:rsid w:val="00FE636B"/>
    <w:rsid w:val="00FE6773"/>
    <w:rsid w:val="00FF0045"/>
    <w:rsid w:val="00FF0104"/>
    <w:rsid w:val="00FF1A21"/>
    <w:rsid w:val="00FF4789"/>
    <w:rsid w:val="00FF57C1"/>
    <w:rsid w:val="00FF655D"/>
    <w:rsid w:val="00FF6B21"/>
    <w:rsid w:val="00FF7639"/>
    <w:rsid w:val="00FF7921"/>
    <w:rsid w:val="02592404"/>
    <w:rsid w:val="0495719A"/>
    <w:rsid w:val="19F0323E"/>
    <w:rsid w:val="24885842"/>
    <w:rsid w:val="25F70FFE"/>
    <w:rsid w:val="2FFFB80C"/>
    <w:rsid w:val="3E1F3D0D"/>
    <w:rsid w:val="3FFF3860"/>
    <w:rsid w:val="4B0C38F4"/>
    <w:rsid w:val="59FE78EC"/>
    <w:rsid w:val="5E7F3237"/>
    <w:rsid w:val="6D7C15BE"/>
    <w:rsid w:val="71740A6E"/>
    <w:rsid w:val="7FFF8D0D"/>
    <w:rsid w:val="7FFFD07E"/>
    <w:rsid w:val="BFD7B5CD"/>
    <w:rsid w:val="E7934D8F"/>
    <w:rsid w:val="FAFBE7B8"/>
    <w:rsid w:val="FFFE8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42"/>
    <w:unhideWhenUsed/>
    <w:qFormat/>
    <w:uiPriority w:val="0"/>
  </w:style>
  <w:style w:type="paragraph" w:styleId="6">
    <w:name w:val="Body Text"/>
    <w:basedOn w:val="1"/>
    <w:link w:val="24"/>
    <w:qFormat/>
    <w:uiPriority w:val="99"/>
    <w:pPr>
      <w:spacing w:after="120" w:line="240" w:lineRule="auto"/>
      <w:ind w:firstLine="0" w:firstLineChars="0"/>
      <w:jc w:val="both"/>
    </w:pPr>
    <w:rPr>
      <w:rFonts w:ascii="Times New Roman" w:hAnsi="Times New Roman" w:eastAsia="宋体" w:cs="Times New Roman"/>
      <w:kern w:val="0"/>
      <w:sz w:val="32"/>
      <w:szCs w:val="32"/>
    </w:rPr>
  </w:style>
  <w:style w:type="paragraph" w:styleId="7">
    <w:name w:val="toc 3"/>
    <w:basedOn w:val="1"/>
    <w:next w:val="1"/>
    <w:unhideWhenUsed/>
    <w:qFormat/>
    <w:uiPriority w:val="39"/>
    <w:pPr>
      <w:widowControl/>
      <w:tabs>
        <w:tab w:val="right" w:leader="dot" w:pos="8302"/>
      </w:tabs>
      <w:spacing w:after="100" w:line="259" w:lineRule="auto"/>
      <w:ind w:left="284" w:firstLine="0" w:firstLineChars="0"/>
    </w:pPr>
    <w:rPr>
      <w:rFonts w:ascii="仿宋_GB2312" w:eastAsia="仿宋_GB2312" w:cs="Times New Roman"/>
      <w:spacing w:val="-20"/>
      <w:sz w:val="32"/>
      <w:szCs w:val="32"/>
    </w:rPr>
  </w:style>
  <w:style w:type="paragraph" w:styleId="8">
    <w:name w:val="Balloon Text"/>
    <w:basedOn w:val="1"/>
    <w:link w:val="44"/>
    <w:semiHidden/>
    <w:unhideWhenUsed/>
    <w:qFormat/>
    <w:uiPriority w:val="99"/>
    <w:pPr>
      <w:spacing w:line="240" w:lineRule="auto"/>
    </w:pPr>
    <w:rPr>
      <w:sz w:val="18"/>
      <w:szCs w:val="18"/>
    </w:rPr>
  </w:style>
  <w:style w:type="paragraph" w:styleId="9">
    <w:name w:val="footer"/>
    <w:basedOn w:val="1"/>
    <w:link w:val="23"/>
    <w:unhideWhenUsed/>
    <w:qFormat/>
    <w:uiPriority w:val="99"/>
    <w:pPr>
      <w:tabs>
        <w:tab w:val="center" w:pos="4153"/>
        <w:tab w:val="right" w:pos="8306"/>
      </w:tabs>
      <w:snapToGrid w:val="0"/>
      <w:spacing w:line="240" w:lineRule="auto"/>
      <w:ind w:firstLine="0" w:firstLineChars="0"/>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spacing w:line="240" w:lineRule="auto"/>
      <w:ind w:firstLine="0" w:firstLineChars="0"/>
      <w:jc w:val="center"/>
    </w:pPr>
    <w:rPr>
      <w:sz w:val="18"/>
      <w:szCs w:val="18"/>
    </w:rPr>
  </w:style>
  <w:style w:type="paragraph" w:styleId="11">
    <w:name w:val="toc 1"/>
    <w:basedOn w:val="1"/>
    <w:next w:val="1"/>
    <w:unhideWhenUsed/>
    <w:qFormat/>
    <w:uiPriority w:val="39"/>
    <w:pPr>
      <w:widowControl/>
      <w:spacing w:after="100" w:line="259" w:lineRule="auto"/>
      <w:ind w:firstLine="0" w:firstLineChars="0"/>
    </w:pPr>
    <w:rPr>
      <w:rFonts w:cs="Times New Roman"/>
      <w:kern w:val="0"/>
      <w:sz w:val="22"/>
      <w:szCs w:val="22"/>
    </w:rPr>
  </w:style>
  <w:style w:type="paragraph" w:styleId="12">
    <w:name w:val="toc 2"/>
    <w:basedOn w:val="1"/>
    <w:next w:val="1"/>
    <w:unhideWhenUsed/>
    <w:qFormat/>
    <w:uiPriority w:val="39"/>
    <w:pPr>
      <w:widowControl/>
      <w:tabs>
        <w:tab w:val="right" w:leader="dot" w:pos="8302"/>
      </w:tabs>
      <w:spacing w:after="100" w:line="259" w:lineRule="auto"/>
      <w:ind w:firstLine="0" w:firstLineChars="0"/>
    </w:pPr>
    <w:rPr>
      <w:rFonts w:ascii="仿宋_GB2312" w:eastAsia="仿宋_GB2312" w:cs="Times New Roman"/>
      <w:b/>
      <w:kern w:val="0"/>
      <w:sz w:val="32"/>
      <w:szCs w:val="32"/>
    </w:rPr>
  </w:style>
  <w:style w:type="paragraph" w:styleId="13">
    <w:name w:val="annotation subject"/>
    <w:basedOn w:val="5"/>
    <w:next w:val="5"/>
    <w:link w:val="43"/>
    <w:semiHidden/>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Emphasis"/>
    <w:basedOn w:val="16"/>
    <w:qFormat/>
    <w:uiPriority w:val="20"/>
    <w:rPr>
      <w:i/>
      <w:iCs/>
    </w:rPr>
  </w:style>
  <w:style w:type="character" w:styleId="18">
    <w:name w:val="Hyperlink"/>
    <w:basedOn w:val="16"/>
    <w:unhideWhenUsed/>
    <w:qFormat/>
    <w:uiPriority w:val="99"/>
    <w:rPr>
      <w:color w:val="0563C1" w:themeColor="hyperlink"/>
      <w:u w:val="single"/>
      <w14:textFill>
        <w14:solidFill>
          <w14:schemeClr w14:val="hlink"/>
        </w14:solidFill>
      </w14:textFill>
    </w:rPr>
  </w:style>
  <w:style w:type="character" w:styleId="19">
    <w:name w:val="annotation reference"/>
    <w:basedOn w:val="16"/>
    <w:semiHidden/>
    <w:unhideWhenUsed/>
    <w:qFormat/>
    <w:uiPriority w:val="99"/>
    <w:rPr>
      <w:sz w:val="21"/>
      <w:szCs w:val="21"/>
    </w:rPr>
  </w:style>
  <w:style w:type="paragraph" w:customStyle="1" w:styleId="20">
    <w:name w:val="绩效正文"/>
    <w:basedOn w:val="1"/>
    <w:link w:val="21"/>
    <w:qFormat/>
    <w:uiPriority w:val="0"/>
    <w:pPr>
      <w:spacing w:line="480" w:lineRule="exact"/>
      <w:textAlignment w:val="baseline"/>
    </w:pPr>
    <w:rPr>
      <w:rFonts w:ascii="Times New Roman" w:hAnsi="Times New Roman" w:eastAsia="仿宋_GB2312" w:cs="Times New Roman"/>
      <w:sz w:val="32"/>
      <w:szCs w:val="24"/>
    </w:rPr>
  </w:style>
  <w:style w:type="character" w:customStyle="1" w:styleId="21">
    <w:name w:val="绩效正文 字符"/>
    <w:basedOn w:val="16"/>
    <w:link w:val="20"/>
    <w:qFormat/>
    <w:uiPriority w:val="0"/>
    <w:rPr>
      <w:rFonts w:ascii="Times New Roman" w:hAnsi="Times New Roman" w:eastAsia="仿宋_GB2312" w:cs="Times New Roman"/>
      <w:sz w:val="32"/>
      <w:szCs w:val="24"/>
    </w:rPr>
  </w:style>
  <w:style w:type="character" w:customStyle="1" w:styleId="22">
    <w:name w:val="页眉 字符"/>
    <w:basedOn w:val="16"/>
    <w:link w:val="10"/>
    <w:qFormat/>
    <w:uiPriority w:val="99"/>
    <w:rPr>
      <w:sz w:val="18"/>
      <w:szCs w:val="18"/>
    </w:rPr>
  </w:style>
  <w:style w:type="character" w:customStyle="1" w:styleId="23">
    <w:name w:val="页脚 字符"/>
    <w:basedOn w:val="16"/>
    <w:link w:val="9"/>
    <w:qFormat/>
    <w:uiPriority w:val="99"/>
    <w:rPr>
      <w:sz w:val="18"/>
      <w:szCs w:val="18"/>
    </w:rPr>
  </w:style>
  <w:style w:type="character" w:customStyle="1" w:styleId="24">
    <w:name w:val="正文文本 字符"/>
    <w:basedOn w:val="16"/>
    <w:link w:val="6"/>
    <w:qFormat/>
    <w:uiPriority w:val="99"/>
    <w:rPr>
      <w:rFonts w:ascii="Times New Roman" w:hAnsi="Times New Roman" w:eastAsia="宋体" w:cs="Times New Roman"/>
      <w:kern w:val="0"/>
      <w:sz w:val="32"/>
      <w:szCs w:val="32"/>
    </w:rPr>
  </w:style>
  <w:style w:type="paragraph" w:customStyle="1" w:styleId="25">
    <w:name w:val="市局绩效-标题"/>
    <w:basedOn w:val="2"/>
    <w:link w:val="27"/>
    <w:qFormat/>
    <w:uiPriority w:val="0"/>
    <w:pPr>
      <w:spacing w:line="600" w:lineRule="exact"/>
      <w:ind w:firstLine="0" w:firstLineChars="0"/>
      <w:jc w:val="center"/>
    </w:pPr>
    <w:rPr>
      <w:rFonts w:ascii="方正小标宋简体" w:hAnsi="方正小标宋简体" w:eastAsia="方正小标宋简体"/>
      <w:b w:val="0"/>
    </w:rPr>
  </w:style>
  <w:style w:type="paragraph" w:customStyle="1" w:styleId="26">
    <w:name w:val="市局绩效-正文"/>
    <w:basedOn w:val="1"/>
    <w:link w:val="30"/>
    <w:qFormat/>
    <w:uiPriority w:val="0"/>
    <w:pPr>
      <w:spacing w:line="600" w:lineRule="exact"/>
      <w:jc w:val="both"/>
    </w:pPr>
    <w:rPr>
      <w:rFonts w:ascii="Times New Roman" w:hAnsi="Times New Roman" w:eastAsia="仿宋_GB2312"/>
      <w:sz w:val="32"/>
    </w:rPr>
  </w:style>
  <w:style w:type="character" w:customStyle="1" w:styleId="27">
    <w:name w:val="市局绩效-标题 字符"/>
    <w:basedOn w:val="28"/>
    <w:link w:val="25"/>
    <w:qFormat/>
    <w:uiPriority w:val="0"/>
    <w:rPr>
      <w:rFonts w:ascii="方正小标宋简体" w:hAnsi="方正小标宋简体" w:eastAsia="方正小标宋简体"/>
      <w:b w:val="0"/>
      <w:kern w:val="44"/>
      <w:sz w:val="44"/>
      <w:szCs w:val="44"/>
    </w:rPr>
  </w:style>
  <w:style w:type="character" w:customStyle="1" w:styleId="28">
    <w:name w:val="标题 1 字符"/>
    <w:basedOn w:val="16"/>
    <w:link w:val="2"/>
    <w:qFormat/>
    <w:uiPriority w:val="9"/>
    <w:rPr>
      <w:b/>
      <w:bCs/>
      <w:kern w:val="44"/>
      <w:sz w:val="44"/>
      <w:szCs w:val="44"/>
    </w:rPr>
  </w:style>
  <w:style w:type="paragraph" w:customStyle="1" w:styleId="29">
    <w:name w:val="市局绩效-一级标题"/>
    <w:basedOn w:val="3"/>
    <w:link w:val="32"/>
    <w:qFormat/>
    <w:uiPriority w:val="0"/>
    <w:pPr>
      <w:spacing w:line="600" w:lineRule="exact"/>
      <w:ind w:firstLine="641" w:firstLineChars="0"/>
      <w:jc w:val="both"/>
    </w:pPr>
    <w:rPr>
      <w:rFonts w:ascii="Times New Roman" w:hAnsi="Times New Roman" w:eastAsia="黑体"/>
      <w:b w:val="0"/>
    </w:rPr>
  </w:style>
  <w:style w:type="character" w:customStyle="1" w:styleId="30">
    <w:name w:val="市局绩效-正文 字符"/>
    <w:basedOn w:val="16"/>
    <w:link w:val="26"/>
    <w:qFormat/>
    <w:uiPriority w:val="0"/>
    <w:rPr>
      <w:rFonts w:ascii="Times New Roman" w:hAnsi="Times New Roman" w:eastAsia="仿宋_GB2312"/>
      <w:sz w:val="32"/>
      <w:szCs w:val="21"/>
    </w:rPr>
  </w:style>
  <w:style w:type="paragraph" w:customStyle="1" w:styleId="31">
    <w:name w:val="市局绩效-二级标题"/>
    <w:basedOn w:val="4"/>
    <w:link w:val="34"/>
    <w:qFormat/>
    <w:uiPriority w:val="0"/>
    <w:pPr>
      <w:spacing w:line="600" w:lineRule="exact"/>
      <w:jc w:val="both"/>
    </w:pPr>
    <w:rPr>
      <w:rFonts w:eastAsia="楷体_GB2312"/>
      <w:b w:val="0"/>
    </w:rPr>
  </w:style>
  <w:style w:type="character" w:customStyle="1" w:styleId="32">
    <w:name w:val="市局绩效-一级标题 字符"/>
    <w:basedOn w:val="33"/>
    <w:link w:val="29"/>
    <w:qFormat/>
    <w:uiPriority w:val="0"/>
    <w:rPr>
      <w:rFonts w:ascii="Times New Roman" w:hAnsi="Times New Roman" w:eastAsia="黑体" w:cstheme="majorBidi"/>
      <w:b w:val="0"/>
      <w:sz w:val="32"/>
      <w:szCs w:val="32"/>
    </w:rPr>
  </w:style>
  <w:style w:type="character" w:customStyle="1" w:styleId="33">
    <w:name w:val="标题 2 字符"/>
    <w:basedOn w:val="16"/>
    <w:link w:val="3"/>
    <w:semiHidden/>
    <w:qFormat/>
    <w:uiPriority w:val="9"/>
    <w:rPr>
      <w:rFonts w:asciiTheme="majorHAnsi" w:hAnsiTheme="majorHAnsi" w:eastAsiaTheme="majorEastAsia" w:cstheme="majorBidi"/>
      <w:b/>
      <w:bCs/>
      <w:sz w:val="32"/>
      <w:szCs w:val="32"/>
    </w:rPr>
  </w:style>
  <w:style w:type="character" w:customStyle="1" w:styleId="34">
    <w:name w:val="市局绩效-二级标题 字符"/>
    <w:basedOn w:val="35"/>
    <w:link w:val="31"/>
    <w:qFormat/>
    <w:uiPriority w:val="0"/>
    <w:rPr>
      <w:rFonts w:eastAsia="楷体_GB2312"/>
      <w:b w:val="0"/>
      <w:sz w:val="32"/>
      <w:szCs w:val="32"/>
    </w:rPr>
  </w:style>
  <w:style w:type="character" w:customStyle="1" w:styleId="35">
    <w:name w:val="标题 3 字符"/>
    <w:basedOn w:val="16"/>
    <w:link w:val="4"/>
    <w:semiHidden/>
    <w:qFormat/>
    <w:uiPriority w:val="9"/>
    <w:rPr>
      <w:b/>
      <w:bCs/>
      <w:sz w:val="32"/>
      <w:szCs w:val="32"/>
    </w:rPr>
  </w:style>
  <w:style w:type="character" w:customStyle="1" w:styleId="36">
    <w:name w:val="市局绩效-表格标题 字符"/>
    <w:basedOn w:val="16"/>
    <w:link w:val="37"/>
    <w:qFormat/>
    <w:locked/>
    <w:uiPriority w:val="0"/>
    <w:rPr>
      <w:rFonts w:ascii="Times New Roman" w:hAnsi="Times New Roman" w:eastAsia="宋体" w:cs="Times New Roman"/>
      <w:bCs/>
      <w:sz w:val="24"/>
      <w:szCs w:val="24"/>
    </w:rPr>
  </w:style>
  <w:style w:type="paragraph" w:customStyle="1" w:styleId="37">
    <w:name w:val="市局绩效-表格标题"/>
    <w:basedOn w:val="1"/>
    <w:link w:val="36"/>
    <w:qFormat/>
    <w:uiPriority w:val="0"/>
    <w:pPr>
      <w:widowControl/>
      <w:spacing w:line="240" w:lineRule="auto"/>
      <w:ind w:firstLine="0" w:firstLineChars="0"/>
      <w:jc w:val="center"/>
    </w:pPr>
    <w:rPr>
      <w:rFonts w:ascii="Times New Roman" w:hAnsi="Times New Roman" w:eastAsia="宋体" w:cs="Times New Roman"/>
      <w:bCs/>
      <w:sz w:val="24"/>
      <w:szCs w:val="24"/>
    </w:rPr>
  </w:style>
  <w:style w:type="character" w:customStyle="1" w:styleId="38">
    <w:name w:val="市局绩效-表格内容 字符"/>
    <w:basedOn w:val="30"/>
    <w:link w:val="39"/>
    <w:qFormat/>
    <w:locked/>
    <w:uiPriority w:val="0"/>
    <w:rPr>
      <w:rFonts w:ascii="Times New Roman" w:hAnsi="Times New Roman" w:eastAsia="宋体" w:cs="Times New Roman"/>
      <w:sz w:val="32"/>
      <w:szCs w:val="21"/>
    </w:rPr>
  </w:style>
  <w:style w:type="paragraph" w:customStyle="1" w:styleId="39">
    <w:name w:val="市局绩效-表格内容"/>
    <w:basedOn w:val="26"/>
    <w:link w:val="38"/>
    <w:qFormat/>
    <w:uiPriority w:val="0"/>
    <w:pPr>
      <w:spacing w:line="240" w:lineRule="auto"/>
      <w:ind w:firstLine="0" w:firstLineChars="0"/>
    </w:pPr>
    <w:rPr>
      <w:rFonts w:eastAsia="宋体" w:cs="Times New Roman"/>
    </w:rPr>
  </w:style>
  <w:style w:type="paragraph" w:customStyle="1" w:styleId="40">
    <w:name w:val="市局绩效-表格表头"/>
    <w:basedOn w:val="26"/>
    <w:link w:val="41"/>
    <w:qFormat/>
    <w:uiPriority w:val="0"/>
    <w:pPr>
      <w:spacing w:line="240" w:lineRule="auto"/>
      <w:ind w:firstLine="0" w:firstLineChars="0"/>
      <w:jc w:val="center"/>
    </w:pPr>
    <w:rPr>
      <w:rFonts w:eastAsia="宋体"/>
      <w:b/>
    </w:rPr>
  </w:style>
  <w:style w:type="character" w:customStyle="1" w:styleId="41">
    <w:name w:val="市局绩效-表格表头 字符"/>
    <w:basedOn w:val="30"/>
    <w:link w:val="40"/>
    <w:qFormat/>
    <w:uiPriority w:val="0"/>
    <w:rPr>
      <w:rFonts w:ascii="Times New Roman" w:hAnsi="Times New Roman" w:eastAsia="宋体"/>
      <w:b/>
      <w:sz w:val="32"/>
      <w:szCs w:val="21"/>
    </w:rPr>
  </w:style>
  <w:style w:type="character" w:customStyle="1" w:styleId="42">
    <w:name w:val="批注文字 字符"/>
    <w:basedOn w:val="16"/>
    <w:link w:val="5"/>
    <w:qFormat/>
    <w:uiPriority w:val="0"/>
    <w:rPr>
      <w:szCs w:val="21"/>
    </w:rPr>
  </w:style>
  <w:style w:type="character" w:customStyle="1" w:styleId="43">
    <w:name w:val="批注主题 字符"/>
    <w:basedOn w:val="42"/>
    <w:link w:val="13"/>
    <w:semiHidden/>
    <w:qFormat/>
    <w:uiPriority w:val="99"/>
    <w:rPr>
      <w:b/>
      <w:bCs/>
      <w:szCs w:val="21"/>
    </w:rPr>
  </w:style>
  <w:style w:type="character" w:customStyle="1" w:styleId="44">
    <w:name w:val="批注框文本 字符"/>
    <w:basedOn w:val="16"/>
    <w:link w:val="8"/>
    <w:semiHidden/>
    <w:qFormat/>
    <w:uiPriority w:val="99"/>
    <w:rPr>
      <w:sz w:val="18"/>
      <w:szCs w:val="18"/>
    </w:rPr>
  </w:style>
  <w:style w:type="paragraph" w:customStyle="1" w:styleId="45">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46">
    <w:name w:val="TOC 标题1"/>
    <w:basedOn w:val="2"/>
    <w:next w:val="1"/>
    <w:unhideWhenUsed/>
    <w:qFormat/>
    <w:uiPriority w:val="39"/>
    <w:pPr>
      <w:widowControl/>
      <w:spacing w:before="240" w:after="0" w:line="259" w:lineRule="auto"/>
      <w:ind w:firstLine="0" w:firstLineChars="0"/>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47">
    <w:name w:val="市局绩效-表格单位"/>
    <w:basedOn w:val="1"/>
    <w:link w:val="48"/>
    <w:qFormat/>
    <w:uiPriority w:val="0"/>
    <w:pPr>
      <w:widowControl/>
      <w:spacing w:line="240" w:lineRule="auto"/>
      <w:ind w:firstLine="0" w:firstLineChars="0"/>
      <w:jc w:val="right"/>
    </w:pPr>
    <w:rPr>
      <w:rFonts w:ascii="Times New Roman" w:hAnsi="Times New Roman" w:eastAsia="宋体"/>
      <w:bCs/>
      <w:szCs w:val="18"/>
    </w:rPr>
  </w:style>
  <w:style w:type="character" w:customStyle="1" w:styleId="48">
    <w:name w:val="市局绩效-表格单位 字符"/>
    <w:basedOn w:val="16"/>
    <w:link w:val="47"/>
    <w:qFormat/>
    <w:uiPriority w:val="0"/>
    <w:rPr>
      <w:rFonts w:ascii="Times New Roman" w:hAnsi="Times New Roman" w:eastAsia="宋体"/>
      <w:bCs/>
      <w:szCs w:val="18"/>
    </w:rPr>
  </w:style>
  <w:style w:type="table" w:customStyle="1" w:styleId="49">
    <w:name w:val="网格型1"/>
    <w:basedOn w:val="14"/>
    <w:qFormat/>
    <w:uiPriority w:val="39"/>
    <w:rPr>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0">
    <w:name w:val="TOC 标题2"/>
    <w:basedOn w:val="2"/>
    <w:next w:val="1"/>
    <w:unhideWhenUsed/>
    <w:qFormat/>
    <w:uiPriority w:val="39"/>
    <w:pPr>
      <w:widowControl/>
      <w:spacing w:before="240" w:after="0" w:line="259" w:lineRule="auto"/>
      <w:ind w:firstLine="0" w:firstLineChars="0"/>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2185</Words>
  <Characters>12459</Characters>
  <Lines>103</Lines>
  <Paragraphs>29</Paragraphs>
  <TotalTime>25</TotalTime>
  <ScaleCrop>false</ScaleCrop>
  <LinksUpToDate>false</LinksUpToDate>
  <CharactersWithSpaces>14615</CharactersWithSpaces>
  <Application>WPS Office_6.2.0.8299_F1E327BC-269C-435d-A152-05C5408002CA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2022-04-30T18:22:00Z</dcterms:created>
  <dc:creator>Data</dc:creator>
  <cp:lastModifiedBy>м▂_ooN§</cp:lastModifiedBy>
  <cp:lastPrinted>2023-08-14T00:38:00Z</cp:lastPrinted>
  <dcterms:modified xsi:type="dcterms:W3CDTF">2023-10-09T11:05:39Z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2052-6.2.0.8299</vt:lpwstr>
  </property>
  <property fmtid="{D5CDD505-2E9C-101B-9397-08002B2CF9AE}" pid="3" name="ICV">
    <vt:lpwstr>164EDF4FA17D4E52A14DD3A73742EF5C_12</vt:lpwstr>
  </property>
</Properties>
</file>