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lang w:eastAsia="zh-Hans"/>
        </w:rPr>
        <w:t>项目</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hint="eastAsia"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900" w:lineRule="exact"/>
        <w:ind w:firstLine="0" w:firstLineChars="0"/>
        <w:rPr>
          <w:rFonts w:ascii="Times New Roman" w:hAnsi="Times New Roman" w:eastAsia="仿宋_GB2312"/>
          <w:sz w:val="32"/>
          <w:szCs w:val="32"/>
        </w:rPr>
      </w:pPr>
      <w:r>
        <w:rPr>
          <w:rFonts w:hint="eastAsia" w:ascii="Times New Roman" w:hAnsi="Times New Roman" w:eastAsia="仿宋_GB2312"/>
          <w:sz w:val="32"/>
          <w:szCs w:val="32"/>
        </w:rPr>
        <w:t>主 管 部 门：</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0"/>
          <w:sz w:val="32"/>
          <w:szCs w:val="32"/>
          <w:u w:val="single"/>
        </w:rPr>
        <w:t>天津市和平区城市管理委员会</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p>
    <w:p>
      <w:pPr>
        <w:spacing w:line="900" w:lineRule="exact"/>
        <w:ind w:firstLine="0" w:firstLineChars="0"/>
        <w:rPr>
          <w:rFonts w:ascii="Times New Roman" w:hAnsi="Times New Roman" w:eastAsia="仿宋_GB2312" w:cs="Times New Roman"/>
          <w:spacing w:val="-20"/>
          <w:sz w:val="32"/>
          <w:szCs w:val="32"/>
          <w:u w:val="single"/>
        </w:rPr>
      </w:pPr>
      <w:r>
        <w:rPr>
          <w:rFonts w:hint="eastAsia" w:ascii="Times New Roman" w:hAnsi="Times New Roman" w:eastAsia="仿宋_GB2312"/>
          <w:sz w:val="32"/>
          <w:szCs w:val="32"/>
        </w:rPr>
        <w:t>项 目 单 位</w:t>
      </w:r>
      <w:r>
        <w:rPr>
          <w:rFonts w:ascii="Times New Roman" w:hAnsi="Times New Roman" w:eastAsia="仿宋_GB2312"/>
          <w:sz w:val="32"/>
          <w:szCs w:val="32"/>
        </w:rPr>
        <w:t>：</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0"/>
          <w:sz w:val="32"/>
          <w:szCs w:val="32"/>
          <w:u w:val="single"/>
        </w:rPr>
        <w:t>天津市和平区城市管理委员会</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p>
    <w:p>
      <w:pPr>
        <w:spacing w:line="900" w:lineRule="exact"/>
        <w:ind w:left="2240" w:hanging="2240" w:hangingChars="700"/>
        <w:rPr>
          <w:rFonts w:ascii="Times New Roman" w:hAnsi="Times New Roman" w:eastAsia="仿宋_GB2312"/>
          <w:sz w:val="32"/>
          <w:szCs w:val="32"/>
          <w:u w:val="single"/>
        </w:rPr>
      </w:pPr>
      <w:r>
        <w:rPr>
          <w:rFonts w:hint="eastAsia" w:ascii="Times New Roman" w:hAnsi="Times New Roman" w:eastAsia="仿宋_GB2312"/>
          <w:sz w:val="32"/>
          <w:szCs w:val="32"/>
        </w:rPr>
        <w:t>项 目 名 称：</w:t>
      </w:r>
      <w:r>
        <w:rPr>
          <w:rFonts w:hint="eastAsia" w:ascii="Times New Roman" w:hAnsi="Times New Roman" w:eastAsia="仿宋_GB2312"/>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0"/>
          <w:sz w:val="32"/>
          <w:szCs w:val="32"/>
          <w:u w:val="single"/>
        </w:rPr>
        <w:t>考评信息采集经费</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07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widowControl/>
        <w:spacing w:line="240" w:lineRule="auto"/>
        <w:ind w:firstLine="0" w:firstLineChars="0"/>
        <w:rPr>
          <w:rFonts w:ascii="Times New Roman" w:hAnsi="Times New Roman" w:eastAsia="方正小标宋简体"/>
          <w:bCs/>
          <w:color w:val="000000" w:themeColor="text1"/>
          <w:kern w:val="44"/>
          <w:sz w:val="44"/>
          <w:szCs w:val="44"/>
          <w14:textFill>
            <w14:solidFill>
              <w14:schemeClr w14:val="tx1"/>
            </w14:solidFill>
          </w14:textFill>
        </w:rPr>
      </w:pPr>
      <w:r>
        <w:rPr>
          <w:rFonts w:ascii="Times New Roman" w:hAnsi="Times New Roman" w:eastAsia="方正小标宋简体"/>
          <w:bCs/>
          <w:color w:val="000000" w:themeColor="text1"/>
          <w:kern w:val="44"/>
          <w:sz w:val="44"/>
          <w:szCs w:val="44"/>
          <w14:textFill>
            <w14:solidFill>
              <w14:schemeClr w14:val="tx1"/>
            </w14:solidFill>
          </w14:textFill>
        </w:rPr>
        <w:br w:type="page"/>
      </w:r>
    </w:p>
    <w:sdt>
      <w:sdtPr>
        <w:rPr>
          <w:rFonts w:ascii="Times New Roman" w:hAnsi="Times New Roman"/>
          <w:lang w:val="zh-CN"/>
        </w:rPr>
        <w:id w:val="-1"/>
        <w:docPartObj>
          <w:docPartGallery w:val="Table of Contents"/>
          <w:docPartUnique/>
        </w:docPartObj>
      </w:sdtPr>
      <w:sdtEndPr>
        <w:rPr>
          <w:rFonts w:ascii="Times New Roman" w:hAnsi="Times New Roman" w:eastAsiaTheme="majorEastAsia" w:cstheme="majorBidi"/>
          <w:b/>
          <w:bCs/>
          <w:color w:val="2F5597" w:themeColor="accent1" w:themeShade="BF"/>
          <w:kern w:val="0"/>
          <w:sz w:val="32"/>
          <w:szCs w:val="32"/>
          <w:lang w:val="zh-CN"/>
        </w:rPr>
      </w:sdtEndPr>
      <w:sdtContent>
        <w:p>
          <w:pPr>
            <w:ind w:firstLine="420"/>
            <w:jc w:val="center"/>
            <w:rPr>
              <w:rFonts w:ascii="Times New Roman" w:hAnsi="Times New Roman"/>
            </w:rPr>
          </w:pPr>
          <w:r>
            <w:rPr>
              <w:rFonts w:hint="eastAsia" w:ascii="Times New Roman" w:hAnsi="Times New Roman" w:eastAsia="黑体" w:cs="黑体"/>
              <w:sz w:val="32"/>
              <w:szCs w:val="32"/>
            </w:rPr>
            <w:t>目  录</w:t>
          </w:r>
          <w:r>
            <w:rPr>
              <w:rFonts w:ascii="Times New Roman" w:hAnsi="Times New Roman" w:eastAsia="黑体" w:cs="黑体"/>
            </w:rPr>
            <w:fldChar w:fldCharType="begin"/>
          </w:r>
          <w:r>
            <w:rPr>
              <w:rFonts w:ascii="Times New Roman" w:hAnsi="Times New Roman" w:eastAsia="黑体" w:cs="黑体"/>
            </w:rPr>
            <w:instrText xml:space="preserve"> </w:instrText>
          </w:r>
          <w:r>
            <w:rPr>
              <w:rFonts w:hint="eastAsia" w:ascii="Times New Roman" w:hAnsi="Times New Roman" w:eastAsia="黑体" w:cs="黑体"/>
            </w:rPr>
            <w:instrText xml:space="preserve">TOC \o "1-3" \h \z \u</w:instrText>
          </w:r>
          <w:r>
            <w:rPr>
              <w:rFonts w:ascii="Times New Roman" w:hAnsi="Times New Roman" w:eastAsia="黑体" w:cs="黑体"/>
            </w:rPr>
            <w:instrText xml:space="preserve"> </w:instrText>
          </w:r>
          <w:r>
            <w:rPr>
              <w:rFonts w:ascii="Times New Roman" w:hAnsi="Times New Roman" w:eastAsia="黑体" w:cs="黑体"/>
            </w:rPr>
            <w:fldChar w:fldCharType="separate"/>
          </w:r>
        </w:p>
        <w:p>
          <w:pPr>
            <w:pStyle w:val="12"/>
            <w:tabs>
              <w:tab w:val="right" w:leader="dot" w:pos="8844"/>
              <w:tab w:val="clear" w:pos="8302"/>
            </w:tabs>
            <w:rPr>
              <w:rFonts w:ascii="Times New Roman" w:hAnsi="Times New Roman"/>
            </w:rPr>
          </w:pPr>
          <w:r>
            <w:fldChar w:fldCharType="begin"/>
          </w:r>
          <w:r>
            <w:instrText xml:space="preserve"> HYPERLINK \l "_Toc1461688582" </w:instrText>
          </w:r>
          <w:r>
            <w:fldChar w:fldCharType="separate"/>
          </w:r>
          <w:r>
            <w:rPr>
              <w:rFonts w:hint="eastAsia" w:ascii="Times New Roman" w:hAnsi="Times New Roman"/>
            </w:rPr>
            <w:t>一、项目基本情况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_Toc1461688582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"_Toc1534559641" </w:instrText>
          </w:r>
          <w:r>
            <w:fldChar w:fldCharType="separate"/>
          </w:r>
          <w:r>
            <w:rPr>
              <w:rFonts w:hint="eastAsia" w:ascii="Times New Roman" w:hAnsi="Times New Roman"/>
            </w:rPr>
            <w:t>（一）项目概况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_Toc1534559641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"_Toc65285817" </w:instrText>
          </w:r>
          <w:r>
            <w:fldChar w:fldCharType="separate"/>
          </w:r>
          <w:r>
            <w:rPr>
              <w:rFonts w:hint="eastAsia" w:ascii="Times New Roman" w:hAnsi="Times New Roman"/>
            </w:rPr>
            <w:t>（二）项目绩效目标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_Toc65285817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2"/>
            <w:tabs>
              <w:tab w:val="right" w:leader="dot" w:pos="8844"/>
              <w:tab w:val="clear" w:pos="8302"/>
            </w:tabs>
            <w:rPr>
              <w:rFonts w:ascii="Times New Roman" w:hAnsi="Times New Roman"/>
            </w:rPr>
          </w:pPr>
          <w:r>
            <w:fldChar w:fldCharType="begin"/>
          </w:r>
          <w:r>
            <w:instrText xml:space="preserve"> HYPERLINK \l "_Toc2042066349" </w:instrText>
          </w:r>
          <w:r>
            <w:fldChar w:fldCharType="separate"/>
          </w:r>
          <w:r>
            <w:rPr>
              <w:rFonts w:hint="eastAsia" w:ascii="Times New Roman" w:hAnsi="Times New Roman"/>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_Toc2042066349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"_Toc2072964936" </w:instrText>
          </w:r>
          <w:r>
            <w:fldChar w:fldCharType="separate"/>
          </w:r>
          <w:r>
            <w:rPr>
              <w:rFonts w:hint="eastAsia" w:ascii="Times New Roman" w:hAnsi="Times New Roman"/>
            </w:rPr>
            <w:t>（一）绩效评价的目的、对象和范围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_Toc2072964936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"_Toc1694474071" </w:instrText>
          </w:r>
          <w:r>
            <w:fldChar w:fldCharType="separate"/>
          </w:r>
          <w:r>
            <w:rPr>
              <w:rFonts w:hint="eastAsia" w:ascii="Times New Roman" w:hAnsi="Times New Roman"/>
            </w:rPr>
            <w:t>（二）</w:t>
          </w:r>
          <w:r>
            <w:rPr>
              <w:rFonts w:hint="eastAsia" w:ascii="Times New Roman" w:hAnsi="Times New Roman" w:cs="楷体_GB2312"/>
            </w:rPr>
            <w:t>绩效评价原则、评价指标体系、评价方法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_Toc1694474071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"_Toc1245068430" </w:instrText>
          </w:r>
          <w:r>
            <w:fldChar w:fldCharType="separate"/>
          </w:r>
          <w:r>
            <w:rPr>
              <w:rFonts w:hint="eastAsia" w:ascii="Times New Roman" w:hAnsi="Times New Roman"/>
            </w:rPr>
            <w:t>（三）绩效评价工作过程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_Toc1245068430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2"/>
            <w:tabs>
              <w:tab w:val="right" w:leader="dot" w:pos="8844"/>
              <w:tab w:val="clear" w:pos="8302"/>
            </w:tabs>
            <w:rPr>
              <w:rFonts w:ascii="Times New Roman" w:hAnsi="Times New Roman"/>
            </w:rPr>
          </w:pPr>
          <w:r>
            <w:fldChar w:fldCharType="begin"/>
          </w:r>
          <w:r>
            <w:instrText xml:space="preserve"> HYPERLINK \l "_Toc784446642" </w:instrText>
          </w:r>
          <w:r>
            <w:fldChar w:fldCharType="separate"/>
          </w:r>
          <w:r>
            <w:rPr>
              <w:rFonts w:hint="eastAsia" w:ascii="Times New Roman" w:hAnsi="Times New Roman"/>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_Toc784446642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12"/>
            <w:tabs>
              <w:tab w:val="right" w:leader="dot" w:pos="8844"/>
              <w:tab w:val="clear" w:pos="8302"/>
            </w:tabs>
            <w:rPr>
              <w:rFonts w:ascii="Times New Roman" w:hAnsi="Times New Roman"/>
            </w:rPr>
          </w:pPr>
          <w:r>
            <w:fldChar w:fldCharType="begin"/>
          </w:r>
          <w:r>
            <w:instrText xml:space="preserve"> HYPERLINK \l "_Toc792603161" </w:instrText>
          </w:r>
          <w:r>
            <w:fldChar w:fldCharType="separate"/>
          </w:r>
          <w:r>
            <w:rPr>
              <w:rFonts w:hint="eastAsia" w:ascii="Times New Roman" w:hAnsi="Times New Roman"/>
            </w:rPr>
            <w:t>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_Toc792603161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"_Toc440264586" </w:instrText>
          </w:r>
          <w:r>
            <w:fldChar w:fldCharType="separate"/>
          </w:r>
          <w:r>
            <w:rPr>
              <w:rFonts w:hint="eastAsia" w:ascii="Times New Roman" w:hAnsi="Times New Roman"/>
            </w:rPr>
            <w:t>（一）项目决策情况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_Toc440264586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"_Toc1445732987" </w:instrText>
          </w:r>
          <w:r>
            <w:fldChar w:fldCharType="separate"/>
          </w:r>
          <w:r>
            <w:rPr>
              <w:rFonts w:hint="eastAsia" w:ascii="Times New Roman" w:hAnsi="Times New Roman"/>
            </w:rPr>
            <w:t>（二）项目过程情况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_Toc1445732987 \h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"_Toc1804330351" </w:instrText>
          </w:r>
          <w:r>
            <w:fldChar w:fldCharType="separate"/>
          </w:r>
          <w:r>
            <w:rPr>
              <w:rFonts w:hint="eastAsia" w:ascii="Times New Roman" w:hAnsi="Times New Roman"/>
            </w:rPr>
            <w:t>（三）项目产出情况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_Toc1804330351 \h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"_Toc763629970" </w:instrText>
          </w:r>
          <w:r>
            <w:fldChar w:fldCharType="separate"/>
          </w:r>
          <w:r>
            <w:rPr>
              <w:rFonts w:hint="eastAsia" w:ascii="Times New Roman" w:hAnsi="Times New Roman"/>
            </w:rPr>
            <w:t>（四）项目效益情况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_Toc763629970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12"/>
            <w:tabs>
              <w:tab w:val="right" w:leader="dot" w:pos="8844"/>
              <w:tab w:val="clear" w:pos="8302"/>
            </w:tabs>
            <w:rPr>
              <w:rFonts w:ascii="Times New Roman" w:hAnsi="Times New Roman"/>
            </w:rPr>
          </w:pPr>
          <w:r>
            <w:fldChar w:fldCharType="begin"/>
          </w:r>
          <w:r>
            <w:instrText xml:space="preserve"> HYPERLINK \l "_Toc966631318" </w:instrText>
          </w:r>
          <w:r>
            <w:fldChar w:fldCharType="separate"/>
          </w:r>
          <w:r>
            <w:rPr>
              <w:rFonts w:hint="eastAsia" w:ascii="Times New Roman" w:hAnsi="Times New Roman"/>
            </w:rPr>
            <w:t>五、存在的主要问题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_Toc966631318 \h </w:instrText>
          </w:r>
          <w:r>
            <w:rPr>
              <w:rFonts w:ascii="Times New Roman" w:hAnsi="Times New Roman"/>
            </w:rPr>
            <w:fldChar w:fldCharType="separate"/>
          </w:r>
          <w:r>
            <w:rPr>
              <w:rFonts w:ascii="Times New Roman" w:hAnsi="Times New Roman"/>
            </w:rPr>
            <w:t>21</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"_Toc458772071" </w:instrText>
          </w:r>
          <w:r>
            <w:fldChar w:fldCharType="separate"/>
          </w:r>
          <w:r>
            <w:rPr>
              <w:rFonts w:hint="eastAsia" w:ascii="Times New Roman" w:hAnsi="Times New Roman"/>
            </w:rPr>
            <w:t>（一）绩效指标值设置较低，且存在效益指标关联性不足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_Toc458772071 \h </w:instrText>
          </w:r>
          <w:r>
            <w:rPr>
              <w:rFonts w:ascii="Times New Roman" w:hAnsi="Times New Roman"/>
            </w:rPr>
            <w:fldChar w:fldCharType="separate"/>
          </w:r>
          <w:r>
            <w:rPr>
              <w:rFonts w:ascii="Times New Roman" w:hAnsi="Times New Roman"/>
            </w:rPr>
            <w:t>21</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"_Toc1115904567" </w:instrText>
          </w:r>
          <w:r>
            <w:fldChar w:fldCharType="separate"/>
          </w:r>
          <w:r>
            <w:rPr>
              <w:rFonts w:hint="eastAsia" w:ascii="Times New Roman" w:hAnsi="Times New Roman"/>
            </w:rPr>
            <w:t>（二）制定实施方案中存在部分内容与实际情况不符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_Toc1115904567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"_Toc1033368318" </w:instrText>
          </w:r>
          <w:r>
            <w:fldChar w:fldCharType="separate"/>
          </w:r>
          <w:r>
            <w:rPr>
              <w:rFonts w:hint="eastAsia" w:ascii="Times New Roman" w:hAnsi="Times New Roman"/>
            </w:rPr>
            <w:t>（三）项目实施过程中部门过程监管、事后验收不足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_Toc1033368318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12"/>
            <w:tabs>
              <w:tab w:val="right" w:leader="dot" w:pos="8844"/>
              <w:tab w:val="clear" w:pos="8302"/>
            </w:tabs>
            <w:rPr>
              <w:rFonts w:ascii="Times New Roman" w:hAnsi="Times New Roman"/>
            </w:rPr>
          </w:pPr>
          <w:r>
            <w:fldChar w:fldCharType="begin"/>
          </w:r>
          <w:r>
            <w:instrText xml:space="preserve"> HYPERLINK \l "_Toc1121067337" </w:instrText>
          </w:r>
          <w:r>
            <w:fldChar w:fldCharType="separate"/>
          </w:r>
          <w:r>
            <w:rPr>
              <w:rFonts w:hint="eastAsia" w:ascii="Times New Roman" w:hAnsi="Times New Roman"/>
            </w:rPr>
            <w:t>六、相关建议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_Toc1121067337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"_Toc1904697828" </w:instrText>
          </w:r>
          <w:r>
            <w:fldChar w:fldCharType="separate"/>
          </w:r>
          <w:r>
            <w:rPr>
              <w:rFonts w:hint="eastAsia" w:ascii="Times New Roman" w:hAnsi="Times New Roman"/>
            </w:rPr>
            <w:t>（一）加强绩效理念，提升绩效管理水平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_Toc1904697828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"_Toc1865153014" </w:instrText>
          </w:r>
          <w:r>
            <w:fldChar w:fldCharType="separate"/>
          </w:r>
          <w:r>
            <w:rPr>
              <w:rFonts w:hint="eastAsia" w:ascii="Times New Roman" w:hAnsi="Times New Roman"/>
            </w:rPr>
            <w:t>（二）制定合理工作管理机制，确保项目可持续开展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_Toc1865153014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8"/>
            <w:tabs>
              <w:tab w:val="right" w:leader="dot" w:pos="8844"/>
              <w:tab w:val="clear" w:pos="8302"/>
            </w:tabs>
            <w:rPr>
              <w:rFonts w:ascii="Times New Roman" w:hAnsi="Times New Roman"/>
            </w:rPr>
          </w:pPr>
          <w:r>
            <w:fldChar w:fldCharType="begin"/>
          </w:r>
          <w:r>
            <w:instrText xml:space="preserve"> HYPERLINK \l "_Toc807911039" </w:instrText>
          </w:r>
          <w:r>
            <w:fldChar w:fldCharType="separate"/>
          </w:r>
          <w:r>
            <w:rPr>
              <w:rFonts w:hint="eastAsia" w:ascii="Times New Roman" w:hAnsi="Times New Roman"/>
            </w:rPr>
            <w:t>（三）加强事中监管、事后验收工作，有效保障项目实施效果</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_Toc807911039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12"/>
            <w:tabs>
              <w:tab w:val="right" w:leader="dot" w:pos="8844"/>
              <w:tab w:val="clear" w:pos="8302"/>
            </w:tabs>
            <w:rPr>
              <w:rFonts w:ascii="Times New Roman" w:hAnsi="Times New Roman"/>
            </w:rPr>
          </w:pPr>
          <w:r>
            <w:fldChar w:fldCharType="begin"/>
          </w:r>
          <w:r>
            <w:instrText xml:space="preserve"> HYPERLINK \l "_Toc21732492" </w:instrText>
          </w:r>
          <w:r>
            <w:fldChar w:fldCharType="separate"/>
          </w:r>
          <w:r>
            <w:rPr>
              <w:rFonts w:hint="eastAsia" w:ascii="Times New Roman" w:hAnsi="Times New Roman"/>
              <w:lang w:eastAsia="zh-Hans"/>
            </w:rPr>
            <w:t>七、相关附件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_Toc21732492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ind w:firstLine="420"/>
            <w:jc w:val="center"/>
            <w:rPr>
              <w:rFonts w:ascii="Times New Roman" w:hAnsi="Times New Roman" w:eastAsiaTheme="majorEastAsia" w:cstheme="majorBidi"/>
              <w:b/>
              <w:bCs/>
              <w:color w:val="2F5597" w:themeColor="accent1" w:themeShade="BF"/>
              <w:kern w:val="0"/>
              <w:sz w:val="32"/>
              <w:szCs w:val="32"/>
              <w:lang w:val="zh-CN"/>
            </w:rPr>
          </w:pPr>
          <w:r>
            <w:rPr>
              <w:rFonts w:ascii="Times New Roman" w:hAnsi="Times New Roman" w:eastAsia="黑体" w:cs="黑体"/>
            </w:rPr>
            <w:fldChar w:fldCharType="end"/>
          </w:r>
        </w:p>
      </w:sdtContent>
    </w:sdt>
    <w:p>
      <w:pPr>
        <w:pStyle w:val="24"/>
        <w:spacing w:before="0" w:after="0"/>
        <w:rPr>
          <w:rFonts w:ascii="Times New Roman" w:hAnsi="Times New Roman"/>
          <w:color w:val="000000" w:themeColor="text1"/>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2041" w:right="1531" w:bottom="2041" w:left="1531" w:header="851" w:footer="992" w:gutter="0"/>
          <w:pgNumType w:fmt="numberInDash"/>
          <w:cols w:space="425" w:num="1"/>
          <w:docGrid w:type="lines" w:linePitch="312" w:charSpace="0"/>
        </w:sectPr>
      </w:pPr>
      <w:bookmarkStart w:id="0" w:name="_Toc1385020345"/>
    </w:p>
    <w:p>
      <w:pPr>
        <w:pStyle w:val="24"/>
        <w:spacing w:before="0" w:after="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考评信息采集经费项目绩效评价报告</w:t>
      </w:r>
      <w:bookmarkEnd w:id="0"/>
    </w:p>
    <w:p>
      <w:pPr>
        <w:pStyle w:val="25"/>
        <w:ind w:firstLine="640"/>
      </w:pPr>
    </w:p>
    <w:p>
      <w:pPr>
        <w:pStyle w:val="25"/>
        <w:ind w:firstLine="640"/>
        <w:rPr>
          <w:color w:val="000000" w:themeColor="text1"/>
          <w14:textFill>
            <w14:solidFill>
              <w14:schemeClr w14:val="tx1"/>
            </w14:solidFill>
          </w14:textFill>
        </w:rPr>
      </w:pPr>
      <w:r>
        <w:rPr>
          <w:color w:val="000000" w:themeColor="text1"/>
          <w14:textFill>
            <w14:solidFill>
              <w14:schemeClr w14:val="tx1"/>
            </w14:solidFill>
          </w14:textFill>
        </w:rPr>
        <w:t>为提高财政资金使用效益，合理配置公共财政资源，根据市委、市政府关于全面推进预算绩效管理的实施方案和《天津市市级财政项目支出绩效评价管理办法》（津财绩效〔2020〕12号）等文件要求，天津市</w:t>
      </w:r>
      <w:r>
        <w:rPr>
          <w:rFonts w:hint="eastAsia"/>
          <w:color w:val="000000" w:themeColor="text1"/>
          <w14:textFill>
            <w14:solidFill>
              <w14:schemeClr w14:val="tx1"/>
            </w14:solidFill>
          </w14:textFill>
        </w:rPr>
        <w:t>和平区</w:t>
      </w:r>
      <w:r>
        <w:rPr>
          <w:color w:val="000000" w:themeColor="text1"/>
          <w14:textFill>
            <w14:solidFill>
              <w14:schemeClr w14:val="tx1"/>
            </w14:solidFill>
          </w14:textFill>
        </w:rPr>
        <w:t>财政局引入第三方专业机构成立了绩效评价组，于2023年7月-10月，对</w:t>
      </w:r>
      <w:r>
        <w:rPr>
          <w:rFonts w:hint="eastAsia"/>
          <w:color w:val="000000" w:themeColor="text1"/>
          <w14:textFill>
            <w14:solidFill>
              <w14:schemeClr w14:val="tx1"/>
            </w14:solidFill>
          </w14:textFill>
        </w:rPr>
        <w:t>天津市和平区城市管理委员会</w:t>
      </w:r>
      <w:r>
        <w:rPr>
          <w:color w:val="000000" w:themeColor="text1"/>
          <w14:textFill>
            <w14:solidFill>
              <w14:schemeClr w14:val="tx1"/>
            </w14:solidFill>
          </w14:textFill>
        </w:rPr>
        <w:t>的“</w:t>
      </w:r>
      <w:r>
        <w:rPr>
          <w:rFonts w:hint="eastAsia"/>
          <w:color w:val="000000" w:themeColor="text1"/>
          <w14:textFill>
            <w14:solidFill>
              <w14:schemeClr w14:val="tx1"/>
            </w14:solidFill>
          </w14:textFill>
        </w:rPr>
        <w:t>考评信息采集经费</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项目</w:t>
      </w:r>
      <w:r>
        <w:rPr>
          <w:color w:val="000000" w:themeColor="text1"/>
          <w14:textFill>
            <w14:solidFill>
              <w14:schemeClr w14:val="tx1"/>
            </w14:solidFill>
          </w14:textFill>
        </w:rPr>
        <w:t xml:space="preserve">开展了绩效评价。该项目评价结果为93分，评价等级为“ </w:t>
      </w:r>
      <w:r>
        <w:rPr>
          <w:rFonts w:hint="eastAsia"/>
          <w:color w:val="000000" w:themeColor="text1"/>
          <w14:textFill>
            <w14:solidFill>
              <w14:schemeClr w14:val="tx1"/>
            </w14:solidFill>
          </w14:textFill>
        </w:rPr>
        <w:t>优</w:t>
      </w:r>
      <w:r>
        <w:rPr>
          <w:color w:val="000000" w:themeColor="text1"/>
          <w14:textFill>
            <w14:solidFill>
              <w14:schemeClr w14:val="tx1"/>
            </w14:solidFill>
          </w14:textFill>
        </w:rPr>
        <w:t>”，有关情况如下。</w:t>
      </w:r>
    </w:p>
    <w:p>
      <w:pPr>
        <w:pStyle w:val="27"/>
      </w:pPr>
      <w:bookmarkStart w:id="1" w:name="_Toc1461688582"/>
      <w:bookmarkStart w:id="2" w:name="_Hlk91875033"/>
      <w:r>
        <w:rPr>
          <w:rFonts w:hint="eastAsia"/>
        </w:rPr>
        <w:t>一、项目基本情况</w:t>
      </w:r>
      <w:bookmarkEnd w:id="1"/>
    </w:p>
    <w:p>
      <w:pPr>
        <w:pStyle w:val="29"/>
        <w:ind w:firstLine="640"/>
        <w:rPr>
          <w:rFonts w:ascii="Times New Roman" w:hAnsi="Times New Roman"/>
        </w:rPr>
      </w:pPr>
      <w:bookmarkStart w:id="3" w:name="_Toc1534559641"/>
      <w:r>
        <w:rPr>
          <w:rFonts w:hint="eastAsia" w:ascii="Times New Roman" w:hAnsi="Times New Roman"/>
        </w:rPr>
        <w:t>（一）项目概况</w:t>
      </w:r>
      <w:bookmarkEnd w:id="3"/>
    </w:p>
    <w:p>
      <w:pPr>
        <w:pStyle w:val="25"/>
        <w:ind w:firstLine="640"/>
      </w:pPr>
      <w:r>
        <w:rPr>
          <w:rFonts w:hint="eastAsia"/>
        </w:rPr>
        <w:t>1.项目背景</w:t>
      </w:r>
    </w:p>
    <w:p>
      <w:pPr>
        <w:pStyle w:val="25"/>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改革开放以来，我国城镇化快速发展，城市规模不断扩大，建设水平逐步提高，城市健康运行的保障工作日益繁重，加强和改善城市管理的需求日益迫切，城市管理工作的地位和作用日益突出。</w:t>
      </w:r>
      <w:r>
        <w:rPr>
          <w:color w:val="000000" w:themeColor="text1"/>
          <w14:textFill>
            <w14:solidFill>
              <w14:schemeClr w14:val="tx1"/>
            </w14:solidFill>
          </w14:textFill>
        </w:rPr>
        <w:t>2004年北京</w:t>
      </w:r>
      <w:r>
        <w:rPr>
          <w:rFonts w:hint="eastAsia"/>
          <w:color w:val="000000" w:themeColor="text1"/>
          <w14:textFill>
            <w14:solidFill>
              <w14:schemeClr w14:val="tx1"/>
            </w14:solidFill>
          </w14:textFill>
        </w:rPr>
        <w:t>市</w:t>
      </w:r>
      <w:r>
        <w:rPr>
          <w:color w:val="000000" w:themeColor="text1"/>
          <w14:textFill>
            <w14:solidFill>
              <w14:schemeClr w14:val="tx1"/>
            </w14:solidFill>
          </w14:textFill>
        </w:rPr>
        <w:t>东城区</w:t>
      </w:r>
      <w:r>
        <w:rPr>
          <w:rFonts w:hint="eastAsia"/>
          <w:color w:val="000000" w:themeColor="text1"/>
          <w14:textFill>
            <w14:solidFill>
              <w14:schemeClr w14:val="tx1"/>
            </w14:solidFill>
          </w14:textFill>
        </w:rPr>
        <w:t>首先</w:t>
      </w:r>
      <w:r>
        <w:rPr>
          <w:color w:val="000000" w:themeColor="text1"/>
          <w14:textFill>
            <w14:solidFill>
              <w14:schemeClr w14:val="tx1"/>
            </w14:solidFill>
          </w14:textFill>
        </w:rPr>
        <w:t>实施了数字化城管模式，使城管工作有了突破性进展，大大提高了工作效率，降低了运营成本。</w:t>
      </w:r>
      <w:r>
        <w:rPr>
          <w:rFonts w:hint="eastAsia"/>
          <w:color w:val="000000" w:themeColor="text1"/>
          <w14:textFill>
            <w14:solidFill>
              <w14:schemeClr w14:val="tx1"/>
            </w14:solidFill>
          </w14:textFill>
        </w:rPr>
        <w:t>住房和城乡建设部先后公布三批试点城市</w:t>
      </w:r>
      <w:r>
        <w:rPr>
          <w:color w:val="000000" w:themeColor="text1"/>
          <w14:textFill>
            <w14:solidFill>
              <w14:schemeClr w14:val="tx1"/>
            </w14:solidFill>
          </w14:textFill>
        </w:rPr>
        <w:t>开展数字化城市管理建设工作，</w:t>
      </w:r>
      <w:r>
        <w:rPr>
          <w:rFonts w:hint="eastAsia"/>
          <w:color w:val="000000" w:themeColor="text1"/>
          <w14:textFill>
            <w14:solidFill>
              <w14:schemeClr w14:val="tx1"/>
            </w14:solidFill>
          </w14:textFill>
        </w:rPr>
        <w:t>为全面推广数字化城管模式奠定了基础。</w:t>
      </w:r>
      <w:r>
        <w:rPr>
          <w:color w:val="000000" w:themeColor="text1"/>
          <w14:textFill>
            <w14:solidFill>
              <w14:schemeClr w14:val="tx1"/>
            </w14:solidFill>
          </w14:textFill>
        </w:rPr>
        <w:t>在试点城市的带动下，</w:t>
      </w:r>
      <w:r>
        <w:rPr>
          <w:rFonts w:hint="eastAsia"/>
          <w:color w:val="000000" w:themeColor="text1"/>
          <w14:textFill>
            <w14:solidFill>
              <w14:schemeClr w14:val="tx1"/>
            </w14:solidFill>
          </w14:textFill>
        </w:rPr>
        <w:t>有效</w:t>
      </w:r>
      <w:r>
        <w:rPr>
          <w:color w:val="000000" w:themeColor="text1"/>
          <w14:textFill>
            <w14:solidFill>
              <w14:schemeClr w14:val="tx1"/>
            </w14:solidFill>
          </w14:textFill>
        </w:rPr>
        <w:t>呈现了</w:t>
      </w:r>
      <w:r>
        <w:rPr>
          <w:rFonts w:hint="eastAsia"/>
          <w:color w:val="000000" w:themeColor="text1"/>
          <w14:textFill>
            <w14:solidFill>
              <w14:schemeClr w14:val="tx1"/>
            </w14:solidFill>
          </w14:textFill>
        </w:rPr>
        <w:t>全面</w:t>
      </w:r>
      <w:r>
        <w:rPr>
          <w:color w:val="000000" w:themeColor="text1"/>
          <w14:textFill>
            <w14:solidFill>
              <w14:schemeClr w14:val="tx1"/>
            </w14:solidFill>
          </w14:textFill>
        </w:rPr>
        <w:t>建设数字化城市管理新模式的良好态势。</w:t>
      </w:r>
      <w:r>
        <w:rPr>
          <w:rFonts w:hint="eastAsia"/>
          <w:color w:val="000000" w:themeColor="text1"/>
          <w14:textFill>
            <w14:solidFill>
              <w14:schemeClr w14:val="tx1"/>
            </w14:solidFill>
          </w14:textFill>
        </w:rPr>
        <w:t>天津市深入贯彻落实科学发展观，牢固树立了以人为本、环境是生产力、经营城市的观念，坚持“三个善于”，创新管理体制机制，落实属地管理责任，探索市场化管理的有效途径，实行科学管理、依法管理和现代化管理，调动各方面的积极性，切实做到高起点规划、高水平建设、高效能管理，为人民群众创造良好的生产工作环境，充分展现天津现代化大都市的气息。</w:t>
      </w:r>
    </w:p>
    <w:p>
      <w:pPr>
        <w:pStyle w:val="25"/>
        <w:ind w:firstLine="640"/>
      </w:pPr>
      <w:r>
        <w:rPr>
          <w:rFonts w:hint="eastAsia"/>
        </w:rPr>
        <w:t>2.主要内容</w:t>
      </w:r>
    </w:p>
    <w:p>
      <w:pPr>
        <w:pStyle w:val="25"/>
        <w:ind w:firstLine="64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考评信息采集经费项目主要内容为：通过公开招标，</w:t>
      </w:r>
      <w:r>
        <w:rPr>
          <w:szCs w:val="32"/>
        </w:rPr>
        <w:t>委托</w:t>
      </w:r>
      <w:r>
        <w:rPr>
          <w:rFonts w:hint="eastAsia"/>
          <w:szCs w:val="32"/>
        </w:rPr>
        <w:t>资质达标</w:t>
      </w:r>
      <w:r>
        <w:rPr>
          <w:szCs w:val="32"/>
        </w:rPr>
        <w:t>的</w:t>
      </w:r>
      <w:r>
        <w:rPr>
          <w:rFonts w:hint="eastAsia"/>
          <w:szCs w:val="32"/>
        </w:rPr>
        <w:t>第三方专业</w:t>
      </w:r>
      <w:r>
        <w:rPr>
          <w:szCs w:val="32"/>
        </w:rPr>
        <w:t>公司</w:t>
      </w:r>
      <w:r>
        <w:rPr>
          <w:rFonts w:hint="eastAsia"/>
          <w:szCs w:val="32"/>
        </w:rPr>
        <w:t>负责和平区域内</w:t>
      </w:r>
      <w:r>
        <w:rPr>
          <w:szCs w:val="32"/>
        </w:rPr>
        <w:t>市容环境问题</w:t>
      </w:r>
      <w:r>
        <w:rPr>
          <w:rFonts w:hint="eastAsia"/>
          <w:szCs w:val="32"/>
        </w:rPr>
        <w:t>的</w:t>
      </w:r>
      <w:r>
        <w:rPr>
          <w:szCs w:val="32"/>
        </w:rPr>
        <w:t>信息采集</w:t>
      </w:r>
      <w:r>
        <w:rPr>
          <w:rFonts w:hint="eastAsia"/>
          <w:szCs w:val="32"/>
        </w:rPr>
        <w:t>工作。通过</w:t>
      </w:r>
      <w:r>
        <w:rPr>
          <w:rFonts w:hint="eastAsia"/>
          <w:color w:val="000000" w:themeColor="text1"/>
          <w14:textFill>
            <w14:solidFill>
              <w14:schemeClr w14:val="tx1"/>
            </w14:solidFill>
          </w14:textFill>
        </w:rPr>
        <w:t>中标公司的信息采集员按照城市事件、部件管理标准、巡查监管要求，并以社区为基本工作单位，进行定时、全覆盖、公正、及时的监管和有效信息数据采集、准确传输以及核查、核实等，保证问题的及时发现和全面处置。考评信息采集范围为：东为海河中心线，南为徐州道、马场道、津河中心线，西为卫津路、南门外大街，北为南马路、和平路、兴安路、荣吉街，采集面积约为</w:t>
      </w:r>
      <w:r>
        <w:rPr>
          <w:color w:val="000000" w:themeColor="text1"/>
          <w14:textFill>
            <w14:solidFill>
              <w14:schemeClr w14:val="tx1"/>
            </w14:solidFill>
          </w14:textFill>
        </w:rPr>
        <w:t>9.98平方公里</w:t>
      </w:r>
      <w:r>
        <w:rPr>
          <w:rFonts w:hint="eastAsia"/>
          <w:color w:val="000000" w:themeColor="text1"/>
          <w14:textFill>
            <w14:solidFill>
              <w14:schemeClr w14:val="tx1"/>
            </w14:solidFill>
          </w14:textFill>
        </w:rPr>
        <w:t>。</w:t>
      </w:r>
    </w:p>
    <w:p>
      <w:pPr>
        <w:pStyle w:val="25"/>
        <w:ind w:left="630" w:leftChars="300" w:firstLine="0" w:firstLineChars="0"/>
      </w:pPr>
      <w:r>
        <w:rPr>
          <w:rFonts w:hint="eastAsia"/>
        </w:rPr>
        <w:t>3.项目组织管理</w:t>
      </w:r>
    </w:p>
    <w:p>
      <w:pPr>
        <w:spacing w:line="600" w:lineRule="exact"/>
        <w:ind w:firstLine="640"/>
        <w:rPr>
          <w:rFonts w:ascii="Times New Roman" w:hAnsi="Times New Roman" w:eastAsia="仿宋_GB2312"/>
          <w:sz w:val="32"/>
          <w:szCs w:val="22"/>
        </w:rPr>
      </w:pPr>
      <w:r>
        <w:rPr>
          <w:rFonts w:hint="eastAsia" w:ascii="Times New Roman" w:hAnsi="Times New Roman" w:eastAsia="仿宋_GB2312"/>
          <w:sz w:val="32"/>
          <w:szCs w:val="22"/>
        </w:rPr>
        <w:t>考评信息采集经费</w:t>
      </w:r>
      <w:r>
        <w:rPr>
          <w:rFonts w:hint="eastAsia" w:ascii="Times New Roman" w:hAnsi="Times New Roman" w:eastAsia="仿宋_GB2312"/>
          <w:sz w:val="32"/>
        </w:rPr>
        <w:t>项目主</w:t>
      </w:r>
      <w:r>
        <w:rPr>
          <w:rFonts w:hint="eastAsia" w:ascii="Times New Roman" w:hAnsi="Times New Roman" w:eastAsia="仿宋_GB2312"/>
          <w:sz w:val="32"/>
          <w:szCs w:val="22"/>
        </w:rPr>
        <w:t>管单位和实施单位为天津市和平区城市管理委员会</w:t>
      </w:r>
      <w:r>
        <w:rPr>
          <w:rFonts w:hint="eastAsia" w:ascii="Times New Roman" w:hAnsi="Times New Roman" w:eastAsia="仿宋_GB2312" w:cs="仿宋_GB2312"/>
          <w:kern w:val="0"/>
          <w:sz w:val="32"/>
          <w:szCs w:val="32"/>
        </w:rPr>
        <w:t>，</w:t>
      </w:r>
      <w:r>
        <w:rPr>
          <w:rFonts w:hint="eastAsia" w:ascii="Times New Roman" w:hAnsi="Times New Roman" w:eastAsia="仿宋_GB2312"/>
          <w:sz w:val="32"/>
          <w:szCs w:val="22"/>
        </w:rPr>
        <w:t>统筹监督管理考评信息采集经费项目的具体实施情况，包含项目政采招标、签订合同、组织验收等工作，制定项目业务管理制度，完成项目资金的使用，保障项目顺利实施。</w:t>
      </w:r>
    </w:p>
    <w:p>
      <w:pPr>
        <w:pStyle w:val="25"/>
        <w:ind w:firstLine="640"/>
      </w:pPr>
      <w:r>
        <w:rPr>
          <w:rFonts w:hint="eastAsia"/>
        </w:rPr>
        <w:t>4.资金投入和使用情况</w:t>
      </w:r>
    </w:p>
    <w:p>
      <w:pPr>
        <w:pStyle w:val="25"/>
        <w:ind w:firstLine="640"/>
        <w:rPr>
          <w:rFonts w:cs="仿宋_GB2312"/>
          <w:szCs w:val="32"/>
        </w:rPr>
      </w:pPr>
      <w:bookmarkStart w:id="4" w:name="_Hlk140650537"/>
      <w:bookmarkStart w:id="5" w:name="_Hlk140616291"/>
      <w:r>
        <w:rPr>
          <w:rFonts w:hint="eastAsia"/>
        </w:rPr>
        <w:t>考评信息采集经费项目年初预算资金</w:t>
      </w:r>
      <w:r>
        <w:t>90</w:t>
      </w:r>
      <w:r>
        <w:rPr>
          <w:rFonts w:hint="eastAsia"/>
        </w:rPr>
        <w:t>万元，</w:t>
      </w:r>
      <w:bookmarkEnd w:id="4"/>
      <w:bookmarkEnd w:id="5"/>
      <w:bookmarkStart w:id="6" w:name="_Hlk140707894"/>
      <w:r>
        <w:rPr>
          <w:rFonts w:hint="eastAsia"/>
        </w:rPr>
        <w:t>项目执行过程中，预算调减</w:t>
      </w:r>
      <w:r>
        <w:t>18</w:t>
      </w:r>
      <w:r>
        <w:rPr>
          <w:rFonts w:hint="eastAsia"/>
        </w:rPr>
        <w:t>万元，调整后预算资金为</w:t>
      </w:r>
      <w:r>
        <w:t>72</w:t>
      </w:r>
      <w:r>
        <w:rPr>
          <w:rFonts w:hint="eastAsia"/>
        </w:rPr>
        <w:t>万元，主要用于支付人员费用，办公费用和其他费用等。2</w:t>
      </w:r>
      <w:r>
        <w:t>022</w:t>
      </w:r>
      <w:r>
        <w:rPr>
          <w:rFonts w:hint="eastAsia"/>
        </w:rPr>
        <w:t>年已下达预算资金7</w:t>
      </w:r>
      <w:r>
        <w:t>2</w:t>
      </w:r>
      <w:r>
        <w:rPr>
          <w:rFonts w:hint="eastAsia"/>
        </w:rPr>
        <w:t>万元</w:t>
      </w:r>
      <w:bookmarkEnd w:id="6"/>
      <w:r>
        <w:rPr>
          <w:rFonts w:hint="eastAsia" w:cs="仿宋_GB2312"/>
          <w:szCs w:val="32"/>
        </w:rPr>
        <w:t>，资金到位率为1</w:t>
      </w:r>
      <w:r>
        <w:rPr>
          <w:rFonts w:cs="仿宋_GB2312"/>
          <w:szCs w:val="32"/>
        </w:rPr>
        <w:t>00%</w:t>
      </w:r>
      <w:r>
        <w:rPr>
          <w:rFonts w:hint="eastAsia" w:cs="仿宋_GB2312"/>
          <w:szCs w:val="32"/>
        </w:rPr>
        <w:t>。</w:t>
      </w:r>
    </w:p>
    <w:p>
      <w:pPr>
        <w:pStyle w:val="25"/>
        <w:ind w:firstLine="640"/>
      </w:pPr>
      <w:r>
        <w:rPr>
          <w:rFonts w:hint="eastAsia"/>
          <w:lang w:eastAsia="zh-CN"/>
        </w:rPr>
        <w:t>截至2022年</w:t>
      </w:r>
      <w:r>
        <w:rPr>
          <w:rFonts w:hint="eastAsia"/>
          <w:lang w:val="en-US" w:eastAsia="zh-CN"/>
        </w:rPr>
        <w:t>1</w:t>
      </w:r>
      <w:r>
        <w:t>2</w:t>
      </w:r>
      <w:r>
        <w:rPr>
          <w:rFonts w:hint="eastAsia"/>
        </w:rPr>
        <w:t>月3</w:t>
      </w:r>
      <w:r>
        <w:t>1</w:t>
      </w:r>
      <w:r>
        <w:rPr>
          <w:rFonts w:hint="eastAsia"/>
        </w:rPr>
        <w:t>日，项目实际支付资金</w:t>
      </w:r>
      <w:r>
        <w:t>72</w:t>
      </w:r>
      <w:r>
        <w:rPr>
          <w:rFonts w:hint="eastAsia"/>
        </w:rPr>
        <w:t>万元，预算执行率</w:t>
      </w:r>
      <w:r>
        <w:t>100</w:t>
      </w:r>
      <w:r>
        <w:rPr>
          <w:rFonts w:hint="eastAsia"/>
        </w:rPr>
        <w:t>%。</w:t>
      </w:r>
    </w:p>
    <w:p>
      <w:pPr>
        <w:pStyle w:val="25"/>
        <w:ind w:firstLine="640"/>
      </w:pPr>
      <w:r>
        <w:rPr>
          <w:rFonts w:hint="eastAsia"/>
        </w:rPr>
        <w:t>资金具体情况见表1：</w:t>
      </w:r>
    </w:p>
    <w:p>
      <w:pPr>
        <w:pStyle w:val="32"/>
      </w:pPr>
      <w:r>
        <w:t>表1  资金预算执行率情况表</w:t>
      </w:r>
    </w:p>
    <w:p>
      <w:pPr>
        <w:pStyle w:val="33"/>
        <w:spacing w:line="600" w:lineRule="exact"/>
      </w:pPr>
      <w:r>
        <w:rPr>
          <w:rFonts w:hint="eastAsia"/>
        </w:rPr>
        <w:t>单位：万元</w:t>
      </w:r>
    </w:p>
    <w:tbl>
      <w:tblPr>
        <w:tblStyle w:val="15"/>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511"/>
        <w:gridCol w:w="1511"/>
        <w:gridCol w:w="1509"/>
        <w:gridCol w:w="1509"/>
        <w:gridCol w:w="1510"/>
        <w:gridCol w:w="1510"/>
      </w:tblGrid>
      <w:tr>
        <w:trPr>
          <w:cantSplit/>
          <w:tblHeader/>
          <w:jc w:val="center"/>
        </w:trPr>
        <w:tc>
          <w:tcPr>
            <w:tcW w:w="834" w:type="pct"/>
            <w:vAlign w:val="center"/>
          </w:tcPr>
          <w:p>
            <w:pPr>
              <w:pStyle w:val="35"/>
            </w:pPr>
            <w:r>
              <w:rPr>
                <w:rFonts w:hint="eastAsia"/>
              </w:rPr>
              <w:t>资金计划</w:t>
            </w:r>
          </w:p>
          <w:p>
            <w:pPr>
              <w:pStyle w:val="35"/>
            </w:pPr>
            <w:r>
              <w:rPr>
                <w:rFonts w:hint="eastAsia"/>
              </w:rPr>
              <w:t>下达时间</w:t>
            </w:r>
          </w:p>
        </w:tc>
        <w:tc>
          <w:tcPr>
            <w:tcW w:w="834" w:type="pct"/>
            <w:vAlign w:val="center"/>
          </w:tcPr>
          <w:p>
            <w:pPr>
              <w:pStyle w:val="35"/>
            </w:pPr>
            <w:r>
              <w:rPr>
                <w:rFonts w:hint="eastAsia"/>
              </w:rPr>
              <w:t>资金计划</w:t>
            </w:r>
          </w:p>
          <w:p>
            <w:pPr>
              <w:pStyle w:val="35"/>
            </w:pPr>
            <w:r>
              <w:rPr>
                <w:rFonts w:hint="eastAsia"/>
              </w:rPr>
              <w:t>下达金额</w:t>
            </w:r>
          </w:p>
        </w:tc>
        <w:tc>
          <w:tcPr>
            <w:tcW w:w="833" w:type="pct"/>
            <w:vAlign w:val="center"/>
          </w:tcPr>
          <w:p>
            <w:pPr>
              <w:pStyle w:val="35"/>
            </w:pPr>
            <w:r>
              <w:rPr>
                <w:rFonts w:hint="eastAsia"/>
              </w:rPr>
              <w:t>实际到位</w:t>
            </w:r>
          </w:p>
          <w:p>
            <w:pPr>
              <w:pStyle w:val="35"/>
            </w:pPr>
            <w:r>
              <w:rPr>
                <w:rFonts w:hint="eastAsia"/>
              </w:rPr>
              <w:t>资金</w:t>
            </w:r>
          </w:p>
        </w:tc>
        <w:tc>
          <w:tcPr>
            <w:tcW w:w="833" w:type="pct"/>
            <w:vAlign w:val="center"/>
          </w:tcPr>
          <w:p>
            <w:pPr>
              <w:pStyle w:val="35"/>
            </w:pPr>
            <w:r>
              <w:rPr>
                <w:rFonts w:hint="eastAsia"/>
              </w:rPr>
              <w:t>资金到位率</w:t>
            </w:r>
          </w:p>
        </w:tc>
        <w:tc>
          <w:tcPr>
            <w:tcW w:w="833" w:type="pct"/>
            <w:vAlign w:val="center"/>
          </w:tcPr>
          <w:p>
            <w:pPr>
              <w:pStyle w:val="35"/>
            </w:pPr>
            <w:r>
              <w:rPr>
                <w:rFonts w:hint="eastAsia"/>
              </w:rPr>
              <w:t>实际支付</w:t>
            </w:r>
          </w:p>
          <w:p>
            <w:pPr>
              <w:pStyle w:val="35"/>
            </w:pPr>
            <w:r>
              <w:rPr>
                <w:rFonts w:hint="eastAsia"/>
              </w:rPr>
              <w:t>资金</w:t>
            </w:r>
          </w:p>
        </w:tc>
        <w:tc>
          <w:tcPr>
            <w:tcW w:w="833" w:type="pct"/>
            <w:vAlign w:val="center"/>
          </w:tcPr>
          <w:p>
            <w:pPr>
              <w:pStyle w:val="35"/>
            </w:pPr>
            <w:r>
              <w:rPr>
                <w:rFonts w:hint="eastAsia"/>
              </w:rPr>
              <w:t>预算执行率</w:t>
            </w:r>
          </w:p>
        </w:tc>
      </w:tr>
      <w:tr>
        <w:trPr>
          <w:cantSplit/>
          <w:trHeight w:val="454" w:hRule="atLeast"/>
          <w:jc w:val="center"/>
        </w:trPr>
        <w:tc>
          <w:tcPr>
            <w:tcW w:w="834" w:type="pct"/>
            <w:vAlign w:val="center"/>
          </w:tcPr>
          <w:p>
            <w:pPr>
              <w:pStyle w:val="35"/>
              <w:rPr>
                <w:b w:val="0"/>
                <w:bCs/>
              </w:rPr>
            </w:pPr>
            <w:r>
              <w:rPr>
                <w:rFonts w:hint="eastAsia"/>
                <w:b w:val="0"/>
                <w:bCs/>
              </w:rPr>
              <w:t>2</w:t>
            </w:r>
            <w:r>
              <w:rPr>
                <w:b w:val="0"/>
                <w:bCs/>
              </w:rPr>
              <w:t>022</w:t>
            </w:r>
            <w:r>
              <w:rPr>
                <w:rFonts w:hint="eastAsia"/>
                <w:b w:val="0"/>
                <w:bCs/>
              </w:rPr>
              <w:t>年</w:t>
            </w:r>
          </w:p>
        </w:tc>
        <w:tc>
          <w:tcPr>
            <w:tcW w:w="834" w:type="pct"/>
            <w:vAlign w:val="center"/>
          </w:tcPr>
          <w:p>
            <w:pPr>
              <w:pStyle w:val="35"/>
              <w:rPr>
                <w:b w:val="0"/>
                <w:bCs/>
              </w:rPr>
            </w:pPr>
            <w:r>
              <w:rPr>
                <w:rFonts w:hint="eastAsia"/>
                <w:b w:val="0"/>
                <w:bCs/>
              </w:rPr>
              <w:t>7</w:t>
            </w:r>
            <w:r>
              <w:rPr>
                <w:b w:val="0"/>
                <w:bCs/>
              </w:rPr>
              <w:t>2</w:t>
            </w:r>
          </w:p>
        </w:tc>
        <w:tc>
          <w:tcPr>
            <w:tcW w:w="833" w:type="pct"/>
            <w:vAlign w:val="center"/>
          </w:tcPr>
          <w:p>
            <w:pPr>
              <w:pStyle w:val="35"/>
              <w:rPr>
                <w:b w:val="0"/>
                <w:bCs/>
              </w:rPr>
            </w:pPr>
            <w:r>
              <w:rPr>
                <w:b w:val="0"/>
                <w:bCs/>
              </w:rPr>
              <w:t>72</w:t>
            </w:r>
          </w:p>
        </w:tc>
        <w:tc>
          <w:tcPr>
            <w:tcW w:w="833" w:type="pct"/>
            <w:vAlign w:val="center"/>
          </w:tcPr>
          <w:p>
            <w:pPr>
              <w:pStyle w:val="35"/>
              <w:rPr>
                <w:b w:val="0"/>
                <w:bCs/>
              </w:rPr>
            </w:pPr>
            <w:r>
              <w:rPr>
                <w:rFonts w:hint="eastAsia"/>
                <w:b w:val="0"/>
                <w:bCs/>
              </w:rPr>
              <w:t>1</w:t>
            </w:r>
            <w:r>
              <w:rPr>
                <w:b w:val="0"/>
                <w:bCs/>
              </w:rPr>
              <w:t>00%</w:t>
            </w:r>
          </w:p>
        </w:tc>
        <w:tc>
          <w:tcPr>
            <w:tcW w:w="833" w:type="pct"/>
            <w:vAlign w:val="center"/>
          </w:tcPr>
          <w:p>
            <w:pPr>
              <w:pStyle w:val="35"/>
              <w:rPr>
                <w:b w:val="0"/>
                <w:bCs/>
              </w:rPr>
            </w:pPr>
            <w:r>
              <w:rPr>
                <w:rFonts w:hint="eastAsia"/>
                <w:b w:val="0"/>
                <w:bCs/>
              </w:rPr>
              <w:t>7</w:t>
            </w:r>
            <w:r>
              <w:rPr>
                <w:b w:val="0"/>
                <w:bCs/>
              </w:rPr>
              <w:t>2</w:t>
            </w:r>
          </w:p>
        </w:tc>
        <w:tc>
          <w:tcPr>
            <w:tcW w:w="833" w:type="pct"/>
            <w:vAlign w:val="center"/>
          </w:tcPr>
          <w:p>
            <w:pPr>
              <w:pStyle w:val="35"/>
              <w:rPr>
                <w:b w:val="0"/>
                <w:bCs/>
              </w:rPr>
            </w:pPr>
            <w:r>
              <w:rPr>
                <w:rFonts w:hint="eastAsia"/>
                <w:b w:val="0"/>
                <w:bCs/>
              </w:rPr>
              <w:t>1</w:t>
            </w:r>
            <w:r>
              <w:rPr>
                <w:b w:val="0"/>
                <w:bCs/>
              </w:rPr>
              <w:t>00%</w:t>
            </w:r>
          </w:p>
        </w:tc>
      </w:tr>
    </w:tbl>
    <w:p>
      <w:pPr>
        <w:pStyle w:val="29"/>
        <w:ind w:firstLine="640"/>
        <w:rPr>
          <w:rFonts w:ascii="Times New Roman" w:hAnsi="Times New Roman"/>
        </w:rPr>
      </w:pPr>
      <w:bookmarkStart w:id="7" w:name="_Toc65285817"/>
      <w:r>
        <w:rPr>
          <w:rFonts w:hint="eastAsia" w:ascii="Times New Roman" w:hAnsi="Times New Roman"/>
        </w:rPr>
        <w:t>（二）项目绩效目标</w:t>
      </w:r>
      <w:bookmarkEnd w:id="7"/>
    </w:p>
    <w:p>
      <w:pPr>
        <w:pStyle w:val="25"/>
        <w:ind w:firstLine="640"/>
      </w:pPr>
      <w:r>
        <w:rPr>
          <w:rFonts w:hint="eastAsia"/>
        </w:rPr>
        <w:t>通过对城市事件动态问题及部件完好、变更信息的限时采集，对所发现问题结案前进行核实，对责任网格内力所能及的市容环境脏乱问题（移位的井盖、可撕掉的广告、可处理的垃圾、可扔掉的烟蒂）做到“举手之劳”，提升和平区市容环境。</w:t>
      </w:r>
    </w:p>
    <w:bookmarkEnd w:id="2"/>
    <w:p>
      <w:pPr>
        <w:pStyle w:val="27"/>
      </w:pPr>
      <w:bookmarkStart w:id="8" w:name="_Toc141368871"/>
      <w:bookmarkStart w:id="9" w:name="_Toc2042066349"/>
      <w:r>
        <w:rPr>
          <w:rFonts w:hint="eastAsia"/>
        </w:rPr>
        <w:t>二、绩效评价工作开展情况</w:t>
      </w:r>
      <w:bookmarkEnd w:id="8"/>
      <w:bookmarkEnd w:id="9"/>
    </w:p>
    <w:p>
      <w:pPr>
        <w:pStyle w:val="29"/>
        <w:ind w:firstLine="640"/>
        <w:rPr>
          <w:rFonts w:ascii="Times New Roman" w:hAnsi="Times New Roman"/>
        </w:rPr>
      </w:pPr>
      <w:bookmarkStart w:id="10" w:name="_Toc2072964936"/>
      <w:bookmarkStart w:id="11" w:name="_Toc141368872"/>
      <w:r>
        <w:rPr>
          <w:rFonts w:hint="eastAsia" w:ascii="Times New Roman" w:hAnsi="Times New Roman"/>
        </w:rPr>
        <w:t>（一）绩效评价的目的、对象和范围</w:t>
      </w:r>
      <w:bookmarkEnd w:id="10"/>
      <w:bookmarkEnd w:id="11"/>
    </w:p>
    <w:p>
      <w:pPr>
        <w:pStyle w:val="25"/>
        <w:ind w:firstLine="640"/>
      </w:pPr>
      <w:r>
        <w:rPr>
          <w:rFonts w:hint="eastAsia"/>
        </w:rPr>
        <w:t>1.绩效评价目的</w:t>
      </w:r>
    </w:p>
    <w:p>
      <w:pPr>
        <w:pStyle w:val="25"/>
        <w:ind w:firstLine="640"/>
      </w:pPr>
      <w:r>
        <w:t>本次评价以</w:t>
      </w:r>
      <w:r>
        <w:rPr>
          <w:rFonts w:hint="eastAsia"/>
        </w:rPr>
        <w:t>《财政部关于印发〈项目支出绩效评价管理办法〉的通知》（</w:t>
      </w:r>
      <w:r>
        <w:rPr>
          <w:rFonts w:hint="eastAsia" w:cs="仿宋_GB2312"/>
        </w:rPr>
        <w:t>财预〔</w:t>
      </w:r>
      <w:r>
        <w:t>2020</w:t>
      </w:r>
      <w:r>
        <w:rPr>
          <w:rFonts w:hint="eastAsia" w:cs="仿宋_GB2312"/>
        </w:rPr>
        <w:t>〕</w:t>
      </w:r>
      <w:r>
        <w:rPr>
          <w:rFonts w:hint="eastAsia"/>
        </w:rPr>
        <w:t>1</w:t>
      </w:r>
      <w:r>
        <w:t>0</w:t>
      </w:r>
      <w:r>
        <w:rPr>
          <w:rFonts w:hint="eastAsia" w:cs="仿宋_GB2312"/>
        </w:rPr>
        <w:t>号</w:t>
      </w:r>
      <w:r>
        <w:rPr>
          <w:rFonts w:hint="eastAsia"/>
        </w:rPr>
        <w:t>）、《中共天津市委天津市人民政府印发关于全面推进预算绩效管理的实施方案》《天津市人民政府办公厅关于转发市财政局拟定的天津市市级财政专项资金管理暂行办法的通知》（津政办发〔</w:t>
      </w:r>
      <w:r>
        <w:t>2015〕63号）</w:t>
      </w:r>
      <w:r>
        <w:rPr>
          <w:rFonts w:hint="eastAsia"/>
        </w:rPr>
        <w:t>《天津市市级财政项目支出绩效评价管理办法》（</w:t>
      </w:r>
      <w:r>
        <w:t>津财绩效〔2020〕12号</w:t>
      </w:r>
      <w:r>
        <w:rPr>
          <w:rFonts w:hint="eastAsia"/>
        </w:rPr>
        <w:t>）</w:t>
      </w:r>
      <w:r>
        <w:t>及</w:t>
      </w:r>
      <w:r>
        <w:rPr>
          <w:rFonts w:hint="eastAsia"/>
        </w:rPr>
        <w:t>项目工作</w:t>
      </w:r>
      <w:r>
        <w:t>方案等文件为依据，对</w:t>
      </w:r>
      <w:r>
        <w:rPr>
          <w:rFonts w:hint="eastAsia"/>
        </w:rPr>
        <w:t>考评信息采集经费</w:t>
      </w:r>
      <w:r>
        <w:t>项目财政专项资金使用绩效情况进行评价。开展此次评价工作的目的在于：</w:t>
      </w:r>
    </w:p>
    <w:p>
      <w:pPr>
        <w:pStyle w:val="25"/>
        <w:ind w:firstLine="640"/>
      </w:pPr>
      <w:r>
        <w:t>（1）通过对</w:t>
      </w:r>
      <w:r>
        <w:rPr>
          <w:rFonts w:hint="eastAsia"/>
        </w:rPr>
        <w:t>考评信息采集经费</w:t>
      </w:r>
      <w:r>
        <w:t>项目的实施情况进行核实评价，了解掌握项目的实施情况。</w:t>
      </w:r>
    </w:p>
    <w:p>
      <w:pPr>
        <w:pStyle w:val="25"/>
        <w:ind w:firstLine="640"/>
      </w:pPr>
      <w:r>
        <w:t>（2）根据</w:t>
      </w:r>
      <w:r>
        <w:rPr>
          <w:rFonts w:hint="eastAsia"/>
        </w:rPr>
        <w:t>考评信息采集经费</w:t>
      </w:r>
      <w:r>
        <w:t>项目实施的具体情况，评价其项目资金安排的科学性、合理性、规范性，完善项目管理办法，提高项目管理水平和资金的使用效率。</w:t>
      </w:r>
    </w:p>
    <w:p>
      <w:pPr>
        <w:pStyle w:val="25"/>
        <w:ind w:firstLine="640"/>
      </w:pPr>
      <w:r>
        <w:t>（3）参照</w:t>
      </w:r>
      <w:r>
        <w:rPr>
          <w:rFonts w:hint="eastAsia"/>
          <w:color w:val="000000"/>
        </w:rPr>
        <w:t>《天津市关于全面推进预算绩效管理的实施方案》和《天津市市级财政项目支出绩效评价管理办法》（</w:t>
      </w:r>
      <w:r>
        <w:t>津财绩效</w:t>
      </w:r>
      <w:r>
        <w:rPr>
          <w:rFonts w:hint="eastAsia"/>
          <w:color w:val="000000"/>
        </w:rPr>
        <w:t>〔2</w:t>
      </w:r>
      <w:r>
        <w:rPr>
          <w:color w:val="000000"/>
        </w:rPr>
        <w:t>020</w:t>
      </w:r>
      <w:r>
        <w:rPr>
          <w:rFonts w:hint="eastAsia"/>
          <w:color w:val="000000"/>
        </w:rPr>
        <w:t>〕1</w:t>
      </w:r>
      <w:r>
        <w:rPr>
          <w:color w:val="000000"/>
        </w:rPr>
        <w:t>2</w:t>
      </w:r>
      <w:r>
        <w:rPr>
          <w:rFonts w:hint="eastAsia"/>
          <w:color w:val="000000"/>
        </w:rPr>
        <w:t>号）</w:t>
      </w:r>
      <w:r>
        <w:t>的要求，从决策、过程、产出、效益四个方面对</w:t>
      </w:r>
      <w:r>
        <w:rPr>
          <w:rFonts w:hint="eastAsia"/>
        </w:rPr>
        <w:t>考评信息采集经费</w:t>
      </w:r>
      <w:r>
        <w:t xml:space="preserve">项目进行客观、公正的评价；总结项目管理与执行经验，发现项目管理和预算管理中存在的问题，提出改进意见和建议，为相关部门决策、管理提供参考依据，推动建立以绩效评价结果为导向的财政资金分配与管理制度。 </w:t>
      </w:r>
    </w:p>
    <w:p>
      <w:pPr>
        <w:pStyle w:val="25"/>
        <w:ind w:firstLine="640"/>
      </w:pPr>
      <w:r>
        <w:t>（4）进一步丰富和完善</w:t>
      </w:r>
      <w:r>
        <w:rPr>
          <w:rFonts w:hint="eastAsia"/>
        </w:rPr>
        <w:t>考评信息采集经费</w:t>
      </w:r>
      <w:r>
        <w:t>项目绩效评价方法体系，推动建立以绩效评价结果为导向的财政资金分配与管理制度，提升财政资金科学化、精细化管理水平，为</w:t>
      </w:r>
      <w:r>
        <w:rPr>
          <w:rFonts w:hint="eastAsia"/>
        </w:rPr>
        <w:t>考评信息采集经费</w:t>
      </w:r>
      <w:r>
        <w:t>项目专项资金的安排提供重要依据。</w:t>
      </w:r>
    </w:p>
    <w:p>
      <w:pPr>
        <w:pStyle w:val="25"/>
        <w:ind w:firstLine="640"/>
      </w:pPr>
      <w:r>
        <w:rPr>
          <w:rFonts w:hint="eastAsia"/>
        </w:rPr>
        <w:t>2.绩效评价对象和范围</w:t>
      </w:r>
    </w:p>
    <w:p>
      <w:pPr>
        <w:pStyle w:val="25"/>
        <w:ind w:firstLine="640"/>
      </w:pPr>
      <w:r>
        <w:t>本次绩效评价针对</w:t>
      </w:r>
      <w:r>
        <w:rPr>
          <w:rFonts w:hint="eastAsia"/>
        </w:rPr>
        <w:t>天津市和平区城市管理委员会考评信息采集经费</w:t>
      </w:r>
      <w:r>
        <w:t>项目展开，主要评价内容及范围如下：</w:t>
      </w:r>
    </w:p>
    <w:p>
      <w:pPr>
        <w:pStyle w:val="25"/>
        <w:ind w:firstLine="640"/>
      </w:pPr>
      <w:r>
        <w:t>（1）立项依据和立项程序情况；</w:t>
      </w:r>
    </w:p>
    <w:p>
      <w:pPr>
        <w:pStyle w:val="25"/>
        <w:ind w:firstLine="640"/>
      </w:pPr>
      <w:r>
        <w:t>（2）绩效目标和指标设定情况；</w:t>
      </w:r>
    </w:p>
    <w:p>
      <w:pPr>
        <w:pStyle w:val="25"/>
        <w:ind w:firstLine="640"/>
      </w:pPr>
      <w:r>
        <w:t>（3）预算编制和资金分配情况；</w:t>
      </w:r>
    </w:p>
    <w:p>
      <w:pPr>
        <w:pStyle w:val="25"/>
        <w:ind w:firstLine="640"/>
      </w:pPr>
      <w:r>
        <w:t>（4）资金管理和使用情况；</w:t>
      </w:r>
    </w:p>
    <w:p>
      <w:pPr>
        <w:pStyle w:val="25"/>
        <w:ind w:firstLine="640"/>
      </w:pPr>
      <w:r>
        <w:t>（5）相关制度办法的健全性及执行情况；</w:t>
      </w:r>
    </w:p>
    <w:p>
      <w:pPr>
        <w:pStyle w:val="25"/>
        <w:ind w:firstLine="640"/>
      </w:pPr>
      <w:r>
        <w:t>（6）实现的产出情况；</w:t>
      </w:r>
    </w:p>
    <w:p>
      <w:pPr>
        <w:pStyle w:val="25"/>
        <w:ind w:firstLine="640"/>
      </w:pPr>
      <w:r>
        <w:t>（7）取得的效益情况；</w:t>
      </w:r>
    </w:p>
    <w:p>
      <w:pPr>
        <w:pStyle w:val="25"/>
        <w:ind w:firstLine="640"/>
      </w:pPr>
      <w:r>
        <w:t>（8）其他相关内容。</w:t>
      </w:r>
    </w:p>
    <w:p>
      <w:pPr>
        <w:pStyle w:val="29"/>
        <w:ind w:firstLine="640"/>
        <w:rPr>
          <w:rFonts w:ascii="Times New Roman" w:hAnsi="Times New Roman"/>
        </w:rPr>
      </w:pPr>
      <w:bookmarkStart w:id="12" w:name="_Toc141368873"/>
      <w:bookmarkStart w:id="13" w:name="_Toc1694474071"/>
      <w:r>
        <w:rPr>
          <w:rFonts w:hint="eastAsia" w:ascii="Times New Roman" w:hAnsi="Times New Roman"/>
        </w:rPr>
        <w:t>（二）</w:t>
      </w:r>
      <w:r>
        <w:rPr>
          <w:rFonts w:hint="eastAsia" w:ascii="Times New Roman" w:hAnsi="Times New Roman" w:cs="楷体_GB2312"/>
          <w:bCs w:val="0"/>
        </w:rPr>
        <w:t>绩效评价原则、评价指标体系、评价方法</w:t>
      </w:r>
      <w:bookmarkEnd w:id="12"/>
      <w:bookmarkEnd w:id="13"/>
    </w:p>
    <w:p>
      <w:pPr>
        <w:pStyle w:val="25"/>
        <w:ind w:firstLine="640"/>
      </w:pPr>
      <w:r>
        <w:t>1.</w:t>
      </w:r>
      <w:r>
        <w:rPr>
          <w:rFonts w:hint="eastAsia"/>
        </w:rPr>
        <w:t>绩效评价原则</w:t>
      </w:r>
    </w:p>
    <w:p>
      <w:pPr>
        <w:pStyle w:val="25"/>
        <w:ind w:firstLine="640"/>
      </w:pPr>
      <w:r>
        <w:rPr>
          <w:rFonts w:hint="eastAsia"/>
        </w:rPr>
        <w:t>（</w:t>
      </w:r>
      <w:r>
        <w:t>1</w:t>
      </w:r>
      <w:r>
        <w:rPr>
          <w:rFonts w:hint="eastAsia"/>
        </w:rPr>
        <w:t>）坚持科学规范的原则。此次绩效评价运用科学合理的评价指标体系和方法，按照规范的程序，对支出绩效进行客观、公正的反映。</w:t>
      </w:r>
    </w:p>
    <w:p>
      <w:pPr>
        <w:pStyle w:val="25"/>
        <w:ind w:firstLine="640"/>
      </w:pPr>
      <w:r>
        <w:rPr>
          <w:rFonts w:hint="eastAsia"/>
        </w:rPr>
        <w:t>（</w:t>
      </w:r>
      <w:r>
        <w:t>2</w:t>
      </w:r>
      <w:r>
        <w:rPr>
          <w:rFonts w:hint="eastAsia"/>
        </w:rPr>
        <w:t>）坚持统筹兼顾的原则。单位自评、部门评价和财政评价各方职责明确，各有侧重，互相衔接。此次评价我方作为第三方受委托机构在单位自评的基础上开展。</w:t>
      </w:r>
    </w:p>
    <w:p>
      <w:pPr>
        <w:pStyle w:val="25"/>
        <w:ind w:firstLine="640"/>
      </w:pPr>
      <w:r>
        <w:rPr>
          <w:rFonts w:hint="eastAsia"/>
        </w:rPr>
        <w:t>（</w:t>
      </w:r>
      <w:r>
        <w:t>3</w:t>
      </w:r>
      <w:r>
        <w:rPr>
          <w:rFonts w:hint="eastAsia"/>
        </w:rPr>
        <w:t>）坚持激励约束的原则。本次绩效评价结果可以作为预算安排、政策调整、改进管理的参考，绩效评价工作将体现奖优罚劣和激励相容导向，有效要安排、低效要压减、无效要问责。</w:t>
      </w:r>
    </w:p>
    <w:p>
      <w:pPr>
        <w:pStyle w:val="25"/>
        <w:ind w:firstLine="640"/>
      </w:pPr>
      <w:r>
        <w:rPr>
          <w:rFonts w:hint="eastAsia"/>
        </w:rPr>
        <w:t>（</w:t>
      </w:r>
      <w:r>
        <w:t>4</w:t>
      </w:r>
      <w:r>
        <w:rPr>
          <w:rFonts w:hint="eastAsia"/>
        </w:rPr>
        <w:t>）坚持公开透明的原则。承诺绩效评价结果依法依规公开，自觉接受有关机构和社会监督。</w:t>
      </w:r>
    </w:p>
    <w:p>
      <w:pPr>
        <w:pStyle w:val="25"/>
        <w:ind w:firstLine="640"/>
      </w:pPr>
      <w:r>
        <w:rPr>
          <w:rFonts w:hint="eastAsia"/>
        </w:rPr>
        <w:t>（</w:t>
      </w:r>
      <w:r>
        <w:t>5</w:t>
      </w:r>
      <w:r>
        <w:rPr>
          <w:rFonts w:hint="eastAsia"/>
        </w:rPr>
        <w:t>）坚持综合绩效评价，定量分析与定性分析相结合的原则。</w:t>
      </w:r>
    </w:p>
    <w:p>
      <w:pPr>
        <w:pStyle w:val="25"/>
        <w:ind w:firstLine="640"/>
      </w:pPr>
      <w:r>
        <w:rPr>
          <w:rFonts w:hint="eastAsia"/>
        </w:rPr>
        <w:t>（</w:t>
      </w:r>
      <w:r>
        <w:t>6</w:t>
      </w:r>
      <w:r>
        <w:rPr>
          <w:rFonts w:hint="eastAsia"/>
        </w:rPr>
        <w:t>）坚持绩效相关性原则。此次绩效评价将针对具体支出及其产出绩效进行，评价结果将清晰反映支出和产出绩效之间的紧密对应关系。</w:t>
      </w:r>
    </w:p>
    <w:p>
      <w:pPr>
        <w:pStyle w:val="25"/>
        <w:ind w:firstLine="640"/>
      </w:pPr>
      <w:r>
        <w:t>2.</w:t>
      </w:r>
      <w:r>
        <w:rPr>
          <w:rFonts w:hint="eastAsia"/>
        </w:rPr>
        <w:t>评价指标体系</w:t>
      </w:r>
    </w:p>
    <w:p>
      <w:pPr>
        <w:pStyle w:val="25"/>
        <w:ind w:firstLine="640"/>
      </w:pPr>
      <w:r>
        <w:rPr>
          <w:rFonts w:hint="eastAsia"/>
        </w:rPr>
        <w:t>针对项目情况，从决策、过程、产出及效益四大方面拟定绩效评价指标，其中：</w:t>
      </w:r>
    </w:p>
    <w:p>
      <w:pPr>
        <w:pStyle w:val="25"/>
        <w:ind w:firstLine="640"/>
        <w:rPr>
          <w:rFonts w:cs="仿宋_GB2312"/>
        </w:rPr>
      </w:pPr>
      <w:r>
        <w:rPr>
          <w:rFonts w:hint="eastAsia"/>
        </w:rPr>
        <w:t>（1）</w:t>
      </w:r>
      <w:r>
        <w:rPr>
          <w:rFonts w:hint="eastAsia" w:cs="仿宋_GB2312"/>
        </w:rPr>
        <w:t>项目决策指标</w:t>
      </w:r>
    </w:p>
    <w:p>
      <w:pPr>
        <w:pStyle w:val="25"/>
        <w:ind w:firstLine="640"/>
      </w:pPr>
      <w:r>
        <w:rPr>
          <w:rFonts w:hint="eastAsia"/>
        </w:rPr>
        <w:t>①项目立项</w:t>
      </w:r>
    </w:p>
    <w:p>
      <w:pPr>
        <w:pStyle w:val="25"/>
        <w:ind w:firstLine="640"/>
      </w:pPr>
      <w:r>
        <w:t>a.</w:t>
      </w:r>
      <w:r>
        <w:rPr>
          <w:rFonts w:hint="eastAsia"/>
        </w:rPr>
        <w:t>立项依据充分性。项目立项是否符合法律法规、相关政策、发展规划以及部门职责，用于反映和考核项目立项依据情况。</w:t>
      </w:r>
    </w:p>
    <w:p>
      <w:pPr>
        <w:pStyle w:val="25"/>
        <w:ind w:firstLine="640"/>
      </w:pPr>
      <w:r>
        <w:t>b.</w:t>
      </w:r>
      <w:r>
        <w:rPr>
          <w:rFonts w:hint="eastAsia"/>
        </w:rPr>
        <w:t>立项程序规范性。项目申请、设立过程是否符合相关要求，用以反映和考核项目立项的规范情况。</w:t>
      </w:r>
    </w:p>
    <w:p>
      <w:pPr>
        <w:pStyle w:val="25"/>
        <w:ind w:firstLine="640"/>
      </w:pPr>
      <w:r>
        <w:rPr>
          <w:rFonts w:hint="eastAsia"/>
        </w:rPr>
        <w:t>②绩效目标</w:t>
      </w:r>
    </w:p>
    <w:p>
      <w:pPr>
        <w:pStyle w:val="25"/>
        <w:ind w:firstLine="640"/>
      </w:pPr>
      <w:r>
        <w:rPr>
          <w:rFonts w:hint="eastAsia"/>
        </w:rPr>
        <w:t>a</w:t>
      </w:r>
      <w:r>
        <w:t>.</w:t>
      </w:r>
      <w:r>
        <w:rPr>
          <w:rFonts w:hint="eastAsia"/>
        </w:rPr>
        <w:t>绩效目标明确性。依据绩效目标设定的绩效指标是否清晰、细化、可衡量等，用以反映和考核项目绩效目标的明细化情况。</w:t>
      </w:r>
    </w:p>
    <w:p>
      <w:pPr>
        <w:pStyle w:val="25"/>
        <w:ind w:firstLine="640"/>
      </w:pPr>
      <w:r>
        <w:t>b.</w:t>
      </w:r>
      <w:r>
        <w:rPr>
          <w:rFonts w:hint="eastAsia"/>
        </w:rPr>
        <w:t>绩效目标合理性。项目所设定的绩效目标是否依据充分，是否符合客观实际，用以反映和考核项目绩效目标与项目实施的相符情况。</w:t>
      </w:r>
    </w:p>
    <w:p>
      <w:pPr>
        <w:pStyle w:val="25"/>
        <w:ind w:firstLine="640"/>
      </w:pPr>
      <w:r>
        <w:rPr>
          <w:rFonts w:hint="eastAsia"/>
        </w:rPr>
        <w:t>③预算编制</w:t>
      </w:r>
    </w:p>
    <w:p>
      <w:pPr>
        <w:pStyle w:val="25"/>
        <w:ind w:firstLine="640"/>
      </w:pPr>
      <w:r>
        <w:rPr>
          <w:rFonts w:hint="eastAsia"/>
        </w:rPr>
        <w:t>a</w:t>
      </w:r>
      <w:r>
        <w:t>.</w:t>
      </w:r>
      <w:r>
        <w:rPr>
          <w:rFonts w:hint="eastAsia"/>
        </w:rPr>
        <w:t>测算内容合规性。项目预算测算内容是否符合相关政策文件规定范围。</w:t>
      </w:r>
    </w:p>
    <w:p>
      <w:pPr>
        <w:pStyle w:val="25"/>
        <w:ind w:firstLine="640"/>
      </w:pPr>
      <w:r>
        <w:rPr>
          <w:rFonts w:hint="eastAsia"/>
        </w:rPr>
        <w:t>b</w:t>
      </w:r>
      <w:r>
        <w:t>.</w:t>
      </w:r>
      <w:r>
        <w:rPr>
          <w:rFonts w:hint="eastAsia"/>
        </w:rPr>
        <w:t>测算标准合理性。项目预算测算项目支出标准是否符合相关政策制度或行业、领域规定。</w:t>
      </w:r>
    </w:p>
    <w:p>
      <w:pPr>
        <w:pStyle w:val="25"/>
        <w:ind w:firstLine="640"/>
      </w:pPr>
      <w:r>
        <w:rPr>
          <w:rFonts w:hint="eastAsia"/>
        </w:rPr>
        <w:t>c</w:t>
      </w:r>
      <w:r>
        <w:t>.</w:t>
      </w:r>
      <w:r>
        <w:rPr>
          <w:rFonts w:hint="eastAsia"/>
        </w:rPr>
        <w:t>测算数据客观性。项目预算测算数据是否客观、真实、准确。</w:t>
      </w:r>
    </w:p>
    <w:p>
      <w:pPr>
        <w:pStyle w:val="25"/>
        <w:ind w:firstLine="640"/>
      </w:pPr>
      <w:r>
        <w:rPr>
          <w:rFonts w:hint="eastAsia"/>
        </w:rPr>
        <w:t>d</w:t>
      </w:r>
      <w:r>
        <w:t>.</w:t>
      </w:r>
      <w:r>
        <w:rPr>
          <w:rFonts w:hint="eastAsia"/>
        </w:rPr>
        <w:t>测算过程细化度。测算过程是否细化清晰。</w:t>
      </w:r>
    </w:p>
    <w:p>
      <w:pPr>
        <w:pStyle w:val="25"/>
        <w:ind w:firstLine="640"/>
      </w:pPr>
      <w:r>
        <w:rPr>
          <w:rFonts w:hint="eastAsia"/>
        </w:rPr>
        <w:t>（2）项目过程指标</w:t>
      </w:r>
    </w:p>
    <w:p>
      <w:pPr>
        <w:pStyle w:val="25"/>
        <w:ind w:firstLine="640"/>
      </w:pPr>
      <w:r>
        <w:rPr>
          <w:rFonts w:hint="eastAsia"/>
        </w:rPr>
        <w:t>①资金管理</w:t>
      </w:r>
    </w:p>
    <w:p>
      <w:pPr>
        <w:pStyle w:val="25"/>
        <w:ind w:firstLine="640"/>
      </w:pPr>
      <w:r>
        <w:rPr>
          <w:rFonts w:hint="eastAsia"/>
        </w:rPr>
        <w:t>a</w:t>
      </w:r>
      <w:r>
        <w:t>.</w:t>
      </w:r>
      <w:r>
        <w:rPr>
          <w:rFonts w:hint="eastAsia"/>
        </w:rPr>
        <w:t>资金到位率。实际到位资金与预算资金的比率，用以反映和考核资金落实情况对项目实施的总体保障程度。</w:t>
      </w:r>
    </w:p>
    <w:p>
      <w:pPr>
        <w:pStyle w:val="25"/>
        <w:ind w:firstLine="640"/>
      </w:pPr>
      <w:r>
        <w:rPr>
          <w:rFonts w:hint="eastAsia"/>
        </w:rPr>
        <w:t>b</w:t>
      </w:r>
      <w:r>
        <w:t>.</w:t>
      </w:r>
      <w:r>
        <w:rPr>
          <w:rFonts w:hint="eastAsia"/>
        </w:rPr>
        <w:t>资金沉淀率。项目结转结余资金与实际到位资金的比率，用以反映和考核项目资金使用效率和效益。</w:t>
      </w:r>
    </w:p>
    <w:p>
      <w:pPr>
        <w:pStyle w:val="25"/>
        <w:ind w:firstLine="640"/>
      </w:pPr>
      <w:r>
        <w:rPr>
          <w:rFonts w:hint="eastAsia"/>
        </w:rPr>
        <w:t>c</w:t>
      </w:r>
      <w:r>
        <w:t>.</w:t>
      </w:r>
      <w:r>
        <w:rPr>
          <w:rFonts w:hint="eastAsia"/>
        </w:rPr>
        <w:t>预算执行率。项目预算资金是否按照计划执行，用以反映或考核项目预算执行情况。</w:t>
      </w:r>
    </w:p>
    <w:p>
      <w:pPr>
        <w:pStyle w:val="25"/>
        <w:ind w:firstLine="640"/>
      </w:pPr>
      <w:r>
        <w:rPr>
          <w:rFonts w:hint="eastAsia"/>
        </w:rPr>
        <w:t>d</w:t>
      </w:r>
      <w:r>
        <w:t>.</w:t>
      </w:r>
      <w:r>
        <w:rPr>
          <w:rFonts w:hint="eastAsia"/>
        </w:rPr>
        <w:t>资金使用合规性。项目资金使用是否符合相关的财务管理制度规定，用以反映和考核项目资金的规范运行情况。</w:t>
      </w:r>
    </w:p>
    <w:p>
      <w:pPr>
        <w:pStyle w:val="25"/>
        <w:ind w:firstLine="640"/>
      </w:pPr>
      <w:r>
        <w:rPr>
          <w:rFonts w:hint="eastAsia"/>
        </w:rPr>
        <w:t>②组织实施</w:t>
      </w:r>
    </w:p>
    <w:p>
      <w:pPr>
        <w:pStyle w:val="25"/>
        <w:ind w:firstLine="640"/>
      </w:pPr>
      <w:r>
        <w:rPr>
          <w:rFonts w:hint="eastAsia"/>
        </w:rPr>
        <w:t>a</w:t>
      </w:r>
      <w:r>
        <w:t>.</w:t>
      </w:r>
      <w:r>
        <w:rPr>
          <w:rFonts w:hint="eastAsia"/>
        </w:rPr>
        <w:t>管理制度健全性。项目实施单位的财务和业务管理制度是否健全，用以反映和考核财务和业务管理制度对项目顺利实施的保障情况。</w:t>
      </w:r>
    </w:p>
    <w:p>
      <w:pPr>
        <w:pStyle w:val="25"/>
        <w:ind w:firstLine="640"/>
      </w:pPr>
      <w:r>
        <w:rPr>
          <w:rFonts w:hint="eastAsia"/>
        </w:rPr>
        <w:t>b</w:t>
      </w:r>
      <w:r>
        <w:t>.</w:t>
      </w:r>
      <w:r>
        <w:rPr>
          <w:rFonts w:hint="eastAsia"/>
        </w:rPr>
        <w:t>制度执行有效性。主要从项目申报、项目实施、项目验收等</w:t>
      </w:r>
      <w:r>
        <w:t>3个环节展开，结合相关管理规定进行评价</w:t>
      </w:r>
      <w:r>
        <w:rPr>
          <w:rFonts w:hint="eastAsia"/>
        </w:rPr>
        <w:t>。</w:t>
      </w:r>
    </w:p>
    <w:p>
      <w:pPr>
        <w:pStyle w:val="25"/>
        <w:ind w:firstLine="640"/>
      </w:pPr>
      <w:r>
        <w:rPr>
          <w:rFonts w:hint="eastAsia"/>
        </w:rPr>
        <w:t>（3）项目产出指标</w:t>
      </w:r>
    </w:p>
    <w:p>
      <w:pPr>
        <w:pStyle w:val="25"/>
        <w:ind w:firstLine="640"/>
      </w:pPr>
      <w:r>
        <w:rPr>
          <w:rFonts w:hint="eastAsia"/>
        </w:rPr>
        <w:t>①产出数量</w:t>
      </w:r>
    </w:p>
    <w:p>
      <w:pPr>
        <w:pStyle w:val="25"/>
        <w:ind w:firstLine="640"/>
      </w:pPr>
      <w:r>
        <w:rPr>
          <w:rFonts w:hint="eastAsia"/>
        </w:rPr>
        <w:t>考评信息采集工作人员配备完成率。项目实施期间实际配备考评信息采集工作人员的数量与合同规定配备考评信息采集工作人员总数的比对，用以反映考评信息采集工作人员配备的完成情况。</w:t>
      </w:r>
    </w:p>
    <w:p>
      <w:pPr>
        <w:pStyle w:val="25"/>
        <w:ind w:firstLine="640"/>
      </w:pPr>
      <w:r>
        <w:rPr>
          <w:rFonts w:hint="eastAsia"/>
        </w:rPr>
        <w:t>②产出质量</w:t>
      </w:r>
    </w:p>
    <w:p>
      <w:pPr>
        <w:pStyle w:val="25"/>
        <w:ind w:firstLine="640"/>
      </w:pPr>
      <w:r>
        <w:rPr>
          <w:rFonts w:hint="eastAsia"/>
        </w:rPr>
        <w:t>上报案卷有效率。项目实施期间有效案卷的数量与全年上报案卷总数的比对，用以反映上报案卷的有效情况。</w:t>
      </w:r>
    </w:p>
    <w:p>
      <w:pPr>
        <w:pStyle w:val="25"/>
        <w:ind w:firstLine="640"/>
      </w:pPr>
      <w:r>
        <w:rPr>
          <w:rFonts w:hint="eastAsia"/>
        </w:rPr>
        <w:t>③产出时效</w:t>
      </w:r>
    </w:p>
    <w:p>
      <w:pPr>
        <w:pStyle w:val="25"/>
        <w:ind w:firstLine="640"/>
      </w:pPr>
      <w:r>
        <w:rPr>
          <w:rFonts w:hint="eastAsia"/>
        </w:rPr>
        <w:t>核查案卷及时率。项目实施期间及时核查的案卷数量与核查案卷总数比对，用以反映核查案卷的及时情况。</w:t>
      </w:r>
    </w:p>
    <w:p>
      <w:pPr>
        <w:pStyle w:val="25"/>
        <w:ind w:firstLine="640"/>
      </w:pPr>
      <w:r>
        <w:rPr>
          <w:rFonts w:hint="eastAsia"/>
        </w:rPr>
        <w:t>④产出成本</w:t>
      </w:r>
    </w:p>
    <w:p>
      <w:pPr>
        <w:pStyle w:val="25"/>
        <w:ind w:firstLine="640"/>
      </w:pPr>
      <w:r>
        <w:rPr>
          <w:rFonts w:hint="eastAsia"/>
        </w:rPr>
        <w:t>考评信息采集项目成本节约率。项目实施期间，项目实际支出金额与项目计划投资金额的对比，用以反映考评信息采集项目支出成本控制情况。</w:t>
      </w:r>
    </w:p>
    <w:p>
      <w:pPr>
        <w:pStyle w:val="25"/>
        <w:ind w:firstLine="640"/>
      </w:pPr>
      <w:r>
        <w:rPr>
          <w:rFonts w:hint="eastAsia"/>
        </w:rPr>
        <w:t>（</w:t>
      </w:r>
      <w:r>
        <w:t>4</w:t>
      </w:r>
      <w:r>
        <w:rPr>
          <w:rFonts w:hint="eastAsia"/>
        </w:rPr>
        <w:t>）项目效益指标</w:t>
      </w:r>
    </w:p>
    <w:p>
      <w:pPr>
        <w:pStyle w:val="25"/>
        <w:ind w:firstLine="640"/>
      </w:pPr>
      <w:r>
        <w:rPr>
          <w:rFonts w:hint="eastAsia"/>
        </w:rPr>
        <w:t>①社会效益</w:t>
      </w:r>
    </w:p>
    <w:p>
      <w:pPr>
        <w:pStyle w:val="25"/>
        <w:ind w:firstLine="640"/>
      </w:pPr>
      <w:r>
        <w:rPr>
          <w:rFonts w:hint="eastAsia"/>
        </w:rPr>
        <w:t>数字化城市管理工作水平的提升情况。考评信息采集经费项目实施完成后对数字化城市管理工作水平的提升情况，用以反映考评信息采集工作对数字化城市管理工作的影响。</w:t>
      </w:r>
    </w:p>
    <w:p>
      <w:pPr>
        <w:pStyle w:val="25"/>
        <w:ind w:firstLine="640"/>
      </w:pPr>
      <w:r>
        <w:rPr>
          <w:rFonts w:hint="eastAsia"/>
        </w:rPr>
        <w:t>②建立健全考评信息采集工作管理机制。通过建立健全考评信息采集工作管理机制，保障考评信息采集工作的可持续运行。</w:t>
      </w:r>
    </w:p>
    <w:p>
      <w:pPr>
        <w:pStyle w:val="25"/>
        <w:ind w:firstLine="640"/>
      </w:pPr>
      <w:r>
        <w:rPr>
          <w:rFonts w:hint="eastAsia"/>
        </w:rPr>
        <w:t>③服务对象满意度</w:t>
      </w:r>
    </w:p>
    <w:p>
      <w:pPr>
        <w:pStyle w:val="25"/>
        <w:ind w:firstLine="640"/>
      </w:pPr>
      <w:r>
        <w:rPr>
          <w:rFonts w:hint="eastAsia"/>
        </w:rPr>
        <w:t>考评信息采集服务对象满意度。通过调查问卷中考评信息采集服务对象人数与调查考评信息采集服务对象总人数的比率，反映考评信息采集服务对象对本项目实施后的满意程度。</w:t>
      </w:r>
    </w:p>
    <w:p>
      <w:pPr>
        <w:pStyle w:val="25"/>
        <w:ind w:firstLine="640"/>
      </w:pPr>
      <w:r>
        <w:t>3</w:t>
      </w:r>
      <w:r>
        <w:rPr>
          <w:rFonts w:hint="eastAsia"/>
        </w:rPr>
        <w:t>.绩效评价方法</w:t>
      </w:r>
    </w:p>
    <w:p>
      <w:pPr>
        <w:pStyle w:val="25"/>
        <w:ind w:firstLine="640"/>
      </w:pPr>
      <w:r>
        <w:t>结合项目具体情况，本次绩效评价主要运用指标分析法结合比较法、</w:t>
      </w:r>
      <w:r>
        <w:rPr>
          <w:rFonts w:hint="eastAsia"/>
        </w:rPr>
        <w:t>社会调查法</w:t>
      </w:r>
      <w:r>
        <w:t>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w:t>
      </w:r>
      <w:r>
        <w:rPr>
          <w:rFonts w:hint="eastAsia"/>
        </w:rPr>
        <w:t>对天津市和平区城市管理委员会</w:t>
      </w:r>
      <w:r>
        <w:t>进行现场评价。绩效评价指标体系详见附件。</w:t>
      </w:r>
    </w:p>
    <w:p>
      <w:pPr>
        <w:pStyle w:val="29"/>
        <w:ind w:firstLine="640"/>
        <w:rPr>
          <w:rFonts w:ascii="Times New Roman" w:hAnsi="Times New Roman"/>
        </w:rPr>
      </w:pPr>
      <w:bookmarkStart w:id="14" w:name="_Toc141368874"/>
      <w:bookmarkStart w:id="15" w:name="_Toc1245068430"/>
      <w:r>
        <w:rPr>
          <w:rFonts w:hint="eastAsia" w:ascii="Times New Roman" w:hAnsi="Times New Roman"/>
        </w:rPr>
        <w:t>（三）绩效评价工作过程</w:t>
      </w:r>
      <w:bookmarkEnd w:id="14"/>
      <w:bookmarkEnd w:id="15"/>
    </w:p>
    <w:p>
      <w:pPr>
        <w:pStyle w:val="25"/>
        <w:ind w:firstLine="640"/>
      </w:pPr>
      <w:r>
        <w:t>1.</w:t>
      </w:r>
      <w:r>
        <w:rPr>
          <w:rFonts w:hint="eastAsia"/>
        </w:rPr>
        <w:t>前期准备阶段</w:t>
      </w:r>
    </w:p>
    <w:p>
      <w:pPr>
        <w:pStyle w:val="25"/>
        <w:ind w:firstLine="640"/>
      </w:pPr>
      <w:r>
        <w:rPr>
          <w:rFonts w:hint="eastAsia"/>
        </w:rPr>
        <w:t>（</w:t>
      </w:r>
      <w:r>
        <w:t>1</w:t>
      </w:r>
      <w:r>
        <w:rPr>
          <w:rFonts w:hint="eastAsia"/>
        </w:rPr>
        <w:t>）成立绩效评价项目组</w:t>
      </w:r>
    </w:p>
    <w:p>
      <w:pPr>
        <w:pStyle w:val="25"/>
        <w:ind w:firstLine="640"/>
      </w:pPr>
      <w:r>
        <w:rPr>
          <w:rFonts w:hint="eastAsia"/>
        </w:rPr>
        <w:t>根据</w:t>
      </w:r>
      <w:r>
        <w:rPr>
          <w:rFonts w:hint="eastAsia"/>
          <w:color w:val="000000"/>
        </w:rPr>
        <w:t>《天津市和平区财政局关于开展2</w:t>
      </w:r>
      <w:r>
        <w:rPr>
          <w:color w:val="000000"/>
        </w:rPr>
        <w:t>022</w:t>
      </w:r>
      <w:r>
        <w:rPr>
          <w:rFonts w:hint="eastAsia"/>
          <w:color w:val="000000"/>
        </w:rPr>
        <w:t>年重点项目部门绩效评价工作的通知》</w:t>
      </w:r>
      <w:r>
        <w:t>，</w:t>
      </w:r>
      <w:r>
        <w:rPr>
          <w:rFonts w:hint="eastAsia"/>
        </w:rPr>
        <w:t>天津市和平区财政局</w:t>
      </w:r>
      <w:r>
        <w:t>委托我司</w:t>
      </w:r>
      <w:r>
        <w:rPr>
          <w:rFonts w:hint="eastAsia"/>
        </w:rPr>
        <w:t>（天津安信管理咨询有限公司）</w:t>
      </w:r>
      <w:r>
        <w:t>对</w:t>
      </w:r>
      <w:r>
        <w:rPr>
          <w:rFonts w:hint="eastAsia"/>
        </w:rPr>
        <w:t>天津市和平区城市管理委员会</w:t>
      </w:r>
      <w:r>
        <w:t>2022</w:t>
      </w:r>
      <w:r>
        <w:rPr>
          <w:rFonts w:hint="eastAsia"/>
        </w:rPr>
        <w:t>年考评信息采集经费</w:t>
      </w:r>
      <w:r>
        <w:t>项目进行绩效评价工作</w:t>
      </w:r>
      <w:r>
        <w:rPr>
          <w:rFonts w:hint="eastAsia"/>
        </w:rPr>
        <w:t>。</w:t>
      </w:r>
    </w:p>
    <w:p>
      <w:pPr>
        <w:pStyle w:val="25"/>
        <w:ind w:firstLine="640"/>
      </w:pPr>
      <w:r>
        <w:t>2023</w:t>
      </w:r>
      <w:r>
        <w:rPr>
          <w:rFonts w:hint="eastAsia"/>
        </w:rPr>
        <w:t>年</w:t>
      </w:r>
      <w:r>
        <w:t>7</w:t>
      </w:r>
      <w:r>
        <w:rPr>
          <w:rFonts w:hint="eastAsia"/>
        </w:rPr>
        <w:t>月</w:t>
      </w:r>
      <w:r>
        <w:t>10</w:t>
      </w:r>
      <w:r>
        <w:rPr>
          <w:rFonts w:hint="eastAsia"/>
        </w:rPr>
        <w:t>日，</w:t>
      </w:r>
      <w:r>
        <w:t>绩效评价项目组（以下简称“评价组”）赴</w:t>
      </w:r>
      <w:r>
        <w:rPr>
          <w:rFonts w:hint="eastAsia"/>
        </w:rPr>
        <w:t>天津市和平区城市管理委员会</w:t>
      </w:r>
      <w:r>
        <w:t>参加了项目见面会，听取了该单位对2022</w:t>
      </w:r>
      <w:r>
        <w:rPr>
          <w:rFonts w:hint="eastAsia"/>
        </w:rPr>
        <w:t>年考评信息采集经费</w:t>
      </w:r>
      <w:r>
        <w:t>项目的项目背景、申请立项、资金落实、业务管理、财务管理、项目产出、项目效益等方面的情况介绍，并对项目后续评价工作的基本原则及所需的各类资料文件提出了要求。</w:t>
      </w:r>
    </w:p>
    <w:p>
      <w:pPr>
        <w:pStyle w:val="25"/>
        <w:ind w:firstLine="640"/>
      </w:pPr>
      <w:r>
        <w:rPr>
          <w:rFonts w:hint="eastAsia"/>
        </w:rPr>
        <w:t>（</w:t>
      </w:r>
      <w:r>
        <w:t>2</w:t>
      </w:r>
      <w:r>
        <w:rPr>
          <w:rFonts w:hint="eastAsia"/>
        </w:rPr>
        <w:t>）制定绩效评价方案</w:t>
      </w:r>
    </w:p>
    <w:p>
      <w:pPr>
        <w:pStyle w:val="25"/>
        <w:ind w:firstLine="640"/>
      </w:pPr>
      <w:r>
        <w:rPr>
          <w:rFonts w:hint="eastAsia"/>
        </w:rPr>
        <w:t>根据</w:t>
      </w:r>
      <w:r>
        <w:rPr>
          <w:rFonts w:hint="eastAsia"/>
          <w:color w:val="000000"/>
          <w:szCs w:val="32"/>
        </w:rPr>
        <w:t>《中共天津市委天津市人民政府印发</w:t>
      </w:r>
      <w:r>
        <w:rPr>
          <w:rFonts w:hint="eastAsia"/>
          <w:color w:val="000000"/>
          <w:szCs w:val="32"/>
          <w:lang w:eastAsia="zh-CN"/>
        </w:rPr>
        <w:t>〈</w:t>
      </w:r>
      <w:r>
        <w:rPr>
          <w:rFonts w:hint="eastAsia"/>
          <w:color w:val="000000"/>
          <w:szCs w:val="32"/>
        </w:rPr>
        <w:t>关于全面推进预算绩效管理的实施方案</w:t>
      </w:r>
      <w:r>
        <w:rPr>
          <w:rFonts w:hint="eastAsia"/>
          <w:color w:val="000000"/>
          <w:szCs w:val="32"/>
          <w:lang w:eastAsia="zh-CN"/>
        </w:rPr>
        <w:t>〉</w:t>
      </w:r>
      <w:r>
        <w:rPr>
          <w:rFonts w:hint="eastAsia"/>
          <w:color w:val="000000"/>
          <w:szCs w:val="32"/>
        </w:rPr>
        <w:t>的通知》（津党发〔2019〕25号）</w:t>
      </w:r>
      <w:r>
        <w:rPr>
          <w:rFonts w:hint="eastAsia"/>
        </w:rPr>
        <w:t>要求</w:t>
      </w:r>
      <w:r>
        <w:t>，评价组制定了《</w:t>
      </w:r>
      <w:r>
        <w:rPr>
          <w:rFonts w:hint="eastAsia"/>
        </w:rPr>
        <w:t>2</w:t>
      </w:r>
      <w:r>
        <w:t>022</w:t>
      </w:r>
      <w:r>
        <w:rPr>
          <w:rFonts w:hint="eastAsia"/>
        </w:rPr>
        <w:t>年考评信息采集经费项目</w:t>
      </w:r>
      <w:r>
        <w:t>绩效评价实施工作方案》</w:t>
      </w:r>
      <w:r>
        <w:rPr>
          <w:rFonts w:hint="eastAsia"/>
        </w:rPr>
        <w:t>，并经天津市和平区城市管理委员会审定后实施</w:t>
      </w:r>
      <w:r>
        <w:t>。</w:t>
      </w:r>
    </w:p>
    <w:p>
      <w:pPr>
        <w:pStyle w:val="25"/>
        <w:ind w:firstLine="640"/>
      </w:pPr>
      <w:r>
        <w:rPr>
          <w:rFonts w:hint="eastAsia"/>
        </w:rPr>
        <w:t>（</w:t>
      </w:r>
      <w:r>
        <w:t>3</w:t>
      </w:r>
      <w:r>
        <w:rPr>
          <w:rFonts w:hint="eastAsia"/>
        </w:rPr>
        <w:t>）指标体系设计</w:t>
      </w:r>
    </w:p>
    <w:p>
      <w:pPr>
        <w:pStyle w:val="25"/>
        <w:ind w:firstLine="640"/>
      </w:pPr>
      <w:r>
        <w:t>根据</w:t>
      </w:r>
      <w:r>
        <w:rPr>
          <w:rFonts w:hint="eastAsia"/>
        </w:rPr>
        <w:t>天津市和平区城市管理委员会</w:t>
      </w:r>
      <w:r>
        <w:t>2022</w:t>
      </w:r>
      <w:r>
        <w:rPr>
          <w:rFonts w:hint="eastAsia"/>
        </w:rPr>
        <w:t>年考评信息采集经费</w:t>
      </w:r>
      <w:r>
        <w:t>项目绩效目标及实际工作需要，从决策、过程、产出、效益四个维度出发，设立项目立项、绩效目标、预算编制、资金管理、组织实施、产出数量、产出质量、产出时效、产出成本、社会效益、</w:t>
      </w:r>
      <w:r>
        <w:rPr>
          <w:rFonts w:hint="eastAsia"/>
        </w:rPr>
        <w:t>可持续影响、</w:t>
      </w:r>
      <w:r>
        <w:t>服务对象满意度12个二级指标和21个三级指标，采取指标分值百分制，将 21个指标量化为 100 分，</w:t>
      </w:r>
      <w:r>
        <w:rPr>
          <w:rFonts w:hint="eastAsia"/>
        </w:rPr>
        <w:t>分值权重在征求被评单位意见的基础上确定，详见附件</w:t>
      </w:r>
      <w:r>
        <w:t>。</w:t>
      </w:r>
    </w:p>
    <w:p>
      <w:pPr>
        <w:pStyle w:val="25"/>
        <w:ind w:firstLine="640"/>
      </w:pPr>
      <w:r>
        <w:t>2.</w:t>
      </w:r>
      <w:r>
        <w:rPr>
          <w:rFonts w:hint="eastAsia"/>
        </w:rPr>
        <w:t>评价实施阶段</w:t>
      </w:r>
    </w:p>
    <w:p>
      <w:pPr>
        <w:pStyle w:val="25"/>
        <w:ind w:firstLine="640"/>
      </w:pPr>
      <w:r>
        <w:rPr>
          <w:rFonts w:hint="eastAsia"/>
        </w:rPr>
        <w:t>（</w:t>
      </w:r>
      <w:r>
        <w:t>1</w:t>
      </w:r>
      <w:r>
        <w:rPr>
          <w:rFonts w:hint="eastAsia"/>
        </w:rPr>
        <w:t>）正式进驻。</w:t>
      </w:r>
    </w:p>
    <w:p>
      <w:pPr>
        <w:pStyle w:val="25"/>
        <w:ind w:firstLine="640"/>
      </w:pPr>
      <w:r>
        <w:rPr>
          <w:rFonts w:hint="eastAsia"/>
        </w:rPr>
        <w:t>评价组于</w:t>
      </w:r>
      <w:r>
        <w:t>2023</w:t>
      </w:r>
      <w:r>
        <w:rPr>
          <w:rFonts w:hint="eastAsia"/>
        </w:rPr>
        <w:t>年</w:t>
      </w:r>
      <w:r>
        <w:t>7</w:t>
      </w:r>
      <w:r>
        <w:rPr>
          <w:rFonts w:hint="eastAsia"/>
        </w:rPr>
        <w:t>月</w:t>
      </w:r>
      <w:r>
        <w:t>10</w:t>
      </w:r>
      <w:r>
        <w:rPr>
          <w:rFonts w:hint="eastAsia"/>
        </w:rPr>
        <w:t>日</w:t>
      </w:r>
      <w:r>
        <w:t>正式进驻</w:t>
      </w:r>
      <w:r>
        <w:rPr>
          <w:rFonts w:hint="eastAsia"/>
        </w:rPr>
        <w:t>天津市和平区城市管理委员会</w:t>
      </w:r>
      <w:r>
        <w:t>实施评价工作</w:t>
      </w:r>
      <w:r>
        <w:rPr>
          <w:rFonts w:hint="eastAsia"/>
        </w:rPr>
        <w:t>。</w:t>
      </w:r>
    </w:p>
    <w:p>
      <w:pPr>
        <w:pStyle w:val="25"/>
        <w:ind w:firstLine="640"/>
      </w:pPr>
      <w:r>
        <w:rPr>
          <w:rFonts w:hint="eastAsia"/>
        </w:rPr>
        <w:t>（</w:t>
      </w:r>
      <w:r>
        <w:t>2</w:t>
      </w:r>
      <w:r>
        <w:rPr>
          <w:rFonts w:hint="eastAsia"/>
        </w:rPr>
        <w:t>）全面审查。</w:t>
      </w:r>
    </w:p>
    <w:p>
      <w:pPr>
        <w:pStyle w:val="25"/>
        <w:ind w:firstLine="640"/>
      </w:pPr>
      <w:r>
        <w:t>评价过程中，评价组对2022</w:t>
      </w:r>
      <w:r>
        <w:rPr>
          <w:rFonts w:hint="eastAsia"/>
        </w:rPr>
        <w:t>年考评信息采集经费</w:t>
      </w:r>
      <w:r>
        <w:t>项目的文件依据、预算编制、制度执行、资金拨付、资金使用情况、产</w:t>
      </w:r>
      <w:r>
        <w:rPr>
          <w:rFonts w:hint="eastAsia"/>
        </w:rPr>
        <w:t>出</w:t>
      </w:r>
      <w:r>
        <w:t>效益等方面进行了全面梳理。评价组根据</w:t>
      </w:r>
      <w:r>
        <w:rPr>
          <w:rFonts w:hint="eastAsia"/>
        </w:rPr>
        <w:t>项目相关会议纪要、项目明细账、经费支出审批单、政府采购合同</w:t>
      </w:r>
      <w:r>
        <w:t>等文件，对专项经费的到位情况、预算编制</w:t>
      </w:r>
      <w:r>
        <w:rPr>
          <w:rFonts w:hint="eastAsia"/>
        </w:rPr>
        <w:t>、经费的执行情况、项目签订合同情况</w:t>
      </w:r>
      <w:r>
        <w:t>等相关业务文件进行了核查。</w:t>
      </w:r>
    </w:p>
    <w:p>
      <w:pPr>
        <w:pStyle w:val="25"/>
        <w:ind w:firstLine="640"/>
      </w:pPr>
      <w:r>
        <w:rPr>
          <w:rFonts w:hint="eastAsia"/>
        </w:rPr>
        <w:t>（</w:t>
      </w:r>
      <w:r>
        <w:t>3</w:t>
      </w:r>
      <w:r>
        <w:rPr>
          <w:rFonts w:hint="eastAsia"/>
        </w:rPr>
        <w:t>）实地核查。</w:t>
      </w:r>
    </w:p>
    <w:p>
      <w:pPr>
        <w:pStyle w:val="25"/>
        <w:ind w:firstLine="640"/>
      </w:pPr>
      <w:r>
        <w:t>对</w:t>
      </w:r>
      <w:r>
        <w:rPr>
          <w:rFonts w:hint="eastAsia"/>
        </w:rPr>
        <w:t>天津市和平区城市管理委员会</w:t>
      </w:r>
      <w:r>
        <w:t>开展现场评价，针对项目</w:t>
      </w:r>
      <w:r>
        <w:rPr>
          <w:rFonts w:hint="eastAsia"/>
        </w:rPr>
        <w:t>完成</w:t>
      </w:r>
      <w:r>
        <w:t>情况进行一一核查，并对2022</w:t>
      </w:r>
      <w:r>
        <w:rPr>
          <w:rFonts w:hint="eastAsia"/>
        </w:rPr>
        <w:t>年考评信息采集经费</w:t>
      </w:r>
      <w:r>
        <w:t>项目完成后的不足提出建议，根据上述核查内容形成评价清单</w:t>
      </w:r>
      <w:r>
        <w:rPr>
          <w:rFonts w:hint="eastAsia"/>
        </w:rPr>
        <w:t>。</w:t>
      </w:r>
    </w:p>
    <w:p>
      <w:pPr>
        <w:pStyle w:val="25"/>
        <w:ind w:firstLine="640"/>
      </w:pPr>
      <w:r>
        <w:rPr>
          <w:rFonts w:hint="eastAsia"/>
        </w:rPr>
        <w:t>（</w:t>
      </w:r>
      <w:r>
        <w:t>4</w:t>
      </w:r>
      <w:r>
        <w:rPr>
          <w:rFonts w:hint="eastAsia"/>
        </w:rPr>
        <w:t>）评价打分。</w:t>
      </w:r>
    </w:p>
    <w:p>
      <w:pPr>
        <w:pStyle w:val="25"/>
        <w:ind w:firstLine="640"/>
      </w:pPr>
      <w:r>
        <w:rPr>
          <w:rFonts w:hint="eastAsia"/>
        </w:rPr>
        <w:t>评价组</w:t>
      </w:r>
      <w:r>
        <w:t>按照绩效评价指标体系</w:t>
      </w:r>
      <w:r>
        <w:rPr>
          <w:rFonts w:hint="eastAsia"/>
        </w:rPr>
        <w:t>，结合单位项目组织管理、实施情况，</w:t>
      </w:r>
      <w:r>
        <w:t>对各绩效评价指标进行了评分</w:t>
      </w:r>
      <w:r>
        <w:rPr>
          <w:rFonts w:eastAsia="宋体"/>
        </w:rPr>
        <w:t>。</w:t>
      </w:r>
    </w:p>
    <w:p>
      <w:pPr>
        <w:pStyle w:val="25"/>
        <w:ind w:firstLine="640"/>
      </w:pPr>
      <w:r>
        <w:rPr>
          <w:rFonts w:hint="eastAsia"/>
        </w:rPr>
        <w:t>（</w:t>
      </w:r>
      <w:r>
        <w:t>5</w:t>
      </w:r>
      <w:r>
        <w:rPr>
          <w:rFonts w:hint="eastAsia"/>
        </w:rPr>
        <w:t>）编制报告。</w:t>
      </w:r>
    </w:p>
    <w:p>
      <w:pPr>
        <w:pStyle w:val="25"/>
        <w:ind w:firstLine="640"/>
      </w:pPr>
      <w:r>
        <w:t>评价组根据现场评价打分，编制绩效评价报告，全面梳理本项目在决策依据、过程管理、产出情况、取得效益等方面存在的问题及工作建议。</w:t>
      </w:r>
    </w:p>
    <w:p>
      <w:pPr>
        <w:pStyle w:val="27"/>
      </w:pPr>
      <w:bookmarkStart w:id="16" w:name="_Toc784446642"/>
      <w:r>
        <w:rPr>
          <w:rFonts w:hint="eastAsia"/>
        </w:rPr>
        <w:t>三、综合评价情况及评价结论</w:t>
      </w:r>
      <w:bookmarkEnd w:id="16"/>
    </w:p>
    <w:p>
      <w:pPr>
        <w:pStyle w:val="25"/>
        <w:ind w:firstLine="640"/>
      </w:pPr>
      <w:bookmarkStart w:id="17" w:name="_Hlk91875381"/>
      <w:r>
        <w:rPr>
          <w:rFonts w:hint="eastAsia"/>
        </w:rPr>
        <w:t>经过综合评价，考评信息采集经费项目得分</w:t>
      </w:r>
      <w:r>
        <w:t>93</w:t>
      </w:r>
      <w:r>
        <w:rPr>
          <w:rFonts w:hint="eastAsia"/>
        </w:rPr>
        <w:t>分，评价等级为“优”。其中，项目决策</w:t>
      </w:r>
      <w:r>
        <w:t>15</w:t>
      </w:r>
      <w:r>
        <w:rPr>
          <w:rFonts w:hint="eastAsia"/>
        </w:rPr>
        <w:t>分，项目过程</w:t>
      </w:r>
      <w:r>
        <w:t>21</w:t>
      </w:r>
      <w:r>
        <w:rPr>
          <w:rFonts w:hint="eastAsia"/>
        </w:rPr>
        <w:t>分，项目产出</w:t>
      </w:r>
      <w:r>
        <w:t>38</w:t>
      </w:r>
      <w:r>
        <w:rPr>
          <w:rFonts w:hint="eastAsia"/>
        </w:rPr>
        <w:t>分，项目效益</w:t>
      </w:r>
      <w:r>
        <w:t>19</w:t>
      </w:r>
      <w:r>
        <w:rPr>
          <w:rFonts w:hint="eastAsia"/>
        </w:rPr>
        <w:t>分</w:t>
      </w:r>
      <w:bookmarkStart w:id="18" w:name="_Hlk141448686"/>
      <w:r>
        <w:rPr>
          <w:rFonts w:hint="eastAsia"/>
        </w:rPr>
        <w:t>。</w:t>
      </w:r>
      <w:bookmarkEnd w:id="17"/>
      <w:bookmarkEnd w:id="18"/>
    </w:p>
    <w:p>
      <w:pPr>
        <w:pStyle w:val="25"/>
        <w:ind w:firstLine="640"/>
      </w:pPr>
      <w:bookmarkStart w:id="19" w:name="_Hlk91875395"/>
      <w:r>
        <w:rPr>
          <w:rFonts w:hint="eastAsia"/>
        </w:rPr>
        <w:t>具体情况见表2：</w:t>
      </w:r>
    </w:p>
    <w:p>
      <w:pPr>
        <w:pStyle w:val="32"/>
        <w:bidi w:val="0"/>
      </w:pPr>
      <w:r>
        <w:t xml:space="preserve">表2  </w:t>
      </w:r>
      <w:r>
        <w:rPr>
          <w:rFonts w:hint="eastAsia"/>
        </w:rPr>
        <w:t>考评信息采集经费项目绩效得分情况表</w:t>
      </w:r>
    </w:p>
    <w:tbl>
      <w:tblPr>
        <w:tblStyle w:val="15"/>
        <w:tblW w:w="4344"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304"/>
        <w:gridCol w:w="1304"/>
        <w:gridCol w:w="1305"/>
        <w:gridCol w:w="1332"/>
        <w:gridCol w:w="1305"/>
        <w:gridCol w:w="1321"/>
      </w:tblGrid>
      <w:tr>
        <w:trPr>
          <w:trHeight w:val="454" w:hRule="atLeast"/>
          <w:jc w:val="center"/>
        </w:trPr>
        <w:tc>
          <w:tcPr>
            <w:tcW w:w="828" w:type="pct"/>
            <w:vAlign w:val="center"/>
          </w:tcPr>
          <w:p>
            <w:pPr>
              <w:pStyle w:val="35"/>
              <w:bidi w:val="0"/>
            </w:pPr>
            <w:r>
              <w:rPr>
                <w:rFonts w:hint="eastAsia"/>
              </w:rPr>
              <w:t>指标</w:t>
            </w:r>
          </w:p>
        </w:tc>
        <w:tc>
          <w:tcPr>
            <w:tcW w:w="828" w:type="pct"/>
            <w:vAlign w:val="center"/>
          </w:tcPr>
          <w:p>
            <w:pPr>
              <w:pStyle w:val="35"/>
              <w:bidi w:val="0"/>
            </w:pPr>
            <w:r>
              <w:rPr>
                <w:rFonts w:hint="eastAsia"/>
              </w:rPr>
              <w:t>项目决策</w:t>
            </w:r>
          </w:p>
        </w:tc>
        <w:tc>
          <w:tcPr>
            <w:tcW w:w="829" w:type="pct"/>
            <w:vAlign w:val="center"/>
          </w:tcPr>
          <w:p>
            <w:pPr>
              <w:pStyle w:val="35"/>
              <w:bidi w:val="0"/>
            </w:pPr>
            <w:r>
              <w:rPr>
                <w:rFonts w:hint="eastAsia"/>
              </w:rPr>
              <w:t>项目过程</w:t>
            </w:r>
          </w:p>
        </w:tc>
        <w:tc>
          <w:tcPr>
            <w:tcW w:w="846" w:type="pct"/>
            <w:vAlign w:val="center"/>
          </w:tcPr>
          <w:p>
            <w:pPr>
              <w:pStyle w:val="35"/>
              <w:bidi w:val="0"/>
            </w:pPr>
            <w:r>
              <w:rPr>
                <w:rFonts w:hint="eastAsia"/>
              </w:rPr>
              <w:t>项目产出</w:t>
            </w:r>
          </w:p>
        </w:tc>
        <w:tc>
          <w:tcPr>
            <w:tcW w:w="829" w:type="pct"/>
            <w:vAlign w:val="center"/>
          </w:tcPr>
          <w:p>
            <w:pPr>
              <w:pStyle w:val="35"/>
              <w:bidi w:val="0"/>
            </w:pPr>
            <w:r>
              <w:rPr>
                <w:rFonts w:hint="eastAsia"/>
              </w:rPr>
              <w:t>项目效益</w:t>
            </w:r>
          </w:p>
        </w:tc>
        <w:tc>
          <w:tcPr>
            <w:tcW w:w="839" w:type="pct"/>
            <w:vAlign w:val="center"/>
          </w:tcPr>
          <w:p>
            <w:pPr>
              <w:pStyle w:val="35"/>
              <w:bidi w:val="0"/>
            </w:pPr>
            <w:r>
              <w:rPr>
                <w:rFonts w:hint="eastAsia"/>
              </w:rPr>
              <w:t>合计</w:t>
            </w:r>
          </w:p>
        </w:tc>
      </w:tr>
      <w:tr>
        <w:trPr>
          <w:trHeight w:val="454" w:hRule="atLeast"/>
          <w:jc w:val="center"/>
        </w:trPr>
        <w:tc>
          <w:tcPr>
            <w:tcW w:w="828" w:type="pct"/>
            <w:vAlign w:val="center"/>
          </w:tcPr>
          <w:p>
            <w:pPr>
              <w:pStyle w:val="37"/>
              <w:bidi w:val="0"/>
            </w:pPr>
            <w:r>
              <w:rPr>
                <w:rFonts w:hint="eastAsia"/>
              </w:rPr>
              <w:t>分值</w:t>
            </w:r>
          </w:p>
        </w:tc>
        <w:tc>
          <w:tcPr>
            <w:tcW w:w="828" w:type="pct"/>
            <w:vAlign w:val="center"/>
          </w:tcPr>
          <w:p>
            <w:pPr>
              <w:pStyle w:val="37"/>
              <w:bidi w:val="0"/>
            </w:pPr>
            <w:r>
              <w:t>17</w:t>
            </w:r>
          </w:p>
        </w:tc>
        <w:tc>
          <w:tcPr>
            <w:tcW w:w="829" w:type="pct"/>
            <w:vAlign w:val="center"/>
          </w:tcPr>
          <w:p>
            <w:pPr>
              <w:pStyle w:val="37"/>
              <w:bidi w:val="0"/>
            </w:pPr>
            <w:r>
              <w:t>23</w:t>
            </w:r>
          </w:p>
        </w:tc>
        <w:tc>
          <w:tcPr>
            <w:tcW w:w="846" w:type="pct"/>
            <w:vAlign w:val="center"/>
          </w:tcPr>
          <w:p>
            <w:pPr>
              <w:pStyle w:val="37"/>
              <w:bidi w:val="0"/>
            </w:pPr>
            <w:r>
              <w:t>38</w:t>
            </w:r>
          </w:p>
        </w:tc>
        <w:tc>
          <w:tcPr>
            <w:tcW w:w="829" w:type="pct"/>
            <w:vAlign w:val="center"/>
          </w:tcPr>
          <w:p>
            <w:pPr>
              <w:pStyle w:val="37"/>
              <w:bidi w:val="0"/>
            </w:pPr>
            <w:r>
              <w:t>22</w:t>
            </w:r>
          </w:p>
        </w:tc>
        <w:tc>
          <w:tcPr>
            <w:tcW w:w="839" w:type="pct"/>
            <w:vAlign w:val="center"/>
          </w:tcPr>
          <w:p>
            <w:pPr>
              <w:pStyle w:val="37"/>
              <w:bidi w:val="0"/>
            </w:pPr>
            <w:r>
              <w:t>100</w:t>
            </w:r>
          </w:p>
        </w:tc>
      </w:tr>
      <w:tr>
        <w:trPr>
          <w:trHeight w:val="454" w:hRule="atLeast"/>
          <w:jc w:val="center"/>
        </w:trPr>
        <w:tc>
          <w:tcPr>
            <w:tcW w:w="828" w:type="pct"/>
            <w:vAlign w:val="center"/>
          </w:tcPr>
          <w:p>
            <w:pPr>
              <w:pStyle w:val="37"/>
              <w:bidi w:val="0"/>
            </w:pPr>
            <w:r>
              <w:rPr>
                <w:rFonts w:hint="eastAsia"/>
              </w:rPr>
              <w:t>得分</w:t>
            </w:r>
          </w:p>
        </w:tc>
        <w:tc>
          <w:tcPr>
            <w:tcW w:w="828" w:type="pct"/>
            <w:vAlign w:val="center"/>
          </w:tcPr>
          <w:p>
            <w:pPr>
              <w:pStyle w:val="37"/>
              <w:bidi w:val="0"/>
            </w:pPr>
            <w:r>
              <w:rPr>
                <w:rFonts w:hint="eastAsia"/>
              </w:rPr>
              <w:t>1</w:t>
            </w:r>
            <w:r>
              <w:t>5</w:t>
            </w:r>
          </w:p>
        </w:tc>
        <w:tc>
          <w:tcPr>
            <w:tcW w:w="829" w:type="pct"/>
            <w:vAlign w:val="center"/>
          </w:tcPr>
          <w:p>
            <w:pPr>
              <w:pStyle w:val="37"/>
              <w:bidi w:val="0"/>
            </w:pPr>
            <w:r>
              <w:rPr>
                <w:rFonts w:hint="eastAsia"/>
              </w:rPr>
              <w:t>2</w:t>
            </w:r>
            <w:r>
              <w:t>1</w:t>
            </w:r>
          </w:p>
        </w:tc>
        <w:tc>
          <w:tcPr>
            <w:tcW w:w="846" w:type="pct"/>
            <w:vAlign w:val="center"/>
          </w:tcPr>
          <w:p>
            <w:pPr>
              <w:pStyle w:val="37"/>
              <w:bidi w:val="0"/>
            </w:pPr>
            <w:r>
              <w:rPr>
                <w:rFonts w:hint="eastAsia"/>
              </w:rPr>
              <w:t>3</w:t>
            </w:r>
            <w:r>
              <w:t>8</w:t>
            </w:r>
          </w:p>
        </w:tc>
        <w:tc>
          <w:tcPr>
            <w:tcW w:w="829" w:type="pct"/>
            <w:vAlign w:val="center"/>
          </w:tcPr>
          <w:p>
            <w:pPr>
              <w:pStyle w:val="37"/>
              <w:bidi w:val="0"/>
            </w:pPr>
            <w:r>
              <w:rPr>
                <w:rFonts w:hint="eastAsia"/>
              </w:rPr>
              <w:t>1</w:t>
            </w:r>
            <w:r>
              <w:t>9</w:t>
            </w:r>
          </w:p>
        </w:tc>
        <w:tc>
          <w:tcPr>
            <w:tcW w:w="839" w:type="pct"/>
            <w:vAlign w:val="center"/>
          </w:tcPr>
          <w:p>
            <w:pPr>
              <w:pStyle w:val="37"/>
              <w:bidi w:val="0"/>
            </w:pPr>
            <w:r>
              <w:rPr>
                <w:rFonts w:hint="eastAsia"/>
              </w:rPr>
              <w:t>9</w:t>
            </w:r>
            <w:r>
              <w:t>3</w:t>
            </w:r>
          </w:p>
        </w:tc>
      </w:tr>
      <w:tr>
        <w:trPr>
          <w:trHeight w:val="454" w:hRule="atLeast"/>
          <w:jc w:val="center"/>
        </w:trPr>
        <w:tc>
          <w:tcPr>
            <w:tcW w:w="828" w:type="pct"/>
            <w:vAlign w:val="center"/>
          </w:tcPr>
          <w:p>
            <w:pPr>
              <w:pStyle w:val="37"/>
              <w:bidi w:val="0"/>
            </w:pPr>
            <w:r>
              <w:rPr>
                <w:rFonts w:hint="eastAsia"/>
              </w:rPr>
              <w:t>得分率</w:t>
            </w:r>
          </w:p>
        </w:tc>
        <w:tc>
          <w:tcPr>
            <w:tcW w:w="828" w:type="pct"/>
            <w:vAlign w:val="center"/>
          </w:tcPr>
          <w:p>
            <w:pPr>
              <w:pStyle w:val="37"/>
              <w:bidi w:val="0"/>
            </w:pPr>
            <w:r>
              <w:rPr>
                <w:rFonts w:hint="eastAsia"/>
              </w:rPr>
              <w:t>8</w:t>
            </w:r>
            <w:r>
              <w:t>8</w:t>
            </w:r>
            <w:r>
              <w:rPr>
                <w:rFonts w:hint="eastAsia"/>
              </w:rPr>
              <w:t>.2</w:t>
            </w:r>
            <w:r>
              <w:t>%</w:t>
            </w:r>
          </w:p>
        </w:tc>
        <w:tc>
          <w:tcPr>
            <w:tcW w:w="829" w:type="pct"/>
            <w:vAlign w:val="center"/>
          </w:tcPr>
          <w:p>
            <w:pPr>
              <w:pStyle w:val="37"/>
              <w:bidi w:val="0"/>
            </w:pPr>
            <w:r>
              <w:rPr>
                <w:rFonts w:hint="eastAsia"/>
              </w:rPr>
              <w:t>9</w:t>
            </w:r>
            <w:r>
              <w:t>1.3%</w:t>
            </w:r>
          </w:p>
        </w:tc>
        <w:tc>
          <w:tcPr>
            <w:tcW w:w="846" w:type="pct"/>
            <w:vAlign w:val="center"/>
          </w:tcPr>
          <w:p>
            <w:pPr>
              <w:pStyle w:val="37"/>
              <w:bidi w:val="0"/>
            </w:pPr>
            <w:r>
              <w:rPr>
                <w:rFonts w:hint="eastAsia"/>
              </w:rPr>
              <w:t>1</w:t>
            </w:r>
            <w:r>
              <w:t>00%</w:t>
            </w:r>
          </w:p>
        </w:tc>
        <w:tc>
          <w:tcPr>
            <w:tcW w:w="829" w:type="pct"/>
            <w:vAlign w:val="center"/>
          </w:tcPr>
          <w:p>
            <w:pPr>
              <w:pStyle w:val="37"/>
              <w:bidi w:val="0"/>
            </w:pPr>
            <w:r>
              <w:rPr>
                <w:rFonts w:hint="eastAsia"/>
              </w:rPr>
              <w:t>8</w:t>
            </w:r>
            <w:r>
              <w:t>6.4%</w:t>
            </w:r>
          </w:p>
        </w:tc>
        <w:tc>
          <w:tcPr>
            <w:tcW w:w="839" w:type="pct"/>
            <w:vAlign w:val="center"/>
          </w:tcPr>
          <w:p>
            <w:pPr>
              <w:pStyle w:val="37"/>
              <w:bidi w:val="0"/>
            </w:pPr>
            <w:r>
              <w:t>93%</w:t>
            </w:r>
          </w:p>
        </w:tc>
      </w:tr>
      <w:bookmarkEnd w:id="19"/>
    </w:tbl>
    <w:p>
      <w:pPr>
        <w:pStyle w:val="25"/>
        <w:ind w:firstLine="640"/>
        <w:rPr>
          <w:rFonts w:cs="仿宋_GB2312"/>
        </w:rPr>
      </w:pPr>
      <w:bookmarkStart w:id="20" w:name="_Hlk91875411"/>
      <w:r>
        <w:rPr>
          <w:rFonts w:hint="eastAsia"/>
        </w:rPr>
        <w:t>评价结论：</w:t>
      </w:r>
      <w:r>
        <w:rPr>
          <w:rFonts w:hint="eastAsia" w:cs="仿宋_GB2312"/>
        </w:rPr>
        <w:t>一是项目决策方面，本项目立项依据充分，立项程序规范，预算编制测算数据合</w:t>
      </w:r>
      <w:bookmarkStart w:id="38" w:name="_GoBack"/>
      <w:bookmarkEnd w:id="38"/>
      <w:r>
        <w:rPr>
          <w:rFonts w:hint="eastAsia" w:cs="仿宋_GB2312"/>
        </w:rPr>
        <w:t>理，测算标准客观，符合项目需求，</w:t>
      </w:r>
      <w:r>
        <w:rPr>
          <w:rFonts w:hint="eastAsia"/>
        </w:rPr>
        <w:t>但</w:t>
      </w:r>
      <w:r>
        <w:t>编制的绩效指标存在</w:t>
      </w:r>
      <w:r>
        <w:rPr>
          <w:rFonts w:hint="eastAsia"/>
        </w:rPr>
        <w:t>数量指标指标值设置低于合同规定要求，并且部门编制的效益</w:t>
      </w:r>
      <w:r>
        <w:t>指标存在</w:t>
      </w:r>
      <w:r>
        <w:rPr>
          <w:rFonts w:hint="eastAsia"/>
        </w:rPr>
        <w:t>关联性不高的问题。</w:t>
      </w:r>
      <w:r>
        <w:rPr>
          <w:rFonts w:hint="eastAsia" w:cs="仿宋_GB2312"/>
        </w:rPr>
        <w:t>二是项目过程方面，财政资金到位及时，资金使用合规，管理制度基本健全，但</w:t>
      </w:r>
      <w:r>
        <w:rPr>
          <w:rFonts w:hint="eastAsia"/>
          <w:bCs/>
        </w:rPr>
        <w:t>部门</w:t>
      </w:r>
      <w:r>
        <w:rPr>
          <w:rFonts w:hint="eastAsia" w:cs="仿宋_GB2312"/>
        </w:rPr>
        <w:t>存在</w:t>
      </w:r>
      <w:r>
        <w:rPr>
          <w:rFonts w:hint="eastAsia"/>
          <w:bCs/>
        </w:rPr>
        <w:t>过程监管及事后验收不足的问题</w:t>
      </w:r>
      <w:r>
        <w:rPr>
          <w:rFonts w:hint="eastAsia"/>
        </w:rPr>
        <w:t>。</w:t>
      </w:r>
      <w:r>
        <w:rPr>
          <w:rFonts w:hint="eastAsia" w:cs="仿宋_GB2312"/>
        </w:rPr>
        <w:t>三是项目产出方面，项目产出指标达到预期指标，项目产出情况良好。四是项目效益方面，项目整体效果较好，</w:t>
      </w:r>
      <w:r>
        <w:rPr>
          <w:rFonts w:hint="eastAsia"/>
        </w:rPr>
        <w:t>服务对象对项目执行效果满意度高，但工作管理机制还需进一步完善、执行有效性不足。</w:t>
      </w:r>
      <w:r>
        <w:t xml:space="preserve"> </w:t>
      </w:r>
    </w:p>
    <w:bookmarkEnd w:id="20"/>
    <w:p>
      <w:pPr>
        <w:pStyle w:val="27"/>
        <w:ind w:firstLine="320" w:firstLineChars="100"/>
      </w:pPr>
      <w:bookmarkStart w:id="21" w:name="_Toc792603161"/>
      <w:bookmarkStart w:id="22" w:name="_Toc141368876"/>
      <w:r>
        <w:rPr>
          <w:rFonts w:hint="eastAsia"/>
        </w:rPr>
        <w:t>四、绩效评价指标分析</w:t>
      </w:r>
      <w:bookmarkEnd w:id="21"/>
    </w:p>
    <w:p>
      <w:pPr>
        <w:pStyle w:val="29"/>
        <w:ind w:firstLine="640"/>
        <w:rPr>
          <w:rFonts w:ascii="Times New Roman" w:hAnsi="Times New Roman"/>
        </w:rPr>
      </w:pPr>
      <w:bookmarkStart w:id="23" w:name="_Toc440264586"/>
      <w:r>
        <w:rPr>
          <w:rFonts w:hint="eastAsia" w:ascii="Times New Roman" w:hAnsi="Times New Roman"/>
        </w:rPr>
        <w:t>（一）项目决策情况</w:t>
      </w:r>
      <w:bookmarkEnd w:id="23"/>
    </w:p>
    <w:p>
      <w:pPr>
        <w:pStyle w:val="25"/>
        <w:ind w:firstLine="640"/>
      </w:pPr>
      <w:r>
        <w:rPr>
          <w:rFonts w:hint="eastAsia"/>
        </w:rPr>
        <w:t>决策指标主要包括项目立项、绩效目标、预算编制</w:t>
      </w:r>
      <w:r>
        <w:t>3</w:t>
      </w:r>
      <w:r>
        <w:rPr>
          <w:rFonts w:hint="eastAsia"/>
        </w:rPr>
        <w:t>项二级指标，</w:t>
      </w:r>
      <w:r>
        <w:t>8</w:t>
      </w:r>
      <w:r>
        <w:rPr>
          <w:rFonts w:hint="eastAsia"/>
        </w:rPr>
        <w:t>项三级指标，基础总分</w:t>
      </w:r>
      <w:r>
        <w:t>17</w:t>
      </w:r>
      <w:r>
        <w:rPr>
          <w:rFonts w:hint="eastAsia"/>
        </w:rPr>
        <w:t>分，合计得分</w:t>
      </w:r>
      <w:r>
        <w:t>15</w:t>
      </w:r>
      <w:r>
        <w:rPr>
          <w:rFonts w:hint="eastAsia"/>
        </w:rPr>
        <w:t>分。</w:t>
      </w:r>
    </w:p>
    <w:p>
      <w:pPr>
        <w:pStyle w:val="25"/>
        <w:ind w:firstLine="640"/>
      </w:pPr>
      <w:r>
        <w:rPr>
          <w:rFonts w:hint="eastAsia"/>
        </w:rPr>
        <w:t>1.项目立项</w:t>
      </w:r>
    </w:p>
    <w:p>
      <w:pPr>
        <w:pStyle w:val="25"/>
        <w:ind w:firstLine="640"/>
      </w:pPr>
      <w:r>
        <w:rPr>
          <w:rFonts w:hint="eastAsia"/>
        </w:rPr>
        <w:t>（1）立项依据充分性（总分2分，得分</w:t>
      </w:r>
      <w:r>
        <w:t>2</w:t>
      </w:r>
      <w:r>
        <w:rPr>
          <w:rFonts w:hint="eastAsia"/>
        </w:rPr>
        <w:t>分）。考评信息采集经费项目立项</w:t>
      </w:r>
      <w:bookmarkStart w:id="24" w:name="_Hlk142608730"/>
      <w:r>
        <w:rPr>
          <w:rFonts w:hint="eastAsia"/>
        </w:rPr>
        <w:t>符合《天津市城市管理规定》（津政令第</w:t>
      </w:r>
      <w:r>
        <w:t>26号）中</w:t>
      </w:r>
      <w:r>
        <w:rPr>
          <w:rFonts w:hint="eastAsia"/>
        </w:rPr>
        <w:t>“</w:t>
      </w:r>
      <w:r>
        <w:t>区县数字化城市管理部门按划定网格派遣城市管理信息采集员进行巡查，对需要处置的事件、部件问题向责任单位下达任务派遣，并按照事件、部件问题处置标准进行核查</w:t>
      </w:r>
      <w:r>
        <w:rPr>
          <w:rFonts w:hint="eastAsia"/>
        </w:rPr>
        <w:t>”的要求，</w:t>
      </w:r>
      <w:r>
        <w:t>与天津市和平区城市管理委员会部门职责</w:t>
      </w:r>
      <w:r>
        <w:rPr>
          <w:rFonts w:hint="eastAsia"/>
        </w:rPr>
        <w:t>“推进城市管理数字化、精细化、智慧化建设，全面提升城市管理智能化水平和城市管理标准化水平”</w:t>
      </w:r>
      <w:r>
        <w:t>相符，属于部门履职所需。</w:t>
      </w:r>
      <w:r>
        <w:rPr>
          <w:rFonts w:hint="eastAsia"/>
        </w:rPr>
        <w:t>项目属于公共财政支持范围，符合区级政府事权支出责任划分原则，未与其他部门项目或政策存在交叉重复，项目立项依据充分。</w:t>
      </w:r>
    </w:p>
    <w:bookmarkEnd w:id="24"/>
    <w:p>
      <w:pPr>
        <w:pStyle w:val="25"/>
        <w:ind w:firstLine="640"/>
      </w:pPr>
      <w:r>
        <w:rPr>
          <w:rFonts w:hint="eastAsia"/>
        </w:rPr>
        <w:t>（2）立项程序规范性（总分2分，得分</w:t>
      </w:r>
      <w:r>
        <w:t>2</w:t>
      </w:r>
      <w:r>
        <w:rPr>
          <w:rFonts w:hint="eastAsia"/>
        </w:rPr>
        <w:t>分）。考评信息采集经费项目严格按照天津市和平区城市管理委员会规定的程序申请设立，事前经部门申请，领导审批，单位集体决策审议后，确定项目申请立项并启动项目各项工作，项目有完整的会议</w:t>
      </w:r>
      <w:r>
        <w:rPr>
          <w:rFonts w:hint="eastAsia"/>
          <w:lang w:val="en-US" w:eastAsia="zh-CN"/>
        </w:rPr>
        <w:t>纪要</w:t>
      </w:r>
      <w:r>
        <w:rPr>
          <w:rFonts w:hint="eastAsia"/>
        </w:rPr>
        <w:t>，审批文件、材料，项目立项程序规范。</w:t>
      </w:r>
    </w:p>
    <w:p>
      <w:pPr>
        <w:pStyle w:val="25"/>
        <w:ind w:firstLine="640"/>
        <w:contextualSpacing/>
      </w:pPr>
      <w:r>
        <w:rPr>
          <w:rFonts w:hint="eastAsia"/>
        </w:rPr>
        <w:t>2.绩效目标</w:t>
      </w:r>
    </w:p>
    <w:p>
      <w:pPr>
        <w:pStyle w:val="47"/>
        <w:ind w:firstLine="640"/>
      </w:pPr>
      <w:r>
        <w:rPr>
          <w:rFonts w:hint="eastAsia"/>
        </w:rPr>
        <w:t>（1）绩效目标明确性（总分</w:t>
      </w:r>
      <w:r>
        <w:t>2</w:t>
      </w:r>
      <w:r>
        <w:rPr>
          <w:rFonts w:hint="eastAsia"/>
        </w:rPr>
        <w:t>分，得分</w:t>
      </w:r>
      <w:r>
        <w:t>0</w:t>
      </w:r>
      <w:r>
        <w:rPr>
          <w:rFonts w:hint="eastAsia"/>
        </w:rPr>
        <w:t>分）。</w:t>
      </w:r>
      <w:r>
        <w:t>根据</w:t>
      </w:r>
      <w:r>
        <w:rPr>
          <w:rFonts w:hint="eastAsia"/>
        </w:rPr>
        <w:t>天津市和平区财政局印发的《和平区预算绩效目标管理办法》中</w:t>
      </w:r>
      <w:r>
        <w:t>要求</w:t>
      </w:r>
      <w:r>
        <w:rPr>
          <w:rFonts w:hint="eastAsia"/>
        </w:rPr>
        <w:t>，绩效指标是绩效目标的细化和量化描述</w:t>
      </w:r>
      <w:r>
        <w:rPr>
          <w:rFonts w:hint="eastAsia"/>
          <w:color w:val="333333"/>
          <w:szCs w:val="32"/>
        </w:rPr>
        <w:t>。</w:t>
      </w:r>
      <w:r>
        <w:rPr>
          <w:rFonts w:hint="eastAsia"/>
        </w:rPr>
        <w:t>考评信息采集经费</w:t>
      </w:r>
      <w:r>
        <w:t>项目具有完整的绩效目标申报表</w:t>
      </w:r>
      <w:r>
        <w:rPr>
          <w:rFonts w:hint="eastAsia"/>
        </w:rPr>
        <w:t>，依据绩效目标设定的产出指标、效益指标和满意度指标全部通过清晰、可衡量的指标值予以体现，但数量指标设置的指标值为不低于7万件，低于合同规定的不低于8万件的要求，并且部门编制的效益</w:t>
      </w:r>
      <w:r>
        <w:t>指标存在</w:t>
      </w:r>
      <w:r>
        <w:rPr>
          <w:rFonts w:hint="eastAsia"/>
        </w:rPr>
        <w:t>关联性不高的问题，如经济效益指标三级指标为“提升和平区市容环境”，三级指标未反映出项目实施后产生的经济效益影响。</w:t>
      </w:r>
    </w:p>
    <w:p>
      <w:pPr>
        <w:pStyle w:val="25"/>
        <w:ind w:firstLine="640"/>
      </w:pPr>
      <w:r>
        <w:rPr>
          <w:rFonts w:hint="eastAsia"/>
        </w:rPr>
        <w:t>（2）绩效目标合理性（总分</w:t>
      </w:r>
      <w:r>
        <w:t>4</w:t>
      </w:r>
      <w:r>
        <w:rPr>
          <w:rFonts w:hint="eastAsia"/>
        </w:rPr>
        <w:t>分，得分</w:t>
      </w:r>
      <w:r>
        <w:t>4</w:t>
      </w:r>
      <w:r>
        <w:rPr>
          <w:rFonts w:hint="eastAsia"/>
        </w:rPr>
        <w:t>分）。</w:t>
      </w:r>
      <w:r>
        <w:t>根据</w:t>
      </w:r>
      <w:r>
        <w:rPr>
          <w:rFonts w:hint="eastAsia"/>
        </w:rPr>
        <w:t>天津市和平区财政局印发的《和平区预算绩效目标管理办法》中</w:t>
      </w:r>
      <w:r>
        <w:t>文件要求</w:t>
      </w:r>
      <w:r>
        <w:rPr>
          <w:rFonts w:hint="eastAsia"/>
        </w:rPr>
        <w:t>，</w:t>
      </w:r>
      <w:r>
        <w:rPr>
          <w:rFonts w:hint="eastAsia"/>
          <w:color w:val="333333"/>
          <w:szCs w:val="32"/>
        </w:rPr>
        <w:t>绩效目标要指向明确、细化量化、合理可行、相应匹配，实现可审核、可监控、可评价</w:t>
      </w:r>
      <w:r>
        <w:rPr>
          <w:rFonts w:hint="eastAsia"/>
        </w:rPr>
        <w:t>。考评信息采集经费项目具有完整的绩效目标申报表，绩效目标申报表中资金与项目预期投入资金量相匹配，项目绩效目标与考评信息采集经费项目实际工作内容相匹配，并已将绩效目标细化分解为具体的绩效指标，预期产出效益和效果符合正常的业绩水平，项目绩效目标设置合理</w:t>
      </w:r>
      <w:r>
        <w:t xml:space="preserve">。 </w:t>
      </w:r>
    </w:p>
    <w:p>
      <w:pPr>
        <w:pStyle w:val="25"/>
        <w:ind w:firstLine="640"/>
        <w:contextualSpacing/>
        <w:rPr>
          <w:bCs/>
        </w:rPr>
      </w:pPr>
      <w:r>
        <w:rPr>
          <w:rFonts w:hint="eastAsia"/>
          <w:bCs/>
        </w:rPr>
        <w:t>3.预算编制</w:t>
      </w:r>
    </w:p>
    <w:p>
      <w:pPr>
        <w:pStyle w:val="25"/>
        <w:ind w:firstLine="640"/>
        <w:contextualSpacing/>
        <w:rPr>
          <w:bCs/>
        </w:rPr>
      </w:pPr>
      <w:r>
        <w:rPr>
          <w:rFonts w:hint="eastAsia"/>
          <w:bCs/>
        </w:rPr>
        <w:t>（1）测算内容合规性（总分</w:t>
      </w:r>
      <w:r>
        <w:rPr>
          <w:bCs/>
        </w:rPr>
        <w:t>2</w:t>
      </w:r>
      <w:r>
        <w:rPr>
          <w:rFonts w:hint="eastAsia"/>
          <w:bCs/>
        </w:rPr>
        <w:t>分，得分</w:t>
      </w:r>
      <w:r>
        <w:rPr>
          <w:bCs/>
        </w:rPr>
        <w:t>2</w:t>
      </w:r>
      <w:r>
        <w:rPr>
          <w:rFonts w:hint="eastAsia"/>
          <w:bCs/>
        </w:rPr>
        <w:t>分）。</w:t>
      </w:r>
      <w:r>
        <w:rPr>
          <w:rFonts w:hint="eastAsia"/>
        </w:rPr>
        <w:t>考评信息采集经费项目</w:t>
      </w:r>
      <w:r>
        <w:t>测算内容</w:t>
      </w:r>
      <w:r>
        <w:rPr>
          <w:rFonts w:hint="eastAsia"/>
        </w:rPr>
        <w:t>主要为</w:t>
      </w:r>
      <w:bookmarkStart w:id="25" w:name="_Hlk142613161"/>
      <w:r>
        <w:rPr>
          <w:rFonts w:hint="eastAsia"/>
        </w:rPr>
        <w:t>聘请</w:t>
      </w:r>
      <w:r>
        <w:t>专业信息采集公司组织信息采集员</w:t>
      </w:r>
      <w:r>
        <w:rPr>
          <w:rFonts w:hint="eastAsia"/>
        </w:rPr>
        <w:t>完成考评信息采集工作</w:t>
      </w:r>
      <w:r>
        <w:rPr>
          <w:rFonts w:hint="eastAsia"/>
          <w:bCs/>
        </w:rPr>
        <w:t>，</w:t>
      </w:r>
      <w:bookmarkEnd w:id="25"/>
      <w:r>
        <w:rPr>
          <w:rFonts w:hint="eastAsia"/>
          <w:bCs/>
        </w:rPr>
        <w:t>测算内容符合</w:t>
      </w:r>
      <w:r>
        <w:rPr>
          <w:rFonts w:hint="eastAsia"/>
        </w:rPr>
        <w:t>立项符合《天津市城市管理规定》（津政令第</w:t>
      </w:r>
      <w:r>
        <w:t>26号）中</w:t>
      </w:r>
      <w:r>
        <w:rPr>
          <w:rFonts w:hint="eastAsia"/>
        </w:rPr>
        <w:t>“</w:t>
      </w:r>
      <w:r>
        <w:t>区县数字化城市管理部门按划定网格派遣城市管理信息采集员进行巡查，对需要处置的事件、部件问题向责任单位下达任务派遣，并按照事件、部件问题处置标准进行核查</w:t>
      </w:r>
      <w:r>
        <w:rPr>
          <w:rFonts w:hint="eastAsia"/>
        </w:rPr>
        <w:t>”的要求，</w:t>
      </w:r>
      <w:r>
        <w:rPr>
          <w:rFonts w:hint="eastAsia"/>
          <w:bCs/>
        </w:rPr>
        <w:t>不存在重复测算政策规定内相同内容，项目测算内容合规。</w:t>
      </w:r>
      <w:r>
        <w:rPr>
          <w:bCs/>
        </w:rPr>
        <w:t xml:space="preserve"> </w:t>
      </w:r>
    </w:p>
    <w:p>
      <w:pPr>
        <w:pStyle w:val="25"/>
        <w:ind w:firstLine="640"/>
      </w:pPr>
      <w:r>
        <w:rPr>
          <w:rFonts w:hint="eastAsia"/>
          <w:bCs/>
        </w:rPr>
        <w:t>（2）测算标准合理性（总分1分，得分</w:t>
      </w:r>
      <w:r>
        <w:rPr>
          <w:bCs/>
        </w:rPr>
        <w:t>1</w:t>
      </w:r>
      <w:r>
        <w:rPr>
          <w:rFonts w:hint="eastAsia"/>
          <w:bCs/>
        </w:rPr>
        <w:t>分）。考评信息采集经费</w:t>
      </w:r>
      <w:r>
        <w:rPr>
          <w:rFonts w:hint="eastAsia"/>
        </w:rPr>
        <w:t>项目预算测算数据中人员费用参考《劳动法》、全市各区信息采集员基本工资及天津市最低工资等标准进行测算，办公费用及其他费用标准按照以前年度历史数据及市场询价进行测算，测算标准符合国家法规、行业标准与社会实际支出水平，项目测算标准合理</w:t>
      </w:r>
      <w:r>
        <w:rPr>
          <w:bCs/>
        </w:rPr>
        <w:t>。</w:t>
      </w:r>
    </w:p>
    <w:p>
      <w:pPr>
        <w:pStyle w:val="25"/>
        <w:ind w:firstLine="640"/>
        <w:contextualSpacing/>
      </w:pPr>
      <w:r>
        <w:rPr>
          <w:rFonts w:hint="eastAsia"/>
          <w:bCs/>
        </w:rPr>
        <w:t>（3）测算数据客观性（总分2分，得分</w:t>
      </w:r>
      <w:r>
        <w:rPr>
          <w:bCs/>
        </w:rPr>
        <w:t>2</w:t>
      </w:r>
      <w:r>
        <w:rPr>
          <w:rFonts w:hint="eastAsia"/>
          <w:bCs/>
        </w:rPr>
        <w:t>分）。</w:t>
      </w:r>
      <w:r>
        <w:rPr>
          <w:rFonts w:hint="eastAsia"/>
        </w:rPr>
        <w:t>考评信息采集经费项目</w:t>
      </w:r>
      <w:r>
        <w:rPr>
          <w:rFonts w:hint="eastAsia"/>
          <w:bCs/>
        </w:rPr>
        <w:t>为经常性项目，预算</w:t>
      </w:r>
      <w:r>
        <w:rPr>
          <w:bCs/>
        </w:rPr>
        <w:t>测算</w:t>
      </w:r>
      <w:r>
        <w:rPr>
          <w:rFonts w:hint="eastAsia"/>
          <w:bCs/>
        </w:rPr>
        <w:t>数据主要是</w:t>
      </w:r>
      <w:r>
        <w:rPr>
          <w:rFonts w:hint="eastAsia"/>
        </w:rPr>
        <w:t>聘请</w:t>
      </w:r>
      <w:r>
        <w:t>专业信息采集公司</w:t>
      </w:r>
      <w:r>
        <w:rPr>
          <w:rFonts w:hint="eastAsia"/>
        </w:rPr>
        <w:t>所需人员费用，办公费用及其他费用，</w:t>
      </w:r>
      <w:r>
        <w:t>符合项目开展的客观需求。</w:t>
      </w:r>
      <w:r>
        <w:rPr>
          <w:rFonts w:hint="eastAsia"/>
        </w:rPr>
        <w:t>预算</w:t>
      </w:r>
      <w:r>
        <w:t>测算数据参考历年数据及市场询价</w:t>
      </w:r>
      <w:r>
        <w:rPr>
          <w:rFonts w:hint="eastAsia"/>
        </w:rPr>
        <w:t>进行测算</w:t>
      </w:r>
      <w:r>
        <w:t>，与历史数据、相关行业数据具有可比性，同时项目各项预算测算数据均有合规的佐证依据，项目测算数据客观</w:t>
      </w:r>
      <w:r>
        <w:rPr>
          <w:rFonts w:hint="eastAsia"/>
          <w:szCs w:val="32"/>
        </w:rPr>
        <w:t>。</w:t>
      </w:r>
    </w:p>
    <w:p>
      <w:pPr>
        <w:pStyle w:val="25"/>
        <w:ind w:firstLine="640"/>
        <w:rPr>
          <w:bCs/>
        </w:rPr>
      </w:pPr>
      <w:r>
        <w:rPr>
          <w:rFonts w:hint="eastAsia"/>
          <w:bCs/>
        </w:rPr>
        <w:t>（4）测算过程细化度（总分2分，得分</w:t>
      </w:r>
      <w:r>
        <w:rPr>
          <w:bCs/>
        </w:rPr>
        <w:t>2</w:t>
      </w:r>
      <w:r>
        <w:rPr>
          <w:rFonts w:hint="eastAsia"/>
          <w:bCs/>
        </w:rPr>
        <w:t>分）。考评信息采集经费项目预算根据事权划分准确核定区级财政支出，分别按照人员费用，办公费用和其他费用等进行成本测算，其中人员费用测算包含信息采集员、管理员、项目经理工资、社保、公积金等，办公费用测算包含办公用房租金，人员招聘、培训，办公用品等费用，其他费用测算包含税费等，项目测算过程细化清晰</w:t>
      </w:r>
      <w:r>
        <w:rPr>
          <w:bCs/>
        </w:rPr>
        <w:t xml:space="preserve">。 </w:t>
      </w:r>
    </w:p>
    <w:p>
      <w:pPr>
        <w:pStyle w:val="29"/>
        <w:ind w:firstLine="640"/>
        <w:contextualSpacing/>
        <w:rPr>
          <w:rFonts w:ascii="Times New Roman" w:hAnsi="Times New Roman"/>
        </w:rPr>
      </w:pPr>
      <w:bookmarkStart w:id="26" w:name="_Toc1445732987"/>
      <w:r>
        <w:rPr>
          <w:rFonts w:hint="eastAsia" w:ascii="Times New Roman" w:hAnsi="Times New Roman"/>
        </w:rPr>
        <w:t>（二）项目过程情况</w:t>
      </w:r>
      <w:bookmarkEnd w:id="26"/>
    </w:p>
    <w:p>
      <w:pPr>
        <w:pStyle w:val="25"/>
        <w:ind w:firstLine="640"/>
        <w:contextualSpacing/>
      </w:pPr>
      <w:r>
        <w:rPr>
          <w:rFonts w:hint="eastAsia"/>
        </w:rPr>
        <w:t>过程指标主要包括资金管理、</w:t>
      </w:r>
      <w:r>
        <w:rPr>
          <w:rFonts w:hint="eastAsia"/>
          <w:bCs/>
        </w:rPr>
        <w:t>组织实施2项二级指标，</w:t>
      </w:r>
      <w:r>
        <w:rPr>
          <w:bCs/>
        </w:rPr>
        <w:t>6</w:t>
      </w:r>
      <w:r>
        <w:rPr>
          <w:rFonts w:hint="eastAsia"/>
          <w:bCs/>
        </w:rPr>
        <w:t>项三级指标，基础总分2</w:t>
      </w:r>
      <w:r>
        <w:rPr>
          <w:bCs/>
        </w:rPr>
        <w:t>3</w:t>
      </w:r>
      <w:r>
        <w:rPr>
          <w:rFonts w:hint="eastAsia"/>
          <w:bCs/>
        </w:rPr>
        <w:t>分，合计得分</w:t>
      </w:r>
      <w:r>
        <w:rPr>
          <w:bCs/>
        </w:rPr>
        <w:t>21</w:t>
      </w:r>
      <w:r>
        <w:rPr>
          <w:rFonts w:hint="eastAsia"/>
          <w:bCs/>
        </w:rPr>
        <w:t>分。</w:t>
      </w:r>
    </w:p>
    <w:p>
      <w:pPr>
        <w:pStyle w:val="25"/>
        <w:ind w:firstLine="640"/>
        <w:contextualSpacing/>
      </w:pPr>
      <w:r>
        <w:rPr>
          <w:rFonts w:hint="eastAsia"/>
        </w:rPr>
        <w:t>1.资金管理</w:t>
      </w:r>
    </w:p>
    <w:p>
      <w:pPr>
        <w:pStyle w:val="25"/>
        <w:ind w:firstLine="640"/>
        <w:rPr>
          <w:bCs/>
        </w:rPr>
      </w:pPr>
      <w:r>
        <w:rPr>
          <w:rFonts w:hint="eastAsia"/>
          <w:bCs/>
        </w:rPr>
        <w:t>（1）资金到位率（总分2分，得分</w:t>
      </w:r>
      <w:r>
        <w:rPr>
          <w:bCs/>
        </w:rPr>
        <w:t>2</w:t>
      </w:r>
      <w:r>
        <w:rPr>
          <w:rFonts w:hint="eastAsia"/>
          <w:bCs/>
        </w:rPr>
        <w:t>分）。考评信息采集经费项</w:t>
      </w:r>
      <w:r>
        <w:rPr>
          <w:bCs/>
        </w:rPr>
        <w:t>目</w:t>
      </w:r>
      <w:r>
        <w:rPr>
          <w:rFonts w:hint="eastAsia"/>
          <w:bCs/>
        </w:rPr>
        <w:t>预算资金为</w:t>
      </w:r>
      <w:r>
        <w:t>72</w:t>
      </w:r>
      <w:r>
        <w:rPr>
          <w:rFonts w:hint="eastAsia"/>
        </w:rPr>
        <w:t>万元。</w:t>
      </w:r>
      <w:r>
        <w:rPr>
          <w:rFonts w:hint="eastAsia"/>
          <w:lang w:eastAsia="zh-CN"/>
        </w:rPr>
        <w:t>截至2022年</w:t>
      </w:r>
      <w:r>
        <w:rPr>
          <w:rFonts w:hint="eastAsia"/>
        </w:rPr>
        <w:t>1</w:t>
      </w:r>
      <w:r>
        <w:t>2</w:t>
      </w:r>
      <w:r>
        <w:rPr>
          <w:rFonts w:hint="eastAsia"/>
        </w:rPr>
        <w:t>月底，天津市和平区城市管理委员会收到天津市和平区财政局拨款</w:t>
      </w:r>
      <w:r>
        <w:rPr>
          <w:rFonts w:hint="eastAsia"/>
          <w:bCs/>
        </w:rPr>
        <w:t>考评信息采集经费</w:t>
      </w:r>
      <w:r>
        <w:t>72</w:t>
      </w:r>
      <w:r>
        <w:rPr>
          <w:rFonts w:hint="eastAsia"/>
        </w:rPr>
        <w:t>万元，</w:t>
      </w:r>
      <w:r>
        <w:rPr>
          <w:bCs/>
        </w:rPr>
        <w:t>资金到位率为100%。</w:t>
      </w:r>
    </w:p>
    <w:p>
      <w:pPr>
        <w:pStyle w:val="25"/>
        <w:ind w:firstLine="640"/>
        <w:rPr>
          <w:bCs/>
        </w:rPr>
      </w:pPr>
      <w:r>
        <w:rPr>
          <w:rFonts w:hint="eastAsia"/>
          <w:bCs/>
        </w:rPr>
        <w:t>（2）资金沉淀率（总分</w:t>
      </w:r>
      <w:r>
        <w:rPr>
          <w:bCs/>
        </w:rPr>
        <w:t>2</w:t>
      </w:r>
      <w:r>
        <w:rPr>
          <w:rFonts w:hint="eastAsia"/>
          <w:bCs/>
        </w:rPr>
        <w:t>分，得分</w:t>
      </w:r>
      <w:r>
        <w:rPr>
          <w:bCs/>
        </w:rPr>
        <w:t>2</w:t>
      </w:r>
      <w:r>
        <w:rPr>
          <w:rFonts w:hint="eastAsia"/>
          <w:bCs/>
        </w:rPr>
        <w:t>分）。考评信息采集经费项目结转结余资金为</w:t>
      </w:r>
      <w:r>
        <w:rPr>
          <w:bCs/>
        </w:rPr>
        <w:t>0万元，</w:t>
      </w:r>
      <w:r>
        <w:rPr>
          <w:rFonts w:hint="eastAsia"/>
          <w:bCs/>
          <w:lang w:eastAsia="zh-CN"/>
        </w:rPr>
        <w:t>截至2022年</w:t>
      </w:r>
      <w:r>
        <w:rPr>
          <w:rFonts w:hint="eastAsia"/>
          <w:bCs/>
        </w:rPr>
        <w:t>1</w:t>
      </w:r>
      <w:r>
        <w:rPr>
          <w:bCs/>
        </w:rPr>
        <w:t>2</w:t>
      </w:r>
      <w:r>
        <w:rPr>
          <w:rFonts w:hint="eastAsia"/>
          <w:bCs/>
        </w:rPr>
        <w:t>月</w:t>
      </w:r>
      <w:r>
        <w:rPr>
          <w:bCs/>
        </w:rPr>
        <w:t>底，项目实际到位资金为72万元，资金沉淀率</w:t>
      </w:r>
      <w:r>
        <w:rPr>
          <w:rFonts w:hint="eastAsia"/>
          <w:bCs/>
        </w:rPr>
        <w:t>为</w:t>
      </w:r>
      <w:r>
        <w:rPr>
          <w:bCs/>
        </w:rPr>
        <w:t xml:space="preserve">0%。 </w:t>
      </w:r>
    </w:p>
    <w:p>
      <w:pPr>
        <w:pStyle w:val="25"/>
        <w:ind w:firstLine="640"/>
        <w:rPr>
          <w:bCs/>
        </w:rPr>
      </w:pPr>
      <w:r>
        <w:rPr>
          <w:rFonts w:hint="eastAsia"/>
          <w:bCs/>
        </w:rPr>
        <w:t>（3）预算执行率（总分</w:t>
      </w:r>
      <w:r>
        <w:rPr>
          <w:bCs/>
        </w:rPr>
        <w:t>2</w:t>
      </w:r>
      <w:r>
        <w:rPr>
          <w:rFonts w:hint="eastAsia"/>
          <w:bCs/>
        </w:rPr>
        <w:t>分，得分</w:t>
      </w:r>
      <w:r>
        <w:rPr>
          <w:bCs/>
        </w:rPr>
        <w:t>2</w:t>
      </w:r>
      <w:r>
        <w:rPr>
          <w:rFonts w:hint="eastAsia"/>
          <w:bCs/>
        </w:rPr>
        <w:t>分）。考评信息采集经费项</w:t>
      </w:r>
      <w:r>
        <w:rPr>
          <w:bCs/>
        </w:rPr>
        <w:t>目</w:t>
      </w:r>
      <w:r>
        <w:rPr>
          <w:rFonts w:hint="eastAsia"/>
          <w:bCs/>
        </w:rPr>
        <w:t>实际到位为</w:t>
      </w:r>
      <w:r>
        <w:t>72</w:t>
      </w:r>
      <w:r>
        <w:rPr>
          <w:rFonts w:hint="eastAsia"/>
        </w:rPr>
        <w:t>万元。</w:t>
      </w:r>
      <w:r>
        <w:rPr>
          <w:rFonts w:hint="eastAsia"/>
          <w:lang w:eastAsia="zh-CN"/>
        </w:rPr>
        <w:t>截至2022年</w:t>
      </w:r>
      <w:r>
        <w:rPr>
          <w:rFonts w:hint="eastAsia"/>
          <w:bCs/>
        </w:rPr>
        <w:t>1</w:t>
      </w:r>
      <w:r>
        <w:rPr>
          <w:bCs/>
        </w:rPr>
        <w:t>2</w:t>
      </w:r>
      <w:r>
        <w:rPr>
          <w:rFonts w:hint="eastAsia"/>
          <w:bCs/>
        </w:rPr>
        <w:t>月底，项目实际</w:t>
      </w:r>
      <w:r>
        <w:rPr>
          <w:rFonts w:hint="eastAsia"/>
        </w:rPr>
        <w:t>支出预算资金为</w:t>
      </w:r>
      <w:r>
        <w:rPr>
          <w:bCs/>
        </w:rPr>
        <w:t>72</w:t>
      </w:r>
      <w:r>
        <w:rPr>
          <w:rFonts w:hint="eastAsia"/>
          <w:bCs/>
        </w:rPr>
        <w:t>万元</w:t>
      </w:r>
      <w:r>
        <w:rPr>
          <w:bCs/>
        </w:rPr>
        <w:t>，预算执行率为100%</w:t>
      </w:r>
      <w:r>
        <w:rPr>
          <w:rFonts w:hint="eastAsia"/>
        </w:rPr>
        <w:t>。</w:t>
      </w:r>
    </w:p>
    <w:p>
      <w:pPr>
        <w:pStyle w:val="25"/>
        <w:ind w:firstLine="640"/>
        <w:rPr>
          <w:bCs/>
        </w:rPr>
      </w:pPr>
      <w:r>
        <w:rPr>
          <w:rFonts w:hint="eastAsia"/>
          <w:bCs/>
        </w:rPr>
        <w:t>（</w:t>
      </w:r>
      <w:r>
        <w:rPr>
          <w:bCs/>
        </w:rPr>
        <w:t>4</w:t>
      </w:r>
      <w:r>
        <w:rPr>
          <w:rFonts w:hint="eastAsia"/>
          <w:bCs/>
        </w:rPr>
        <w:t>）资金使用合规性（总分</w:t>
      </w:r>
      <w:r>
        <w:rPr>
          <w:bCs/>
        </w:rPr>
        <w:t>10</w:t>
      </w:r>
      <w:r>
        <w:rPr>
          <w:rFonts w:hint="eastAsia"/>
          <w:bCs/>
        </w:rPr>
        <w:t>分，得分1</w:t>
      </w:r>
      <w:r>
        <w:rPr>
          <w:bCs/>
        </w:rPr>
        <w:t>0</w:t>
      </w:r>
      <w:r>
        <w:rPr>
          <w:rFonts w:hint="eastAsia"/>
          <w:bCs/>
        </w:rPr>
        <w:t>分）。考评信息采集经费全部用于聘请专业信息采集公司开展考评信息采集所需费用，符合</w:t>
      </w:r>
      <w:r>
        <w:rPr>
          <w:rFonts w:hint="eastAsia"/>
        </w:rPr>
        <w:t>《天津市城市管理规定》（津政令第</w:t>
      </w:r>
      <w:r>
        <w:t>26号）中</w:t>
      </w:r>
      <w:r>
        <w:rPr>
          <w:rFonts w:hint="eastAsia"/>
        </w:rPr>
        <w:t>“</w:t>
      </w:r>
      <w:r>
        <w:t>区县数字化城市管理部门按划定网格派遣城市管理信息采集员进行巡查，对需要处置的事件、部件问题向责任单位下达任务派遣，并按照事件、部件问题处置标准进行核查</w:t>
      </w:r>
      <w:r>
        <w:rPr>
          <w:rFonts w:hint="eastAsia"/>
        </w:rPr>
        <w:t>”的要求</w:t>
      </w:r>
      <w:r>
        <w:rPr>
          <w:rFonts w:hint="eastAsia"/>
          <w:bCs/>
        </w:rPr>
        <w:t>，项目中涉及政府采购事项严格执行政府采购制度，</w:t>
      </w:r>
      <w:r>
        <w:rPr>
          <w:bCs/>
        </w:rPr>
        <w:t>项目资金拨付有完整的审批程序和手续</w:t>
      </w:r>
      <w:r>
        <w:rPr>
          <w:rFonts w:hint="eastAsia"/>
          <w:bCs/>
        </w:rPr>
        <w:t>，各项</w:t>
      </w:r>
      <w:r>
        <w:rPr>
          <w:bCs/>
        </w:rPr>
        <w:t>支出有完整的请款申请及资金审批</w:t>
      </w:r>
      <w:r>
        <w:rPr>
          <w:rFonts w:hint="eastAsia"/>
          <w:bCs/>
        </w:rPr>
        <w:t>材料，</w:t>
      </w:r>
      <w:r>
        <w:rPr>
          <w:bCs/>
        </w:rPr>
        <w:t>财务记账符合国家财经法规和财务管理制度规定</w:t>
      </w:r>
      <w:r>
        <w:rPr>
          <w:rFonts w:hint="eastAsia"/>
          <w:bCs/>
        </w:rPr>
        <w:t>，资金使用符合预算批复和合同规定用途，</w:t>
      </w:r>
      <w:r>
        <w:rPr>
          <w:bCs/>
        </w:rPr>
        <w:t>不存在资金截留、挤占、挪用、虚列支出等情况</w:t>
      </w:r>
      <w:r>
        <w:rPr>
          <w:rFonts w:hint="eastAsia"/>
          <w:bCs/>
        </w:rPr>
        <w:t>，项目资金使用合规。</w:t>
      </w:r>
    </w:p>
    <w:p>
      <w:pPr>
        <w:pStyle w:val="25"/>
        <w:ind w:firstLine="640"/>
        <w:contextualSpacing/>
        <w:rPr>
          <w:bCs/>
        </w:rPr>
      </w:pPr>
      <w:r>
        <w:rPr>
          <w:rFonts w:hint="eastAsia"/>
          <w:bCs/>
        </w:rPr>
        <w:t>2.组织实施</w:t>
      </w:r>
    </w:p>
    <w:p>
      <w:pPr>
        <w:pStyle w:val="25"/>
        <w:ind w:firstLine="640"/>
        <w:contextualSpacing/>
        <w:rPr>
          <w:bCs/>
        </w:rPr>
      </w:pPr>
      <w:r>
        <w:rPr>
          <w:rFonts w:hint="eastAsia"/>
          <w:bCs/>
        </w:rPr>
        <w:t>（1）管理制度健全性（总分2分，得分</w:t>
      </w:r>
      <w:r>
        <w:rPr>
          <w:bCs/>
        </w:rPr>
        <w:t>2</w:t>
      </w:r>
      <w:r>
        <w:rPr>
          <w:rFonts w:hint="eastAsia"/>
          <w:bCs/>
        </w:rPr>
        <w:t>分）。天津市和平区城市管理委员会</w:t>
      </w:r>
      <w:r>
        <w:rPr>
          <w:bCs/>
        </w:rPr>
        <w:t>具有规范的内部控制管理制度，</w:t>
      </w:r>
      <w:r>
        <w:rPr>
          <w:rFonts w:hint="eastAsia"/>
          <w:bCs/>
        </w:rPr>
        <w:t>包含预算管理制度、财务管理制度、采购管理制度、合同管理制度和资产管理制度等。考评信息采集经费项目资金申请支付方面按照部门财务管理制度执行，财务管理制度与上位法要求相符，业务方面按照《和平区数字化城市管理工作实施方案》、采购管理制度、合同管理制度和政府采购合同对项目进行管理，财务和业务管理制度合法、合规、完整，制度中</w:t>
      </w:r>
      <w:r>
        <w:rPr>
          <w:bCs/>
        </w:rPr>
        <w:t>明确</w:t>
      </w:r>
      <w:r>
        <w:rPr>
          <w:rFonts w:hint="eastAsia"/>
          <w:bCs/>
        </w:rPr>
        <w:t>规定</w:t>
      </w:r>
      <w:r>
        <w:rPr>
          <w:bCs/>
        </w:rPr>
        <w:t>项目申报、项目实施</w:t>
      </w:r>
      <w:r>
        <w:rPr>
          <w:rFonts w:hint="eastAsia"/>
          <w:bCs/>
        </w:rPr>
        <w:t>、项目验收</w:t>
      </w:r>
      <w:r>
        <w:rPr>
          <w:bCs/>
        </w:rPr>
        <w:t>环节</w:t>
      </w:r>
      <w:r>
        <w:rPr>
          <w:rFonts w:hint="eastAsia"/>
          <w:bCs/>
        </w:rPr>
        <w:t>的要求，</w:t>
      </w:r>
      <w:r>
        <w:rPr>
          <w:bCs/>
        </w:rPr>
        <w:t>项目管理制度健全。</w:t>
      </w:r>
    </w:p>
    <w:p>
      <w:pPr>
        <w:pStyle w:val="25"/>
        <w:ind w:firstLine="640"/>
        <w:rPr>
          <w:bCs/>
        </w:rPr>
      </w:pPr>
      <w:r>
        <w:rPr>
          <w:rFonts w:hint="eastAsia"/>
          <w:bCs/>
        </w:rPr>
        <w:t>（2）制度执行有效性（总分5分，得分</w:t>
      </w:r>
      <w:r>
        <w:rPr>
          <w:bCs/>
        </w:rPr>
        <w:t>3</w:t>
      </w:r>
      <w:r>
        <w:rPr>
          <w:rFonts w:hint="eastAsia"/>
          <w:bCs/>
        </w:rPr>
        <w:t>分）。考评信息采集经费项目按照规定的程序申请设立，项目资金支出申请审批流程符合单位财务管理制度，项目采购流程及合同签订等均严格执行单位采购管理制度和合同管理制度。项目实施过程中人员条件、场地设备、信息支撑等已全部落实到位，各项请款、付款文件，合同等资料齐全并及时归档。但单位存在过程监管、事后验收不足的问题，根据实地调研，天津市城市管理委员会只针对第三方服务机构最终上传有效数据数量是否达标作为监管方式，存在监管执行不足，可能出现项目实施完成未达到预期效益的风险。且部门缺少按月考核、验收等佐证材料，无法判断是否履行合同规定要求。</w:t>
      </w:r>
    </w:p>
    <w:p>
      <w:pPr>
        <w:pStyle w:val="29"/>
        <w:ind w:firstLine="640"/>
        <w:rPr>
          <w:rFonts w:ascii="Times New Roman" w:hAnsi="Times New Roman"/>
        </w:rPr>
      </w:pPr>
      <w:bookmarkStart w:id="27" w:name="_Toc1804330351"/>
      <w:r>
        <w:rPr>
          <w:rFonts w:hint="eastAsia" w:ascii="Times New Roman" w:hAnsi="Times New Roman"/>
        </w:rPr>
        <w:t>（三）项目产出情况</w:t>
      </w:r>
      <w:bookmarkEnd w:id="27"/>
    </w:p>
    <w:p>
      <w:pPr>
        <w:pStyle w:val="25"/>
        <w:ind w:firstLine="640"/>
      </w:pPr>
      <w:r>
        <w:rPr>
          <w:rFonts w:hint="eastAsia"/>
        </w:rPr>
        <w:t>产出指标主要包括产出数量、产出质量、产出时效和产出成本</w:t>
      </w:r>
      <w:r>
        <w:t>4</w:t>
      </w:r>
      <w:r>
        <w:rPr>
          <w:rFonts w:hint="eastAsia"/>
        </w:rPr>
        <w:t>项二级指标，</w:t>
      </w:r>
      <w:r>
        <w:t>4</w:t>
      </w:r>
      <w:r>
        <w:rPr>
          <w:rFonts w:hint="eastAsia"/>
        </w:rPr>
        <w:t>项三级指标，基础总分</w:t>
      </w:r>
      <w:r>
        <w:t>38</w:t>
      </w:r>
      <w:r>
        <w:rPr>
          <w:rFonts w:hint="eastAsia"/>
        </w:rPr>
        <w:t>分，合计得分</w:t>
      </w:r>
      <w:r>
        <w:t>38</w:t>
      </w:r>
      <w:r>
        <w:rPr>
          <w:rFonts w:hint="eastAsia"/>
        </w:rPr>
        <w:t>分。</w:t>
      </w:r>
    </w:p>
    <w:p>
      <w:pPr>
        <w:pStyle w:val="25"/>
        <w:ind w:firstLine="640"/>
      </w:pPr>
      <w:r>
        <w:t>1</w:t>
      </w:r>
      <w:r>
        <w:rPr>
          <w:rFonts w:hint="eastAsia"/>
        </w:rPr>
        <w:t>.产出数量</w:t>
      </w:r>
    </w:p>
    <w:p>
      <w:pPr>
        <w:pStyle w:val="25"/>
        <w:ind w:firstLine="640"/>
      </w:pPr>
      <w:r>
        <w:rPr>
          <w:rFonts w:hint="eastAsia"/>
        </w:rPr>
        <w:t>考评信息采集工作人员配备完成率（总分</w:t>
      </w:r>
      <w:r>
        <w:t>10</w:t>
      </w:r>
      <w:r>
        <w:rPr>
          <w:rFonts w:hint="eastAsia"/>
        </w:rPr>
        <w:t>分，得分</w:t>
      </w:r>
      <w:r>
        <w:t>10</w:t>
      </w:r>
      <w:r>
        <w:rPr>
          <w:rFonts w:hint="eastAsia"/>
        </w:rPr>
        <w:t>分）。根</w:t>
      </w:r>
      <w:r>
        <w:rPr>
          <w:rFonts w:hint="eastAsia"/>
          <w:bCs/>
        </w:rPr>
        <w:t>据</w:t>
      </w:r>
      <w:r>
        <w:rPr>
          <w:rFonts w:hint="eastAsia"/>
        </w:rPr>
        <w:t>部门提供合同，考评信息采集工作员工名单等资料得出，</w:t>
      </w:r>
      <w:r>
        <w:rPr>
          <w:rFonts w:hint="eastAsia"/>
          <w:bCs/>
        </w:rPr>
        <w:t>合同规定配备信息采集工作人员不少于</w:t>
      </w:r>
      <w:r>
        <w:rPr>
          <w:bCs/>
        </w:rPr>
        <w:t>8</w:t>
      </w:r>
      <w:r>
        <w:rPr>
          <w:rFonts w:hint="eastAsia"/>
          <w:bCs/>
        </w:rPr>
        <w:t>人。</w:t>
      </w:r>
      <w:r>
        <w:rPr>
          <w:rFonts w:hint="eastAsia"/>
        </w:rPr>
        <w:t>根据评价组实地调研得出</w:t>
      </w:r>
      <w:r>
        <w:rPr>
          <w:rFonts w:hint="eastAsia"/>
          <w:bCs/>
        </w:rPr>
        <w:t>，实际配备信息采集员数为1</w:t>
      </w:r>
      <w:r>
        <w:rPr>
          <w:bCs/>
        </w:rPr>
        <w:t>1</w:t>
      </w:r>
      <w:r>
        <w:rPr>
          <w:rFonts w:hint="eastAsia"/>
          <w:bCs/>
        </w:rPr>
        <w:t>人。</w:t>
      </w:r>
      <w:r>
        <w:rPr>
          <w:rFonts w:hint="eastAsia"/>
        </w:rPr>
        <w:t>考评信息采集工作人员配备完成率为</w:t>
      </w:r>
      <w:r>
        <w:t>137.50%。</w:t>
      </w:r>
    </w:p>
    <w:p>
      <w:pPr>
        <w:pStyle w:val="25"/>
        <w:ind w:firstLine="640"/>
      </w:pPr>
      <w:r>
        <w:rPr>
          <w:rFonts w:hint="eastAsia"/>
        </w:rPr>
        <w:t>2.产出质量</w:t>
      </w:r>
    </w:p>
    <w:p>
      <w:pPr>
        <w:pStyle w:val="25"/>
        <w:ind w:firstLine="640"/>
      </w:pPr>
      <w:r>
        <w:rPr>
          <w:rFonts w:hint="eastAsia"/>
        </w:rPr>
        <w:t>上报案卷有效率</w:t>
      </w:r>
      <w:r>
        <w:t>（总分10分，得分10分）。</w:t>
      </w:r>
      <w:r>
        <w:rPr>
          <w:rFonts w:hint="eastAsia"/>
        </w:rPr>
        <w:t>根</w:t>
      </w:r>
      <w:r>
        <w:rPr>
          <w:rFonts w:hint="eastAsia"/>
          <w:bCs/>
        </w:rPr>
        <w:t>据</w:t>
      </w:r>
      <w:r>
        <w:rPr>
          <w:rFonts w:hint="eastAsia"/>
        </w:rPr>
        <w:t>部门提供项目工作完成统计表得出等资料，全年上报案卷总数为</w:t>
      </w:r>
      <w:r>
        <w:t>75985件</w:t>
      </w:r>
      <w:r>
        <w:rPr>
          <w:rFonts w:hint="eastAsia"/>
        </w:rPr>
        <w:t>。根据评价组实地调研得出</w:t>
      </w:r>
      <w:r>
        <w:rPr>
          <w:rFonts w:hint="eastAsia"/>
          <w:bCs/>
        </w:rPr>
        <w:t>，</w:t>
      </w:r>
      <w:r>
        <w:t>有效案卷数量为75983件，上报案卷有效率为99.99%</w:t>
      </w:r>
      <w:r>
        <w:rPr>
          <w:rFonts w:hint="eastAsia"/>
        </w:rPr>
        <w:t>，符合合同规定不低于9</w:t>
      </w:r>
      <w:r>
        <w:t>5%</w:t>
      </w:r>
      <w:r>
        <w:rPr>
          <w:rFonts w:hint="eastAsia"/>
        </w:rPr>
        <w:t>的要求。</w:t>
      </w:r>
    </w:p>
    <w:p>
      <w:pPr>
        <w:pStyle w:val="25"/>
        <w:ind w:firstLine="640"/>
      </w:pPr>
      <w:r>
        <w:rPr>
          <w:rFonts w:hint="eastAsia"/>
        </w:rPr>
        <w:t>3.产出时效</w:t>
      </w:r>
    </w:p>
    <w:p>
      <w:pPr>
        <w:pStyle w:val="25"/>
        <w:ind w:firstLine="640"/>
      </w:pPr>
      <w:r>
        <w:rPr>
          <w:rFonts w:hint="eastAsia"/>
        </w:rPr>
        <w:t>核查案卷及时率</w:t>
      </w:r>
      <w:r>
        <w:t>（总分10分，得分10分）。</w:t>
      </w:r>
      <w:r>
        <w:rPr>
          <w:rFonts w:hint="eastAsia"/>
        </w:rPr>
        <w:t>根</w:t>
      </w:r>
      <w:r>
        <w:rPr>
          <w:rFonts w:hint="eastAsia"/>
          <w:bCs/>
        </w:rPr>
        <w:t>据</w:t>
      </w:r>
      <w:r>
        <w:rPr>
          <w:rFonts w:hint="eastAsia"/>
        </w:rPr>
        <w:t>部门提供项目工作完成统计表得出等资料，全年核查案卷总数为</w:t>
      </w:r>
      <w:r>
        <w:t>16562件</w:t>
      </w:r>
      <w:r>
        <w:rPr>
          <w:rFonts w:hint="eastAsia"/>
        </w:rPr>
        <w:t>。根据评价组实地调研得出</w:t>
      </w:r>
      <w:r>
        <w:rPr>
          <w:rFonts w:hint="eastAsia"/>
          <w:bCs/>
        </w:rPr>
        <w:t>，</w:t>
      </w:r>
      <w:r>
        <w:t>及时核查的案卷数量为16491件，核查案卷及时率为99.57%</w:t>
      </w:r>
      <w:r>
        <w:rPr>
          <w:rFonts w:hint="eastAsia"/>
        </w:rPr>
        <w:t>。符合合同规定不低于9</w:t>
      </w:r>
      <w:r>
        <w:t>5%</w:t>
      </w:r>
      <w:r>
        <w:rPr>
          <w:rFonts w:hint="eastAsia"/>
        </w:rPr>
        <w:t>的要求。</w:t>
      </w:r>
    </w:p>
    <w:p>
      <w:pPr>
        <w:pStyle w:val="25"/>
        <w:ind w:firstLine="640"/>
      </w:pPr>
      <w:r>
        <w:rPr>
          <w:rFonts w:hint="eastAsia"/>
        </w:rPr>
        <w:t>4.产出成本</w:t>
      </w:r>
    </w:p>
    <w:p>
      <w:pPr>
        <w:pStyle w:val="25"/>
        <w:ind w:firstLine="640"/>
      </w:pPr>
      <w:r>
        <w:rPr>
          <w:rFonts w:hint="eastAsia"/>
        </w:rPr>
        <w:t>考评信息采集项目成本节约率（总分</w:t>
      </w:r>
      <w:r>
        <w:t>8</w:t>
      </w:r>
      <w:r>
        <w:rPr>
          <w:rFonts w:hint="eastAsia"/>
        </w:rPr>
        <w:t>分，得分</w:t>
      </w:r>
      <w:r>
        <w:t>8</w:t>
      </w:r>
      <w:r>
        <w:rPr>
          <w:rFonts w:hint="eastAsia"/>
        </w:rPr>
        <w:t>分）。根据考评信息采集经费项目预算申报、测算明细、预算调剂分析，及合同等资料，考评信息采集经费项目计划投入资金</w:t>
      </w:r>
      <w:r>
        <w:t>90</w:t>
      </w:r>
      <w:r>
        <w:rPr>
          <w:rFonts w:hint="eastAsia"/>
        </w:rPr>
        <w:t>万元。根据评价组实地调研得出，实际中标金额为8</w:t>
      </w:r>
      <w:r>
        <w:t>9.88</w:t>
      </w:r>
      <w:r>
        <w:rPr>
          <w:rFonts w:hint="eastAsia"/>
        </w:rPr>
        <w:t>万元，较计划投入金额节约了</w:t>
      </w:r>
      <w:r>
        <w:t>0.12</w:t>
      </w:r>
      <w:r>
        <w:rPr>
          <w:rFonts w:hint="eastAsia"/>
        </w:rPr>
        <w:t>万元，项目成本节约率为</w:t>
      </w:r>
      <w:r>
        <w:t>0.01%</w:t>
      </w:r>
      <w:r>
        <w:rPr>
          <w:rFonts w:hint="eastAsia"/>
        </w:rPr>
        <w:t>。</w:t>
      </w:r>
    </w:p>
    <w:p>
      <w:pPr>
        <w:pStyle w:val="29"/>
        <w:ind w:firstLine="640"/>
        <w:rPr>
          <w:rFonts w:ascii="Times New Roman" w:hAnsi="Times New Roman"/>
        </w:rPr>
      </w:pPr>
      <w:bookmarkStart w:id="28" w:name="_Toc763629970"/>
      <w:r>
        <w:rPr>
          <w:rFonts w:hint="eastAsia" w:ascii="Times New Roman" w:hAnsi="Times New Roman"/>
        </w:rPr>
        <w:t>（四）项目效益情况</w:t>
      </w:r>
      <w:bookmarkEnd w:id="28"/>
    </w:p>
    <w:p>
      <w:pPr>
        <w:pStyle w:val="25"/>
        <w:ind w:firstLine="640"/>
      </w:pPr>
      <w:r>
        <w:rPr>
          <w:rFonts w:hint="eastAsia"/>
        </w:rPr>
        <w:t>效益指标主要包括社会效益、可持续影响指标、服务对象满意度</w:t>
      </w:r>
      <w:r>
        <w:t>3</w:t>
      </w:r>
      <w:r>
        <w:rPr>
          <w:rFonts w:hint="eastAsia"/>
        </w:rPr>
        <w:t>项二级指标，</w:t>
      </w:r>
      <w:r>
        <w:t>3</w:t>
      </w:r>
      <w:r>
        <w:rPr>
          <w:rFonts w:hint="eastAsia"/>
        </w:rPr>
        <w:t>项三级指标，基础总分</w:t>
      </w:r>
      <w:r>
        <w:t>22</w:t>
      </w:r>
      <w:r>
        <w:rPr>
          <w:rFonts w:hint="eastAsia"/>
        </w:rPr>
        <w:t>分，合计得分</w:t>
      </w:r>
      <w:r>
        <w:t>19</w:t>
      </w:r>
      <w:r>
        <w:rPr>
          <w:rFonts w:hint="eastAsia"/>
        </w:rPr>
        <w:t>分。</w:t>
      </w:r>
    </w:p>
    <w:p>
      <w:pPr>
        <w:pStyle w:val="25"/>
        <w:ind w:firstLine="640"/>
      </w:pPr>
      <w:r>
        <w:rPr>
          <w:rFonts w:hint="eastAsia"/>
        </w:rPr>
        <w:t>1.社会效益</w:t>
      </w:r>
    </w:p>
    <w:p>
      <w:pPr>
        <w:pStyle w:val="25"/>
        <w:ind w:firstLine="640"/>
      </w:pPr>
      <w:r>
        <w:rPr>
          <w:rFonts w:hint="eastAsia"/>
        </w:rPr>
        <w:t>提升数字化城市管理工作水平（总分</w:t>
      </w:r>
      <w:r>
        <w:t>10</w:t>
      </w:r>
      <w:r>
        <w:rPr>
          <w:rFonts w:hint="eastAsia"/>
        </w:rPr>
        <w:t>分，得分</w:t>
      </w:r>
      <w:r>
        <w:t>10</w:t>
      </w:r>
      <w:r>
        <w:rPr>
          <w:rFonts w:hint="eastAsia"/>
        </w:rPr>
        <w:t>分）。天津市和平区城市管理委员会本着信息采集“群专结合”和“政府花钱买服务”、“养事不养人”的原则，将单元网格范围内的城市管理事件、部件委托给具有合法经营资质且具有信息采集能力的公司，通过</w:t>
      </w:r>
      <w:r>
        <w:t>专业信息采集公司组织信息采集员</w:t>
      </w:r>
      <w:r>
        <w:rPr>
          <w:rFonts w:hint="eastAsia"/>
        </w:rPr>
        <w:t>完成考评信息采集工作</w:t>
      </w:r>
      <w:r>
        <w:rPr>
          <w:rFonts w:hint="eastAsia"/>
          <w:bCs/>
        </w:rPr>
        <w:t>，解决了以前年度由社区居委会成员兼职采集信息存在的人员不固定、信息采集不及时、不全面等方面的问题，有效提升了考评信息采集工作效率；</w:t>
      </w:r>
      <w:r>
        <w:t>信息采集公司</w:t>
      </w:r>
      <w:r>
        <w:rPr>
          <w:rFonts w:hint="eastAsia"/>
          <w:bCs/>
        </w:rPr>
        <w:t>全年共完成处理考评信息采集案卷9</w:t>
      </w:r>
      <w:r>
        <w:rPr>
          <w:bCs/>
        </w:rPr>
        <w:t>1545</w:t>
      </w:r>
      <w:r>
        <w:rPr>
          <w:rFonts w:hint="eastAsia"/>
          <w:bCs/>
        </w:rPr>
        <w:t>件，其中包含上报到平台并派遣至责任单位的有效案件</w:t>
      </w:r>
      <w:r>
        <w:rPr>
          <w:bCs/>
        </w:rPr>
        <w:t>31431</w:t>
      </w:r>
      <w:r>
        <w:rPr>
          <w:rFonts w:hint="eastAsia"/>
          <w:bCs/>
        </w:rPr>
        <w:t>件，“举手之劳”有效案卷</w:t>
      </w:r>
      <w:r>
        <w:rPr>
          <w:bCs/>
        </w:rPr>
        <w:t>29899</w:t>
      </w:r>
      <w:r>
        <w:rPr>
          <w:rFonts w:hint="eastAsia"/>
          <w:bCs/>
        </w:rPr>
        <w:t>件，专项普查有效案卷</w:t>
      </w:r>
      <w:r>
        <w:rPr>
          <w:bCs/>
        </w:rPr>
        <w:t>6962</w:t>
      </w:r>
      <w:r>
        <w:rPr>
          <w:rFonts w:hint="eastAsia"/>
          <w:bCs/>
        </w:rPr>
        <w:t>件，夜查有效案卷</w:t>
      </w:r>
      <w:r>
        <w:rPr>
          <w:bCs/>
        </w:rPr>
        <w:t>6691</w:t>
      </w:r>
      <w:r>
        <w:rPr>
          <w:rFonts w:hint="eastAsia"/>
          <w:bCs/>
        </w:rPr>
        <w:t>件，核查案卷</w:t>
      </w:r>
      <w:r>
        <w:rPr>
          <w:bCs/>
        </w:rPr>
        <w:t>16562</w:t>
      </w:r>
      <w:r>
        <w:rPr>
          <w:rFonts w:hint="eastAsia"/>
          <w:bCs/>
        </w:rPr>
        <w:t>件，大大超过合同规定不低于8</w:t>
      </w:r>
      <w:r>
        <w:rPr>
          <w:bCs/>
        </w:rPr>
        <w:t>0000</w:t>
      </w:r>
      <w:r>
        <w:rPr>
          <w:rFonts w:hint="eastAsia"/>
          <w:bCs/>
        </w:rPr>
        <w:t>件，有效促进了考评信息采集工作顺利完成；</w:t>
      </w:r>
      <w:r>
        <w:rPr>
          <w:rFonts w:hint="eastAsia"/>
          <w:bCs/>
          <w:lang w:eastAsia="zh-CN"/>
        </w:rPr>
        <w:t>截至2022</w:t>
      </w:r>
      <w:r>
        <w:rPr>
          <w:rFonts w:hint="eastAsia"/>
          <w:bCs/>
        </w:rPr>
        <w:t>年底，在全市群众满意度调查中，天津市和平区1月至</w:t>
      </w:r>
      <w:r>
        <w:rPr>
          <w:bCs/>
        </w:rPr>
        <w:t>6</w:t>
      </w:r>
      <w:r>
        <w:rPr>
          <w:rFonts w:hint="eastAsia"/>
          <w:bCs/>
        </w:rPr>
        <w:t>月排名为全市第一名，</w:t>
      </w:r>
      <w:r>
        <w:rPr>
          <w:bCs/>
        </w:rPr>
        <w:t>7</w:t>
      </w:r>
      <w:r>
        <w:rPr>
          <w:rFonts w:hint="eastAsia"/>
          <w:bCs/>
        </w:rPr>
        <w:t>月至</w:t>
      </w:r>
      <w:r>
        <w:rPr>
          <w:bCs/>
        </w:rPr>
        <w:t>9</w:t>
      </w:r>
      <w:r>
        <w:rPr>
          <w:rFonts w:hint="eastAsia"/>
          <w:bCs/>
        </w:rPr>
        <w:t>月排名全市第五名，1</w:t>
      </w:r>
      <w:r>
        <w:rPr>
          <w:bCs/>
        </w:rPr>
        <w:t>0</w:t>
      </w:r>
      <w:r>
        <w:rPr>
          <w:rFonts w:hint="eastAsia"/>
          <w:bCs/>
        </w:rPr>
        <w:t>月至1</w:t>
      </w:r>
      <w:r>
        <w:rPr>
          <w:bCs/>
        </w:rPr>
        <w:t>2</w:t>
      </w:r>
      <w:r>
        <w:rPr>
          <w:rFonts w:hint="eastAsia"/>
          <w:bCs/>
        </w:rPr>
        <w:t>月排名为全市第3名，在全市1</w:t>
      </w:r>
      <w:r>
        <w:rPr>
          <w:bCs/>
        </w:rPr>
        <w:t>6</w:t>
      </w:r>
      <w:r>
        <w:rPr>
          <w:rFonts w:hint="eastAsia"/>
          <w:bCs/>
        </w:rPr>
        <w:t>个区排名成绩偏上，成绩等级为良好，有效</w:t>
      </w:r>
      <w:r>
        <w:rPr>
          <w:rFonts w:hint="eastAsia"/>
        </w:rPr>
        <w:t>提升了数字化城市管理工作水平</w:t>
      </w:r>
      <w:r>
        <w:t>。</w:t>
      </w:r>
    </w:p>
    <w:p>
      <w:pPr>
        <w:pStyle w:val="25"/>
        <w:ind w:firstLine="640"/>
      </w:pPr>
      <w:r>
        <w:t>2</w:t>
      </w:r>
      <w:r>
        <w:rPr>
          <w:rFonts w:hint="eastAsia"/>
        </w:rPr>
        <w:t>.可持续影响</w:t>
      </w:r>
    </w:p>
    <w:p>
      <w:pPr>
        <w:pStyle w:val="25"/>
        <w:ind w:firstLine="640"/>
      </w:pPr>
      <w:r>
        <w:rPr>
          <w:rFonts w:hint="eastAsia"/>
        </w:rPr>
        <w:t>建立健全考评信息采集工作管理机制（总分</w:t>
      </w:r>
      <w:r>
        <w:t>6</w:t>
      </w:r>
      <w:r>
        <w:rPr>
          <w:rFonts w:hint="eastAsia"/>
        </w:rPr>
        <w:t>分，得分</w:t>
      </w:r>
      <w:r>
        <w:t>3</w:t>
      </w:r>
      <w:r>
        <w:rPr>
          <w:rFonts w:hint="eastAsia"/>
        </w:rPr>
        <w:t>分）。根据评价组实地调研得出，天津市和平区城市管理委员会已建立《和平区数字化城市管理工作实施方案》，实施方案中明确了考评信息采集工作主要任务，实施办法和工作要求等，但实施方案中存在部分内容与实际情况不符，如：实施方案中规定“巡查网格划分和人员安排要求</w:t>
      </w:r>
      <w:r>
        <w:t>每天在岗采集信息员达到14名至16名，使信息采集覆盖全区所有道路和居民区</w:t>
      </w:r>
      <w:r>
        <w:rPr>
          <w:rFonts w:hint="eastAsia"/>
        </w:rPr>
        <w:t>”，与实际合同规定的工作日在岗人数不低于8人的要求存在偏差。根据实地调研，</w:t>
      </w:r>
      <w:r>
        <w:rPr>
          <w:rFonts w:hint="eastAsia"/>
          <w:bCs/>
        </w:rPr>
        <w:t>部门按照</w:t>
      </w:r>
      <w:r>
        <w:rPr>
          <w:rFonts w:hint="eastAsia"/>
        </w:rPr>
        <w:t>《和平区数字化城市管理工作实施方案》开展了考评信息采集管理工作，但</w:t>
      </w:r>
      <w:r>
        <w:rPr>
          <w:rFonts w:hint="eastAsia"/>
          <w:bCs/>
        </w:rPr>
        <w:t>部门在项目管理工作中，未对第三方服务机构配备人员每日在岗情况、巡查频次、制度执行情况、组织实施情况等进行监管</w:t>
      </w:r>
      <w:r>
        <w:rPr>
          <w:rFonts w:hint="eastAsia"/>
        </w:rPr>
        <w:t>。</w:t>
      </w:r>
    </w:p>
    <w:p>
      <w:pPr>
        <w:pStyle w:val="25"/>
        <w:ind w:firstLine="640"/>
      </w:pPr>
      <w:r>
        <w:t>3</w:t>
      </w:r>
      <w:r>
        <w:rPr>
          <w:rFonts w:hint="eastAsia"/>
        </w:rPr>
        <w:t>.服务对象满意度</w:t>
      </w:r>
    </w:p>
    <w:p>
      <w:pPr>
        <w:pStyle w:val="25"/>
        <w:ind w:firstLine="640"/>
      </w:pPr>
      <w:r>
        <w:rPr>
          <w:rFonts w:hint="eastAsia"/>
        </w:rPr>
        <w:t>考评信息采集服务对象满意度（总分</w:t>
      </w:r>
      <w:r>
        <w:t>6</w:t>
      </w:r>
      <w:r>
        <w:rPr>
          <w:rFonts w:hint="eastAsia"/>
        </w:rPr>
        <w:t>分，得</w:t>
      </w:r>
      <w:r>
        <w:t>6</w:t>
      </w:r>
      <w:r>
        <w:rPr>
          <w:rFonts w:hint="eastAsia"/>
        </w:rPr>
        <w:t>分</w:t>
      </w:r>
      <w:r>
        <w:t>）</w:t>
      </w:r>
      <w:r>
        <w:rPr>
          <w:rFonts w:hint="eastAsia"/>
        </w:rPr>
        <w:t>。根据考评信息采集经费</w:t>
      </w:r>
      <w:r>
        <w:t>项目主要实施内容，项目</w:t>
      </w:r>
      <w:r>
        <w:rPr>
          <w:rFonts w:hint="eastAsia"/>
        </w:rPr>
        <w:t>主要</w:t>
      </w:r>
      <w:r>
        <w:t>受益对象是</w:t>
      </w:r>
      <w:r>
        <w:rPr>
          <w:rFonts w:hint="eastAsia"/>
        </w:rPr>
        <w:t>考评信息采集服务对象</w:t>
      </w:r>
      <w:r>
        <w:t>，</w:t>
      </w:r>
      <w:r>
        <w:rPr>
          <w:rFonts w:hint="eastAsia"/>
        </w:rPr>
        <w:t>评价组</w:t>
      </w:r>
      <w:r>
        <w:t>对</w:t>
      </w:r>
      <w:r>
        <w:rPr>
          <w:rFonts w:hint="eastAsia"/>
        </w:rPr>
        <w:t>考评信息采集服务对象进行满意度调查，共计发放</w:t>
      </w:r>
      <w:r>
        <w:t>20</w:t>
      </w:r>
      <w:r>
        <w:rPr>
          <w:rFonts w:hint="eastAsia"/>
        </w:rPr>
        <w:t>份问卷，实际收回有效问卷共</w:t>
      </w:r>
      <w:r>
        <w:t>20</w:t>
      </w:r>
      <w:r>
        <w:rPr>
          <w:rFonts w:hint="eastAsia"/>
        </w:rPr>
        <w:t>份。针对考评信息采集员配备情况、巡查频次情况、上报数据准确情况，核查时效情况，巡查数据传输时效情况做出满意度调查，考评信息采集服务对象满意度为1</w:t>
      </w:r>
      <w:r>
        <w:t>00%</w:t>
      </w:r>
      <w:r>
        <w:rPr>
          <w:rFonts w:hint="eastAsia"/>
        </w:rPr>
        <w:t>。</w:t>
      </w:r>
    </w:p>
    <w:p>
      <w:pPr>
        <w:pStyle w:val="27"/>
        <w:ind w:firstLine="640" w:firstLineChars="200"/>
        <w:contextualSpacing/>
      </w:pPr>
      <w:bookmarkStart w:id="29" w:name="_Toc966631318"/>
      <w:r>
        <w:rPr>
          <w:rFonts w:hint="eastAsia"/>
        </w:rPr>
        <w:t>五、存在的主要问题</w:t>
      </w:r>
      <w:bookmarkEnd w:id="29"/>
    </w:p>
    <w:p>
      <w:pPr>
        <w:pStyle w:val="29"/>
        <w:ind w:firstLine="640"/>
        <w:contextualSpacing/>
        <w:rPr>
          <w:rFonts w:ascii="Times New Roman" w:hAnsi="Times New Roman"/>
        </w:rPr>
      </w:pPr>
      <w:bookmarkStart w:id="30" w:name="_Toc458772071"/>
      <w:r>
        <w:rPr>
          <w:rFonts w:hint="eastAsia" w:ascii="Times New Roman" w:hAnsi="Times New Roman"/>
        </w:rPr>
        <w:t>（一）绩效指标值设置较低，且存在效益指标关联性不足</w:t>
      </w:r>
      <w:bookmarkEnd w:id="30"/>
    </w:p>
    <w:p>
      <w:pPr>
        <w:pStyle w:val="47"/>
        <w:ind w:firstLine="640"/>
      </w:pPr>
      <w:r>
        <w:rPr>
          <w:rFonts w:hint="eastAsia"/>
        </w:rPr>
        <w:t>考评信息采集经费</w:t>
      </w:r>
      <w:r>
        <w:t>项目</w:t>
      </w:r>
      <w:r>
        <w:rPr>
          <w:rFonts w:hint="eastAsia"/>
        </w:rPr>
        <w:t>绩效目标中数量指标的指标值为不低于7万件，低于合同规定的不低于8万件的要求，并且部门编制的效益</w:t>
      </w:r>
      <w:r>
        <w:t>指标</w:t>
      </w:r>
      <w:r>
        <w:rPr>
          <w:rFonts w:hint="eastAsia"/>
        </w:rPr>
        <w:t>全部</w:t>
      </w:r>
      <w:r>
        <w:t>存在</w:t>
      </w:r>
      <w:r>
        <w:rPr>
          <w:rFonts w:hint="eastAsia"/>
        </w:rPr>
        <w:t>关联性不高的问题，如经济效益指标三级指标为“提升和平区市容环境”，三级指标未反映出项目实施后产生的经济效益影响。</w:t>
      </w:r>
    </w:p>
    <w:p>
      <w:pPr>
        <w:pStyle w:val="29"/>
        <w:ind w:firstLine="640"/>
        <w:contextualSpacing/>
        <w:rPr>
          <w:rFonts w:ascii="Times New Roman" w:hAnsi="Times New Roman"/>
        </w:rPr>
      </w:pPr>
      <w:bookmarkStart w:id="31" w:name="_Toc1115904567"/>
      <w:r>
        <w:rPr>
          <w:rFonts w:hint="eastAsia" w:ascii="Times New Roman" w:hAnsi="Times New Roman"/>
        </w:rPr>
        <w:t>（二）制定实施方案中存在部分内容与实际情况不符</w:t>
      </w:r>
      <w:bookmarkEnd w:id="31"/>
    </w:p>
    <w:p>
      <w:pPr>
        <w:pStyle w:val="25"/>
        <w:ind w:firstLine="640"/>
        <w:rPr>
          <w:bCs/>
        </w:rPr>
      </w:pPr>
      <w:r>
        <w:rPr>
          <w:rFonts w:hint="eastAsia"/>
        </w:rPr>
        <w:t>天津市和平区城市管理委员会已建立《和平区数字化城市管理工作实施方案》，实施方案中明确了考评信息采集工作主要任务，实施办法和工作要求，但实施方案中存在部分内容与实际情况不符，如：巡查网格划分和人员安排要求</w:t>
      </w:r>
      <w:r>
        <w:t>每天在岗采集信息员达到14名至16名，使信息采集覆盖全区所有道路和居民区</w:t>
      </w:r>
      <w:r>
        <w:rPr>
          <w:rFonts w:hint="eastAsia"/>
        </w:rPr>
        <w:t>，与实际合同规定的工作日在岗人数不低于8人的要求存在偏差。</w:t>
      </w:r>
    </w:p>
    <w:p>
      <w:pPr>
        <w:pStyle w:val="29"/>
        <w:ind w:firstLine="640"/>
        <w:contextualSpacing/>
        <w:rPr>
          <w:rFonts w:ascii="Times New Roman" w:hAnsi="Times New Roman"/>
        </w:rPr>
      </w:pPr>
      <w:bookmarkStart w:id="32" w:name="_Toc1033368318"/>
      <w:r>
        <w:rPr>
          <w:rFonts w:hint="eastAsia" w:ascii="Times New Roman" w:hAnsi="Times New Roman"/>
        </w:rPr>
        <w:t>（三）项目实施过程中部门过程监管、事后验收不足</w:t>
      </w:r>
      <w:bookmarkEnd w:id="32"/>
    </w:p>
    <w:p>
      <w:pPr>
        <w:pStyle w:val="25"/>
        <w:ind w:firstLine="640"/>
        <w:rPr>
          <w:bCs/>
        </w:rPr>
      </w:pPr>
      <w:r>
        <w:rPr>
          <w:rFonts w:hint="eastAsia"/>
          <w:bCs/>
        </w:rPr>
        <w:t>天津市城市管理委员会作为考评信息采集工作的组织管理方，对承接工作第三方服务机构负有监管职责，但实际对第三方服务机构开展考评信息采集工作缺少必要的监督管理，存在监管执行不足，可能出现项目实施完成未达到预期效益的风险。且部门缺少按月考核、验收等佐证材料，无法判断是否履行合同规定要求。</w:t>
      </w:r>
    </w:p>
    <w:p>
      <w:pPr>
        <w:pStyle w:val="27"/>
        <w:ind w:firstLine="420"/>
        <w:contextualSpacing/>
      </w:pPr>
      <w:bookmarkStart w:id="33" w:name="_Toc1121067337"/>
      <w:r>
        <w:rPr>
          <w:rFonts w:hint="eastAsia"/>
        </w:rPr>
        <w:t>六、相关建议</w:t>
      </w:r>
      <w:bookmarkEnd w:id="33"/>
    </w:p>
    <w:p>
      <w:pPr>
        <w:pStyle w:val="29"/>
        <w:ind w:firstLine="640"/>
        <w:rPr>
          <w:rFonts w:ascii="Times New Roman" w:hAnsi="Times New Roman"/>
        </w:rPr>
      </w:pPr>
      <w:bookmarkStart w:id="34" w:name="_Toc1904697828"/>
      <w:r>
        <w:rPr>
          <w:rFonts w:hint="eastAsia" w:ascii="Times New Roman" w:hAnsi="Times New Roman"/>
        </w:rPr>
        <w:t>（一）加强绩效理念，提升绩效管理水平</w:t>
      </w:r>
      <w:bookmarkEnd w:id="34"/>
    </w:p>
    <w:p>
      <w:pPr>
        <w:pStyle w:val="25"/>
        <w:ind w:firstLine="640"/>
      </w:pPr>
      <w:r>
        <w:rPr>
          <w:rFonts w:hint="eastAsia"/>
        </w:rPr>
        <w:t>一是建议单位在设置项目绩效目标、项目绩效指标要具有适当性，对于绩效指标的表述要清晰规范，指标值的设置要围绕项目立项依据和项目工作计划方案，要符合行业标准，有一定可行性。二是建议单位在设置项目绩效目标、项目绩效指标时要具有合理性，指标值要可衡量，细化指标时要覆盖全面，指标间要相互对应，规范合理的设置项目绩效目标和绩效指标。三是</w:t>
      </w:r>
      <w:r>
        <w:t>建议加强单位的绩效培训力度，提高绩效工作的重视程度，强化对绩效基本概念的理解，</w:t>
      </w:r>
      <w:r>
        <w:rPr>
          <w:rFonts w:hint="eastAsia"/>
          <w:lang w:eastAsia="zh-CN"/>
        </w:rPr>
        <w:t>进而</w:t>
      </w:r>
      <w:r>
        <w:t>提高整体绩效工作质量。</w:t>
      </w:r>
    </w:p>
    <w:p>
      <w:pPr>
        <w:pStyle w:val="29"/>
        <w:ind w:firstLine="640"/>
        <w:rPr>
          <w:rFonts w:ascii="Times New Roman" w:hAnsi="Times New Roman"/>
        </w:rPr>
      </w:pPr>
      <w:bookmarkStart w:id="35" w:name="_Toc1865153014"/>
      <w:r>
        <w:rPr>
          <w:rFonts w:hint="eastAsia" w:ascii="Times New Roman" w:hAnsi="Times New Roman"/>
        </w:rPr>
        <w:t>（二）制定合理工作管理机制，确保项目可持续开展</w:t>
      </w:r>
      <w:bookmarkEnd w:id="35"/>
    </w:p>
    <w:p>
      <w:pPr>
        <w:pStyle w:val="25"/>
        <w:ind w:firstLine="640"/>
      </w:pPr>
      <w:r>
        <w:rPr>
          <w:rFonts w:hint="eastAsia"/>
        </w:rPr>
        <w:t>建议单位严格按照项目实施方案内容进行项目执行，根据项目实际工作情况制定合理的实施方案，避免出现项目实际工作内容与实施方案不符的情况，明确项目组织管理和工作职责，承接机构资质及工作要求，组织实施内容，问题处理及监督管理。</w:t>
      </w:r>
    </w:p>
    <w:p>
      <w:pPr>
        <w:pStyle w:val="29"/>
        <w:ind w:firstLine="640"/>
        <w:rPr>
          <w:rFonts w:ascii="Times New Roman" w:hAnsi="Times New Roman"/>
        </w:rPr>
      </w:pPr>
      <w:bookmarkStart w:id="36" w:name="_Toc807911039"/>
      <w:r>
        <w:rPr>
          <w:rFonts w:hint="eastAsia" w:ascii="Times New Roman" w:hAnsi="Times New Roman"/>
        </w:rPr>
        <w:t>（三）加强事中监管、事后验收工作，有效保障项目实施效果</w:t>
      </w:r>
      <w:bookmarkEnd w:id="36"/>
    </w:p>
    <w:p>
      <w:pPr>
        <w:pStyle w:val="47"/>
        <w:ind w:firstLine="640"/>
        <w:rPr>
          <w:rFonts w:cstheme="minorBidi"/>
          <w:szCs w:val="21"/>
        </w:rPr>
      </w:pPr>
      <w:r>
        <w:rPr>
          <w:rFonts w:cstheme="minorBidi"/>
          <w:szCs w:val="21"/>
        </w:rPr>
        <w:t>建议</w:t>
      </w:r>
      <w:r>
        <w:rPr>
          <w:rFonts w:hint="eastAsia" w:cstheme="minorBidi"/>
          <w:szCs w:val="21"/>
        </w:rPr>
        <w:t>单位</w:t>
      </w:r>
      <w:r>
        <w:rPr>
          <w:rFonts w:cstheme="minorBidi"/>
          <w:szCs w:val="21"/>
        </w:rPr>
        <w:t>加强项目实施过程中的监管力度，对</w:t>
      </w:r>
      <w:r>
        <w:rPr>
          <w:rFonts w:hint="eastAsia" w:cstheme="minorBidi"/>
          <w:szCs w:val="21"/>
        </w:rPr>
        <w:t>第三方服务机构</w:t>
      </w:r>
      <w:r>
        <w:rPr>
          <w:rFonts w:cstheme="minorBidi"/>
          <w:szCs w:val="21"/>
        </w:rPr>
        <w:t>进行实时监督</w:t>
      </w:r>
      <w:r>
        <w:rPr>
          <w:rFonts w:hint="eastAsia" w:cstheme="minorBidi"/>
          <w:szCs w:val="21"/>
        </w:rPr>
        <w:t>，</w:t>
      </w:r>
      <w:r>
        <w:rPr>
          <w:rFonts w:cstheme="minorBidi"/>
          <w:szCs w:val="21"/>
        </w:rPr>
        <w:t>严格把控 “项目实施前期”、“项目实施中期”、“项目实施后期”各阶段的进度</w:t>
      </w:r>
      <w:r>
        <w:rPr>
          <w:rFonts w:hint="eastAsia" w:cstheme="minorBidi"/>
          <w:szCs w:val="21"/>
        </w:rPr>
        <w:t>，</w:t>
      </w:r>
      <w:r>
        <w:rPr>
          <w:rFonts w:cstheme="minorBidi"/>
          <w:szCs w:val="21"/>
        </w:rPr>
        <w:t>详细记录受托第三方</w:t>
      </w:r>
      <w:r>
        <w:rPr>
          <w:rFonts w:hint="eastAsia" w:cstheme="minorBidi"/>
          <w:szCs w:val="21"/>
        </w:rPr>
        <w:t>服务</w:t>
      </w:r>
      <w:r>
        <w:rPr>
          <w:rFonts w:cstheme="minorBidi"/>
          <w:szCs w:val="21"/>
        </w:rPr>
        <w:t>机构的人员配备情况、制度执行情况、组织实施情况</w:t>
      </w:r>
      <w:r>
        <w:rPr>
          <w:rFonts w:hint="eastAsia" w:cstheme="minorBidi"/>
          <w:szCs w:val="21"/>
        </w:rPr>
        <w:t>等，</w:t>
      </w:r>
      <w:r>
        <w:t>推动项目提质增效。进一步完善验收制度，明确对验收程序、范围、内容和佐证资料的要求，</w:t>
      </w:r>
      <w:r>
        <w:rPr>
          <w:rFonts w:hint="eastAsia"/>
        </w:rPr>
        <w:t>确</w:t>
      </w:r>
      <w:r>
        <w:t>保验收程序规范性和验收内容严谨性</w:t>
      </w:r>
      <w:r>
        <w:rPr>
          <w:rFonts w:hint="eastAsia"/>
        </w:rPr>
        <w:t>，</w:t>
      </w:r>
      <w:r>
        <w:t>按照验收制度严格要求执行验收工作，</w:t>
      </w:r>
      <w:r>
        <w:rPr>
          <w:rFonts w:hint="eastAsia"/>
        </w:rPr>
        <w:t>佐证材料及时归档并妥善保管，</w:t>
      </w:r>
      <w:r>
        <w:t>确保验收工作保质保量完成。</w:t>
      </w:r>
    </w:p>
    <w:p>
      <w:pPr>
        <w:pStyle w:val="27"/>
        <w:rPr>
          <w:lang w:eastAsia="zh-Hans"/>
        </w:rPr>
      </w:pPr>
      <w:bookmarkStart w:id="37" w:name="_Toc21732492"/>
      <w:r>
        <w:rPr>
          <w:rFonts w:hint="eastAsia"/>
          <w:lang w:eastAsia="zh-Hans"/>
        </w:rPr>
        <w:t>七、相关附件</w:t>
      </w:r>
      <w:bookmarkEnd w:id="37"/>
    </w:p>
    <w:p>
      <w:pPr>
        <w:pStyle w:val="25"/>
        <w:ind w:left="1556" w:leftChars="304" w:hanging="918" w:hangingChars="287"/>
        <w:rPr>
          <w:color w:val="000000" w:themeColor="text1"/>
          <w14:textFill>
            <w14:solidFill>
              <w14:schemeClr w14:val="tx1"/>
            </w14:solidFill>
          </w14:textFill>
        </w:rPr>
      </w:pPr>
      <w:r>
        <w:rPr>
          <w:rFonts w:hint="eastAsia"/>
          <w:color w:val="000000" w:themeColor="text1"/>
          <w14:textFill>
            <w14:solidFill>
              <w14:schemeClr w14:val="tx1"/>
            </w14:solidFill>
          </w14:textFill>
        </w:rPr>
        <w:t>附件：天津市和平区城市管理委员会考评信息采集经费项目绩效评价指标体系及评分表</w:t>
      </w:r>
    </w:p>
    <w:bookmarkEnd w:id="22"/>
    <w:p>
      <w:pPr>
        <w:pStyle w:val="25"/>
        <w:ind w:firstLine="640"/>
      </w:pPr>
    </w:p>
    <w:sectPr>
      <w:footerReference r:id="rId11" w:type="default"/>
      <w:pgSz w:w="11906" w:h="16838"/>
      <w:pgMar w:top="2041" w:right="1531" w:bottom="2041" w:left="1531"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Verdana">
    <w:panose1 w:val="020B0804030504040204"/>
    <w:charset w:val="00"/>
    <w:family w:val="swiss"/>
    <w:pitch w:val="default"/>
    <w:sig w:usb0="A10006FF" w:usb1="4000205B" w:usb2="00000010" w:usb3="00000000" w:csb0="2000019F" w:csb1="00000000"/>
  </w:font>
  <w:font w:name="汉仪中等线KW">
    <w:panose1 w:val="01010104010101010101"/>
    <w:charset w:val="86"/>
    <w:family w:val="auto"/>
    <w:pitch w:val="default"/>
    <w:sig w:usb0="800002BF" w:usb1="004F7CFA" w:usb2="00000000" w:usb3="00000000" w:csb0="00040001"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等线 Light">
    <w:altName w:val="汉仪中等线K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Content>
                            <w:p>
                              <w:pPr>
                                <w:pStyle w:val="10"/>
                                <w:ind w:firstLine="360"/>
                                <w:jc w:val="right"/>
                              </w:pPr>
                              <w:r>
                                <w:fldChar w:fldCharType="begin"/>
                              </w:r>
                              <w:r>
                                <w:instrText xml:space="preserve">PAGE   \* MERGEFORMAT</w:instrText>
                              </w:r>
                              <w:r>
                                <w:fldChar w:fldCharType="separate"/>
                              </w:r>
                              <w:r>
                                <w:rPr>
                                  <w:lang w:val="zh-CN"/>
                                </w:rPr>
                                <w:t>2</w:t>
                              </w:r>
                              <w:r>
                                <w:fldChar w:fldCharType="end"/>
                              </w:r>
                            </w:p>
                          </w:sdtContent>
                        </w:sdt>
                        <w:p>
                          <w:pPr>
                            <w:ind w:firstLine="4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sdt>
                    <w:sdtPr>
                      <w:id w:val="-1"/>
                    </w:sdtPr>
                    <w:sdtContent>
                      <w:p>
                        <w:pPr>
                          <w:pStyle w:val="10"/>
                          <w:ind w:firstLine="360"/>
                          <w:jc w:val="right"/>
                        </w:pPr>
                        <w:r>
                          <w:fldChar w:fldCharType="begin"/>
                        </w:r>
                        <w:r>
                          <w:instrText xml:space="preserve">PAGE   \* MERGEFORMAT</w:instrText>
                        </w:r>
                        <w:r>
                          <w:fldChar w:fldCharType="separate"/>
                        </w:r>
                        <w:r>
                          <w:rPr>
                            <w:lang w:val="zh-CN"/>
                          </w:rPr>
                          <w:t>2</w:t>
                        </w:r>
                        <w:r>
                          <w:fldChar w:fldCharType="end"/>
                        </w:r>
                      </w:p>
                    </w:sdtContent>
                  </w:sdt>
                  <w:p>
                    <w:pPr>
                      <w:ind w:firstLine="420"/>
                    </w:pPr>
                  </w:p>
                </w:txbxContent>
              </v:textbox>
            </v:shape>
          </w:pict>
        </mc:Fallback>
      </mc:AlternateContent>
    </w:r>
  </w:p>
  <w:p>
    <w:pPr>
      <w:ind w:firstLine="4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kZWM4YjIxYThkNmM0YzhiZDBkMGJiNDM5ZWY2ZGQifQ=="/>
  </w:docVars>
  <w:rsids>
    <w:rsidRoot w:val="00661057"/>
    <w:rsid w:val="00010865"/>
    <w:rsid w:val="00012131"/>
    <w:rsid w:val="00015C05"/>
    <w:rsid w:val="00017921"/>
    <w:rsid w:val="00020D56"/>
    <w:rsid w:val="00021949"/>
    <w:rsid w:val="00024AFD"/>
    <w:rsid w:val="00024BCB"/>
    <w:rsid w:val="00030343"/>
    <w:rsid w:val="000315D7"/>
    <w:rsid w:val="000320CF"/>
    <w:rsid w:val="00040DF6"/>
    <w:rsid w:val="00041A50"/>
    <w:rsid w:val="000422A1"/>
    <w:rsid w:val="00047A45"/>
    <w:rsid w:val="00052FE6"/>
    <w:rsid w:val="00053EC5"/>
    <w:rsid w:val="00062B65"/>
    <w:rsid w:val="0007429F"/>
    <w:rsid w:val="000746D9"/>
    <w:rsid w:val="000751CF"/>
    <w:rsid w:val="000820BA"/>
    <w:rsid w:val="00082376"/>
    <w:rsid w:val="00083C7D"/>
    <w:rsid w:val="00087844"/>
    <w:rsid w:val="00090B22"/>
    <w:rsid w:val="00093E3F"/>
    <w:rsid w:val="000966C1"/>
    <w:rsid w:val="000A0718"/>
    <w:rsid w:val="000B04F0"/>
    <w:rsid w:val="000B12D4"/>
    <w:rsid w:val="000B57FD"/>
    <w:rsid w:val="000B765C"/>
    <w:rsid w:val="000C161F"/>
    <w:rsid w:val="000C677C"/>
    <w:rsid w:val="000D0CBC"/>
    <w:rsid w:val="000D1B8A"/>
    <w:rsid w:val="000D328E"/>
    <w:rsid w:val="000D4798"/>
    <w:rsid w:val="000D59C4"/>
    <w:rsid w:val="000E09D3"/>
    <w:rsid w:val="000E1645"/>
    <w:rsid w:val="000E60B5"/>
    <w:rsid w:val="000F5749"/>
    <w:rsid w:val="000F57C3"/>
    <w:rsid w:val="00100141"/>
    <w:rsid w:val="001021D7"/>
    <w:rsid w:val="0010563C"/>
    <w:rsid w:val="00113063"/>
    <w:rsid w:val="001144A3"/>
    <w:rsid w:val="00133A6C"/>
    <w:rsid w:val="0014294F"/>
    <w:rsid w:val="00142FBC"/>
    <w:rsid w:val="001457AE"/>
    <w:rsid w:val="00150419"/>
    <w:rsid w:val="00156000"/>
    <w:rsid w:val="00162746"/>
    <w:rsid w:val="00162A9C"/>
    <w:rsid w:val="00163836"/>
    <w:rsid w:val="001704F7"/>
    <w:rsid w:val="0017117B"/>
    <w:rsid w:val="00174C64"/>
    <w:rsid w:val="0017581B"/>
    <w:rsid w:val="0017673E"/>
    <w:rsid w:val="00181B81"/>
    <w:rsid w:val="00185478"/>
    <w:rsid w:val="001871E9"/>
    <w:rsid w:val="0019129E"/>
    <w:rsid w:val="00191749"/>
    <w:rsid w:val="00195E1D"/>
    <w:rsid w:val="001A2DD7"/>
    <w:rsid w:val="001A5D0F"/>
    <w:rsid w:val="001A60FE"/>
    <w:rsid w:val="001B3E05"/>
    <w:rsid w:val="001C455A"/>
    <w:rsid w:val="001C68F0"/>
    <w:rsid w:val="001D0C4F"/>
    <w:rsid w:val="001D4D25"/>
    <w:rsid w:val="001D598D"/>
    <w:rsid w:val="00201EAB"/>
    <w:rsid w:val="00202699"/>
    <w:rsid w:val="00206ED6"/>
    <w:rsid w:val="00210763"/>
    <w:rsid w:val="00211E44"/>
    <w:rsid w:val="00213586"/>
    <w:rsid w:val="00223431"/>
    <w:rsid w:val="00231B10"/>
    <w:rsid w:val="002362E6"/>
    <w:rsid w:val="00250137"/>
    <w:rsid w:val="0025214F"/>
    <w:rsid w:val="00252486"/>
    <w:rsid w:val="00252F45"/>
    <w:rsid w:val="00254126"/>
    <w:rsid w:val="00255788"/>
    <w:rsid w:val="00256F67"/>
    <w:rsid w:val="002606BD"/>
    <w:rsid w:val="00264F7B"/>
    <w:rsid w:val="00265D4E"/>
    <w:rsid w:val="002678A4"/>
    <w:rsid w:val="0027222E"/>
    <w:rsid w:val="002753AA"/>
    <w:rsid w:val="00276571"/>
    <w:rsid w:val="002815AF"/>
    <w:rsid w:val="00282482"/>
    <w:rsid w:val="00285E85"/>
    <w:rsid w:val="00297E04"/>
    <w:rsid w:val="002A3D27"/>
    <w:rsid w:val="002A425C"/>
    <w:rsid w:val="002A5C56"/>
    <w:rsid w:val="002B6E5F"/>
    <w:rsid w:val="002C23B2"/>
    <w:rsid w:val="002C2ECC"/>
    <w:rsid w:val="002C338A"/>
    <w:rsid w:val="002D741B"/>
    <w:rsid w:val="002E0D16"/>
    <w:rsid w:val="002E3C4E"/>
    <w:rsid w:val="002E527B"/>
    <w:rsid w:val="002F077A"/>
    <w:rsid w:val="002F2542"/>
    <w:rsid w:val="002F31E3"/>
    <w:rsid w:val="002F7F21"/>
    <w:rsid w:val="003029A1"/>
    <w:rsid w:val="003032A9"/>
    <w:rsid w:val="00303D5F"/>
    <w:rsid w:val="00304E75"/>
    <w:rsid w:val="00307E6B"/>
    <w:rsid w:val="00310651"/>
    <w:rsid w:val="00325B50"/>
    <w:rsid w:val="0033230F"/>
    <w:rsid w:val="003336A4"/>
    <w:rsid w:val="00335C30"/>
    <w:rsid w:val="0033624F"/>
    <w:rsid w:val="003502BF"/>
    <w:rsid w:val="003606F4"/>
    <w:rsid w:val="003652D2"/>
    <w:rsid w:val="00370D15"/>
    <w:rsid w:val="0037372D"/>
    <w:rsid w:val="0038049A"/>
    <w:rsid w:val="0038053D"/>
    <w:rsid w:val="00380E46"/>
    <w:rsid w:val="00381F5C"/>
    <w:rsid w:val="003854CE"/>
    <w:rsid w:val="00386038"/>
    <w:rsid w:val="00386369"/>
    <w:rsid w:val="003920E7"/>
    <w:rsid w:val="00395D8F"/>
    <w:rsid w:val="00396581"/>
    <w:rsid w:val="0039718C"/>
    <w:rsid w:val="003A2940"/>
    <w:rsid w:val="003A2F91"/>
    <w:rsid w:val="003A30C9"/>
    <w:rsid w:val="003B4F6C"/>
    <w:rsid w:val="003C3423"/>
    <w:rsid w:val="003C6B26"/>
    <w:rsid w:val="003D143B"/>
    <w:rsid w:val="003D42E6"/>
    <w:rsid w:val="003D5376"/>
    <w:rsid w:val="003D5E93"/>
    <w:rsid w:val="003E5D8A"/>
    <w:rsid w:val="003E7C97"/>
    <w:rsid w:val="003F12E1"/>
    <w:rsid w:val="003F4C3B"/>
    <w:rsid w:val="003F61ED"/>
    <w:rsid w:val="003F6620"/>
    <w:rsid w:val="00401C38"/>
    <w:rsid w:val="00401FDA"/>
    <w:rsid w:val="00402900"/>
    <w:rsid w:val="00407F2A"/>
    <w:rsid w:val="004132DE"/>
    <w:rsid w:val="0041451A"/>
    <w:rsid w:val="00415508"/>
    <w:rsid w:val="00416AE6"/>
    <w:rsid w:val="00416D35"/>
    <w:rsid w:val="004174C2"/>
    <w:rsid w:val="00431383"/>
    <w:rsid w:val="0043312F"/>
    <w:rsid w:val="00440EAF"/>
    <w:rsid w:val="00442355"/>
    <w:rsid w:val="004429F6"/>
    <w:rsid w:val="00442C96"/>
    <w:rsid w:val="0044422D"/>
    <w:rsid w:val="00455F34"/>
    <w:rsid w:val="00464BDC"/>
    <w:rsid w:val="0046745A"/>
    <w:rsid w:val="00472735"/>
    <w:rsid w:val="004746B7"/>
    <w:rsid w:val="00481085"/>
    <w:rsid w:val="0048792B"/>
    <w:rsid w:val="004A4E3E"/>
    <w:rsid w:val="004A5987"/>
    <w:rsid w:val="004A6BE4"/>
    <w:rsid w:val="004B2EE6"/>
    <w:rsid w:val="004C0450"/>
    <w:rsid w:val="004C1741"/>
    <w:rsid w:val="004C4A72"/>
    <w:rsid w:val="004C5888"/>
    <w:rsid w:val="004C5E4A"/>
    <w:rsid w:val="004C68E1"/>
    <w:rsid w:val="004D10A8"/>
    <w:rsid w:val="004D3BC4"/>
    <w:rsid w:val="004E0D4E"/>
    <w:rsid w:val="004E51AA"/>
    <w:rsid w:val="004F6D94"/>
    <w:rsid w:val="004F7B1D"/>
    <w:rsid w:val="00500272"/>
    <w:rsid w:val="0050309A"/>
    <w:rsid w:val="00506277"/>
    <w:rsid w:val="00507119"/>
    <w:rsid w:val="00507FA1"/>
    <w:rsid w:val="00513E56"/>
    <w:rsid w:val="00517695"/>
    <w:rsid w:val="005227CB"/>
    <w:rsid w:val="0052280F"/>
    <w:rsid w:val="005301DF"/>
    <w:rsid w:val="0053130C"/>
    <w:rsid w:val="00532532"/>
    <w:rsid w:val="005375FD"/>
    <w:rsid w:val="00541337"/>
    <w:rsid w:val="00553B90"/>
    <w:rsid w:val="00563B61"/>
    <w:rsid w:val="00573B4A"/>
    <w:rsid w:val="00575954"/>
    <w:rsid w:val="00577671"/>
    <w:rsid w:val="005855A1"/>
    <w:rsid w:val="00590B7F"/>
    <w:rsid w:val="0059156D"/>
    <w:rsid w:val="005978EB"/>
    <w:rsid w:val="005A02D6"/>
    <w:rsid w:val="005A1995"/>
    <w:rsid w:val="005A7556"/>
    <w:rsid w:val="005C0DD7"/>
    <w:rsid w:val="005C4163"/>
    <w:rsid w:val="005C4F23"/>
    <w:rsid w:val="005C5F21"/>
    <w:rsid w:val="005C66DA"/>
    <w:rsid w:val="005D2B39"/>
    <w:rsid w:val="005E0A86"/>
    <w:rsid w:val="005E3B63"/>
    <w:rsid w:val="005F72E1"/>
    <w:rsid w:val="00601702"/>
    <w:rsid w:val="0060374B"/>
    <w:rsid w:val="006200C3"/>
    <w:rsid w:val="006207A7"/>
    <w:rsid w:val="006243E6"/>
    <w:rsid w:val="00633D1D"/>
    <w:rsid w:val="00635391"/>
    <w:rsid w:val="00642B6B"/>
    <w:rsid w:val="006509C0"/>
    <w:rsid w:val="00652984"/>
    <w:rsid w:val="006555B4"/>
    <w:rsid w:val="00661057"/>
    <w:rsid w:val="0066490F"/>
    <w:rsid w:val="0066557D"/>
    <w:rsid w:val="00665A76"/>
    <w:rsid w:val="00677282"/>
    <w:rsid w:val="0068007F"/>
    <w:rsid w:val="00680FC8"/>
    <w:rsid w:val="00697E31"/>
    <w:rsid w:val="006A1A15"/>
    <w:rsid w:val="006A2799"/>
    <w:rsid w:val="006B33B3"/>
    <w:rsid w:val="006B6D9D"/>
    <w:rsid w:val="006B6F79"/>
    <w:rsid w:val="006C3511"/>
    <w:rsid w:val="006D0238"/>
    <w:rsid w:val="006D642B"/>
    <w:rsid w:val="006E76CD"/>
    <w:rsid w:val="006F71A1"/>
    <w:rsid w:val="00704F0F"/>
    <w:rsid w:val="0071296D"/>
    <w:rsid w:val="00712F83"/>
    <w:rsid w:val="00713AFA"/>
    <w:rsid w:val="00716ABF"/>
    <w:rsid w:val="00721F53"/>
    <w:rsid w:val="0072230F"/>
    <w:rsid w:val="0072315E"/>
    <w:rsid w:val="00726542"/>
    <w:rsid w:val="00726B01"/>
    <w:rsid w:val="00741F3B"/>
    <w:rsid w:val="00742787"/>
    <w:rsid w:val="00743FB6"/>
    <w:rsid w:val="00747CF7"/>
    <w:rsid w:val="0075758D"/>
    <w:rsid w:val="00774788"/>
    <w:rsid w:val="00781ADF"/>
    <w:rsid w:val="007823FB"/>
    <w:rsid w:val="00783F5D"/>
    <w:rsid w:val="007852DE"/>
    <w:rsid w:val="0078625F"/>
    <w:rsid w:val="007903CE"/>
    <w:rsid w:val="00793670"/>
    <w:rsid w:val="007A0119"/>
    <w:rsid w:val="007A7BE7"/>
    <w:rsid w:val="007D330F"/>
    <w:rsid w:val="007E1792"/>
    <w:rsid w:val="007F5AC1"/>
    <w:rsid w:val="007F68E4"/>
    <w:rsid w:val="007F7F99"/>
    <w:rsid w:val="0080107F"/>
    <w:rsid w:val="0080244B"/>
    <w:rsid w:val="008059C4"/>
    <w:rsid w:val="00805C64"/>
    <w:rsid w:val="008104FF"/>
    <w:rsid w:val="00811D5D"/>
    <w:rsid w:val="00814D5C"/>
    <w:rsid w:val="0081535C"/>
    <w:rsid w:val="00815FBF"/>
    <w:rsid w:val="008202A4"/>
    <w:rsid w:val="0082624D"/>
    <w:rsid w:val="00832539"/>
    <w:rsid w:val="008329B3"/>
    <w:rsid w:val="00840466"/>
    <w:rsid w:val="008509FA"/>
    <w:rsid w:val="0085243B"/>
    <w:rsid w:val="00855D04"/>
    <w:rsid w:val="00860004"/>
    <w:rsid w:val="0086233D"/>
    <w:rsid w:val="00862FEA"/>
    <w:rsid w:val="008712EC"/>
    <w:rsid w:val="00871A31"/>
    <w:rsid w:val="00872474"/>
    <w:rsid w:val="0087558E"/>
    <w:rsid w:val="00890929"/>
    <w:rsid w:val="008924A7"/>
    <w:rsid w:val="00895AEA"/>
    <w:rsid w:val="008A0118"/>
    <w:rsid w:val="008A759E"/>
    <w:rsid w:val="008B0066"/>
    <w:rsid w:val="008B59A6"/>
    <w:rsid w:val="008D2D00"/>
    <w:rsid w:val="008D7880"/>
    <w:rsid w:val="008E1AA1"/>
    <w:rsid w:val="008E266C"/>
    <w:rsid w:val="008E5E84"/>
    <w:rsid w:val="008F0212"/>
    <w:rsid w:val="008F062C"/>
    <w:rsid w:val="008F15D0"/>
    <w:rsid w:val="008F1B4B"/>
    <w:rsid w:val="008F417A"/>
    <w:rsid w:val="008F5986"/>
    <w:rsid w:val="008F61CF"/>
    <w:rsid w:val="008F7880"/>
    <w:rsid w:val="009040D7"/>
    <w:rsid w:val="009061EE"/>
    <w:rsid w:val="009103B4"/>
    <w:rsid w:val="00910630"/>
    <w:rsid w:val="00912ED4"/>
    <w:rsid w:val="00913830"/>
    <w:rsid w:val="00913E98"/>
    <w:rsid w:val="00934AD2"/>
    <w:rsid w:val="00935816"/>
    <w:rsid w:val="009363BB"/>
    <w:rsid w:val="00941CE3"/>
    <w:rsid w:val="0095347B"/>
    <w:rsid w:val="00955B84"/>
    <w:rsid w:val="00962142"/>
    <w:rsid w:val="0096395B"/>
    <w:rsid w:val="00976240"/>
    <w:rsid w:val="00977C36"/>
    <w:rsid w:val="00985716"/>
    <w:rsid w:val="009866A6"/>
    <w:rsid w:val="00990F30"/>
    <w:rsid w:val="00992019"/>
    <w:rsid w:val="009A5B43"/>
    <w:rsid w:val="009C1629"/>
    <w:rsid w:val="009C2C2E"/>
    <w:rsid w:val="009C4DCE"/>
    <w:rsid w:val="009C7652"/>
    <w:rsid w:val="009D402B"/>
    <w:rsid w:val="009E07F4"/>
    <w:rsid w:val="009E0FC8"/>
    <w:rsid w:val="009E109E"/>
    <w:rsid w:val="009E204A"/>
    <w:rsid w:val="009E4267"/>
    <w:rsid w:val="009E768A"/>
    <w:rsid w:val="009E79DC"/>
    <w:rsid w:val="009E7F63"/>
    <w:rsid w:val="009F0344"/>
    <w:rsid w:val="009F6318"/>
    <w:rsid w:val="00A061D0"/>
    <w:rsid w:val="00A06C54"/>
    <w:rsid w:val="00A207D3"/>
    <w:rsid w:val="00A2302C"/>
    <w:rsid w:val="00A236F7"/>
    <w:rsid w:val="00A25B3A"/>
    <w:rsid w:val="00A25CC2"/>
    <w:rsid w:val="00A308A4"/>
    <w:rsid w:val="00A31C1E"/>
    <w:rsid w:val="00A35C3C"/>
    <w:rsid w:val="00A414FB"/>
    <w:rsid w:val="00A46147"/>
    <w:rsid w:val="00A4688B"/>
    <w:rsid w:val="00A6224E"/>
    <w:rsid w:val="00A6240F"/>
    <w:rsid w:val="00A709F4"/>
    <w:rsid w:val="00A74304"/>
    <w:rsid w:val="00A75F6C"/>
    <w:rsid w:val="00A8117E"/>
    <w:rsid w:val="00A8399A"/>
    <w:rsid w:val="00A85DBD"/>
    <w:rsid w:val="00A86391"/>
    <w:rsid w:val="00A90D9B"/>
    <w:rsid w:val="00A91945"/>
    <w:rsid w:val="00A91A67"/>
    <w:rsid w:val="00A96AAB"/>
    <w:rsid w:val="00AB1B61"/>
    <w:rsid w:val="00AB2391"/>
    <w:rsid w:val="00AB5066"/>
    <w:rsid w:val="00AB65E0"/>
    <w:rsid w:val="00AB745A"/>
    <w:rsid w:val="00AC02F2"/>
    <w:rsid w:val="00AC0D86"/>
    <w:rsid w:val="00AC3016"/>
    <w:rsid w:val="00AC41C7"/>
    <w:rsid w:val="00AC4D8A"/>
    <w:rsid w:val="00AD0BE7"/>
    <w:rsid w:val="00AE03EE"/>
    <w:rsid w:val="00AE0785"/>
    <w:rsid w:val="00AE2336"/>
    <w:rsid w:val="00AE44A0"/>
    <w:rsid w:val="00AE4B56"/>
    <w:rsid w:val="00AF00D2"/>
    <w:rsid w:val="00AF55D3"/>
    <w:rsid w:val="00AF57C9"/>
    <w:rsid w:val="00B002BF"/>
    <w:rsid w:val="00B03444"/>
    <w:rsid w:val="00B060A2"/>
    <w:rsid w:val="00B1013E"/>
    <w:rsid w:val="00B15D0A"/>
    <w:rsid w:val="00B21270"/>
    <w:rsid w:val="00B22276"/>
    <w:rsid w:val="00B238F1"/>
    <w:rsid w:val="00B23EF4"/>
    <w:rsid w:val="00B23F0C"/>
    <w:rsid w:val="00B26714"/>
    <w:rsid w:val="00B35E24"/>
    <w:rsid w:val="00B43992"/>
    <w:rsid w:val="00B4638E"/>
    <w:rsid w:val="00B5638F"/>
    <w:rsid w:val="00B6027A"/>
    <w:rsid w:val="00B60A6B"/>
    <w:rsid w:val="00B62C18"/>
    <w:rsid w:val="00B655DA"/>
    <w:rsid w:val="00B66CC2"/>
    <w:rsid w:val="00B841DD"/>
    <w:rsid w:val="00B86A6D"/>
    <w:rsid w:val="00B8712D"/>
    <w:rsid w:val="00B906BE"/>
    <w:rsid w:val="00B976F1"/>
    <w:rsid w:val="00BA059A"/>
    <w:rsid w:val="00BA3E3D"/>
    <w:rsid w:val="00BB25CA"/>
    <w:rsid w:val="00BB59FC"/>
    <w:rsid w:val="00BC11DA"/>
    <w:rsid w:val="00BC5C66"/>
    <w:rsid w:val="00BE05CF"/>
    <w:rsid w:val="00BE0603"/>
    <w:rsid w:val="00BE4923"/>
    <w:rsid w:val="00BE5B7E"/>
    <w:rsid w:val="00BE5C78"/>
    <w:rsid w:val="00BE65F5"/>
    <w:rsid w:val="00BF08E7"/>
    <w:rsid w:val="00BF42E6"/>
    <w:rsid w:val="00BF6478"/>
    <w:rsid w:val="00C04CAE"/>
    <w:rsid w:val="00C053F3"/>
    <w:rsid w:val="00C061DB"/>
    <w:rsid w:val="00C06924"/>
    <w:rsid w:val="00C07B2B"/>
    <w:rsid w:val="00C1073E"/>
    <w:rsid w:val="00C10AC5"/>
    <w:rsid w:val="00C116C8"/>
    <w:rsid w:val="00C15BEF"/>
    <w:rsid w:val="00C2225A"/>
    <w:rsid w:val="00C36200"/>
    <w:rsid w:val="00C362F8"/>
    <w:rsid w:val="00C42EA5"/>
    <w:rsid w:val="00C5133E"/>
    <w:rsid w:val="00C51B32"/>
    <w:rsid w:val="00C53E45"/>
    <w:rsid w:val="00C547E9"/>
    <w:rsid w:val="00C54DC3"/>
    <w:rsid w:val="00C65AB2"/>
    <w:rsid w:val="00C66FD3"/>
    <w:rsid w:val="00C80204"/>
    <w:rsid w:val="00C84297"/>
    <w:rsid w:val="00C85726"/>
    <w:rsid w:val="00C86CC8"/>
    <w:rsid w:val="00C87832"/>
    <w:rsid w:val="00C91F96"/>
    <w:rsid w:val="00C96A15"/>
    <w:rsid w:val="00CA012D"/>
    <w:rsid w:val="00CA7641"/>
    <w:rsid w:val="00CB137E"/>
    <w:rsid w:val="00CB6134"/>
    <w:rsid w:val="00CC12EF"/>
    <w:rsid w:val="00CC488B"/>
    <w:rsid w:val="00CC5CAC"/>
    <w:rsid w:val="00CC647E"/>
    <w:rsid w:val="00CC704D"/>
    <w:rsid w:val="00CD188A"/>
    <w:rsid w:val="00CD2BE9"/>
    <w:rsid w:val="00CD4757"/>
    <w:rsid w:val="00CD6F4C"/>
    <w:rsid w:val="00CE1B8A"/>
    <w:rsid w:val="00CE3AF2"/>
    <w:rsid w:val="00CE6F29"/>
    <w:rsid w:val="00CE77D0"/>
    <w:rsid w:val="00CF22DB"/>
    <w:rsid w:val="00CF4A69"/>
    <w:rsid w:val="00D0145E"/>
    <w:rsid w:val="00D02A23"/>
    <w:rsid w:val="00D054B1"/>
    <w:rsid w:val="00D07A9E"/>
    <w:rsid w:val="00D1019C"/>
    <w:rsid w:val="00D12E9B"/>
    <w:rsid w:val="00D13CE2"/>
    <w:rsid w:val="00D16F7C"/>
    <w:rsid w:val="00D217CE"/>
    <w:rsid w:val="00D21DCB"/>
    <w:rsid w:val="00D23322"/>
    <w:rsid w:val="00D23E18"/>
    <w:rsid w:val="00D27911"/>
    <w:rsid w:val="00D351A7"/>
    <w:rsid w:val="00D35E73"/>
    <w:rsid w:val="00D42233"/>
    <w:rsid w:val="00D42400"/>
    <w:rsid w:val="00D43049"/>
    <w:rsid w:val="00D470E8"/>
    <w:rsid w:val="00D47E28"/>
    <w:rsid w:val="00D5373D"/>
    <w:rsid w:val="00D56DD6"/>
    <w:rsid w:val="00D57A11"/>
    <w:rsid w:val="00D61993"/>
    <w:rsid w:val="00D6605A"/>
    <w:rsid w:val="00D70E7E"/>
    <w:rsid w:val="00D7101A"/>
    <w:rsid w:val="00D7729E"/>
    <w:rsid w:val="00D77B0C"/>
    <w:rsid w:val="00D83F78"/>
    <w:rsid w:val="00D84F79"/>
    <w:rsid w:val="00D8540E"/>
    <w:rsid w:val="00D85EDA"/>
    <w:rsid w:val="00D96687"/>
    <w:rsid w:val="00DA0BF0"/>
    <w:rsid w:val="00DB0A45"/>
    <w:rsid w:val="00DC0184"/>
    <w:rsid w:val="00DC2003"/>
    <w:rsid w:val="00DC48BE"/>
    <w:rsid w:val="00DD15F6"/>
    <w:rsid w:val="00DD5663"/>
    <w:rsid w:val="00DE238A"/>
    <w:rsid w:val="00DF2687"/>
    <w:rsid w:val="00DF4038"/>
    <w:rsid w:val="00DF5606"/>
    <w:rsid w:val="00DF6D0A"/>
    <w:rsid w:val="00E05FE5"/>
    <w:rsid w:val="00E06041"/>
    <w:rsid w:val="00E06BE6"/>
    <w:rsid w:val="00E11346"/>
    <w:rsid w:val="00E178BD"/>
    <w:rsid w:val="00E269B8"/>
    <w:rsid w:val="00E33B46"/>
    <w:rsid w:val="00E5378D"/>
    <w:rsid w:val="00E56741"/>
    <w:rsid w:val="00E57334"/>
    <w:rsid w:val="00E719AC"/>
    <w:rsid w:val="00E744B0"/>
    <w:rsid w:val="00E752B7"/>
    <w:rsid w:val="00E7563F"/>
    <w:rsid w:val="00E76319"/>
    <w:rsid w:val="00E87E19"/>
    <w:rsid w:val="00EA32EF"/>
    <w:rsid w:val="00EB012E"/>
    <w:rsid w:val="00EB1408"/>
    <w:rsid w:val="00EB35C3"/>
    <w:rsid w:val="00EC2367"/>
    <w:rsid w:val="00EC3873"/>
    <w:rsid w:val="00EC73A6"/>
    <w:rsid w:val="00ED153D"/>
    <w:rsid w:val="00ED6EF6"/>
    <w:rsid w:val="00ED7AA6"/>
    <w:rsid w:val="00EE38FC"/>
    <w:rsid w:val="00EE5FF0"/>
    <w:rsid w:val="00EF447D"/>
    <w:rsid w:val="00EF5DA5"/>
    <w:rsid w:val="00EF72FF"/>
    <w:rsid w:val="00F00CA5"/>
    <w:rsid w:val="00F01F08"/>
    <w:rsid w:val="00F04803"/>
    <w:rsid w:val="00F064CE"/>
    <w:rsid w:val="00F07D83"/>
    <w:rsid w:val="00F22538"/>
    <w:rsid w:val="00F24D75"/>
    <w:rsid w:val="00F25493"/>
    <w:rsid w:val="00F2621D"/>
    <w:rsid w:val="00F31EC9"/>
    <w:rsid w:val="00F33A9D"/>
    <w:rsid w:val="00F5341C"/>
    <w:rsid w:val="00F54EC4"/>
    <w:rsid w:val="00F55003"/>
    <w:rsid w:val="00F624C0"/>
    <w:rsid w:val="00F73404"/>
    <w:rsid w:val="00F73AC3"/>
    <w:rsid w:val="00F73C16"/>
    <w:rsid w:val="00F73FEC"/>
    <w:rsid w:val="00F75B3D"/>
    <w:rsid w:val="00F8291C"/>
    <w:rsid w:val="00F82FB7"/>
    <w:rsid w:val="00F840B1"/>
    <w:rsid w:val="00F8651D"/>
    <w:rsid w:val="00F973E5"/>
    <w:rsid w:val="00FA06C6"/>
    <w:rsid w:val="00FA3A53"/>
    <w:rsid w:val="00FA5929"/>
    <w:rsid w:val="00FB04CE"/>
    <w:rsid w:val="00FB2C9E"/>
    <w:rsid w:val="00FB66CB"/>
    <w:rsid w:val="00FC3A6B"/>
    <w:rsid w:val="00FC77B3"/>
    <w:rsid w:val="00FD3B3A"/>
    <w:rsid w:val="00FD4D14"/>
    <w:rsid w:val="00FE245C"/>
    <w:rsid w:val="00FE27D0"/>
    <w:rsid w:val="00FF5079"/>
    <w:rsid w:val="00FF6380"/>
    <w:rsid w:val="026E04A1"/>
    <w:rsid w:val="1202208D"/>
    <w:rsid w:val="5AFD11BC"/>
    <w:rsid w:val="5F7F57DC"/>
    <w:rsid w:val="67CFBE89"/>
    <w:rsid w:val="69636537"/>
    <w:rsid w:val="6ED519F9"/>
    <w:rsid w:val="715BEB71"/>
    <w:rsid w:val="CB6F049F"/>
    <w:rsid w:val="FF9DC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semiHidden="0" w:name="toc 1"/>
    <w:lsdException w:qFormat="1" w:uiPriority="39" w:semiHidden="0" w:name="toc 2"/>
    <w:lsdException w:qFormat="1"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uiPriority="1"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7">
    <w:name w:val="annotation text"/>
    <w:basedOn w:val="1"/>
    <w:link w:val="44"/>
    <w:semiHidden/>
    <w:qFormat/>
    <w:uiPriority w:val="99"/>
  </w:style>
  <w:style w:type="paragraph" w:styleId="8">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9">
    <w:name w:val="Balloon Text"/>
    <w:basedOn w:val="1"/>
    <w:link w:val="41"/>
    <w:semiHidden/>
    <w:qFormat/>
    <w:uiPriority w:val="99"/>
    <w:pPr>
      <w:spacing w:line="240" w:lineRule="auto"/>
    </w:pPr>
    <w:rPr>
      <w:sz w:val="18"/>
      <w:szCs w:val="18"/>
    </w:rPr>
  </w:style>
  <w:style w:type="paragraph" w:styleId="10">
    <w:name w:val="footer"/>
    <w:basedOn w:val="1"/>
    <w:link w:val="40"/>
    <w:qFormat/>
    <w:uiPriority w:val="99"/>
    <w:pPr>
      <w:tabs>
        <w:tab w:val="center" w:pos="4153"/>
        <w:tab w:val="right" w:pos="8306"/>
      </w:tabs>
      <w:snapToGrid w:val="0"/>
      <w:spacing w:line="240" w:lineRule="auto"/>
    </w:pPr>
    <w:rPr>
      <w:sz w:val="18"/>
      <w:szCs w:val="18"/>
    </w:rPr>
  </w:style>
  <w:style w:type="paragraph" w:styleId="11">
    <w:name w:val="toc 1"/>
    <w:basedOn w:val="1"/>
    <w:next w:val="1"/>
    <w:qFormat/>
    <w:uiPriority w:val="39"/>
  </w:style>
  <w:style w:type="paragraph" w:styleId="12">
    <w:name w:val="toc 2"/>
    <w:basedOn w:val="1"/>
    <w:next w:val="1"/>
    <w:unhideWhenUsed/>
    <w:qFormat/>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paragraph" w:styleId="13">
    <w:name w:val="annotation subject"/>
    <w:basedOn w:val="7"/>
    <w:next w:val="7"/>
    <w:link w:val="45"/>
    <w:semiHidden/>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uiPriority w:val="99"/>
    <w:rPr>
      <w:color w:val="0563C1" w:themeColor="hyperlink"/>
      <w:u w:val="single"/>
      <w14:textFill>
        <w14:solidFill>
          <w14:schemeClr w14:val="hlink"/>
        </w14:solidFill>
      </w14:textFill>
    </w:rPr>
  </w:style>
  <w:style w:type="character" w:styleId="18">
    <w:name w:val="annotation reference"/>
    <w:basedOn w:val="16"/>
    <w:semiHidden/>
    <w:qFormat/>
    <w:uiPriority w:val="99"/>
    <w:rPr>
      <w:sz w:val="21"/>
      <w:szCs w:val="21"/>
    </w:rPr>
  </w:style>
  <w:style w:type="character" w:customStyle="1" w:styleId="19">
    <w:name w:val="标题 1 字符"/>
    <w:basedOn w:val="16"/>
    <w:link w:val="2"/>
    <w:semiHidden/>
    <w:qFormat/>
    <w:uiPriority w:val="9"/>
    <w:rPr>
      <w:b/>
      <w:bCs/>
      <w:kern w:val="44"/>
      <w:sz w:val="44"/>
      <w:szCs w:val="44"/>
    </w:rPr>
  </w:style>
  <w:style w:type="character" w:customStyle="1" w:styleId="20">
    <w:name w:val="标题 2 字符"/>
    <w:basedOn w:val="16"/>
    <w:link w:val="3"/>
    <w:semiHidden/>
    <w:qFormat/>
    <w:uiPriority w:val="9"/>
    <w:rPr>
      <w:rFonts w:asciiTheme="majorHAnsi" w:hAnsiTheme="majorHAnsi" w:cstheme="majorBidi"/>
      <w:b/>
      <w:bCs/>
      <w:sz w:val="32"/>
      <w:szCs w:val="32"/>
    </w:rPr>
  </w:style>
  <w:style w:type="character" w:customStyle="1" w:styleId="21">
    <w:name w:val="标题 3 字符"/>
    <w:basedOn w:val="16"/>
    <w:link w:val="4"/>
    <w:semiHidden/>
    <w:qFormat/>
    <w:uiPriority w:val="9"/>
    <w:rPr>
      <w:b/>
      <w:bCs/>
      <w:sz w:val="30"/>
      <w:szCs w:val="32"/>
    </w:rPr>
  </w:style>
  <w:style w:type="character" w:customStyle="1" w:styleId="22">
    <w:name w:val="标题 5 字符"/>
    <w:basedOn w:val="16"/>
    <w:link w:val="6"/>
    <w:semiHidden/>
    <w:qFormat/>
    <w:uiPriority w:val="9"/>
    <w:rPr>
      <w:b/>
      <w:bCs/>
      <w:szCs w:val="28"/>
    </w:rPr>
  </w:style>
  <w:style w:type="character" w:customStyle="1" w:styleId="23">
    <w:name w:val="标题 4 字符"/>
    <w:basedOn w:val="16"/>
    <w:link w:val="5"/>
    <w:semiHidden/>
    <w:qFormat/>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6"/>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qFormat/>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6"/>
    <w:link w:val="32"/>
    <w:qFormat/>
    <w:uiPriority w:val="0"/>
    <w:rPr>
      <w:rFonts w:ascii="Times New Roman" w:hAnsi="Times New Roman" w:eastAsia="黑体" w:cs="Times New Roman"/>
      <w:bCs/>
      <w:sz w:val="28"/>
      <w:szCs w:val="24"/>
    </w:rPr>
  </w:style>
  <w:style w:type="paragraph" w:customStyle="1" w:styleId="35">
    <w:name w:val="市局绩效-表格表头"/>
    <w:basedOn w:val="25"/>
    <w:link w:val="38"/>
    <w:qFormat/>
    <w:uiPriority w:val="0"/>
    <w:pPr>
      <w:spacing w:line="240" w:lineRule="auto"/>
      <w:ind w:firstLine="0" w:firstLineChars="0"/>
      <w:jc w:val="center"/>
    </w:pPr>
    <w:rPr>
      <w:rFonts w:eastAsia="黑体"/>
      <w:b/>
      <w:sz w:val="21"/>
    </w:rPr>
  </w:style>
  <w:style w:type="character" w:customStyle="1" w:styleId="36">
    <w:name w:val="市局绩效-表格单位 字符"/>
    <w:basedOn w:val="16"/>
    <w:link w:val="33"/>
    <w:qFormat/>
    <w:uiPriority w:val="0"/>
    <w:rPr>
      <w:rFonts w:ascii="Times New Roman" w:hAnsi="Times New Roman" w:eastAsia="宋体"/>
      <w:bCs/>
      <w:szCs w:val="18"/>
    </w:rPr>
  </w:style>
  <w:style w:type="paragraph" w:customStyle="1" w:styleId="37">
    <w:name w:val="市局绩效-表格内容"/>
    <w:basedOn w:val="25"/>
    <w:link w:val="39"/>
    <w:qFormat/>
    <w:uiPriority w:val="0"/>
    <w:pPr>
      <w:spacing w:line="360" w:lineRule="auto"/>
      <w:ind w:firstLine="0" w:firstLineChars="0"/>
      <w:jc w:val="center"/>
    </w:pPr>
    <w:rPr>
      <w:rFonts w:eastAsia="宋体"/>
      <w:sz w:val="21"/>
    </w:rPr>
  </w:style>
  <w:style w:type="character" w:customStyle="1" w:styleId="38">
    <w:name w:val="市局绩效-表格表头 字符"/>
    <w:basedOn w:val="28"/>
    <w:link w:val="35"/>
    <w:qFormat/>
    <w:uiPriority w:val="0"/>
    <w:rPr>
      <w:rFonts w:ascii="Times New Roman" w:hAnsi="Times New Roman" w:eastAsia="黑体"/>
      <w:b/>
      <w:sz w:val="32"/>
    </w:rPr>
  </w:style>
  <w:style w:type="character" w:customStyle="1" w:styleId="39">
    <w:name w:val="市局绩效-表格内容 字符"/>
    <w:basedOn w:val="28"/>
    <w:link w:val="37"/>
    <w:qFormat/>
    <w:uiPriority w:val="0"/>
    <w:rPr>
      <w:rFonts w:ascii="Times New Roman" w:hAnsi="Times New Roman" w:eastAsia="宋体"/>
      <w:sz w:val="32"/>
    </w:rPr>
  </w:style>
  <w:style w:type="character" w:customStyle="1" w:styleId="40">
    <w:name w:val="页脚 字符"/>
    <w:basedOn w:val="16"/>
    <w:link w:val="10"/>
    <w:qFormat/>
    <w:uiPriority w:val="99"/>
    <w:rPr>
      <w:sz w:val="18"/>
      <w:szCs w:val="18"/>
    </w:rPr>
  </w:style>
  <w:style w:type="character" w:customStyle="1" w:styleId="41">
    <w:name w:val="批注框文本 字符"/>
    <w:basedOn w:val="16"/>
    <w:link w:val="9"/>
    <w:semiHidden/>
    <w:qFormat/>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qFormat/>
    <w:uiPriority w:val="0"/>
    <w:rPr>
      <w:rFonts w:ascii="Times New Roman" w:hAnsi="Times New Roman" w:eastAsia="宋体"/>
      <w:bCs/>
      <w:sz w:val="32"/>
    </w:rPr>
  </w:style>
  <w:style w:type="character" w:customStyle="1" w:styleId="44">
    <w:name w:val="批注文字 字符"/>
    <w:basedOn w:val="16"/>
    <w:link w:val="7"/>
    <w:semiHidden/>
    <w:qFormat/>
    <w:uiPriority w:val="99"/>
  </w:style>
  <w:style w:type="character" w:customStyle="1" w:styleId="45">
    <w:name w:val="批注主题 字符"/>
    <w:basedOn w:val="44"/>
    <w:link w:val="13"/>
    <w:semiHidden/>
    <w:qFormat/>
    <w:uiPriority w:val="99"/>
    <w:rPr>
      <w:b/>
      <w:bCs/>
    </w:rPr>
  </w:style>
  <w:style w:type="table" w:customStyle="1" w:styleId="46">
    <w:name w:val="TableGrid"/>
    <w:qFormat/>
    <w:uiPriority w:val="0"/>
    <w:rPr>
      <w:szCs w:val="22"/>
    </w:rPr>
    <w:tblPr>
      <w:tblCellMar>
        <w:top w:w="0" w:type="dxa"/>
        <w:left w:w="0" w:type="dxa"/>
        <w:bottom w:w="0" w:type="dxa"/>
        <w:right w:w="0" w:type="dxa"/>
      </w:tblCellMar>
    </w:tblPr>
  </w:style>
  <w:style w:type="paragraph" w:customStyle="1" w:styleId="47">
    <w:name w:val="绩效正文"/>
    <w:basedOn w:val="1"/>
    <w:link w:val="48"/>
    <w:qFormat/>
    <w:uiPriority w:val="0"/>
    <w:pPr>
      <w:spacing w:line="600" w:lineRule="exact"/>
      <w:textAlignment w:val="baseline"/>
    </w:pPr>
    <w:rPr>
      <w:rFonts w:ascii="Times New Roman" w:hAnsi="Times New Roman" w:eastAsia="仿宋_GB2312" w:cs="Times New Roman"/>
      <w:sz w:val="32"/>
      <w:szCs w:val="24"/>
    </w:rPr>
  </w:style>
  <w:style w:type="character" w:customStyle="1" w:styleId="48">
    <w:name w:val="绩效正文 字符"/>
    <w:basedOn w:val="16"/>
    <w:link w:val="47"/>
    <w:qFormat/>
    <w:uiPriority w:val="0"/>
    <w:rPr>
      <w:rFonts w:ascii="Times New Roman" w:hAnsi="Times New Roman" w:eastAsia="仿宋_GB2312" w:cs="Times New Roman"/>
      <w:sz w:val="32"/>
      <w:szCs w:val="24"/>
    </w:rPr>
  </w:style>
  <w:style w:type="paragraph" w:customStyle="1" w:styleId="49">
    <w:name w:val="Char Char1 Char Char Char Char Char Char"/>
    <w:basedOn w:val="1"/>
    <w:qFormat/>
    <w:uiPriority w:val="0"/>
    <w:pPr>
      <w:widowControl/>
      <w:spacing w:after="160" w:line="240" w:lineRule="exact"/>
      <w:ind w:firstLine="0" w:firstLineChars="0"/>
    </w:pPr>
    <w:rPr>
      <w:rFonts w:ascii="Verdana" w:hAnsi="Verdana" w:eastAsia="仿宋_GB2312" w:cs="Times New Roman"/>
      <w:kern w:val="0"/>
      <w:sz w:val="24"/>
      <w:szCs w:val="20"/>
      <w:lang w:eastAsia="en-US"/>
    </w:rPr>
  </w:style>
  <w:style w:type="paragraph" w:customStyle="1" w:styleId="5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1978</Words>
  <Characters>11279</Characters>
  <Lines>93</Lines>
  <Paragraphs>26</Paragraphs>
  <TotalTime>8</TotalTime>
  <ScaleCrop>false</ScaleCrop>
  <LinksUpToDate>false</LinksUpToDate>
  <CharactersWithSpaces>13231</CharactersWithSpaces>
  <Application>WPS Office_6.2.0.8299_F1E327BC-269C-435d-A152-05C5408002CA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2021-10-07T04:17:00Z</dcterms:created>
  <dc:creator>忠晔 张</dc:creator>
  <cp:lastModifiedBy>м▂_ooN§</cp:lastModifiedBy>
  <cp:lastPrinted>2022-04-30T03:26:00Z</cp:lastPrinted>
  <dcterms:modified xsi:type="dcterms:W3CDTF">2023-10-09T11:07:32Z</dcterms:modified>
  <cp:revision>293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2052-6.2.0.8299</vt:lpwstr>
  </property>
  <property fmtid="{D5CDD505-2E9C-101B-9397-08002B2CF9AE}" pid="3" name="ICV">
    <vt:lpwstr>FA1BDB52F5E615C3C3E1DA64826E940D_42</vt:lpwstr>
  </property>
</Properties>
</file>