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ind w:firstLine="0" w:firstLineChars="0"/>
        <w:jc w:val="center"/>
        <w:rPr>
          <w:rFonts w:ascii="Times New Roman" w:hAnsi="Times New Roman" w:eastAsia="方正小标宋简体"/>
          <w:sz w:val="52"/>
          <w:szCs w:val="52"/>
        </w:rPr>
      </w:pPr>
      <w:r>
        <w:rPr>
          <w:rFonts w:hint="eastAsia" w:ascii="Times New Roman" w:hAnsi="Times New Roman" w:eastAsia="方正小标宋简体"/>
          <w:sz w:val="52"/>
          <w:szCs w:val="52"/>
          <w:lang w:val="en-US" w:eastAsia="zh-Hans"/>
        </w:rPr>
        <w:t>项目</w:t>
      </w:r>
      <w:r>
        <w:rPr>
          <w:rFonts w:ascii="Times New Roman" w:hAnsi="Times New Roman" w:eastAsia="方正小标宋简体"/>
          <w:sz w:val="52"/>
          <w:szCs w:val="52"/>
        </w:rPr>
        <w:t>支出</w:t>
      </w:r>
      <w:r>
        <w:rPr>
          <w:rFonts w:hint="eastAsia" w:ascii="Times New Roman" w:hAnsi="Times New Roman" w:eastAsia="方正小标宋简体"/>
          <w:sz w:val="52"/>
          <w:szCs w:val="52"/>
        </w:rPr>
        <w:t>绩效评价</w:t>
      </w:r>
      <w:r>
        <w:rPr>
          <w:rFonts w:ascii="Times New Roman" w:hAnsi="Times New Roman" w:eastAsia="方正小标宋简体"/>
          <w:sz w:val="52"/>
          <w:szCs w:val="52"/>
        </w:rPr>
        <w:t>报告</w:t>
      </w:r>
    </w:p>
    <w:p>
      <w:pPr>
        <w:spacing w:line="800" w:lineRule="exact"/>
        <w:ind w:firstLine="0" w:firstLineChars="0"/>
        <w:jc w:val="center"/>
        <w:rPr>
          <w:rFonts w:ascii="Times New Roman" w:hAnsi="Times New Roman" w:eastAsia="方正小标宋简体"/>
          <w:sz w:val="48"/>
          <w:szCs w:val="44"/>
        </w:rPr>
      </w:pPr>
      <w:r>
        <w:rPr>
          <w:rFonts w:ascii="Times New Roman" w:hAnsi="Times New Roman" w:eastAsia="方正小标宋简体"/>
          <w:sz w:val="40"/>
          <w:szCs w:val="36"/>
        </w:rPr>
        <w:t>（</w:t>
      </w:r>
      <w:r>
        <w:rPr>
          <w:rFonts w:ascii="Times New Roman" w:hAnsi="Times New Roman" w:eastAsia="方正小标宋简体" w:cs="Times New Roman"/>
          <w:sz w:val="40"/>
          <w:szCs w:val="40"/>
        </w:rPr>
        <w:t>2022</w:t>
      </w:r>
      <w:r>
        <w:rPr>
          <w:rFonts w:ascii="Times New Roman" w:hAnsi="Times New Roman" w:eastAsia="方正小标宋简体"/>
          <w:sz w:val="40"/>
          <w:szCs w:val="36"/>
        </w:rPr>
        <w:t>年度）</w:t>
      </w: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keepNext w:val="0"/>
        <w:keepLines w:val="0"/>
        <w:pageBreakBefore w:val="0"/>
        <w:widowControl w:val="0"/>
        <w:kinsoku/>
        <w:wordWrap/>
        <w:overflowPunct/>
        <w:topLinePunct w:val="0"/>
        <w:autoSpaceDE/>
        <w:autoSpaceDN/>
        <w:bidi w:val="0"/>
        <w:adjustRightInd/>
        <w:snapToGrid/>
        <w:spacing w:line="900" w:lineRule="exact"/>
        <w:ind w:firstLine="0" w:firstLineChars="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主 管 部 门：</w:t>
      </w:r>
      <w:r>
        <w:rPr>
          <w:rFonts w:hint="default" w:ascii="Times New Roman" w:hAnsi="Times New Roman" w:eastAsia="仿宋_GB2312"/>
          <w:sz w:val="32"/>
          <w:szCs w:val="32"/>
          <w:u w:val="single"/>
        </w:rPr>
        <w:t>天津市和平区人民政府国有资产监督管理委员会</w:t>
      </w:r>
      <w:r>
        <w:rPr>
          <w:rFonts w:hint="eastAsia" w:ascii="Times New Roman" w:hAnsi="Times New Roman" w:eastAsia="仿宋_GB2312"/>
          <w:sz w:val="32"/>
          <w:szCs w:val="32"/>
          <w:u w:val="single"/>
          <w:lang w:val="en-US" w:eastAsia="zh-CN"/>
        </w:rPr>
        <w:t xml:space="preserve">    </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lang w:val="en-US" w:eastAsia="zh-CN"/>
        </w:rPr>
        <w:t xml:space="preserve"> </w:t>
      </w:r>
      <w:r>
        <w:rPr>
          <w:rFonts w:hint="eastAsia" w:ascii="Times New Roman" w:hAnsi="Times New Roman" w:eastAsia="仿宋_GB2312" w:cs="Times New Roman"/>
          <w:spacing w:val="-20"/>
          <w:sz w:val="32"/>
          <w:szCs w:val="32"/>
          <w:u w:val="single"/>
          <w:lang w:val="en-US" w:eastAsia="zh-CN"/>
        </w:rPr>
        <w:t xml:space="preserve">  </w:t>
      </w:r>
      <w:r>
        <w:rPr>
          <w:rFonts w:ascii="Times New Roman" w:hAnsi="Times New Roman" w:eastAsia="仿宋_GB2312" w:cs="Times New Roman"/>
          <w:spacing w:val="-20"/>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900" w:lineRule="exact"/>
        <w:ind w:firstLine="0" w:firstLineChars="0"/>
        <w:textAlignment w:val="auto"/>
        <w:rPr>
          <w:rFonts w:hint="eastAsia" w:ascii="Times New Roman" w:hAnsi="Times New Roman" w:eastAsia="仿宋_GB2312" w:cs="Times New Roman"/>
          <w:spacing w:val="-20"/>
          <w:sz w:val="32"/>
          <w:szCs w:val="32"/>
          <w:u w:val="single"/>
          <w:lang w:val="en-US" w:eastAsia="zh-CN"/>
        </w:rPr>
      </w:pPr>
      <w:r>
        <w:rPr>
          <w:rFonts w:hint="eastAsia" w:ascii="Times New Roman" w:hAnsi="Times New Roman" w:eastAsia="仿宋_GB2312"/>
          <w:sz w:val="32"/>
          <w:szCs w:val="32"/>
          <w:lang w:val="en-US" w:eastAsia="zh-CN"/>
        </w:rPr>
        <w:t>项 目 单 位</w:t>
      </w:r>
      <w:r>
        <w:rPr>
          <w:rFonts w:ascii="Times New Roman" w:hAnsi="Times New Roman" w:eastAsia="仿宋_GB2312"/>
          <w:sz w:val="32"/>
          <w:szCs w:val="32"/>
        </w:rPr>
        <w:t>：</w:t>
      </w:r>
      <w:r>
        <w:rPr>
          <w:rFonts w:hint="eastAsia" w:ascii="Times New Roman" w:hAnsi="Times New Roman" w:eastAsia="仿宋_GB2312"/>
          <w:sz w:val="32"/>
          <w:szCs w:val="32"/>
          <w:u w:val="single"/>
        </w:rPr>
        <w:t>天津市和平区人民政府国有资产监督管理委员会</w:t>
      </w:r>
      <w:r>
        <w:rPr>
          <w:rFonts w:hint="eastAsia" w:ascii="Times New Roman" w:hAnsi="Times New Roman" w:eastAsia="仿宋_GB2312"/>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900" w:lineRule="exact"/>
        <w:ind w:left="2240" w:hanging="2240" w:hangingChars="700"/>
        <w:textAlignment w:val="auto"/>
        <w:rPr>
          <w:rFonts w:hint="default" w:ascii="Times New Roman" w:hAnsi="Times New Roman" w:eastAsia="仿宋_GB2312"/>
          <w:sz w:val="32"/>
          <w:szCs w:val="32"/>
          <w:u w:val="single"/>
          <w:lang w:val="en-US" w:eastAsia="zh-CN"/>
        </w:rPr>
      </w:pPr>
      <w:r>
        <w:rPr>
          <w:rFonts w:hint="eastAsia" w:ascii="Times New Roman" w:hAnsi="Times New Roman" w:eastAsia="仿宋_GB2312"/>
          <w:sz w:val="32"/>
          <w:szCs w:val="32"/>
          <w:lang w:val="en-US" w:eastAsia="zh-CN"/>
        </w:rPr>
        <w:t>项 目 名 称：</w:t>
      </w:r>
      <w:r>
        <w:rPr>
          <w:rFonts w:hint="eastAsia" w:ascii="Times New Roman" w:hAnsi="Times New Roman" w:eastAsia="仿宋_GB2312"/>
          <w:sz w:val="32"/>
          <w:szCs w:val="32"/>
          <w:u w:val="single"/>
          <w:lang w:val="en-US" w:eastAsia="zh-CN"/>
        </w:rPr>
        <w:t xml:space="preserve">         </w:t>
      </w:r>
      <w:r>
        <w:rPr>
          <w:rFonts w:hint="eastAsia" w:ascii="Times New Roman" w:hAnsi="Times New Roman" w:eastAsia="仿宋_GB2312"/>
          <w:sz w:val="32"/>
          <w:szCs w:val="32"/>
          <w:u w:val="single"/>
        </w:rPr>
        <w:t>智慧国资尾款及二期建设费</w:t>
      </w:r>
      <w:r>
        <w:rPr>
          <w:rFonts w:hint="eastAsia" w:ascii="Times New Roman" w:hAnsi="Times New Roman" w:eastAsia="仿宋_GB2312"/>
          <w:sz w:val="32"/>
          <w:szCs w:val="32"/>
          <w:u w:val="single"/>
          <w:lang w:val="en-US" w:eastAsia="zh-CN"/>
        </w:rPr>
        <w:t xml:space="preserve">                   </w:t>
      </w:r>
    </w:p>
    <w:p>
      <w:pPr>
        <w:spacing w:line="900" w:lineRule="exact"/>
        <w:ind w:firstLine="0" w:firstLineChars="0"/>
        <w:rPr>
          <w:rFonts w:ascii="Times New Roman" w:hAnsi="Times New Roman" w:eastAsia="仿宋_GB2312"/>
          <w:sz w:val="32"/>
          <w:szCs w:val="32"/>
        </w:rPr>
      </w:pPr>
      <w:r>
        <w:rPr>
          <w:rFonts w:ascii="Times New Roman" w:hAnsi="Times New Roman" w:eastAsia="仿宋_GB2312"/>
          <w:sz w:val="32"/>
          <w:szCs w:val="32"/>
        </w:rPr>
        <w:t xml:space="preserve">评 </w:t>
      </w:r>
      <w:r>
        <w:rPr>
          <w:rFonts w:hint="eastAsia" w:ascii="Times New Roman" w:hAnsi="Times New Roman" w:eastAsia="仿宋_GB2312"/>
          <w:sz w:val="32"/>
          <w:szCs w:val="32"/>
        </w:rPr>
        <w:t xml:space="preserve">价 </w:t>
      </w:r>
      <w:r>
        <w:rPr>
          <w:rFonts w:ascii="Times New Roman" w:hAnsi="Times New Roman" w:eastAsia="仿宋_GB2312"/>
          <w:sz w:val="32"/>
          <w:szCs w:val="32"/>
        </w:rPr>
        <w:t>机 构</w:t>
      </w:r>
      <w:r>
        <w:rPr>
          <w:rFonts w:hint="eastAsia" w:ascii="Times New Roman" w:hAnsi="Times New Roman" w:eastAsia="仿宋_GB2312"/>
          <w:sz w:val="32"/>
          <w:szCs w:val="32"/>
        </w:rPr>
        <w:t>：</w:t>
      </w:r>
      <w:r>
        <w:rPr>
          <w:rFonts w:ascii="Times New Roman" w:hAnsi="Times New Roman" w:eastAsia="仿宋_GB2312"/>
          <w:sz w:val="32"/>
          <w:szCs w:val="32"/>
          <w:u w:val="single"/>
        </w:rPr>
        <w:t xml:space="preserve">         天津</w:t>
      </w:r>
      <w:r>
        <w:rPr>
          <w:rFonts w:hint="eastAsia" w:ascii="Times New Roman" w:hAnsi="Times New Roman" w:eastAsia="仿宋_GB2312"/>
          <w:sz w:val="32"/>
          <w:szCs w:val="32"/>
          <w:u w:val="single"/>
        </w:rPr>
        <w:t>安信管理咨询</w:t>
      </w:r>
      <w:r>
        <w:rPr>
          <w:rFonts w:ascii="Times New Roman" w:hAnsi="Times New Roman" w:eastAsia="仿宋_GB2312"/>
          <w:sz w:val="32"/>
          <w:szCs w:val="32"/>
          <w:u w:val="single"/>
        </w:rPr>
        <w:t>有限公司</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p>
    <w:p>
      <w:pPr>
        <w:spacing w:line="900" w:lineRule="exact"/>
        <w:ind w:firstLine="0" w:firstLineChars="0"/>
        <w:rPr>
          <w:rFonts w:ascii="Times New Roman" w:hAnsi="Times New Roman" w:eastAsia="仿宋_GB2312"/>
          <w:sz w:val="32"/>
          <w:szCs w:val="32"/>
          <w:u w:val="single"/>
        </w:rPr>
      </w:pPr>
      <w:r>
        <w:rPr>
          <w:rFonts w:ascii="Times New Roman" w:hAnsi="Times New Roman" w:eastAsia="仿宋_GB2312"/>
          <w:sz w:val="32"/>
          <w:szCs w:val="32"/>
        </w:rPr>
        <w:t xml:space="preserve">评 </w:t>
      </w:r>
      <w:r>
        <w:rPr>
          <w:rFonts w:hint="eastAsia" w:ascii="Times New Roman" w:hAnsi="Times New Roman" w:eastAsia="仿宋_GB2312"/>
          <w:sz w:val="32"/>
          <w:szCs w:val="32"/>
        </w:rPr>
        <w:t>价</w:t>
      </w:r>
      <w:r>
        <w:rPr>
          <w:rFonts w:ascii="Times New Roman" w:hAnsi="Times New Roman" w:eastAsia="仿宋_GB2312"/>
          <w:sz w:val="32"/>
          <w:szCs w:val="32"/>
        </w:rPr>
        <w:t xml:space="preserve"> 日 期：</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lang w:val="en-US" w:eastAsia="zh-CN"/>
        </w:rPr>
        <w:t xml:space="preserve"> </w:t>
      </w:r>
      <w:r>
        <w:rPr>
          <w:rFonts w:ascii="Times New Roman" w:hAnsi="Times New Roman" w:eastAsia="仿宋_GB2312" w:cs="Times New Roman"/>
          <w:sz w:val="32"/>
          <w:szCs w:val="32"/>
          <w:u w:val="single"/>
        </w:rPr>
        <w:t>2023</w:t>
      </w:r>
      <w:r>
        <w:rPr>
          <w:rFonts w:hint="eastAsia" w:ascii="Times New Roman" w:hAnsi="Times New Roman" w:eastAsia="仿宋_GB2312"/>
          <w:sz w:val="32"/>
          <w:szCs w:val="32"/>
          <w:u w:val="single"/>
        </w:rPr>
        <w:t>年</w:t>
      </w:r>
      <w:r>
        <w:rPr>
          <w:rFonts w:ascii="Times New Roman" w:hAnsi="Times New Roman" w:eastAsia="仿宋_GB2312" w:cs="Times New Roman"/>
          <w:sz w:val="32"/>
          <w:szCs w:val="32"/>
          <w:u w:val="single"/>
        </w:rPr>
        <w:t>07</w:t>
      </w:r>
      <w:r>
        <w:rPr>
          <w:rFonts w:hint="eastAsia" w:ascii="Times New Roman" w:hAnsi="Times New Roman" w:eastAsia="仿宋_GB2312"/>
          <w:sz w:val="32"/>
          <w:szCs w:val="32"/>
          <w:u w:val="single"/>
        </w:rPr>
        <w:t>月-</w:t>
      </w:r>
      <w:r>
        <w:rPr>
          <w:rFonts w:ascii="Times New Roman" w:hAnsi="Times New Roman" w:eastAsia="仿宋_GB2312" w:cs="Times New Roman"/>
          <w:sz w:val="32"/>
          <w:szCs w:val="32"/>
          <w:u w:val="single"/>
        </w:rPr>
        <w:t>2023</w:t>
      </w:r>
      <w:r>
        <w:rPr>
          <w:rFonts w:hint="eastAsia" w:ascii="Times New Roman" w:hAnsi="Times New Roman" w:eastAsia="仿宋_GB2312"/>
          <w:sz w:val="32"/>
          <w:szCs w:val="32"/>
          <w:u w:val="single"/>
        </w:rPr>
        <w:t>年</w:t>
      </w:r>
      <w:r>
        <w:rPr>
          <w:rFonts w:ascii="Times New Roman" w:hAnsi="Times New Roman" w:eastAsia="仿宋_GB2312" w:cs="Times New Roman"/>
          <w:sz w:val="32"/>
          <w:szCs w:val="32"/>
          <w:u w:val="single"/>
        </w:rPr>
        <w:t>10</w:t>
      </w:r>
      <w:r>
        <w:rPr>
          <w:rFonts w:hint="eastAsia" w:ascii="Times New Roman" w:hAnsi="Times New Roman" w:eastAsia="仿宋_GB2312"/>
          <w:sz w:val="32"/>
          <w:szCs w:val="32"/>
          <w:u w:val="single"/>
        </w:rPr>
        <w:t>月</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p>
    <w:p>
      <w:pPr>
        <w:widowControl/>
        <w:spacing w:line="240" w:lineRule="auto"/>
        <w:ind w:firstLine="0" w:firstLineChars="0"/>
        <w:rPr>
          <w:rFonts w:ascii="Times New Roman" w:hAnsi="Times New Roman" w:eastAsia="方正小标宋简体"/>
          <w:bCs/>
          <w:color w:val="000000" w:themeColor="text1"/>
          <w:kern w:val="44"/>
          <w:sz w:val="44"/>
          <w:szCs w:val="44"/>
          <w14:textFill>
            <w14:solidFill>
              <w14:schemeClr w14:val="tx1"/>
            </w14:solidFill>
          </w14:textFill>
        </w:rPr>
      </w:pPr>
      <w:r>
        <w:rPr>
          <w:rFonts w:ascii="Times New Roman" w:hAnsi="Times New Roman" w:eastAsia="方正小标宋简体"/>
          <w:bCs/>
          <w:color w:val="000000" w:themeColor="text1"/>
          <w:kern w:val="44"/>
          <w:sz w:val="44"/>
          <w:szCs w:val="44"/>
          <w14:textFill>
            <w14:solidFill>
              <w14:schemeClr w14:val="tx1"/>
            </w14:solidFill>
          </w14:textFill>
        </w:rPr>
        <w:br w:type="page"/>
      </w:r>
    </w:p>
    <w:sdt>
      <w:sdtPr>
        <w:rPr>
          <w:rFonts w:ascii="Times New Roman" w:hAnsi="Times New Roman" w:eastAsiaTheme="minorEastAsia" w:cstheme="minorBidi"/>
          <w:color w:val="auto"/>
          <w:kern w:val="2"/>
          <w:sz w:val="21"/>
          <w:szCs w:val="21"/>
          <w:lang w:val="zh-CN"/>
        </w:rPr>
        <w:id w:val="-505280812"/>
        <w:docPartObj>
          <w:docPartGallery w:val="Table of Contents"/>
          <w:docPartUnique/>
        </w:docPartObj>
      </w:sdtPr>
      <w:sdtEndPr>
        <w:rPr>
          <w:rFonts w:ascii="Times New Roman" w:hAnsi="Times New Roman" w:eastAsiaTheme="majorEastAsia" w:cstheme="majorBidi"/>
          <w:b/>
          <w:bCs/>
          <w:color w:val="2F5597" w:themeColor="accent1" w:themeShade="BF"/>
          <w:kern w:val="0"/>
          <w:sz w:val="32"/>
          <w:szCs w:val="32"/>
          <w:lang w:val="zh-CN"/>
        </w:rPr>
      </w:sdtEndPr>
      <w:sdtContent>
        <w:p>
          <w:pPr>
            <w:pStyle w:val="47"/>
            <w:ind w:firstLine="420"/>
            <w:jc w:val="center"/>
            <w:rPr>
              <w:rFonts w:ascii="Times New Roman" w:hAnsi="Times New Roman" w:eastAsia="黑体" w:cs="黑体"/>
              <w:b w:val="0"/>
              <w:bCs w:val="0"/>
              <w:color w:val="auto"/>
              <w:kern w:val="0"/>
              <w:sz w:val="32"/>
              <w:szCs w:val="32"/>
              <w:lang w:val="en-US" w:eastAsia="zh-CN" w:bidi="ar-SA"/>
            </w:rPr>
          </w:pPr>
          <w:r>
            <w:rPr>
              <w:rFonts w:hint="eastAsia" w:ascii="Times New Roman" w:hAnsi="Times New Roman" w:eastAsia="黑体" w:cs="黑体"/>
              <w:color w:val="auto"/>
              <w:sz w:val="36"/>
              <w:szCs w:val="36"/>
              <w:highlight w:val="none"/>
            </w:rPr>
            <w:t>目  录</w:t>
          </w:r>
          <w:r>
            <w:rPr>
              <w:rFonts w:ascii="Times New Roman" w:hAnsi="Times New Roman" w:eastAsia="黑体" w:cs="黑体"/>
              <w:color w:val="auto"/>
            </w:rPr>
            <w:fldChar w:fldCharType="begin"/>
          </w:r>
          <w:r>
            <w:rPr>
              <w:rFonts w:ascii="Times New Roman" w:hAnsi="Times New Roman" w:eastAsia="黑体" w:cs="黑体"/>
              <w:color w:val="auto"/>
            </w:rPr>
            <w:instrText xml:space="preserve"> </w:instrText>
          </w:r>
          <w:r>
            <w:rPr>
              <w:rFonts w:hint="eastAsia" w:ascii="Times New Roman" w:hAnsi="Times New Roman" w:eastAsia="黑体" w:cs="黑体"/>
              <w:color w:val="auto"/>
            </w:rPr>
            <w:instrText xml:space="preserve">TOC \o "1-3" \h \z \u</w:instrText>
          </w:r>
          <w:r>
            <w:rPr>
              <w:rFonts w:ascii="Times New Roman" w:hAnsi="Times New Roman" w:eastAsia="黑体" w:cs="黑体"/>
              <w:color w:val="auto"/>
            </w:rPr>
            <w:instrText xml:space="preserve"> </w:instrText>
          </w:r>
          <w:r>
            <w:rPr>
              <w:rFonts w:ascii="Times New Roman" w:hAnsi="Times New Roman" w:eastAsia="黑体" w:cs="黑体"/>
              <w:color w:val="auto"/>
            </w:rPr>
            <w:fldChar w:fldCharType="separate"/>
          </w:r>
        </w:p>
        <w:p>
          <w:pPr>
            <w:pStyle w:val="12"/>
            <w:tabs>
              <w:tab w:val="right" w:leader="dot" w:pos="8844"/>
              <w:tab w:val="clear" w:pos="8302"/>
            </w:tabs>
          </w:pPr>
          <w:r>
            <w:rPr>
              <w:rFonts w:ascii="Times New Roman" w:hAnsi="Times New Roman" w:eastAsia="黑体" w:cs="黑体"/>
              <w:color w:val="auto"/>
            </w:rPr>
            <w:fldChar w:fldCharType="begin"/>
          </w:r>
          <w:r>
            <w:rPr>
              <w:rFonts w:ascii="Times New Roman" w:hAnsi="Times New Roman" w:eastAsia="黑体" w:cs="黑体"/>
            </w:rPr>
            <w:instrText xml:space="preserve"> HYPERLINK \l _Toc32146 </w:instrText>
          </w:r>
          <w:r>
            <w:rPr>
              <w:rFonts w:ascii="Times New Roman" w:hAnsi="Times New Roman" w:eastAsia="黑体" w:cs="黑体"/>
            </w:rPr>
            <w:fldChar w:fldCharType="separate"/>
          </w:r>
          <w:r>
            <w:rPr>
              <w:rFonts w:hint="eastAsia" w:ascii="Times New Roman" w:hAnsi="Times New Roman"/>
            </w:rPr>
            <w:t>一、项目基本情况</w:t>
          </w:r>
          <w:r>
            <w:tab/>
          </w:r>
          <w:r>
            <w:fldChar w:fldCharType="begin"/>
          </w:r>
          <w:r>
            <w:instrText xml:space="preserve"> PAGEREF _Toc32146 \h </w:instrText>
          </w:r>
          <w:r>
            <w:fldChar w:fldCharType="separate"/>
          </w:r>
          <w:r>
            <w:t>1</w:t>
          </w:r>
          <w:r>
            <w:fldChar w:fldCharType="end"/>
          </w:r>
          <w:r>
            <w:rPr>
              <w:rFonts w:ascii="Times New Roman" w:hAnsi="Times New Roman" w:eastAsia="黑体" w:cs="黑体"/>
              <w:color w:val="auto"/>
            </w:rPr>
            <w:fldChar w:fldCharType="end"/>
          </w:r>
        </w:p>
        <w:p>
          <w:pPr>
            <w:pStyle w:val="8"/>
            <w:tabs>
              <w:tab w:val="right" w:leader="dot" w:pos="8844"/>
              <w:tab w:val="clear" w:pos="8302"/>
            </w:tabs>
          </w:pPr>
          <w:r>
            <w:rPr>
              <w:rFonts w:ascii="Times New Roman" w:hAnsi="Times New Roman" w:eastAsia="黑体" w:cs="黑体"/>
              <w:color w:val="auto"/>
            </w:rPr>
            <w:fldChar w:fldCharType="begin"/>
          </w:r>
          <w:r>
            <w:rPr>
              <w:rFonts w:ascii="Times New Roman" w:hAnsi="Times New Roman" w:eastAsia="黑体" w:cs="黑体"/>
            </w:rPr>
            <w:instrText xml:space="preserve"> HYPERLINK \l _Toc21462 </w:instrText>
          </w:r>
          <w:r>
            <w:rPr>
              <w:rFonts w:ascii="Times New Roman" w:hAnsi="Times New Roman" w:eastAsia="黑体" w:cs="黑体"/>
            </w:rPr>
            <w:fldChar w:fldCharType="separate"/>
          </w:r>
          <w:r>
            <w:rPr>
              <w:rFonts w:hint="eastAsia" w:ascii="Times New Roman" w:hAnsi="Times New Roman"/>
            </w:rPr>
            <w:t>（一）项目概况</w:t>
          </w:r>
          <w:r>
            <w:tab/>
          </w:r>
          <w:r>
            <w:fldChar w:fldCharType="begin"/>
          </w:r>
          <w:r>
            <w:instrText xml:space="preserve"> PAGEREF _Toc21462 \h </w:instrText>
          </w:r>
          <w:r>
            <w:fldChar w:fldCharType="separate"/>
          </w:r>
          <w:r>
            <w:t>1</w:t>
          </w:r>
          <w:r>
            <w:fldChar w:fldCharType="end"/>
          </w:r>
          <w:r>
            <w:rPr>
              <w:rFonts w:ascii="Times New Roman" w:hAnsi="Times New Roman" w:eastAsia="黑体" w:cs="黑体"/>
              <w:color w:val="auto"/>
            </w:rPr>
            <w:fldChar w:fldCharType="end"/>
          </w:r>
        </w:p>
        <w:p>
          <w:pPr>
            <w:pStyle w:val="8"/>
            <w:tabs>
              <w:tab w:val="right" w:leader="dot" w:pos="8844"/>
              <w:tab w:val="clear" w:pos="8302"/>
            </w:tabs>
          </w:pPr>
          <w:r>
            <w:rPr>
              <w:rFonts w:ascii="Times New Roman" w:hAnsi="Times New Roman" w:eastAsia="黑体" w:cs="黑体"/>
              <w:color w:val="auto"/>
            </w:rPr>
            <w:fldChar w:fldCharType="begin"/>
          </w:r>
          <w:r>
            <w:rPr>
              <w:rFonts w:ascii="Times New Roman" w:hAnsi="Times New Roman" w:eastAsia="黑体" w:cs="黑体"/>
            </w:rPr>
            <w:instrText xml:space="preserve"> HYPERLINK \l _Toc5271 </w:instrText>
          </w:r>
          <w:r>
            <w:rPr>
              <w:rFonts w:ascii="Times New Roman" w:hAnsi="Times New Roman" w:eastAsia="黑体" w:cs="黑体"/>
            </w:rPr>
            <w:fldChar w:fldCharType="separate"/>
          </w:r>
          <w:r>
            <w:rPr>
              <w:rFonts w:hint="eastAsia" w:ascii="Times New Roman" w:hAnsi="Times New Roman"/>
            </w:rPr>
            <w:t>（二）项目绩效目标</w:t>
          </w:r>
          <w:r>
            <w:tab/>
          </w:r>
          <w:r>
            <w:fldChar w:fldCharType="begin"/>
          </w:r>
          <w:r>
            <w:instrText xml:space="preserve"> PAGEREF _Toc5271 \h </w:instrText>
          </w:r>
          <w:r>
            <w:fldChar w:fldCharType="separate"/>
          </w:r>
          <w:r>
            <w:t>3</w:t>
          </w:r>
          <w:r>
            <w:fldChar w:fldCharType="end"/>
          </w:r>
          <w:r>
            <w:rPr>
              <w:rFonts w:ascii="Times New Roman" w:hAnsi="Times New Roman" w:eastAsia="黑体" w:cs="黑体"/>
              <w:color w:val="auto"/>
            </w:rPr>
            <w:fldChar w:fldCharType="end"/>
          </w:r>
        </w:p>
        <w:p>
          <w:pPr>
            <w:pStyle w:val="12"/>
            <w:tabs>
              <w:tab w:val="right" w:leader="dot" w:pos="8844"/>
              <w:tab w:val="clear" w:pos="8302"/>
            </w:tabs>
          </w:pPr>
          <w:r>
            <w:rPr>
              <w:rFonts w:ascii="Times New Roman" w:hAnsi="Times New Roman" w:eastAsia="黑体" w:cs="黑体"/>
              <w:color w:val="auto"/>
            </w:rPr>
            <w:fldChar w:fldCharType="begin"/>
          </w:r>
          <w:r>
            <w:rPr>
              <w:rFonts w:ascii="Times New Roman" w:hAnsi="Times New Roman" w:eastAsia="黑体" w:cs="黑体"/>
            </w:rPr>
            <w:instrText xml:space="preserve"> HYPERLINK \l _Toc22299 </w:instrText>
          </w:r>
          <w:r>
            <w:rPr>
              <w:rFonts w:ascii="Times New Roman" w:hAnsi="Times New Roman" w:eastAsia="黑体" w:cs="黑体"/>
            </w:rPr>
            <w:fldChar w:fldCharType="separate"/>
          </w:r>
          <w:r>
            <w:rPr>
              <w:rFonts w:hint="eastAsia" w:ascii="Times New Roman" w:hAnsi="Times New Roman" w:eastAsia="仿宋_GB2312" w:cstheme="minorBidi"/>
              <w:szCs w:val="21"/>
            </w:rPr>
            <w:t>二、绩效评价工作开展情况</w:t>
          </w:r>
          <w:r>
            <w:tab/>
          </w:r>
          <w:r>
            <w:fldChar w:fldCharType="begin"/>
          </w:r>
          <w:r>
            <w:instrText xml:space="preserve"> PAGEREF _Toc22299 \h </w:instrText>
          </w:r>
          <w:r>
            <w:fldChar w:fldCharType="separate"/>
          </w:r>
          <w:r>
            <w:t>3</w:t>
          </w:r>
          <w:r>
            <w:fldChar w:fldCharType="end"/>
          </w:r>
          <w:r>
            <w:rPr>
              <w:rFonts w:ascii="Times New Roman" w:hAnsi="Times New Roman" w:eastAsia="黑体" w:cs="黑体"/>
              <w:color w:val="auto"/>
            </w:rPr>
            <w:fldChar w:fldCharType="end"/>
          </w:r>
        </w:p>
        <w:p>
          <w:pPr>
            <w:pStyle w:val="8"/>
            <w:tabs>
              <w:tab w:val="right" w:leader="dot" w:pos="8844"/>
              <w:tab w:val="clear" w:pos="8302"/>
            </w:tabs>
          </w:pPr>
          <w:r>
            <w:rPr>
              <w:rFonts w:ascii="Times New Roman" w:hAnsi="Times New Roman" w:eastAsia="黑体" w:cs="黑体"/>
              <w:color w:val="auto"/>
            </w:rPr>
            <w:fldChar w:fldCharType="begin"/>
          </w:r>
          <w:r>
            <w:rPr>
              <w:rFonts w:ascii="Times New Roman" w:hAnsi="Times New Roman" w:eastAsia="黑体" w:cs="黑体"/>
            </w:rPr>
            <w:instrText xml:space="preserve"> HYPERLINK \l _Toc21220 </w:instrText>
          </w:r>
          <w:r>
            <w:rPr>
              <w:rFonts w:ascii="Times New Roman" w:hAnsi="Times New Roman" w:eastAsia="黑体" w:cs="黑体"/>
            </w:rPr>
            <w:fldChar w:fldCharType="separate"/>
          </w:r>
          <w:r>
            <w:rPr>
              <w:rFonts w:hint="eastAsia" w:ascii="Times New Roman" w:hAnsi="Times New Roman"/>
            </w:rPr>
            <w:t>（一）绩效评价的目的、对象和范围</w:t>
          </w:r>
          <w:r>
            <w:tab/>
          </w:r>
          <w:r>
            <w:fldChar w:fldCharType="begin"/>
          </w:r>
          <w:r>
            <w:instrText xml:space="preserve"> PAGEREF _Toc21220 \h </w:instrText>
          </w:r>
          <w:r>
            <w:fldChar w:fldCharType="separate"/>
          </w:r>
          <w:r>
            <w:t>3</w:t>
          </w:r>
          <w:r>
            <w:fldChar w:fldCharType="end"/>
          </w:r>
          <w:r>
            <w:rPr>
              <w:rFonts w:ascii="Times New Roman" w:hAnsi="Times New Roman" w:eastAsia="黑体" w:cs="黑体"/>
              <w:color w:val="auto"/>
            </w:rPr>
            <w:fldChar w:fldCharType="end"/>
          </w:r>
        </w:p>
        <w:p>
          <w:pPr>
            <w:pStyle w:val="8"/>
            <w:tabs>
              <w:tab w:val="right" w:leader="dot" w:pos="8844"/>
              <w:tab w:val="clear" w:pos="8302"/>
            </w:tabs>
          </w:pPr>
          <w:r>
            <w:rPr>
              <w:rFonts w:ascii="Times New Roman" w:hAnsi="Times New Roman" w:eastAsia="黑体" w:cs="黑体"/>
              <w:color w:val="auto"/>
            </w:rPr>
            <w:fldChar w:fldCharType="begin"/>
          </w:r>
          <w:r>
            <w:rPr>
              <w:rFonts w:ascii="Times New Roman" w:hAnsi="Times New Roman" w:eastAsia="黑体" w:cs="黑体"/>
            </w:rPr>
            <w:instrText xml:space="preserve"> HYPERLINK \l _Toc24697 </w:instrText>
          </w:r>
          <w:r>
            <w:rPr>
              <w:rFonts w:ascii="Times New Roman" w:hAnsi="Times New Roman" w:eastAsia="黑体" w:cs="黑体"/>
            </w:rPr>
            <w:fldChar w:fldCharType="separate"/>
          </w:r>
          <w:r>
            <w:rPr>
              <w:rFonts w:hint="eastAsia" w:ascii="Times New Roman" w:hAnsi="Times New Roman"/>
            </w:rPr>
            <w:t>（二）</w:t>
          </w:r>
          <w:r>
            <w:rPr>
              <w:rFonts w:hint="eastAsia" w:ascii="Times New Roman" w:hAnsi="Times New Roman" w:cs="楷体_GB2312"/>
              <w:bCs w:val="0"/>
            </w:rPr>
            <w:t>绩效评价原则、评价指标体系、评价方法</w:t>
          </w:r>
          <w:r>
            <w:tab/>
          </w:r>
          <w:r>
            <w:fldChar w:fldCharType="begin"/>
          </w:r>
          <w:r>
            <w:instrText xml:space="preserve"> PAGEREF _Toc24697 \h </w:instrText>
          </w:r>
          <w:r>
            <w:fldChar w:fldCharType="separate"/>
          </w:r>
          <w:r>
            <w:t>5</w:t>
          </w:r>
          <w:r>
            <w:fldChar w:fldCharType="end"/>
          </w:r>
          <w:r>
            <w:rPr>
              <w:rFonts w:ascii="Times New Roman" w:hAnsi="Times New Roman" w:eastAsia="黑体" w:cs="黑体"/>
              <w:color w:val="auto"/>
            </w:rPr>
            <w:fldChar w:fldCharType="end"/>
          </w:r>
        </w:p>
        <w:p>
          <w:pPr>
            <w:pStyle w:val="8"/>
            <w:tabs>
              <w:tab w:val="right" w:leader="dot" w:pos="8844"/>
              <w:tab w:val="clear" w:pos="8302"/>
            </w:tabs>
          </w:pPr>
          <w:r>
            <w:rPr>
              <w:rFonts w:ascii="Times New Roman" w:hAnsi="Times New Roman" w:eastAsia="黑体" w:cs="黑体"/>
              <w:color w:val="auto"/>
            </w:rPr>
            <w:fldChar w:fldCharType="begin"/>
          </w:r>
          <w:r>
            <w:rPr>
              <w:rFonts w:ascii="Times New Roman" w:hAnsi="Times New Roman" w:eastAsia="黑体" w:cs="黑体"/>
            </w:rPr>
            <w:instrText xml:space="preserve"> HYPERLINK \l _Toc5152 </w:instrText>
          </w:r>
          <w:r>
            <w:rPr>
              <w:rFonts w:ascii="Times New Roman" w:hAnsi="Times New Roman" w:eastAsia="黑体" w:cs="黑体"/>
            </w:rPr>
            <w:fldChar w:fldCharType="separate"/>
          </w:r>
          <w:r>
            <w:rPr>
              <w:rFonts w:hint="eastAsia" w:ascii="Times New Roman" w:hAnsi="Times New Roman"/>
            </w:rPr>
            <w:t>（三）绩效评价工作过程</w:t>
          </w:r>
          <w:r>
            <w:tab/>
          </w:r>
          <w:r>
            <w:fldChar w:fldCharType="begin"/>
          </w:r>
          <w:r>
            <w:instrText xml:space="preserve"> PAGEREF _Toc5152 \h </w:instrText>
          </w:r>
          <w:r>
            <w:fldChar w:fldCharType="separate"/>
          </w:r>
          <w:r>
            <w:t>10</w:t>
          </w:r>
          <w:r>
            <w:fldChar w:fldCharType="end"/>
          </w:r>
          <w:r>
            <w:rPr>
              <w:rFonts w:ascii="Times New Roman" w:hAnsi="Times New Roman" w:eastAsia="黑体" w:cs="黑体"/>
              <w:color w:val="auto"/>
            </w:rPr>
            <w:fldChar w:fldCharType="end"/>
          </w:r>
        </w:p>
        <w:p>
          <w:pPr>
            <w:pStyle w:val="12"/>
            <w:tabs>
              <w:tab w:val="right" w:leader="dot" w:pos="8844"/>
              <w:tab w:val="clear" w:pos="8302"/>
            </w:tabs>
          </w:pPr>
          <w:r>
            <w:rPr>
              <w:rFonts w:ascii="Times New Roman" w:hAnsi="Times New Roman" w:eastAsia="黑体" w:cs="黑体"/>
              <w:color w:val="auto"/>
            </w:rPr>
            <w:fldChar w:fldCharType="begin"/>
          </w:r>
          <w:r>
            <w:rPr>
              <w:rFonts w:ascii="Times New Roman" w:hAnsi="Times New Roman" w:eastAsia="黑体" w:cs="黑体"/>
            </w:rPr>
            <w:instrText xml:space="preserve"> HYPERLINK \l _Toc1640 </w:instrText>
          </w:r>
          <w:r>
            <w:rPr>
              <w:rFonts w:ascii="Times New Roman" w:hAnsi="Times New Roman" w:eastAsia="黑体" w:cs="黑体"/>
            </w:rPr>
            <w:fldChar w:fldCharType="separate"/>
          </w:r>
          <w:r>
            <w:rPr>
              <w:rFonts w:hint="eastAsia" w:ascii="Times New Roman" w:hAnsi="Times New Roman"/>
            </w:rPr>
            <w:t>三、综合评价情况及评价结论</w:t>
          </w:r>
          <w:r>
            <w:tab/>
          </w:r>
          <w:r>
            <w:fldChar w:fldCharType="begin"/>
          </w:r>
          <w:r>
            <w:instrText xml:space="preserve"> PAGEREF _Toc1640 \h </w:instrText>
          </w:r>
          <w:r>
            <w:fldChar w:fldCharType="separate"/>
          </w:r>
          <w:r>
            <w:t>12</w:t>
          </w:r>
          <w:r>
            <w:fldChar w:fldCharType="end"/>
          </w:r>
          <w:r>
            <w:rPr>
              <w:rFonts w:ascii="Times New Roman" w:hAnsi="Times New Roman" w:eastAsia="黑体" w:cs="黑体"/>
              <w:color w:val="auto"/>
            </w:rPr>
            <w:fldChar w:fldCharType="end"/>
          </w:r>
        </w:p>
        <w:p>
          <w:pPr>
            <w:pStyle w:val="12"/>
            <w:tabs>
              <w:tab w:val="right" w:leader="dot" w:pos="8844"/>
              <w:tab w:val="clear" w:pos="8302"/>
            </w:tabs>
          </w:pPr>
          <w:r>
            <w:rPr>
              <w:rFonts w:ascii="Times New Roman" w:hAnsi="Times New Roman" w:eastAsia="黑体" w:cs="黑体"/>
              <w:color w:val="auto"/>
            </w:rPr>
            <w:fldChar w:fldCharType="begin"/>
          </w:r>
          <w:r>
            <w:rPr>
              <w:rFonts w:ascii="Times New Roman" w:hAnsi="Times New Roman" w:eastAsia="黑体" w:cs="黑体"/>
            </w:rPr>
            <w:instrText xml:space="preserve"> HYPERLINK \l _Toc24709 </w:instrText>
          </w:r>
          <w:r>
            <w:rPr>
              <w:rFonts w:ascii="Times New Roman" w:hAnsi="Times New Roman" w:eastAsia="黑体" w:cs="黑体"/>
            </w:rPr>
            <w:fldChar w:fldCharType="separate"/>
          </w:r>
          <w:r>
            <w:rPr>
              <w:rFonts w:hint="eastAsia" w:ascii="Times New Roman" w:hAnsi="Times New Roman"/>
            </w:rPr>
            <w:t>四、绩效评价指标分析</w:t>
          </w:r>
          <w:r>
            <w:tab/>
          </w:r>
          <w:r>
            <w:fldChar w:fldCharType="begin"/>
          </w:r>
          <w:r>
            <w:instrText xml:space="preserve"> PAGEREF _Toc24709 \h </w:instrText>
          </w:r>
          <w:r>
            <w:fldChar w:fldCharType="separate"/>
          </w:r>
          <w:r>
            <w:t>13</w:t>
          </w:r>
          <w:r>
            <w:fldChar w:fldCharType="end"/>
          </w:r>
          <w:r>
            <w:rPr>
              <w:rFonts w:ascii="Times New Roman" w:hAnsi="Times New Roman" w:eastAsia="黑体" w:cs="黑体"/>
              <w:color w:val="auto"/>
            </w:rPr>
            <w:fldChar w:fldCharType="end"/>
          </w:r>
        </w:p>
        <w:p>
          <w:pPr>
            <w:pStyle w:val="8"/>
            <w:tabs>
              <w:tab w:val="right" w:leader="dot" w:pos="8844"/>
              <w:tab w:val="clear" w:pos="8302"/>
            </w:tabs>
          </w:pPr>
          <w:r>
            <w:rPr>
              <w:rFonts w:ascii="Times New Roman" w:hAnsi="Times New Roman" w:eastAsia="黑体" w:cs="黑体"/>
              <w:color w:val="auto"/>
            </w:rPr>
            <w:fldChar w:fldCharType="begin"/>
          </w:r>
          <w:r>
            <w:rPr>
              <w:rFonts w:ascii="Times New Roman" w:hAnsi="Times New Roman" w:eastAsia="黑体" w:cs="黑体"/>
            </w:rPr>
            <w:instrText xml:space="preserve"> HYPERLINK \l _Toc30016 </w:instrText>
          </w:r>
          <w:r>
            <w:rPr>
              <w:rFonts w:ascii="Times New Roman" w:hAnsi="Times New Roman" w:eastAsia="黑体" w:cs="黑体"/>
            </w:rPr>
            <w:fldChar w:fldCharType="separate"/>
          </w:r>
          <w:r>
            <w:rPr>
              <w:rFonts w:hint="eastAsia" w:ascii="Times New Roman" w:hAnsi="Times New Roman"/>
            </w:rPr>
            <w:t>（一）项目决策情况</w:t>
          </w:r>
          <w:r>
            <w:tab/>
          </w:r>
          <w:r>
            <w:fldChar w:fldCharType="begin"/>
          </w:r>
          <w:r>
            <w:instrText xml:space="preserve"> PAGEREF _Toc30016 \h </w:instrText>
          </w:r>
          <w:r>
            <w:fldChar w:fldCharType="separate"/>
          </w:r>
          <w:r>
            <w:t>13</w:t>
          </w:r>
          <w:r>
            <w:fldChar w:fldCharType="end"/>
          </w:r>
          <w:r>
            <w:rPr>
              <w:rFonts w:ascii="Times New Roman" w:hAnsi="Times New Roman" w:eastAsia="黑体" w:cs="黑体"/>
              <w:color w:val="auto"/>
            </w:rPr>
            <w:fldChar w:fldCharType="end"/>
          </w:r>
        </w:p>
        <w:p>
          <w:pPr>
            <w:pStyle w:val="8"/>
            <w:tabs>
              <w:tab w:val="right" w:leader="dot" w:pos="8844"/>
              <w:tab w:val="clear" w:pos="8302"/>
            </w:tabs>
          </w:pPr>
          <w:r>
            <w:rPr>
              <w:rFonts w:ascii="Times New Roman" w:hAnsi="Times New Roman" w:eastAsia="黑体" w:cs="黑体"/>
              <w:color w:val="auto"/>
            </w:rPr>
            <w:fldChar w:fldCharType="begin"/>
          </w:r>
          <w:r>
            <w:rPr>
              <w:rFonts w:ascii="Times New Roman" w:hAnsi="Times New Roman" w:eastAsia="黑体" w:cs="黑体"/>
            </w:rPr>
            <w:instrText xml:space="preserve"> HYPERLINK \l _Toc27659 </w:instrText>
          </w:r>
          <w:r>
            <w:rPr>
              <w:rFonts w:ascii="Times New Roman" w:hAnsi="Times New Roman" w:eastAsia="黑体" w:cs="黑体"/>
            </w:rPr>
            <w:fldChar w:fldCharType="separate"/>
          </w:r>
          <w:r>
            <w:rPr>
              <w:rFonts w:hint="eastAsia" w:ascii="Times New Roman" w:hAnsi="Times New Roman"/>
            </w:rPr>
            <w:t>（二）项目过程情况</w:t>
          </w:r>
          <w:r>
            <w:tab/>
          </w:r>
          <w:r>
            <w:fldChar w:fldCharType="begin"/>
          </w:r>
          <w:r>
            <w:instrText xml:space="preserve"> PAGEREF _Toc27659 \h </w:instrText>
          </w:r>
          <w:r>
            <w:fldChar w:fldCharType="separate"/>
          </w:r>
          <w:r>
            <w:t>16</w:t>
          </w:r>
          <w:r>
            <w:fldChar w:fldCharType="end"/>
          </w:r>
          <w:r>
            <w:rPr>
              <w:rFonts w:ascii="Times New Roman" w:hAnsi="Times New Roman" w:eastAsia="黑体" w:cs="黑体"/>
              <w:color w:val="auto"/>
            </w:rPr>
            <w:fldChar w:fldCharType="end"/>
          </w:r>
        </w:p>
        <w:p>
          <w:pPr>
            <w:pStyle w:val="8"/>
            <w:tabs>
              <w:tab w:val="right" w:leader="dot" w:pos="8844"/>
              <w:tab w:val="clear" w:pos="8302"/>
            </w:tabs>
          </w:pPr>
          <w:r>
            <w:rPr>
              <w:rFonts w:ascii="Times New Roman" w:hAnsi="Times New Roman" w:eastAsia="黑体" w:cs="黑体"/>
              <w:color w:val="auto"/>
            </w:rPr>
            <w:fldChar w:fldCharType="begin"/>
          </w:r>
          <w:r>
            <w:rPr>
              <w:rFonts w:ascii="Times New Roman" w:hAnsi="Times New Roman" w:eastAsia="黑体" w:cs="黑体"/>
            </w:rPr>
            <w:instrText xml:space="preserve"> HYPERLINK \l _Toc20009 </w:instrText>
          </w:r>
          <w:r>
            <w:rPr>
              <w:rFonts w:ascii="Times New Roman" w:hAnsi="Times New Roman" w:eastAsia="黑体" w:cs="黑体"/>
            </w:rPr>
            <w:fldChar w:fldCharType="separate"/>
          </w:r>
          <w:r>
            <w:rPr>
              <w:rFonts w:hint="eastAsia" w:ascii="Times New Roman" w:hAnsi="Times New Roman"/>
            </w:rPr>
            <w:t>（三）项目产出情况</w:t>
          </w:r>
          <w:r>
            <w:tab/>
          </w:r>
          <w:r>
            <w:fldChar w:fldCharType="begin"/>
          </w:r>
          <w:r>
            <w:instrText xml:space="preserve"> PAGEREF _Toc20009 \h </w:instrText>
          </w:r>
          <w:r>
            <w:fldChar w:fldCharType="separate"/>
          </w:r>
          <w:r>
            <w:t>17</w:t>
          </w:r>
          <w:r>
            <w:fldChar w:fldCharType="end"/>
          </w:r>
          <w:r>
            <w:rPr>
              <w:rFonts w:ascii="Times New Roman" w:hAnsi="Times New Roman" w:eastAsia="黑体" w:cs="黑体"/>
              <w:color w:val="auto"/>
            </w:rPr>
            <w:fldChar w:fldCharType="end"/>
          </w:r>
        </w:p>
        <w:p>
          <w:pPr>
            <w:pStyle w:val="8"/>
            <w:tabs>
              <w:tab w:val="right" w:leader="dot" w:pos="8844"/>
              <w:tab w:val="clear" w:pos="8302"/>
            </w:tabs>
          </w:pPr>
          <w:r>
            <w:rPr>
              <w:rFonts w:ascii="Times New Roman" w:hAnsi="Times New Roman" w:eastAsia="黑体" w:cs="黑体"/>
              <w:color w:val="auto"/>
            </w:rPr>
            <w:fldChar w:fldCharType="begin"/>
          </w:r>
          <w:r>
            <w:rPr>
              <w:rFonts w:ascii="Times New Roman" w:hAnsi="Times New Roman" w:eastAsia="黑体" w:cs="黑体"/>
            </w:rPr>
            <w:instrText xml:space="preserve"> HYPERLINK \l _Toc25599 </w:instrText>
          </w:r>
          <w:r>
            <w:rPr>
              <w:rFonts w:ascii="Times New Roman" w:hAnsi="Times New Roman" w:eastAsia="黑体" w:cs="黑体"/>
            </w:rPr>
            <w:fldChar w:fldCharType="separate"/>
          </w:r>
          <w:r>
            <w:rPr>
              <w:rFonts w:hint="eastAsia" w:ascii="Times New Roman" w:hAnsi="Times New Roman"/>
            </w:rPr>
            <w:t>（四）项目效益情况</w:t>
          </w:r>
          <w:r>
            <w:tab/>
          </w:r>
          <w:r>
            <w:fldChar w:fldCharType="begin"/>
          </w:r>
          <w:r>
            <w:instrText xml:space="preserve"> PAGEREF _Toc25599 \h </w:instrText>
          </w:r>
          <w:r>
            <w:fldChar w:fldCharType="separate"/>
          </w:r>
          <w:r>
            <w:t>19</w:t>
          </w:r>
          <w:r>
            <w:fldChar w:fldCharType="end"/>
          </w:r>
          <w:r>
            <w:rPr>
              <w:rFonts w:ascii="Times New Roman" w:hAnsi="Times New Roman" w:eastAsia="黑体" w:cs="黑体"/>
              <w:color w:val="auto"/>
            </w:rPr>
            <w:fldChar w:fldCharType="end"/>
          </w:r>
        </w:p>
        <w:p>
          <w:pPr>
            <w:pStyle w:val="12"/>
            <w:tabs>
              <w:tab w:val="right" w:leader="dot" w:pos="8844"/>
              <w:tab w:val="clear" w:pos="8302"/>
            </w:tabs>
          </w:pPr>
          <w:r>
            <w:rPr>
              <w:rFonts w:ascii="Times New Roman" w:hAnsi="Times New Roman" w:eastAsia="黑体" w:cs="黑体"/>
              <w:color w:val="auto"/>
            </w:rPr>
            <w:fldChar w:fldCharType="begin"/>
          </w:r>
          <w:r>
            <w:rPr>
              <w:rFonts w:ascii="Times New Roman" w:hAnsi="Times New Roman" w:eastAsia="黑体" w:cs="黑体"/>
            </w:rPr>
            <w:instrText xml:space="preserve"> HYPERLINK \l _Toc32479 </w:instrText>
          </w:r>
          <w:r>
            <w:rPr>
              <w:rFonts w:ascii="Times New Roman" w:hAnsi="Times New Roman" w:eastAsia="黑体" w:cs="黑体"/>
            </w:rPr>
            <w:fldChar w:fldCharType="separate"/>
          </w:r>
          <w:r>
            <w:rPr>
              <w:rFonts w:hint="eastAsia" w:ascii="Times New Roman" w:hAnsi="Times New Roman"/>
            </w:rPr>
            <w:t>五、存在的主要问题</w:t>
          </w:r>
          <w:r>
            <w:tab/>
          </w:r>
          <w:r>
            <w:fldChar w:fldCharType="begin"/>
          </w:r>
          <w:r>
            <w:instrText xml:space="preserve"> PAGEREF _Toc32479 \h </w:instrText>
          </w:r>
          <w:r>
            <w:fldChar w:fldCharType="separate"/>
          </w:r>
          <w:r>
            <w:t>21</w:t>
          </w:r>
          <w:r>
            <w:fldChar w:fldCharType="end"/>
          </w:r>
          <w:r>
            <w:rPr>
              <w:rFonts w:ascii="Times New Roman" w:hAnsi="Times New Roman" w:eastAsia="黑体" w:cs="黑体"/>
              <w:color w:val="auto"/>
            </w:rPr>
            <w:fldChar w:fldCharType="end"/>
          </w:r>
        </w:p>
        <w:p>
          <w:pPr>
            <w:pStyle w:val="8"/>
            <w:tabs>
              <w:tab w:val="right" w:leader="dot" w:pos="8844"/>
              <w:tab w:val="clear" w:pos="8302"/>
            </w:tabs>
          </w:pPr>
          <w:r>
            <w:rPr>
              <w:rFonts w:ascii="Times New Roman" w:hAnsi="Times New Roman" w:eastAsia="黑体" w:cs="黑体"/>
              <w:color w:val="auto"/>
            </w:rPr>
            <w:fldChar w:fldCharType="begin"/>
          </w:r>
          <w:r>
            <w:rPr>
              <w:rFonts w:ascii="Times New Roman" w:hAnsi="Times New Roman" w:eastAsia="黑体" w:cs="黑体"/>
            </w:rPr>
            <w:instrText xml:space="preserve"> HYPERLINK \l _Toc9801 </w:instrText>
          </w:r>
          <w:r>
            <w:rPr>
              <w:rFonts w:ascii="Times New Roman" w:hAnsi="Times New Roman" w:eastAsia="黑体" w:cs="黑体"/>
            </w:rPr>
            <w:fldChar w:fldCharType="separate"/>
          </w:r>
          <w:r>
            <w:rPr>
              <w:rFonts w:hint="eastAsia" w:ascii="Times New Roman" w:hAnsi="Times New Roman"/>
            </w:rPr>
            <w:t>绩效目标完整性需进一步提升</w:t>
          </w:r>
          <w:r>
            <w:tab/>
          </w:r>
          <w:r>
            <w:fldChar w:fldCharType="begin"/>
          </w:r>
          <w:r>
            <w:instrText xml:space="preserve"> PAGEREF _Toc9801 \h </w:instrText>
          </w:r>
          <w:r>
            <w:fldChar w:fldCharType="separate"/>
          </w:r>
          <w:r>
            <w:t>21</w:t>
          </w:r>
          <w:r>
            <w:fldChar w:fldCharType="end"/>
          </w:r>
          <w:r>
            <w:rPr>
              <w:rFonts w:ascii="Times New Roman" w:hAnsi="Times New Roman" w:eastAsia="黑体" w:cs="黑体"/>
              <w:color w:val="auto"/>
            </w:rPr>
            <w:fldChar w:fldCharType="end"/>
          </w:r>
        </w:p>
        <w:p>
          <w:pPr>
            <w:pStyle w:val="12"/>
            <w:tabs>
              <w:tab w:val="right" w:leader="dot" w:pos="8844"/>
              <w:tab w:val="clear" w:pos="8302"/>
            </w:tabs>
          </w:pPr>
          <w:r>
            <w:rPr>
              <w:rFonts w:ascii="Times New Roman" w:hAnsi="Times New Roman" w:eastAsia="黑体" w:cs="黑体"/>
              <w:color w:val="auto"/>
            </w:rPr>
            <w:fldChar w:fldCharType="begin"/>
          </w:r>
          <w:r>
            <w:rPr>
              <w:rFonts w:ascii="Times New Roman" w:hAnsi="Times New Roman" w:eastAsia="黑体" w:cs="黑体"/>
            </w:rPr>
            <w:instrText xml:space="preserve"> HYPERLINK \l _Toc24665 </w:instrText>
          </w:r>
          <w:r>
            <w:rPr>
              <w:rFonts w:ascii="Times New Roman" w:hAnsi="Times New Roman" w:eastAsia="黑体" w:cs="黑体"/>
            </w:rPr>
            <w:fldChar w:fldCharType="separate"/>
          </w:r>
          <w:r>
            <w:rPr>
              <w:rFonts w:hint="eastAsia" w:ascii="Times New Roman" w:hAnsi="Times New Roman"/>
            </w:rPr>
            <w:t>六、相关建议</w:t>
          </w:r>
          <w:r>
            <w:tab/>
          </w:r>
          <w:r>
            <w:fldChar w:fldCharType="begin"/>
          </w:r>
          <w:r>
            <w:instrText xml:space="preserve"> PAGEREF _Toc24665 \h </w:instrText>
          </w:r>
          <w:r>
            <w:fldChar w:fldCharType="separate"/>
          </w:r>
          <w:r>
            <w:t>21</w:t>
          </w:r>
          <w:r>
            <w:fldChar w:fldCharType="end"/>
          </w:r>
          <w:r>
            <w:rPr>
              <w:rFonts w:ascii="Times New Roman" w:hAnsi="Times New Roman" w:eastAsia="黑体" w:cs="黑体"/>
              <w:color w:val="auto"/>
            </w:rPr>
            <w:fldChar w:fldCharType="end"/>
          </w:r>
        </w:p>
        <w:p>
          <w:pPr>
            <w:pStyle w:val="8"/>
            <w:tabs>
              <w:tab w:val="right" w:leader="dot" w:pos="8844"/>
              <w:tab w:val="clear" w:pos="8302"/>
            </w:tabs>
          </w:pPr>
          <w:r>
            <w:rPr>
              <w:rFonts w:ascii="Times New Roman" w:hAnsi="Times New Roman" w:eastAsia="黑体" w:cs="黑体"/>
              <w:color w:val="auto"/>
            </w:rPr>
            <w:fldChar w:fldCharType="begin"/>
          </w:r>
          <w:r>
            <w:rPr>
              <w:rFonts w:ascii="Times New Roman" w:hAnsi="Times New Roman" w:eastAsia="黑体" w:cs="黑体"/>
            </w:rPr>
            <w:instrText xml:space="preserve"> HYPERLINK \l _Toc6128 </w:instrText>
          </w:r>
          <w:r>
            <w:rPr>
              <w:rFonts w:ascii="Times New Roman" w:hAnsi="Times New Roman" w:eastAsia="黑体" w:cs="黑体"/>
            </w:rPr>
            <w:fldChar w:fldCharType="separate"/>
          </w:r>
          <w:r>
            <w:rPr>
              <w:rFonts w:hint="eastAsia" w:ascii="Times New Roman" w:hAnsi="Times New Roman"/>
            </w:rPr>
            <w:t>加强项目绩效工作管理意识</w:t>
          </w:r>
          <w:r>
            <w:tab/>
          </w:r>
          <w:r>
            <w:fldChar w:fldCharType="begin"/>
          </w:r>
          <w:r>
            <w:instrText xml:space="preserve"> PAGEREF _Toc6128 \h </w:instrText>
          </w:r>
          <w:r>
            <w:fldChar w:fldCharType="separate"/>
          </w:r>
          <w:r>
            <w:t>21</w:t>
          </w:r>
          <w:r>
            <w:fldChar w:fldCharType="end"/>
          </w:r>
          <w:r>
            <w:rPr>
              <w:rFonts w:ascii="Times New Roman" w:hAnsi="Times New Roman" w:eastAsia="黑体" w:cs="黑体"/>
              <w:color w:val="auto"/>
            </w:rPr>
            <w:fldChar w:fldCharType="end"/>
          </w:r>
          <w:bookmarkStart w:id="43" w:name="_GoBack"/>
          <w:bookmarkEnd w:id="43"/>
        </w:p>
        <w:p>
          <w:pPr>
            <w:pStyle w:val="12"/>
            <w:tabs>
              <w:tab w:val="right" w:leader="dot" w:pos="8844"/>
              <w:tab w:val="clear" w:pos="8302"/>
            </w:tabs>
          </w:pPr>
          <w:r>
            <w:rPr>
              <w:rFonts w:ascii="Times New Roman" w:hAnsi="Times New Roman" w:eastAsia="黑体" w:cs="黑体"/>
              <w:color w:val="auto"/>
            </w:rPr>
            <w:fldChar w:fldCharType="begin"/>
          </w:r>
          <w:r>
            <w:rPr>
              <w:rFonts w:ascii="Times New Roman" w:hAnsi="Times New Roman" w:eastAsia="黑体" w:cs="黑体"/>
            </w:rPr>
            <w:instrText xml:space="preserve"> HYPERLINK \l _Toc7113 </w:instrText>
          </w:r>
          <w:r>
            <w:rPr>
              <w:rFonts w:ascii="Times New Roman" w:hAnsi="Times New Roman" w:eastAsia="黑体" w:cs="黑体"/>
            </w:rPr>
            <w:fldChar w:fldCharType="separate"/>
          </w:r>
          <w:r>
            <w:rPr>
              <w:rFonts w:hint="eastAsia" w:ascii="Times New Roman" w:hAnsi="Times New Roman"/>
              <w:lang w:val="en-US" w:eastAsia="zh-Hans"/>
            </w:rPr>
            <w:t>七、相关附件</w:t>
          </w:r>
          <w:r>
            <w:tab/>
          </w:r>
          <w:r>
            <w:fldChar w:fldCharType="begin"/>
          </w:r>
          <w:r>
            <w:instrText xml:space="preserve"> PAGEREF _Toc7113 \h </w:instrText>
          </w:r>
          <w:r>
            <w:fldChar w:fldCharType="separate"/>
          </w:r>
          <w:r>
            <w:t>21</w:t>
          </w:r>
          <w:r>
            <w:fldChar w:fldCharType="end"/>
          </w:r>
          <w:r>
            <w:rPr>
              <w:rFonts w:ascii="Times New Roman" w:hAnsi="Times New Roman" w:eastAsia="黑体" w:cs="黑体"/>
              <w:color w:val="auto"/>
            </w:rPr>
            <w:fldChar w:fldCharType="end"/>
          </w:r>
        </w:p>
        <w:p>
          <w:pPr>
            <w:ind w:firstLine="420"/>
            <w:jc w:val="center"/>
            <w:rPr>
              <w:rFonts w:ascii="Times New Roman" w:hAnsi="Times New Roman" w:eastAsiaTheme="majorEastAsia" w:cstheme="majorBidi"/>
              <w:b/>
              <w:bCs/>
              <w:color w:val="2F5597" w:themeColor="accent1" w:themeShade="BF"/>
              <w:kern w:val="0"/>
              <w:sz w:val="32"/>
              <w:szCs w:val="32"/>
              <w:lang w:val="zh-CN"/>
            </w:rPr>
          </w:pPr>
          <w:r>
            <w:rPr>
              <w:rFonts w:ascii="Times New Roman" w:hAnsi="Times New Roman" w:eastAsia="黑体" w:cs="黑体"/>
              <w:color w:val="auto"/>
            </w:rPr>
            <w:fldChar w:fldCharType="end"/>
          </w:r>
        </w:p>
      </w:sdtContent>
    </w:sdt>
    <w:p>
      <w:pPr>
        <w:ind w:firstLine="0" w:firstLineChars="0"/>
        <w:jc w:val="center"/>
        <w:rPr>
          <w:rFonts w:hint="eastAsia" w:ascii="Times New Roman" w:hAnsi="Times New Roman" w:eastAsia="黑体" w:cs="黑体"/>
          <w:sz w:val="44"/>
          <w:szCs w:val="44"/>
        </w:rPr>
        <w:sectPr>
          <w:headerReference r:id="rId7" w:type="first"/>
          <w:footerReference r:id="rId10" w:type="first"/>
          <w:headerReference r:id="rId5" w:type="default"/>
          <w:footerReference r:id="rId8" w:type="default"/>
          <w:headerReference r:id="rId6" w:type="even"/>
          <w:footerReference r:id="rId9" w:type="even"/>
          <w:pgSz w:w="11906" w:h="16838"/>
          <w:pgMar w:top="2041" w:right="1531" w:bottom="2041" w:left="1531" w:header="851" w:footer="992" w:gutter="0"/>
          <w:pgNumType w:fmt="numberInDash"/>
          <w:cols w:space="425" w:num="1"/>
          <w:docGrid w:type="lines" w:linePitch="312" w:charSpace="0"/>
        </w:sectPr>
      </w:pPr>
    </w:p>
    <w:p>
      <w:pPr>
        <w:ind w:firstLine="0" w:firstLineChars="0"/>
        <w:jc w:val="center"/>
        <w:rPr>
          <w:rFonts w:ascii="Times New Roman" w:hAnsi="Times New Roman" w:eastAsia="黑体" w:cs="黑体"/>
          <w:sz w:val="44"/>
          <w:szCs w:val="44"/>
        </w:rPr>
      </w:pPr>
      <w:r>
        <w:rPr>
          <w:rFonts w:hint="eastAsia" w:ascii="Times New Roman" w:hAnsi="Times New Roman" w:eastAsia="黑体" w:cs="黑体"/>
          <w:sz w:val="44"/>
          <w:szCs w:val="44"/>
        </w:rPr>
        <w:t>智慧国资尾款及二期建设费项目</w:t>
      </w:r>
    </w:p>
    <w:p>
      <w:pPr>
        <w:ind w:firstLine="0" w:firstLineChars="0"/>
        <w:jc w:val="center"/>
        <w:rPr>
          <w:rFonts w:ascii="Times New Roman" w:hAnsi="Times New Roman" w:eastAsia="黑体" w:cs="黑体"/>
          <w:sz w:val="44"/>
          <w:szCs w:val="44"/>
        </w:rPr>
      </w:pPr>
      <w:r>
        <w:rPr>
          <w:rFonts w:hint="eastAsia" w:ascii="Times New Roman" w:hAnsi="Times New Roman" w:eastAsia="黑体" w:cs="黑体"/>
          <w:sz w:val="44"/>
          <w:szCs w:val="44"/>
        </w:rPr>
        <w:t>绩效评价报告</w:t>
      </w:r>
    </w:p>
    <w:p>
      <w:pPr>
        <w:ind w:firstLine="420"/>
        <w:rPr>
          <w:rFonts w:ascii="Times New Roman" w:hAnsi="Times New Roman"/>
        </w:rPr>
      </w:pPr>
    </w:p>
    <w:p>
      <w:pPr>
        <w:pStyle w:val="25"/>
        <w:ind w:firstLine="64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为提高财政资金使用效益，合理配置公共财政资源，根据市委、市政府关于全面推进预算绩效管理的实施方案和《天津市市级财政项目支出绩效评价管理办法》（津财绩效〔2020〕12号）等文件要求，天津市</w:t>
      </w:r>
      <w:r>
        <w:rPr>
          <w:rFonts w:hint="eastAsia" w:ascii="Times New Roman" w:hAnsi="Times New Roman"/>
          <w:color w:val="000000" w:themeColor="text1"/>
          <w14:textFill>
            <w14:solidFill>
              <w14:schemeClr w14:val="tx1"/>
            </w14:solidFill>
          </w14:textFill>
        </w:rPr>
        <w:t>和平区</w:t>
      </w:r>
      <w:r>
        <w:rPr>
          <w:rFonts w:ascii="Times New Roman" w:hAnsi="Times New Roman"/>
          <w:color w:val="000000" w:themeColor="text1"/>
          <w14:textFill>
            <w14:solidFill>
              <w14:schemeClr w14:val="tx1"/>
            </w14:solidFill>
          </w14:textFill>
        </w:rPr>
        <w:t>财政局引入第三方专业机构成立了绩效评价组，于</w:t>
      </w:r>
      <w:r>
        <w:rPr>
          <w:rFonts w:hint="eastAsia" w:ascii="Times New Roman" w:hAnsi="Times New Roman"/>
          <w:color w:val="000000" w:themeColor="text1"/>
          <w14:textFill>
            <w14:solidFill>
              <w14:schemeClr w14:val="tx1"/>
            </w14:solidFill>
          </w14:textFill>
        </w:rPr>
        <w:t>2023</w:t>
      </w:r>
      <w:r>
        <w:rPr>
          <w:rFonts w:ascii="Times New Roman" w:hAnsi="Times New Roman"/>
          <w:color w:val="000000" w:themeColor="text1"/>
          <w14:textFill>
            <w14:solidFill>
              <w14:schemeClr w14:val="tx1"/>
            </w14:solidFill>
          </w14:textFill>
        </w:rPr>
        <w:t>年</w:t>
      </w:r>
      <w:r>
        <w:rPr>
          <w:rFonts w:hint="eastAsia" w:ascii="Times New Roman" w:hAnsi="Times New Roman"/>
          <w:color w:val="000000" w:themeColor="text1"/>
          <w14:textFill>
            <w14:solidFill>
              <w14:schemeClr w14:val="tx1"/>
            </w14:solidFill>
          </w14:textFill>
        </w:rPr>
        <w:t>7</w:t>
      </w:r>
      <w:r>
        <w:rPr>
          <w:rFonts w:ascii="Times New Roman" w:hAnsi="Times New Roman"/>
          <w:color w:val="000000" w:themeColor="text1"/>
          <w14:textFill>
            <w14:solidFill>
              <w14:schemeClr w14:val="tx1"/>
            </w14:solidFill>
          </w14:textFill>
        </w:rPr>
        <w:t>月</w:t>
      </w:r>
      <w:r>
        <w:rPr>
          <w:rFonts w:hint="eastAsia" w:ascii="Times New Roman" w:hAnsi="Times New Roman"/>
          <w:color w:val="000000" w:themeColor="text1"/>
          <w14:textFill>
            <w14:solidFill>
              <w14:schemeClr w14:val="tx1"/>
            </w14:solidFill>
          </w14:textFill>
        </w:rPr>
        <w:t>-10月</w:t>
      </w:r>
      <w:r>
        <w:rPr>
          <w:rFonts w:ascii="Times New Roman" w:hAnsi="Times New Roman"/>
          <w:color w:val="000000" w:themeColor="text1"/>
          <w14:textFill>
            <w14:solidFill>
              <w14:schemeClr w14:val="tx1"/>
            </w14:solidFill>
          </w14:textFill>
        </w:rPr>
        <w:t>，对</w:t>
      </w:r>
      <w:r>
        <w:rPr>
          <w:rFonts w:hint="eastAsia" w:ascii="Times New Roman" w:hAnsi="Times New Roman"/>
          <w:color w:val="000000" w:themeColor="text1"/>
          <w14:textFill>
            <w14:solidFill>
              <w14:schemeClr w14:val="tx1"/>
            </w14:solidFill>
          </w14:textFill>
        </w:rPr>
        <w:t>天津市和平区人民政府国有资产监督管理委员会</w:t>
      </w:r>
      <w:r>
        <w:rPr>
          <w:rFonts w:ascii="Times New Roman" w:hAnsi="Times New Roman"/>
          <w:color w:val="000000" w:themeColor="text1"/>
          <w14:textFill>
            <w14:solidFill>
              <w14:schemeClr w14:val="tx1"/>
            </w14:solidFill>
          </w14:textFill>
        </w:rPr>
        <w:t>的“</w:t>
      </w:r>
      <w:r>
        <w:rPr>
          <w:rFonts w:hint="eastAsia" w:ascii="Times New Roman" w:hAnsi="Times New Roman"/>
          <w:color w:val="000000" w:themeColor="text1"/>
          <w14:textFill>
            <w14:solidFill>
              <w14:schemeClr w14:val="tx1"/>
            </w14:solidFill>
          </w14:textFill>
        </w:rPr>
        <w:t>智慧国资尾款及二期建设费</w:t>
      </w:r>
      <w:r>
        <w:rPr>
          <w:rFonts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项目</w:t>
      </w:r>
      <w:r>
        <w:rPr>
          <w:rFonts w:ascii="Times New Roman" w:hAnsi="Times New Roman"/>
          <w:color w:val="000000" w:themeColor="text1"/>
          <w14:textFill>
            <w14:solidFill>
              <w14:schemeClr w14:val="tx1"/>
            </w14:solidFill>
          </w14:textFill>
        </w:rPr>
        <w:t>开展了绩效评价。该项目评价结果为</w:t>
      </w:r>
      <w:r>
        <w:rPr>
          <w:rFonts w:hint="eastAsia"/>
          <w:color w:val="000000" w:themeColor="text1"/>
          <w:lang w:val="en-US" w:eastAsia="zh-CN"/>
          <w14:textFill>
            <w14:solidFill>
              <w14:schemeClr w14:val="tx1"/>
            </w14:solidFill>
          </w14:textFill>
        </w:rPr>
        <w:t>99</w:t>
      </w:r>
      <w:r>
        <w:rPr>
          <w:rFonts w:ascii="Times New Roman" w:hAnsi="Times New Roman"/>
          <w:color w:val="000000" w:themeColor="text1"/>
          <w14:textFill>
            <w14:solidFill>
              <w14:schemeClr w14:val="tx1"/>
            </w14:solidFill>
          </w14:textFill>
        </w:rPr>
        <w:t>分，评价等级为“</w:t>
      </w:r>
      <w:r>
        <w:rPr>
          <w:rFonts w:hint="eastAsia" w:ascii="Times New Roman" w:hAnsi="Times New Roman"/>
          <w:color w:val="000000" w:themeColor="text1"/>
          <w14:textFill>
            <w14:solidFill>
              <w14:schemeClr w14:val="tx1"/>
            </w14:solidFill>
          </w14:textFill>
        </w:rPr>
        <w:t>优</w:t>
      </w:r>
      <w:r>
        <w:rPr>
          <w:rFonts w:ascii="Times New Roman" w:hAnsi="Times New Roman"/>
          <w:color w:val="000000" w:themeColor="text1"/>
          <w14:textFill>
            <w14:solidFill>
              <w14:schemeClr w14:val="tx1"/>
            </w14:solidFill>
          </w14:textFill>
        </w:rPr>
        <w:t>”，有关情况如下。</w:t>
      </w:r>
    </w:p>
    <w:p>
      <w:pPr>
        <w:pStyle w:val="27"/>
        <w:rPr>
          <w:rFonts w:ascii="Times New Roman" w:hAnsi="Times New Roman"/>
        </w:rPr>
      </w:pPr>
      <w:bookmarkStart w:id="0" w:name="_Toc27426"/>
      <w:bookmarkStart w:id="1" w:name="_Toc32146"/>
      <w:bookmarkStart w:id="2" w:name="_Hlk91875033"/>
      <w:r>
        <w:rPr>
          <w:rFonts w:hint="eastAsia" w:ascii="Times New Roman" w:hAnsi="Times New Roman"/>
        </w:rPr>
        <w:t>一、项目基本情况</w:t>
      </w:r>
      <w:bookmarkEnd w:id="0"/>
      <w:bookmarkEnd w:id="1"/>
    </w:p>
    <w:p>
      <w:pPr>
        <w:pStyle w:val="29"/>
        <w:ind w:firstLine="640"/>
        <w:rPr>
          <w:rFonts w:ascii="Times New Roman" w:hAnsi="Times New Roman"/>
        </w:rPr>
      </w:pPr>
      <w:bookmarkStart w:id="3" w:name="_Toc21793"/>
      <w:bookmarkStart w:id="4" w:name="_Toc21462"/>
      <w:r>
        <w:rPr>
          <w:rFonts w:hint="eastAsia" w:ascii="Times New Roman" w:hAnsi="Times New Roman"/>
        </w:rPr>
        <w:t>（一）项目概况</w:t>
      </w:r>
      <w:bookmarkEnd w:id="3"/>
      <w:bookmarkEnd w:id="4"/>
    </w:p>
    <w:p>
      <w:pPr>
        <w:pStyle w:val="25"/>
        <w:ind w:firstLine="640"/>
        <w:rPr>
          <w:rFonts w:ascii="Times New Roman" w:hAnsi="Times New Roman"/>
        </w:rPr>
      </w:pPr>
      <w:r>
        <w:rPr>
          <w:rFonts w:hint="eastAsia" w:ascii="Times New Roman" w:hAnsi="Times New Roman"/>
        </w:rPr>
        <w:t>1.项目背景</w:t>
      </w:r>
    </w:p>
    <w:p>
      <w:pPr>
        <w:pStyle w:val="25"/>
        <w:ind w:firstLine="640"/>
        <w:rPr>
          <w:rFonts w:ascii="Times New Roman" w:hAnsi="Times New Roman"/>
        </w:rPr>
      </w:pPr>
      <w:r>
        <w:rPr>
          <w:rFonts w:hint="eastAsia" w:ascii="Times New Roman" w:hAnsi="Times New Roman"/>
        </w:rPr>
        <w:t>国资监管信息化建设是近几年国资监管工作的亮点，是全面提升治理能力的有效载体，开启了国资监管工作新局面。国资央企要以应用能力建设为切入点，深入推进电子政务能力、业务应用支撑能力、数据共享利用能力建设，着力提升国资央企数字化智能化水平；要以信息化体系建设为核心，大力推进国资央企云体系、大数据体系建设，并积极融入国家政务信息化体系，着力提升国资监管信息化支撑保障水平；要以网络安全防护为抓手，持续深化网络安全、智慧能源行业大数据平台建设和运营，持续深化数据安全管理，使国有资产管理体制不断完善,监管效能、网络安全水平不断提升。</w:t>
      </w:r>
    </w:p>
    <w:p>
      <w:pPr>
        <w:pStyle w:val="25"/>
        <w:ind w:firstLine="640"/>
        <w:rPr>
          <w:rFonts w:ascii="Times New Roman" w:hAnsi="Times New Roman"/>
        </w:rPr>
      </w:pPr>
      <w:r>
        <w:rPr>
          <w:rFonts w:hint="eastAsia" w:ascii="Times New Roman" w:hAnsi="Times New Roman"/>
        </w:rPr>
        <w:t>近年来，按照国务院国资委、市国资委工作要求，</w:t>
      </w:r>
      <w:r>
        <w:rPr>
          <w:rFonts w:hint="eastAsia" w:ascii="Times New Roman" w:hAnsi="Times New Roman"/>
          <w:color w:val="000000" w:themeColor="text1"/>
          <w14:textFill>
            <w14:solidFill>
              <w14:schemeClr w14:val="tx1"/>
            </w14:solidFill>
          </w14:textFill>
        </w:rPr>
        <w:t>天津市和平区人民政府国有资产监督管理委员会</w:t>
      </w:r>
      <w:r>
        <w:rPr>
          <w:rFonts w:hint="eastAsia" w:ascii="Times New Roman" w:hAnsi="Times New Roman"/>
        </w:rPr>
        <w:t>落实《市国资委关于印发&lt;贯彻国务院国资委国资监管大格局部署要求深入推进天津“智慧国资”监管平台建设实施方案&gt;的通知》文件要求，启动了智慧国资平台建设项目，该项目建设的总体目标是实现对企业数据的实时监管和分析。</w:t>
      </w:r>
    </w:p>
    <w:p>
      <w:pPr>
        <w:pStyle w:val="25"/>
        <w:ind w:firstLine="640"/>
        <w:rPr>
          <w:rFonts w:ascii="Times New Roman" w:hAnsi="Times New Roman"/>
        </w:rPr>
      </w:pPr>
      <w:r>
        <w:rPr>
          <w:rFonts w:hint="eastAsia" w:ascii="Times New Roman" w:hAnsi="Times New Roman"/>
        </w:rPr>
        <w:t>2.主要内容</w:t>
      </w:r>
    </w:p>
    <w:p>
      <w:pPr>
        <w:pStyle w:val="25"/>
        <w:ind w:firstLine="640"/>
        <w:rPr>
          <w:rFonts w:ascii="Times New Roman" w:hAnsi="Times New Roman"/>
        </w:rPr>
      </w:pPr>
      <w:r>
        <w:rPr>
          <w:rFonts w:hint="eastAsia" w:ascii="Times New Roman" w:hAnsi="Times New Roman"/>
        </w:rPr>
        <w:t>本项目主要建设内容是建设全面建设涵盖财务管理、产权管理、投资管理、资金监控、三重一大、审计监督等业务模块的智慧国资监管平台，并完成与市级国资监管平台的数据对接，提升国资监管效益。</w:t>
      </w:r>
    </w:p>
    <w:p>
      <w:pPr>
        <w:pStyle w:val="25"/>
        <w:ind w:firstLine="640"/>
        <w:rPr>
          <w:rFonts w:ascii="Times New Roman" w:hAnsi="Times New Roman"/>
        </w:rPr>
      </w:pPr>
      <w:r>
        <w:rPr>
          <w:rFonts w:hint="eastAsia" w:ascii="Times New Roman" w:hAnsi="Times New Roman"/>
        </w:rPr>
        <w:t>3.项目组织管理</w:t>
      </w:r>
    </w:p>
    <w:p>
      <w:pPr>
        <w:pStyle w:val="25"/>
        <w:ind w:firstLine="640"/>
        <w:rPr>
          <w:rFonts w:ascii="Times New Roman" w:hAnsi="Times New Roman"/>
        </w:rPr>
      </w:pPr>
      <w:r>
        <w:rPr>
          <w:rFonts w:hint="eastAsia" w:ascii="Times New Roman" w:hAnsi="Times New Roman"/>
        </w:rPr>
        <w:t>本项目主管单位和实施单位为天津市和平区人民政府国有资产监督管理委员会，负责具体项目的政采招标、功能模块搭建、平台总体建设、与第三方服务机构签订服务合同，对服务质量组织验收，负责制定项目业务制度，统筹监督管理项目的具体开展情况，保障项目顺利实施。</w:t>
      </w:r>
    </w:p>
    <w:p>
      <w:pPr>
        <w:pStyle w:val="25"/>
        <w:ind w:firstLine="640"/>
        <w:rPr>
          <w:rFonts w:ascii="Times New Roman" w:hAnsi="Times New Roman"/>
        </w:rPr>
      </w:pPr>
      <w:r>
        <w:rPr>
          <w:rFonts w:hint="eastAsia" w:ascii="Times New Roman" w:hAnsi="Times New Roman"/>
        </w:rPr>
        <w:t>4.资金投入和使用情况</w:t>
      </w:r>
    </w:p>
    <w:p>
      <w:pPr>
        <w:pStyle w:val="25"/>
        <w:ind w:firstLine="640"/>
        <w:rPr>
          <w:rFonts w:ascii="Times New Roman" w:hAnsi="Times New Roman"/>
        </w:rPr>
      </w:pPr>
      <w:r>
        <w:rPr>
          <w:rFonts w:hint="eastAsia" w:ascii="Times New Roman" w:hAnsi="Times New Roman"/>
        </w:rPr>
        <w:t>项目预算安排区级资金30万元，于2022年3月已到位区级资金30万元，资金到位率为100%。</w:t>
      </w:r>
    </w:p>
    <w:p>
      <w:pPr>
        <w:pStyle w:val="25"/>
        <w:ind w:firstLine="640"/>
        <w:rPr>
          <w:rFonts w:ascii="Times New Roman" w:hAnsi="Times New Roman"/>
        </w:rPr>
      </w:pPr>
      <w:r>
        <w:rPr>
          <w:rFonts w:hint="eastAsia" w:ascii="Times New Roman" w:hAnsi="Times New Roman"/>
        </w:rPr>
        <w:t>项目执行过程中，实际支出区级资金30万元，预算执行率为100%。</w:t>
      </w:r>
    </w:p>
    <w:p>
      <w:pPr>
        <w:pStyle w:val="25"/>
        <w:ind w:firstLine="640"/>
        <w:rPr>
          <w:rFonts w:ascii="Times New Roman" w:hAnsi="Times New Roman"/>
        </w:rPr>
      </w:pPr>
      <w:r>
        <w:rPr>
          <w:rFonts w:hint="eastAsia" w:ascii="Times New Roman" w:hAnsi="Times New Roman"/>
        </w:rPr>
        <w:t>资金具体情况见表1：</w:t>
      </w:r>
    </w:p>
    <w:p>
      <w:pPr>
        <w:pStyle w:val="32"/>
        <w:rPr>
          <w:rFonts w:ascii="Times New Roman" w:hAnsi="Times New Roman"/>
        </w:rPr>
      </w:pPr>
      <w:r>
        <w:rPr>
          <w:rFonts w:ascii="Times New Roman" w:hAnsi="Times New Roman"/>
        </w:rPr>
        <w:t>表1  资金预算执行率情况表</w:t>
      </w:r>
    </w:p>
    <w:p>
      <w:pPr>
        <w:pStyle w:val="33"/>
        <w:rPr>
          <w:rFonts w:ascii="Times New Roman" w:hAnsi="Times New Roman"/>
        </w:rPr>
      </w:pPr>
      <w:r>
        <w:rPr>
          <w:rFonts w:hint="eastAsia" w:ascii="Times New Roman" w:hAnsi="Times New Roman"/>
        </w:rPr>
        <w:t>单位：万元</w:t>
      </w:r>
    </w:p>
    <w:tbl>
      <w:tblPr>
        <w:tblStyle w:val="15"/>
        <w:tblW w:w="4869"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472"/>
        <w:gridCol w:w="1473"/>
        <w:gridCol w:w="1469"/>
        <w:gridCol w:w="1469"/>
        <w:gridCol w:w="1469"/>
        <w:gridCol w:w="147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blHeader/>
          <w:jc w:val="center"/>
        </w:trPr>
        <w:tc>
          <w:tcPr>
            <w:tcW w:w="834" w:type="pct"/>
            <w:vAlign w:val="center"/>
          </w:tcPr>
          <w:p>
            <w:pPr>
              <w:pStyle w:val="35"/>
              <w:rPr>
                <w:rFonts w:ascii="Times New Roman" w:hAnsi="Times New Roman"/>
              </w:rPr>
            </w:pPr>
            <w:r>
              <w:rPr>
                <w:rFonts w:hint="eastAsia" w:ascii="Times New Roman" w:hAnsi="Times New Roman"/>
              </w:rPr>
              <w:t>资金计划</w:t>
            </w:r>
          </w:p>
          <w:p>
            <w:pPr>
              <w:pStyle w:val="35"/>
              <w:rPr>
                <w:rFonts w:ascii="Times New Roman" w:hAnsi="Times New Roman"/>
              </w:rPr>
            </w:pPr>
            <w:r>
              <w:rPr>
                <w:rFonts w:hint="eastAsia" w:ascii="Times New Roman" w:hAnsi="Times New Roman"/>
              </w:rPr>
              <w:t>下达时间</w:t>
            </w:r>
          </w:p>
        </w:tc>
        <w:tc>
          <w:tcPr>
            <w:tcW w:w="834" w:type="pct"/>
            <w:vAlign w:val="center"/>
          </w:tcPr>
          <w:p>
            <w:pPr>
              <w:pStyle w:val="35"/>
              <w:rPr>
                <w:rFonts w:ascii="Times New Roman" w:hAnsi="Times New Roman"/>
              </w:rPr>
            </w:pPr>
            <w:r>
              <w:rPr>
                <w:rFonts w:hint="eastAsia" w:ascii="Times New Roman" w:hAnsi="Times New Roman"/>
              </w:rPr>
              <w:t>资金计划</w:t>
            </w:r>
          </w:p>
          <w:p>
            <w:pPr>
              <w:pStyle w:val="35"/>
              <w:rPr>
                <w:rFonts w:ascii="Times New Roman" w:hAnsi="Times New Roman"/>
              </w:rPr>
            </w:pPr>
            <w:r>
              <w:rPr>
                <w:rFonts w:hint="eastAsia" w:ascii="Times New Roman" w:hAnsi="Times New Roman"/>
              </w:rPr>
              <w:t>下达金额</w:t>
            </w:r>
          </w:p>
        </w:tc>
        <w:tc>
          <w:tcPr>
            <w:tcW w:w="832" w:type="pct"/>
            <w:vAlign w:val="center"/>
          </w:tcPr>
          <w:p>
            <w:pPr>
              <w:pStyle w:val="35"/>
              <w:rPr>
                <w:rFonts w:ascii="Times New Roman" w:hAnsi="Times New Roman"/>
              </w:rPr>
            </w:pPr>
            <w:r>
              <w:rPr>
                <w:rFonts w:hint="eastAsia" w:ascii="Times New Roman" w:hAnsi="Times New Roman"/>
              </w:rPr>
              <w:t>实际到位</w:t>
            </w:r>
          </w:p>
          <w:p>
            <w:pPr>
              <w:pStyle w:val="35"/>
              <w:rPr>
                <w:rFonts w:ascii="Times New Roman" w:hAnsi="Times New Roman"/>
              </w:rPr>
            </w:pPr>
            <w:r>
              <w:rPr>
                <w:rFonts w:hint="eastAsia" w:ascii="Times New Roman" w:hAnsi="Times New Roman"/>
              </w:rPr>
              <w:t>资金</w:t>
            </w:r>
          </w:p>
        </w:tc>
        <w:tc>
          <w:tcPr>
            <w:tcW w:w="832" w:type="pct"/>
            <w:vAlign w:val="center"/>
          </w:tcPr>
          <w:p>
            <w:pPr>
              <w:pStyle w:val="35"/>
              <w:rPr>
                <w:rFonts w:ascii="Times New Roman" w:hAnsi="Times New Roman"/>
              </w:rPr>
            </w:pPr>
            <w:r>
              <w:rPr>
                <w:rFonts w:hint="eastAsia" w:ascii="Times New Roman" w:hAnsi="Times New Roman"/>
              </w:rPr>
              <w:t>资金到位率</w:t>
            </w:r>
          </w:p>
        </w:tc>
        <w:tc>
          <w:tcPr>
            <w:tcW w:w="832" w:type="pct"/>
            <w:vAlign w:val="center"/>
          </w:tcPr>
          <w:p>
            <w:pPr>
              <w:pStyle w:val="35"/>
              <w:rPr>
                <w:rFonts w:ascii="Times New Roman" w:hAnsi="Times New Roman"/>
              </w:rPr>
            </w:pPr>
            <w:r>
              <w:rPr>
                <w:rFonts w:hint="eastAsia" w:ascii="Times New Roman" w:hAnsi="Times New Roman"/>
              </w:rPr>
              <w:t>实际支付</w:t>
            </w:r>
          </w:p>
          <w:p>
            <w:pPr>
              <w:pStyle w:val="35"/>
              <w:rPr>
                <w:rFonts w:ascii="Times New Roman" w:hAnsi="Times New Roman"/>
              </w:rPr>
            </w:pPr>
            <w:r>
              <w:rPr>
                <w:rFonts w:hint="eastAsia" w:ascii="Times New Roman" w:hAnsi="Times New Roman"/>
              </w:rPr>
              <w:t>资金</w:t>
            </w:r>
          </w:p>
        </w:tc>
        <w:tc>
          <w:tcPr>
            <w:tcW w:w="833" w:type="pct"/>
            <w:vAlign w:val="center"/>
          </w:tcPr>
          <w:p>
            <w:pPr>
              <w:pStyle w:val="35"/>
              <w:rPr>
                <w:rFonts w:ascii="Times New Roman" w:hAnsi="Times New Roman"/>
              </w:rPr>
            </w:pPr>
            <w:r>
              <w:rPr>
                <w:rFonts w:hint="eastAsia" w:ascii="Times New Roman" w:hAnsi="Times New Roman"/>
              </w:rPr>
              <w:t>预算执行率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54" w:hRule="atLeast"/>
          <w:jc w:val="center"/>
        </w:trPr>
        <w:tc>
          <w:tcPr>
            <w:tcW w:w="834" w:type="pct"/>
            <w:vAlign w:val="center"/>
          </w:tcPr>
          <w:p>
            <w:pPr>
              <w:pStyle w:val="37"/>
              <w:rPr>
                <w:rFonts w:ascii="Times New Roman" w:hAnsi="Times New Roman"/>
              </w:rPr>
            </w:pPr>
            <w:r>
              <w:rPr>
                <w:rFonts w:hint="eastAsia" w:ascii="Times New Roman" w:hAnsi="Times New Roman"/>
              </w:rPr>
              <w:t>202</w:t>
            </w:r>
            <w:r>
              <w:rPr>
                <w:rFonts w:ascii="Times New Roman" w:hAnsi="Times New Roman"/>
              </w:rPr>
              <w:t>2</w:t>
            </w:r>
            <w:r>
              <w:rPr>
                <w:rFonts w:hint="eastAsia" w:ascii="Times New Roman" w:hAnsi="Times New Roman"/>
              </w:rPr>
              <w:t>年</w:t>
            </w:r>
          </w:p>
        </w:tc>
        <w:tc>
          <w:tcPr>
            <w:tcW w:w="834" w:type="pct"/>
            <w:vAlign w:val="center"/>
          </w:tcPr>
          <w:p>
            <w:pPr>
              <w:pStyle w:val="37"/>
              <w:rPr>
                <w:rFonts w:ascii="Times New Roman" w:hAnsi="Times New Roman"/>
              </w:rPr>
            </w:pPr>
            <w:r>
              <w:rPr>
                <w:rFonts w:ascii="Times New Roman" w:hAnsi="Times New Roman"/>
              </w:rPr>
              <w:t>30</w:t>
            </w:r>
          </w:p>
        </w:tc>
        <w:tc>
          <w:tcPr>
            <w:tcW w:w="832" w:type="pct"/>
            <w:vAlign w:val="center"/>
          </w:tcPr>
          <w:p>
            <w:pPr>
              <w:pStyle w:val="37"/>
              <w:rPr>
                <w:rFonts w:ascii="Times New Roman" w:hAnsi="Times New Roman"/>
              </w:rPr>
            </w:pPr>
            <w:r>
              <w:rPr>
                <w:rFonts w:ascii="Times New Roman" w:hAnsi="Times New Roman"/>
              </w:rPr>
              <w:t>30</w:t>
            </w:r>
          </w:p>
        </w:tc>
        <w:tc>
          <w:tcPr>
            <w:tcW w:w="832" w:type="pct"/>
            <w:vAlign w:val="center"/>
          </w:tcPr>
          <w:p>
            <w:pPr>
              <w:pStyle w:val="37"/>
              <w:rPr>
                <w:rFonts w:ascii="Times New Roman" w:hAnsi="Times New Roman"/>
              </w:rPr>
            </w:pPr>
            <w:r>
              <w:rPr>
                <w:rFonts w:hint="eastAsia" w:ascii="Times New Roman" w:hAnsi="Times New Roman"/>
              </w:rPr>
              <w:t>100%</w:t>
            </w:r>
          </w:p>
        </w:tc>
        <w:tc>
          <w:tcPr>
            <w:tcW w:w="832" w:type="pct"/>
            <w:vAlign w:val="center"/>
          </w:tcPr>
          <w:p>
            <w:pPr>
              <w:pStyle w:val="37"/>
              <w:rPr>
                <w:rFonts w:ascii="Times New Roman" w:hAnsi="Times New Roman"/>
              </w:rPr>
            </w:pPr>
            <w:r>
              <w:rPr>
                <w:rFonts w:ascii="Times New Roman" w:hAnsi="Times New Roman"/>
              </w:rPr>
              <w:t>30</w:t>
            </w:r>
          </w:p>
        </w:tc>
        <w:tc>
          <w:tcPr>
            <w:tcW w:w="833" w:type="pct"/>
            <w:vAlign w:val="center"/>
          </w:tcPr>
          <w:p>
            <w:pPr>
              <w:pStyle w:val="37"/>
              <w:rPr>
                <w:rFonts w:ascii="Times New Roman" w:hAnsi="Times New Roman"/>
              </w:rPr>
            </w:pPr>
            <w:r>
              <w:rPr>
                <w:rFonts w:ascii="Times New Roman" w:hAnsi="Times New Roman"/>
              </w:rPr>
              <w:t>100%</w:t>
            </w:r>
          </w:p>
        </w:tc>
      </w:tr>
    </w:tbl>
    <w:p>
      <w:pPr>
        <w:pStyle w:val="29"/>
        <w:ind w:firstLine="640"/>
        <w:rPr>
          <w:rFonts w:ascii="Times New Roman" w:hAnsi="Times New Roman"/>
        </w:rPr>
      </w:pPr>
      <w:bookmarkStart w:id="5" w:name="_Toc207"/>
      <w:bookmarkStart w:id="6" w:name="_Toc5271"/>
      <w:r>
        <w:rPr>
          <w:rFonts w:hint="eastAsia" w:ascii="Times New Roman" w:hAnsi="Times New Roman"/>
        </w:rPr>
        <w:t>（二）项目绩效目标</w:t>
      </w:r>
      <w:bookmarkEnd w:id="5"/>
      <w:bookmarkEnd w:id="6"/>
    </w:p>
    <w:bookmarkEnd w:id="2"/>
    <w:p>
      <w:pPr>
        <w:ind w:firstLine="640"/>
        <w:rPr>
          <w:rFonts w:ascii="Times New Roman" w:hAnsi="Times New Roman" w:eastAsia="仿宋_GB2312"/>
        </w:rPr>
      </w:pPr>
      <w:r>
        <w:rPr>
          <w:rFonts w:hint="eastAsia" w:ascii="Times New Roman" w:hAnsi="Times New Roman" w:eastAsia="仿宋_GB2312" w:cs="仿宋_GB2312"/>
          <w:sz w:val="32"/>
          <w:szCs w:val="32"/>
        </w:rPr>
        <w:t>为落实国务院国资委加快建设在线监管系统，全面建设涵盖财务、产权、投资、资金、三重一大、审计监督等系统，按照市国资委下发的数据标准完成与市国资监管平台的数据对接。</w:t>
      </w:r>
    </w:p>
    <w:p>
      <w:pPr>
        <w:pStyle w:val="27"/>
        <w:rPr>
          <w:rFonts w:ascii="Times New Roman" w:hAnsi="Times New Roman" w:eastAsia="仿宋_GB2312" w:cstheme="minorBidi"/>
          <w:szCs w:val="21"/>
        </w:rPr>
      </w:pPr>
      <w:bookmarkStart w:id="7" w:name="_Toc6130"/>
      <w:bookmarkStart w:id="8" w:name="_Toc22299"/>
      <w:r>
        <w:rPr>
          <w:rFonts w:hint="eastAsia" w:ascii="Times New Roman" w:hAnsi="Times New Roman" w:eastAsia="仿宋_GB2312" w:cstheme="minorBidi"/>
          <w:szCs w:val="21"/>
        </w:rPr>
        <w:t>二、绩效评价工作开展情况</w:t>
      </w:r>
      <w:bookmarkEnd w:id="7"/>
      <w:bookmarkEnd w:id="8"/>
    </w:p>
    <w:p>
      <w:pPr>
        <w:pStyle w:val="29"/>
        <w:ind w:firstLine="640"/>
        <w:rPr>
          <w:rFonts w:ascii="Times New Roman" w:hAnsi="Times New Roman"/>
        </w:rPr>
      </w:pPr>
      <w:bookmarkStart w:id="9" w:name="_Toc15989"/>
      <w:bookmarkStart w:id="10" w:name="_Toc21220"/>
      <w:r>
        <w:rPr>
          <w:rFonts w:hint="eastAsia" w:ascii="Times New Roman" w:hAnsi="Times New Roman"/>
        </w:rPr>
        <w:t>（一）绩效评价的目的、对象和范围</w:t>
      </w:r>
      <w:bookmarkEnd w:id="9"/>
      <w:bookmarkEnd w:id="10"/>
    </w:p>
    <w:p>
      <w:pPr>
        <w:pStyle w:val="25"/>
        <w:ind w:firstLine="640"/>
        <w:rPr>
          <w:rFonts w:ascii="Times New Roman" w:hAnsi="Times New Roman"/>
        </w:rPr>
      </w:pPr>
      <w:r>
        <w:rPr>
          <w:rFonts w:hint="eastAsia" w:ascii="Times New Roman" w:hAnsi="Times New Roman"/>
        </w:rPr>
        <w:t>1.绩效评价目的</w:t>
      </w:r>
    </w:p>
    <w:p>
      <w:pPr>
        <w:pStyle w:val="25"/>
        <w:ind w:firstLine="640"/>
        <w:rPr>
          <w:rFonts w:ascii="Times New Roman" w:hAnsi="Times New Roman"/>
        </w:rPr>
      </w:pPr>
      <w:r>
        <w:rPr>
          <w:rFonts w:hint="eastAsia" w:ascii="Times New Roman" w:hAnsi="Times New Roman"/>
        </w:rPr>
        <w:t>本次评价以《财政部关于印发〈项目支出绩效评价管理办法〉的通知》（财预〔2020〕10号）《中共天津市委 天津市人民政府印发〈关于全面推进预算绩效管理的实施方案〉的通知》（津党发〔2019〕25号）《天津市市级财政项目支出绩效评价管理办法》（津财绩效〔2020〕12号）《和平区区级部门预算绩效管理办法》等文件为依据，对智慧国资尾款及二期建设费项目财政专项资金使用绩效情况进行评价。开展此次评价工作的目的在于：</w:t>
      </w:r>
    </w:p>
    <w:p>
      <w:pPr>
        <w:pStyle w:val="25"/>
        <w:ind w:firstLine="640"/>
        <w:rPr>
          <w:rFonts w:ascii="Times New Roman" w:hAnsi="Times New Roman"/>
        </w:rPr>
      </w:pPr>
      <w:r>
        <w:rPr>
          <w:rFonts w:hint="eastAsia" w:ascii="Times New Roman" w:hAnsi="Times New Roman"/>
        </w:rPr>
        <w:t>（1）通过对智慧国资尾款及二期建设费项目的实施情况进行核实评价，了解掌握项目的实施情况。</w:t>
      </w:r>
    </w:p>
    <w:p>
      <w:pPr>
        <w:pStyle w:val="25"/>
        <w:ind w:firstLine="640"/>
        <w:rPr>
          <w:rFonts w:ascii="Times New Roman" w:hAnsi="Times New Roman"/>
        </w:rPr>
      </w:pPr>
      <w:r>
        <w:rPr>
          <w:rFonts w:hint="eastAsia" w:ascii="Times New Roman" w:hAnsi="Times New Roman"/>
        </w:rPr>
        <w:t>（2）根据智慧国资尾款及二期建设费项目实施的具体情况，评价其项目资金安排的科学性、合理性、规范性，完善项目管理办法，提高项目管理水平和资金的使用效率。</w:t>
      </w:r>
    </w:p>
    <w:p>
      <w:pPr>
        <w:pStyle w:val="25"/>
        <w:ind w:firstLine="640"/>
        <w:rPr>
          <w:rFonts w:ascii="Times New Roman" w:hAnsi="Times New Roman"/>
        </w:rPr>
      </w:pPr>
      <w:r>
        <w:rPr>
          <w:rFonts w:hint="eastAsia" w:ascii="Times New Roman" w:hAnsi="Times New Roman"/>
        </w:rPr>
        <w:t>（3）本次从决策、过程、产出、效益四个方面对智慧国资尾款及二期建设费项目进行客观、公正的评价；总结项目管理与执行经验，发现项目管理和预算管理中存在的问题，提出改进意见和建议，为相关部门决策、管理提供参考依据，推动建立以绩效评价结果为导向的财政资金分配与管理制度。</w:t>
      </w:r>
    </w:p>
    <w:p>
      <w:pPr>
        <w:pStyle w:val="25"/>
        <w:ind w:firstLine="640"/>
        <w:rPr>
          <w:rFonts w:ascii="Times New Roman" w:hAnsi="Times New Roman"/>
        </w:rPr>
      </w:pPr>
      <w:r>
        <w:rPr>
          <w:rFonts w:hint="eastAsia" w:ascii="Times New Roman" w:hAnsi="Times New Roman"/>
        </w:rPr>
        <w:t>（4）进一步丰富和完善智慧国资尾款及二期建设费项目绩效评价方法体系，推动建立以绩效评价结果为导向的财政资金分配与管理制度，提升财政资金科学化、精细化管理水平，为智慧国资尾款及二期建设费项目专项资金的安排提供重要依据。</w:t>
      </w:r>
    </w:p>
    <w:p>
      <w:pPr>
        <w:pStyle w:val="25"/>
        <w:ind w:firstLine="640"/>
        <w:rPr>
          <w:rFonts w:ascii="Times New Roman" w:hAnsi="Times New Roman"/>
        </w:rPr>
      </w:pPr>
      <w:r>
        <w:rPr>
          <w:rFonts w:hint="eastAsia" w:ascii="Times New Roman" w:hAnsi="Times New Roman"/>
        </w:rPr>
        <w:t>2.绩效评价对象和范围</w:t>
      </w:r>
    </w:p>
    <w:p>
      <w:pPr>
        <w:pStyle w:val="25"/>
        <w:ind w:firstLine="640"/>
        <w:rPr>
          <w:rFonts w:ascii="Times New Roman" w:hAnsi="Times New Roman"/>
        </w:rPr>
      </w:pPr>
      <w:r>
        <w:rPr>
          <w:rFonts w:hint="eastAsia" w:ascii="Times New Roman" w:hAnsi="Times New Roman"/>
        </w:rPr>
        <w:t>本次绩效评价针对天津市和平区人民政府国有资产监督管理委员会智慧国资尾款及二期建设费项目展开，主要评价内容及范围如下：</w:t>
      </w:r>
    </w:p>
    <w:p>
      <w:pPr>
        <w:pStyle w:val="25"/>
        <w:ind w:firstLine="640"/>
        <w:rPr>
          <w:rFonts w:ascii="Times New Roman" w:hAnsi="Times New Roman"/>
        </w:rPr>
      </w:pPr>
      <w:r>
        <w:rPr>
          <w:rFonts w:hint="eastAsia" w:ascii="Times New Roman" w:hAnsi="Times New Roman"/>
        </w:rPr>
        <w:t>（1）立项依据和立项程序情况；</w:t>
      </w:r>
    </w:p>
    <w:p>
      <w:pPr>
        <w:pStyle w:val="25"/>
        <w:ind w:firstLine="640"/>
        <w:rPr>
          <w:rFonts w:ascii="Times New Roman" w:hAnsi="Times New Roman"/>
        </w:rPr>
      </w:pPr>
      <w:r>
        <w:rPr>
          <w:rFonts w:hint="eastAsia" w:ascii="Times New Roman" w:hAnsi="Times New Roman"/>
        </w:rPr>
        <w:t>（2）绩效目标和指标设定情况；</w:t>
      </w:r>
    </w:p>
    <w:p>
      <w:pPr>
        <w:pStyle w:val="25"/>
        <w:ind w:firstLine="640"/>
        <w:rPr>
          <w:rFonts w:ascii="Times New Roman" w:hAnsi="Times New Roman"/>
        </w:rPr>
      </w:pPr>
      <w:r>
        <w:rPr>
          <w:rFonts w:hint="eastAsia" w:ascii="Times New Roman" w:hAnsi="Times New Roman"/>
        </w:rPr>
        <w:t>（3）预算编制和资金分配情况；</w:t>
      </w:r>
    </w:p>
    <w:p>
      <w:pPr>
        <w:pStyle w:val="25"/>
        <w:ind w:firstLine="640"/>
        <w:rPr>
          <w:rFonts w:ascii="Times New Roman" w:hAnsi="Times New Roman"/>
        </w:rPr>
      </w:pPr>
      <w:r>
        <w:rPr>
          <w:rFonts w:hint="eastAsia" w:ascii="Times New Roman" w:hAnsi="Times New Roman"/>
        </w:rPr>
        <w:t>（4）资金管理和使用情况；</w:t>
      </w:r>
    </w:p>
    <w:p>
      <w:pPr>
        <w:pStyle w:val="25"/>
        <w:ind w:firstLine="640"/>
        <w:rPr>
          <w:rFonts w:ascii="Times New Roman" w:hAnsi="Times New Roman"/>
        </w:rPr>
      </w:pPr>
      <w:r>
        <w:rPr>
          <w:rFonts w:hint="eastAsia" w:ascii="Times New Roman" w:hAnsi="Times New Roman"/>
        </w:rPr>
        <w:t>（5）相关制度办法的健全性及执行情况；</w:t>
      </w:r>
    </w:p>
    <w:p>
      <w:pPr>
        <w:pStyle w:val="25"/>
        <w:ind w:firstLine="640"/>
        <w:rPr>
          <w:rFonts w:ascii="Times New Roman" w:hAnsi="Times New Roman"/>
        </w:rPr>
      </w:pPr>
      <w:r>
        <w:rPr>
          <w:rFonts w:hint="eastAsia" w:ascii="Times New Roman" w:hAnsi="Times New Roman"/>
        </w:rPr>
        <w:t>（6）实现的产出情况；</w:t>
      </w:r>
    </w:p>
    <w:p>
      <w:pPr>
        <w:pStyle w:val="25"/>
        <w:ind w:firstLine="640"/>
        <w:rPr>
          <w:rFonts w:ascii="Times New Roman" w:hAnsi="Times New Roman"/>
        </w:rPr>
      </w:pPr>
      <w:r>
        <w:rPr>
          <w:rFonts w:hint="eastAsia" w:ascii="Times New Roman" w:hAnsi="Times New Roman"/>
        </w:rPr>
        <w:t>（7）取得的效益情况；</w:t>
      </w:r>
    </w:p>
    <w:p>
      <w:pPr>
        <w:pStyle w:val="25"/>
        <w:ind w:firstLine="640"/>
        <w:rPr>
          <w:rFonts w:ascii="Times New Roman" w:hAnsi="Times New Roman"/>
        </w:rPr>
      </w:pPr>
      <w:r>
        <w:rPr>
          <w:rFonts w:hint="eastAsia" w:ascii="Times New Roman" w:hAnsi="Times New Roman"/>
        </w:rPr>
        <w:t>（8）其他相关内容。</w:t>
      </w:r>
    </w:p>
    <w:p>
      <w:pPr>
        <w:pStyle w:val="29"/>
        <w:ind w:firstLine="640"/>
        <w:rPr>
          <w:rFonts w:ascii="Times New Roman" w:hAnsi="Times New Roman"/>
        </w:rPr>
      </w:pPr>
      <w:bookmarkStart w:id="11" w:name="_Toc6104"/>
      <w:bookmarkStart w:id="12" w:name="_Toc24697"/>
      <w:r>
        <w:rPr>
          <w:rFonts w:hint="eastAsia" w:ascii="Times New Roman" w:hAnsi="Times New Roman"/>
        </w:rPr>
        <w:t>（二）</w:t>
      </w:r>
      <w:r>
        <w:rPr>
          <w:rFonts w:hint="eastAsia" w:ascii="Times New Roman" w:hAnsi="Times New Roman" w:cs="楷体_GB2312"/>
          <w:bCs w:val="0"/>
        </w:rPr>
        <w:t>绩效评价原则、评价指标体系、评价方法</w:t>
      </w:r>
      <w:bookmarkEnd w:id="11"/>
      <w:bookmarkEnd w:id="12"/>
    </w:p>
    <w:p>
      <w:pPr>
        <w:pStyle w:val="25"/>
        <w:ind w:firstLine="640"/>
        <w:rPr>
          <w:rFonts w:ascii="Times New Roman" w:hAnsi="Times New Roman"/>
        </w:rPr>
      </w:pPr>
      <w:r>
        <w:rPr>
          <w:rFonts w:ascii="Times New Roman" w:hAnsi="Times New Roman"/>
        </w:rPr>
        <w:t>1.</w:t>
      </w:r>
      <w:r>
        <w:rPr>
          <w:rFonts w:hint="eastAsia" w:ascii="Times New Roman" w:hAnsi="Times New Roman"/>
        </w:rPr>
        <w:t>绩效评价原则</w:t>
      </w:r>
    </w:p>
    <w:p>
      <w:pPr>
        <w:pStyle w:val="25"/>
        <w:ind w:firstLine="640"/>
        <w:rPr>
          <w:rFonts w:ascii="Times New Roman" w:hAnsi="Times New Roman"/>
        </w:rPr>
      </w:pPr>
      <w:r>
        <w:rPr>
          <w:rFonts w:hint="eastAsia" w:ascii="Times New Roman" w:hAnsi="Times New Roman"/>
        </w:rPr>
        <w:t>（</w:t>
      </w:r>
      <w:r>
        <w:rPr>
          <w:rFonts w:ascii="Times New Roman" w:hAnsi="Times New Roman"/>
        </w:rPr>
        <w:t>1</w:t>
      </w:r>
      <w:r>
        <w:rPr>
          <w:rFonts w:hint="eastAsia" w:ascii="Times New Roman" w:hAnsi="Times New Roman"/>
        </w:rPr>
        <w:t>）坚持科学规范的原则。此次绩效评价运用科学合理的评价指标体系和方法，按照规范的程序，对支出绩效进行客观、公正的反映。</w:t>
      </w:r>
    </w:p>
    <w:p>
      <w:pPr>
        <w:pStyle w:val="25"/>
        <w:ind w:firstLine="640"/>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）坚持统筹兼顾的原则。此次评价委托第三方机构在单位自评的基础上开展。</w:t>
      </w:r>
    </w:p>
    <w:p>
      <w:pPr>
        <w:pStyle w:val="25"/>
        <w:ind w:firstLine="640"/>
        <w:rPr>
          <w:rFonts w:ascii="Times New Roman" w:hAnsi="Times New Roman"/>
        </w:rPr>
      </w:pPr>
      <w:bookmarkStart w:id="13" w:name="_Hlk91689355"/>
      <w:r>
        <w:rPr>
          <w:rFonts w:hint="eastAsia" w:ascii="Times New Roman" w:hAnsi="Times New Roman"/>
        </w:rPr>
        <w:t>（</w:t>
      </w:r>
      <w:r>
        <w:rPr>
          <w:rFonts w:ascii="Times New Roman" w:hAnsi="Times New Roman"/>
        </w:rPr>
        <w:t>3</w:t>
      </w:r>
      <w:r>
        <w:rPr>
          <w:rFonts w:hint="eastAsia" w:ascii="Times New Roman" w:hAnsi="Times New Roman"/>
        </w:rPr>
        <w:t>）坚持激励约束的原则。本次绩效评价结果可以作为预算安排、政策调整、改进管理的参考，绩效评价工作将体现奖优罚劣和激励相容导向，有效要安排、低效要压减、无效要问责。</w:t>
      </w:r>
    </w:p>
    <w:p>
      <w:pPr>
        <w:pStyle w:val="25"/>
        <w:ind w:firstLine="640"/>
        <w:rPr>
          <w:rFonts w:ascii="Times New Roman" w:hAnsi="Times New Roman"/>
        </w:rPr>
      </w:pPr>
      <w:r>
        <w:rPr>
          <w:rFonts w:hint="eastAsia" w:ascii="Times New Roman" w:hAnsi="Times New Roman"/>
        </w:rPr>
        <w:t>（</w:t>
      </w:r>
      <w:r>
        <w:rPr>
          <w:rFonts w:ascii="Times New Roman" w:hAnsi="Times New Roman"/>
        </w:rPr>
        <w:t>4</w:t>
      </w:r>
      <w:r>
        <w:rPr>
          <w:rFonts w:hint="eastAsia" w:ascii="Times New Roman" w:hAnsi="Times New Roman"/>
        </w:rPr>
        <w:t>）坚持公开透明的原则。承诺绩效评价结果依法依规公开，自觉接受有关机构和社会监督。</w:t>
      </w:r>
    </w:p>
    <w:p>
      <w:pPr>
        <w:pStyle w:val="25"/>
        <w:ind w:firstLine="640"/>
        <w:rPr>
          <w:rFonts w:ascii="Times New Roman" w:hAnsi="Times New Roman"/>
        </w:rPr>
      </w:pPr>
      <w:r>
        <w:rPr>
          <w:rFonts w:hint="eastAsia" w:ascii="Times New Roman" w:hAnsi="Times New Roman"/>
        </w:rPr>
        <w:t>（</w:t>
      </w:r>
      <w:r>
        <w:rPr>
          <w:rFonts w:ascii="Times New Roman" w:hAnsi="Times New Roman"/>
        </w:rPr>
        <w:t>5</w:t>
      </w:r>
      <w:r>
        <w:rPr>
          <w:rFonts w:hint="eastAsia" w:ascii="Times New Roman" w:hAnsi="Times New Roman"/>
        </w:rPr>
        <w:t>）坚持综合绩效评价，定量分析与定性分析相结合的原则。</w:t>
      </w:r>
    </w:p>
    <w:p>
      <w:pPr>
        <w:pStyle w:val="25"/>
        <w:ind w:firstLine="640"/>
        <w:rPr>
          <w:rFonts w:ascii="Times New Roman" w:hAnsi="Times New Roman"/>
        </w:rPr>
      </w:pPr>
      <w:r>
        <w:rPr>
          <w:rFonts w:hint="eastAsia" w:ascii="Times New Roman" w:hAnsi="Times New Roman"/>
        </w:rPr>
        <w:t>（</w:t>
      </w:r>
      <w:r>
        <w:rPr>
          <w:rFonts w:ascii="Times New Roman" w:hAnsi="Times New Roman"/>
        </w:rPr>
        <w:t>6</w:t>
      </w:r>
      <w:r>
        <w:rPr>
          <w:rFonts w:hint="eastAsia" w:ascii="Times New Roman" w:hAnsi="Times New Roman"/>
        </w:rPr>
        <w:t>）坚持绩效相关性原则。此次绩效评价将针对具体支出及其产出绩效进行，评价结果将清晰反映支出和产出绩效之间的紧密对应关系。</w:t>
      </w:r>
      <w:bookmarkEnd w:id="13"/>
    </w:p>
    <w:p>
      <w:pPr>
        <w:pStyle w:val="25"/>
        <w:ind w:firstLine="640"/>
        <w:rPr>
          <w:rFonts w:ascii="Times New Roman" w:hAnsi="Times New Roman"/>
        </w:rPr>
      </w:pPr>
      <w:r>
        <w:rPr>
          <w:rFonts w:ascii="Times New Roman" w:hAnsi="Times New Roman"/>
        </w:rPr>
        <w:t>2.</w:t>
      </w:r>
      <w:r>
        <w:rPr>
          <w:rFonts w:hint="eastAsia" w:ascii="Times New Roman" w:hAnsi="Times New Roman"/>
        </w:rPr>
        <w:t>评价指标体系</w:t>
      </w:r>
    </w:p>
    <w:p>
      <w:pPr>
        <w:pStyle w:val="25"/>
        <w:ind w:firstLine="640"/>
        <w:rPr>
          <w:rFonts w:ascii="Times New Roman" w:hAnsi="Times New Roman"/>
        </w:rPr>
      </w:pPr>
      <w:r>
        <w:rPr>
          <w:rFonts w:hint="eastAsia" w:ascii="Times New Roman" w:hAnsi="Times New Roman"/>
        </w:rPr>
        <w:t>针对项目情况，从决策、过程、产出及效益四大方面拟定绩效评价指标，其中：</w:t>
      </w:r>
    </w:p>
    <w:p>
      <w:pPr>
        <w:pStyle w:val="25"/>
        <w:ind w:firstLine="640"/>
        <w:rPr>
          <w:rFonts w:ascii="Times New Roman" w:hAnsi="Times New Roman" w:cs="仿宋_GB2312"/>
        </w:rPr>
      </w:pPr>
      <w:r>
        <w:rPr>
          <w:rFonts w:hint="eastAsia" w:ascii="Times New Roman" w:hAnsi="Times New Roman"/>
        </w:rPr>
        <w:t>（1）</w:t>
      </w:r>
      <w:r>
        <w:rPr>
          <w:rFonts w:hint="eastAsia" w:ascii="Times New Roman" w:hAnsi="Times New Roman" w:cs="仿宋_GB2312"/>
        </w:rPr>
        <w:t>项目决策指标</w:t>
      </w:r>
    </w:p>
    <w:p>
      <w:pPr>
        <w:pStyle w:val="25"/>
        <w:ind w:firstLine="640"/>
        <w:rPr>
          <w:rFonts w:ascii="Times New Roman" w:hAnsi="Times New Roman"/>
        </w:rPr>
      </w:pPr>
      <w:r>
        <w:rPr>
          <w:rFonts w:hint="eastAsia" w:ascii="Times New Roman" w:hAnsi="Times New Roman"/>
        </w:rPr>
        <w:t>①项目立项</w:t>
      </w:r>
    </w:p>
    <w:p>
      <w:pPr>
        <w:pStyle w:val="25"/>
        <w:ind w:firstLine="640"/>
        <w:rPr>
          <w:rFonts w:ascii="Times New Roman" w:hAnsi="Times New Roman"/>
        </w:rPr>
      </w:pPr>
      <w:r>
        <w:rPr>
          <w:rFonts w:ascii="Times New Roman" w:hAnsi="Times New Roman"/>
        </w:rPr>
        <w:t>a.</w:t>
      </w:r>
      <w:r>
        <w:rPr>
          <w:rFonts w:hint="eastAsia" w:ascii="Times New Roman" w:hAnsi="Times New Roman"/>
        </w:rPr>
        <w:t>立项依据充分性。项目立项是否符合法律法规、相关政策、发展规划以及部门职责，用于反映和考核项目立项依据情况。</w:t>
      </w:r>
    </w:p>
    <w:p>
      <w:pPr>
        <w:pStyle w:val="25"/>
        <w:ind w:firstLine="640"/>
        <w:rPr>
          <w:rFonts w:ascii="Times New Roman" w:hAnsi="Times New Roman"/>
        </w:rPr>
      </w:pPr>
      <w:r>
        <w:rPr>
          <w:rFonts w:ascii="Times New Roman" w:hAnsi="Times New Roman"/>
        </w:rPr>
        <w:t>b.</w:t>
      </w:r>
      <w:r>
        <w:rPr>
          <w:rFonts w:hint="eastAsia" w:ascii="Times New Roman" w:hAnsi="Times New Roman"/>
        </w:rPr>
        <w:t>立项程序规范性。项目申请、设立过程是否符合相关要求，用以反映和考核项目立项的规范情况。</w:t>
      </w:r>
    </w:p>
    <w:p>
      <w:pPr>
        <w:pStyle w:val="25"/>
        <w:ind w:firstLine="640"/>
        <w:rPr>
          <w:rFonts w:ascii="Times New Roman" w:hAnsi="Times New Roman"/>
        </w:rPr>
      </w:pPr>
      <w:r>
        <w:rPr>
          <w:rFonts w:hint="eastAsia" w:ascii="Times New Roman" w:hAnsi="Times New Roman"/>
        </w:rPr>
        <w:t>②绩效目标</w:t>
      </w:r>
    </w:p>
    <w:p>
      <w:pPr>
        <w:pStyle w:val="25"/>
        <w:ind w:firstLine="640"/>
        <w:rPr>
          <w:rFonts w:ascii="Times New Roman" w:hAnsi="Times New Roman"/>
        </w:rPr>
      </w:pPr>
      <w:r>
        <w:rPr>
          <w:rFonts w:hint="eastAsia" w:ascii="Times New Roman" w:hAnsi="Times New Roman"/>
        </w:rPr>
        <w:t>a</w:t>
      </w:r>
      <w:r>
        <w:rPr>
          <w:rFonts w:ascii="Times New Roman" w:hAnsi="Times New Roman"/>
        </w:rPr>
        <w:t>.</w:t>
      </w:r>
      <w:r>
        <w:rPr>
          <w:rFonts w:hint="eastAsia" w:ascii="Times New Roman" w:hAnsi="Times New Roman"/>
        </w:rPr>
        <w:t>绩效目标明确性。依据绩效目标设定的绩效指标是否清晰、细化、可衡量等，用以反映和考核项目绩效目标的明细化情况。</w:t>
      </w:r>
    </w:p>
    <w:p>
      <w:pPr>
        <w:pStyle w:val="25"/>
        <w:ind w:firstLine="640"/>
        <w:rPr>
          <w:rFonts w:ascii="Times New Roman" w:hAnsi="Times New Roman"/>
        </w:rPr>
      </w:pPr>
      <w:r>
        <w:rPr>
          <w:rFonts w:ascii="Times New Roman" w:hAnsi="Times New Roman"/>
        </w:rPr>
        <w:t>b.</w:t>
      </w:r>
      <w:r>
        <w:rPr>
          <w:rFonts w:hint="eastAsia" w:ascii="Times New Roman" w:hAnsi="Times New Roman"/>
        </w:rPr>
        <w:t>绩效目标合理性。项目所设定的绩效目标是否依据充分，是否符合客观实际，用以反映和考核项目绩效目标与项目实施的相符情况。</w:t>
      </w:r>
    </w:p>
    <w:p>
      <w:pPr>
        <w:pStyle w:val="25"/>
        <w:ind w:firstLine="640"/>
        <w:rPr>
          <w:rFonts w:ascii="Times New Roman" w:hAnsi="Times New Roman"/>
        </w:rPr>
      </w:pPr>
      <w:r>
        <w:rPr>
          <w:rFonts w:hint="eastAsia" w:ascii="Times New Roman" w:hAnsi="Times New Roman"/>
        </w:rPr>
        <w:t>③预算编制</w:t>
      </w:r>
    </w:p>
    <w:p>
      <w:pPr>
        <w:pStyle w:val="25"/>
        <w:ind w:firstLine="640"/>
        <w:rPr>
          <w:rFonts w:ascii="Times New Roman" w:hAnsi="Times New Roman"/>
        </w:rPr>
      </w:pPr>
      <w:r>
        <w:rPr>
          <w:rFonts w:hint="eastAsia" w:ascii="Times New Roman" w:hAnsi="Times New Roman"/>
        </w:rPr>
        <w:t>a</w:t>
      </w:r>
      <w:r>
        <w:rPr>
          <w:rFonts w:ascii="Times New Roman" w:hAnsi="Times New Roman"/>
        </w:rPr>
        <w:t>.</w:t>
      </w:r>
      <w:r>
        <w:rPr>
          <w:rFonts w:hint="eastAsia" w:ascii="Times New Roman" w:hAnsi="Times New Roman"/>
        </w:rPr>
        <w:t>测算内容合规性。项目预算测算内容是否符合相关政策文件规定范围。</w:t>
      </w:r>
    </w:p>
    <w:p>
      <w:pPr>
        <w:pStyle w:val="25"/>
        <w:ind w:firstLine="640"/>
        <w:rPr>
          <w:rFonts w:ascii="Times New Roman" w:hAnsi="Times New Roman"/>
        </w:rPr>
      </w:pPr>
      <w:r>
        <w:rPr>
          <w:rFonts w:hint="eastAsia" w:ascii="Times New Roman" w:hAnsi="Times New Roman"/>
        </w:rPr>
        <w:t>b</w:t>
      </w:r>
      <w:r>
        <w:rPr>
          <w:rFonts w:ascii="Times New Roman" w:hAnsi="Times New Roman"/>
        </w:rPr>
        <w:t>.</w:t>
      </w:r>
      <w:r>
        <w:rPr>
          <w:rFonts w:hint="eastAsia" w:ascii="Times New Roman" w:hAnsi="Times New Roman"/>
        </w:rPr>
        <w:t>测算标准合理性。项目预算测算项目支出标准是否符合相关政策制度或行业、领域规定。</w:t>
      </w:r>
    </w:p>
    <w:p>
      <w:pPr>
        <w:pStyle w:val="25"/>
        <w:ind w:firstLine="640"/>
        <w:rPr>
          <w:rFonts w:ascii="Times New Roman" w:hAnsi="Times New Roman"/>
        </w:rPr>
      </w:pPr>
      <w:r>
        <w:rPr>
          <w:rFonts w:hint="eastAsia" w:ascii="Times New Roman" w:hAnsi="Times New Roman"/>
        </w:rPr>
        <w:t>c</w:t>
      </w:r>
      <w:r>
        <w:rPr>
          <w:rFonts w:ascii="Times New Roman" w:hAnsi="Times New Roman"/>
        </w:rPr>
        <w:t>.</w:t>
      </w:r>
      <w:r>
        <w:rPr>
          <w:rFonts w:hint="eastAsia" w:ascii="Times New Roman" w:hAnsi="Times New Roman"/>
        </w:rPr>
        <w:t>测算数据客观性。项目预算测算数据是否客观、真实、准确。</w:t>
      </w:r>
    </w:p>
    <w:p>
      <w:pPr>
        <w:pStyle w:val="25"/>
        <w:ind w:firstLine="640"/>
        <w:rPr>
          <w:rFonts w:ascii="Times New Roman" w:hAnsi="Times New Roman"/>
        </w:rPr>
      </w:pPr>
      <w:r>
        <w:rPr>
          <w:rFonts w:hint="eastAsia" w:ascii="Times New Roman" w:hAnsi="Times New Roman"/>
        </w:rPr>
        <w:t>d</w:t>
      </w:r>
      <w:r>
        <w:rPr>
          <w:rFonts w:ascii="Times New Roman" w:hAnsi="Times New Roman"/>
        </w:rPr>
        <w:t>.</w:t>
      </w:r>
      <w:r>
        <w:rPr>
          <w:rFonts w:hint="eastAsia" w:ascii="Times New Roman" w:hAnsi="Times New Roman"/>
        </w:rPr>
        <w:t>测算过程细化度。测算过程是否细化清晰。</w:t>
      </w:r>
    </w:p>
    <w:p>
      <w:pPr>
        <w:pStyle w:val="25"/>
        <w:ind w:firstLine="640"/>
        <w:rPr>
          <w:rFonts w:ascii="Times New Roman" w:hAnsi="Times New Roman"/>
        </w:rPr>
      </w:pPr>
      <w:r>
        <w:rPr>
          <w:rFonts w:hint="eastAsia" w:ascii="Times New Roman" w:hAnsi="Times New Roman"/>
        </w:rPr>
        <w:t>（2）项目过程指标</w:t>
      </w:r>
    </w:p>
    <w:p>
      <w:pPr>
        <w:pStyle w:val="25"/>
        <w:ind w:firstLine="640"/>
        <w:rPr>
          <w:rFonts w:ascii="Times New Roman" w:hAnsi="Times New Roman"/>
        </w:rPr>
      </w:pPr>
      <w:r>
        <w:rPr>
          <w:rFonts w:hint="eastAsia" w:ascii="Times New Roman" w:hAnsi="Times New Roman"/>
        </w:rPr>
        <w:t>①资金管理</w:t>
      </w:r>
    </w:p>
    <w:p>
      <w:pPr>
        <w:pStyle w:val="25"/>
        <w:ind w:firstLine="640"/>
        <w:rPr>
          <w:rFonts w:ascii="Times New Roman" w:hAnsi="Times New Roman"/>
        </w:rPr>
      </w:pPr>
      <w:r>
        <w:rPr>
          <w:rFonts w:hint="eastAsia" w:ascii="Times New Roman" w:hAnsi="Times New Roman"/>
        </w:rPr>
        <w:t>a</w:t>
      </w:r>
      <w:r>
        <w:rPr>
          <w:rFonts w:ascii="Times New Roman" w:hAnsi="Times New Roman"/>
        </w:rPr>
        <w:t>.</w:t>
      </w:r>
      <w:r>
        <w:rPr>
          <w:rFonts w:hint="eastAsia" w:ascii="Times New Roman" w:hAnsi="Times New Roman"/>
        </w:rPr>
        <w:t>资金到位率。实际到位资金与预算资金的比率，用以反映和考核资金落实情况对项目实施的总体保障程度。</w:t>
      </w:r>
    </w:p>
    <w:p>
      <w:pPr>
        <w:pStyle w:val="25"/>
        <w:ind w:firstLine="640"/>
        <w:rPr>
          <w:rFonts w:ascii="Times New Roman" w:hAnsi="Times New Roman"/>
        </w:rPr>
      </w:pPr>
      <w:r>
        <w:rPr>
          <w:rFonts w:hint="eastAsia" w:ascii="Times New Roman" w:hAnsi="Times New Roman"/>
        </w:rPr>
        <w:t>b</w:t>
      </w:r>
      <w:r>
        <w:rPr>
          <w:rFonts w:ascii="Times New Roman" w:hAnsi="Times New Roman"/>
        </w:rPr>
        <w:t>.</w:t>
      </w:r>
      <w:r>
        <w:rPr>
          <w:rFonts w:hint="eastAsia" w:ascii="Times New Roman" w:hAnsi="Times New Roman"/>
        </w:rPr>
        <w:t>资金沉淀率。项目结转结余资金与实际到位资金的比率，用以反映和考核项目资金使用效率和效益。</w:t>
      </w:r>
    </w:p>
    <w:p>
      <w:pPr>
        <w:pStyle w:val="25"/>
        <w:ind w:firstLine="640"/>
        <w:rPr>
          <w:rFonts w:ascii="Times New Roman" w:hAnsi="Times New Roman"/>
        </w:rPr>
      </w:pPr>
      <w:r>
        <w:rPr>
          <w:rFonts w:hint="eastAsia" w:ascii="Times New Roman" w:hAnsi="Times New Roman"/>
        </w:rPr>
        <w:t>c</w:t>
      </w:r>
      <w:r>
        <w:rPr>
          <w:rFonts w:ascii="Times New Roman" w:hAnsi="Times New Roman"/>
        </w:rPr>
        <w:t>.</w:t>
      </w:r>
      <w:r>
        <w:rPr>
          <w:rFonts w:hint="eastAsia" w:ascii="Times New Roman" w:hAnsi="Times New Roman"/>
        </w:rPr>
        <w:t>预算执行率。项目预算资金是否按照计划执行，用以反映或考核项目预算执行情况。</w:t>
      </w:r>
    </w:p>
    <w:p>
      <w:pPr>
        <w:pStyle w:val="25"/>
        <w:ind w:firstLine="640"/>
        <w:rPr>
          <w:rFonts w:ascii="Times New Roman" w:hAnsi="Times New Roman"/>
        </w:rPr>
      </w:pPr>
      <w:r>
        <w:rPr>
          <w:rFonts w:hint="eastAsia" w:ascii="Times New Roman" w:hAnsi="Times New Roman"/>
        </w:rPr>
        <w:t>d</w:t>
      </w:r>
      <w:r>
        <w:rPr>
          <w:rFonts w:ascii="Times New Roman" w:hAnsi="Times New Roman"/>
        </w:rPr>
        <w:t>.</w:t>
      </w:r>
      <w:r>
        <w:rPr>
          <w:rFonts w:hint="eastAsia" w:ascii="Times New Roman" w:hAnsi="Times New Roman"/>
        </w:rPr>
        <w:t>资金使用合规性。项目资金使用是否符合相关的财务管理制度规定，用以反映和考核项目资金的规范运行情况。</w:t>
      </w:r>
    </w:p>
    <w:p>
      <w:pPr>
        <w:pStyle w:val="25"/>
        <w:ind w:firstLine="640"/>
        <w:rPr>
          <w:rFonts w:ascii="Times New Roman" w:hAnsi="Times New Roman"/>
        </w:rPr>
      </w:pPr>
      <w:r>
        <w:rPr>
          <w:rFonts w:hint="eastAsia" w:ascii="Times New Roman" w:hAnsi="Times New Roman"/>
        </w:rPr>
        <w:t>②组织实施</w:t>
      </w:r>
    </w:p>
    <w:p>
      <w:pPr>
        <w:pStyle w:val="25"/>
        <w:ind w:firstLine="640"/>
        <w:rPr>
          <w:rFonts w:ascii="Times New Roman" w:hAnsi="Times New Roman"/>
        </w:rPr>
      </w:pPr>
      <w:r>
        <w:rPr>
          <w:rFonts w:hint="eastAsia" w:ascii="Times New Roman" w:hAnsi="Times New Roman"/>
        </w:rPr>
        <w:t>a</w:t>
      </w:r>
      <w:r>
        <w:rPr>
          <w:rFonts w:ascii="Times New Roman" w:hAnsi="Times New Roman"/>
        </w:rPr>
        <w:t>.</w:t>
      </w:r>
      <w:r>
        <w:rPr>
          <w:rFonts w:hint="eastAsia" w:ascii="Times New Roman" w:hAnsi="Times New Roman"/>
        </w:rPr>
        <w:t>管理制度健全性。项目实施单位的财务和业务管理制度是否健全，用以反映和考核财务和业务管理制度对项目顺利实施的保障情况。</w:t>
      </w:r>
    </w:p>
    <w:p>
      <w:pPr>
        <w:pStyle w:val="25"/>
        <w:ind w:firstLine="640"/>
        <w:rPr>
          <w:rFonts w:ascii="Times New Roman" w:hAnsi="Times New Roman"/>
        </w:rPr>
      </w:pPr>
      <w:r>
        <w:rPr>
          <w:rFonts w:hint="eastAsia" w:ascii="Times New Roman" w:hAnsi="Times New Roman"/>
        </w:rPr>
        <w:t>b</w:t>
      </w:r>
      <w:r>
        <w:rPr>
          <w:rFonts w:ascii="Times New Roman" w:hAnsi="Times New Roman"/>
        </w:rPr>
        <w:t>.</w:t>
      </w:r>
      <w:r>
        <w:rPr>
          <w:rFonts w:hint="eastAsia" w:ascii="Times New Roman" w:hAnsi="Times New Roman"/>
        </w:rPr>
        <w:t>制度执行有效性。主要从项目申报、项目实施、项目验收等</w:t>
      </w:r>
      <w:r>
        <w:rPr>
          <w:rFonts w:ascii="Times New Roman" w:hAnsi="Times New Roman"/>
        </w:rPr>
        <w:t>3个环节展开，结合相关管理规定进行评价</w:t>
      </w:r>
      <w:r>
        <w:rPr>
          <w:rFonts w:hint="eastAsia" w:ascii="Times New Roman" w:hAnsi="Times New Roman"/>
        </w:rPr>
        <w:t>。</w:t>
      </w:r>
    </w:p>
    <w:p>
      <w:pPr>
        <w:pStyle w:val="25"/>
        <w:ind w:firstLine="640"/>
        <w:rPr>
          <w:rFonts w:ascii="Times New Roman" w:hAnsi="Times New Roman"/>
        </w:rPr>
      </w:pPr>
      <w:r>
        <w:rPr>
          <w:rFonts w:hint="eastAsia" w:ascii="Times New Roman" w:hAnsi="Times New Roman"/>
        </w:rPr>
        <w:t>（3）项目产出指标</w:t>
      </w:r>
    </w:p>
    <w:p>
      <w:pPr>
        <w:pStyle w:val="25"/>
        <w:ind w:firstLine="640"/>
        <w:rPr>
          <w:rFonts w:ascii="Times New Roman" w:hAnsi="Times New Roman"/>
        </w:rPr>
      </w:pPr>
      <w:r>
        <w:rPr>
          <w:rFonts w:hint="eastAsia" w:ascii="Times New Roman" w:hAnsi="Times New Roman"/>
        </w:rPr>
        <w:t>①产出数量</w:t>
      </w:r>
    </w:p>
    <w:p>
      <w:pPr>
        <w:pStyle w:val="25"/>
        <w:ind w:firstLine="640"/>
        <w:rPr>
          <w:rFonts w:ascii="Times New Roman" w:hAnsi="Times New Roman"/>
        </w:rPr>
      </w:pPr>
      <w:r>
        <w:rPr>
          <w:rFonts w:hint="eastAsia" w:ascii="Times New Roman" w:hAnsi="Times New Roman"/>
        </w:rPr>
        <w:t>智慧国资监管平台业务板块建设</w:t>
      </w:r>
      <w:r>
        <w:rPr>
          <w:rFonts w:hint="eastAsia" w:ascii="Times New Roman" w:hAnsi="Times New Roman"/>
          <w:color w:val="000000"/>
        </w:rPr>
        <w:t>完成率</w:t>
      </w:r>
      <w:r>
        <w:rPr>
          <w:rFonts w:hint="eastAsia" w:ascii="Times New Roman" w:hAnsi="Times New Roman"/>
        </w:rPr>
        <w:t>。项目实施期间实际建设完成的监管平台业务板块数量与合同规定的业务板块建设数量的比对，用以反映智慧国资监管平台业务板块建设工作的完成情况。</w:t>
      </w:r>
    </w:p>
    <w:p>
      <w:pPr>
        <w:pStyle w:val="25"/>
        <w:ind w:firstLine="640"/>
        <w:rPr>
          <w:rFonts w:ascii="Times New Roman" w:hAnsi="Times New Roman"/>
        </w:rPr>
      </w:pPr>
      <w:r>
        <w:rPr>
          <w:rFonts w:hint="eastAsia" w:ascii="Times New Roman" w:hAnsi="Times New Roman"/>
        </w:rPr>
        <w:t>②产出质量</w:t>
      </w:r>
    </w:p>
    <w:p>
      <w:pPr>
        <w:pStyle w:val="25"/>
        <w:ind w:firstLine="640"/>
        <w:rPr>
          <w:rFonts w:ascii="Times New Roman" w:hAnsi="Times New Roman"/>
        </w:rPr>
      </w:pPr>
      <w:r>
        <w:rPr>
          <w:rFonts w:hint="eastAsia" w:ascii="Times New Roman" w:hAnsi="Times New Roman"/>
        </w:rPr>
        <w:t>智慧国资监管平台上线运行稳定率。项目实施期间平台上线后稳定运行天数与平台运行总天数的比率，用以反映监管平台上线运行后的稳定情况。</w:t>
      </w:r>
    </w:p>
    <w:p>
      <w:pPr>
        <w:pStyle w:val="25"/>
        <w:ind w:firstLine="640"/>
        <w:rPr>
          <w:rFonts w:ascii="Times New Roman" w:hAnsi="Times New Roman"/>
        </w:rPr>
      </w:pPr>
      <w:r>
        <w:rPr>
          <w:rFonts w:hint="eastAsia" w:ascii="Times New Roman" w:hAnsi="Times New Roman"/>
        </w:rPr>
        <w:t>③产出时效</w:t>
      </w:r>
    </w:p>
    <w:p>
      <w:pPr>
        <w:pStyle w:val="25"/>
        <w:ind w:firstLine="640"/>
        <w:rPr>
          <w:rFonts w:ascii="Times New Roman" w:hAnsi="Times New Roman"/>
        </w:rPr>
      </w:pPr>
      <w:r>
        <w:rPr>
          <w:rFonts w:hint="eastAsia" w:ascii="Times New Roman" w:hAnsi="Times New Roman"/>
        </w:rPr>
        <w:t>智慧国资监管平台建设工作完成时间。项目实施期间监管平台建设工作完成时间与合同规定的平台建设工作完成时间的比对，用以反映监管平台建设工作完成的及时情况。</w:t>
      </w:r>
    </w:p>
    <w:p>
      <w:pPr>
        <w:pStyle w:val="25"/>
        <w:ind w:firstLine="640"/>
        <w:rPr>
          <w:rFonts w:ascii="Times New Roman" w:hAnsi="Times New Roman"/>
        </w:rPr>
      </w:pPr>
      <w:r>
        <w:rPr>
          <w:rFonts w:hint="eastAsia" w:ascii="Times New Roman" w:hAnsi="Times New Roman"/>
        </w:rPr>
        <w:t>④产出成本</w:t>
      </w:r>
    </w:p>
    <w:p>
      <w:pPr>
        <w:pStyle w:val="25"/>
        <w:ind w:firstLine="640"/>
        <w:rPr>
          <w:rFonts w:ascii="Times New Roman" w:hAnsi="Times New Roman"/>
        </w:rPr>
      </w:pPr>
      <w:r>
        <w:rPr>
          <w:rFonts w:hint="eastAsia" w:ascii="Times New Roman" w:hAnsi="Times New Roman"/>
        </w:rPr>
        <w:t>智慧国资监管平台建设成本节约情况。项目实施期间监管平台建设的实际支出与计划支出的比对，用以反映监管平台建设成本控制情况。</w:t>
      </w:r>
    </w:p>
    <w:p>
      <w:pPr>
        <w:pStyle w:val="25"/>
        <w:ind w:firstLine="640"/>
        <w:rPr>
          <w:rFonts w:ascii="Times New Roman" w:hAnsi="Times New Roman"/>
        </w:rPr>
      </w:pPr>
      <w:r>
        <w:rPr>
          <w:rFonts w:hint="eastAsia" w:ascii="Times New Roman" w:hAnsi="Times New Roman"/>
        </w:rPr>
        <w:t>（</w:t>
      </w:r>
      <w:r>
        <w:rPr>
          <w:rFonts w:ascii="Times New Roman" w:hAnsi="Times New Roman"/>
        </w:rPr>
        <w:t>4</w:t>
      </w:r>
      <w:r>
        <w:rPr>
          <w:rFonts w:hint="eastAsia" w:ascii="Times New Roman" w:hAnsi="Times New Roman"/>
        </w:rPr>
        <w:t>）项目效益指标</w:t>
      </w:r>
    </w:p>
    <w:p>
      <w:pPr>
        <w:pStyle w:val="25"/>
        <w:ind w:firstLine="640"/>
        <w:rPr>
          <w:rFonts w:ascii="Times New Roman" w:hAnsi="Times New Roman"/>
        </w:rPr>
      </w:pPr>
      <w:r>
        <w:rPr>
          <w:rFonts w:hint="eastAsia" w:ascii="Times New Roman" w:hAnsi="Times New Roman"/>
        </w:rPr>
        <w:t>①社会效益</w:t>
      </w:r>
    </w:p>
    <w:p>
      <w:pPr>
        <w:pStyle w:val="25"/>
        <w:ind w:firstLine="640"/>
        <w:rPr>
          <w:rFonts w:ascii="Times New Roman" w:hAnsi="Times New Roman"/>
        </w:rPr>
      </w:pPr>
      <w:r>
        <w:rPr>
          <w:rFonts w:hint="eastAsia" w:ascii="Times New Roman" w:hAnsi="Times New Roman"/>
        </w:rPr>
        <w:t>a.国有企业平台使用覆盖率。项目实施期间监管平台建设完成后实际使用的国有企业数量与区管企业实际数量的比率，用以反映是否通过建设平台达到提升国有企业监管能力的效果。</w:t>
      </w:r>
    </w:p>
    <w:p>
      <w:pPr>
        <w:pStyle w:val="25"/>
        <w:ind w:firstLine="640"/>
        <w:rPr>
          <w:rFonts w:ascii="Times New Roman" w:hAnsi="Times New Roman"/>
        </w:rPr>
      </w:pPr>
      <w:r>
        <w:rPr>
          <w:rFonts w:hint="eastAsia" w:ascii="Times New Roman" w:hAnsi="Times New Roman"/>
        </w:rPr>
        <w:t>b.智慧国资监管平台信息化水平的提升情况。通过智慧国资监管平台业务板块建设情况、国资监管效能，用以反映智慧国资监管平台信息化水平的提升情况。</w:t>
      </w:r>
    </w:p>
    <w:p>
      <w:pPr>
        <w:pStyle w:val="25"/>
        <w:ind w:firstLine="640"/>
        <w:rPr>
          <w:rFonts w:ascii="Times New Roman" w:hAnsi="Times New Roman"/>
        </w:rPr>
      </w:pPr>
      <w:r>
        <w:rPr>
          <w:rFonts w:hint="eastAsia" w:ascii="Times New Roman" w:hAnsi="Times New Roman"/>
        </w:rPr>
        <w:t>②可持续影响</w:t>
      </w:r>
    </w:p>
    <w:p>
      <w:pPr>
        <w:pStyle w:val="25"/>
        <w:ind w:firstLine="640"/>
        <w:rPr>
          <w:rFonts w:ascii="Times New Roman" w:hAnsi="Times New Roman"/>
        </w:rPr>
      </w:pPr>
      <w:r>
        <w:rPr>
          <w:rFonts w:hint="eastAsia" w:ascii="Times New Roman" w:hAnsi="Times New Roman"/>
        </w:rPr>
        <w:t>建立健全国资信息化管理制度。通过智慧国资监管平台运行维护保障机制建立健全情况，用以反映本项目效果可持续影响的保障情况。</w:t>
      </w:r>
    </w:p>
    <w:p>
      <w:pPr>
        <w:pStyle w:val="25"/>
        <w:ind w:firstLine="640"/>
        <w:rPr>
          <w:rFonts w:ascii="Times New Roman" w:hAnsi="Times New Roman"/>
        </w:rPr>
      </w:pPr>
      <w:r>
        <w:rPr>
          <w:rFonts w:hint="eastAsia" w:ascii="Times New Roman" w:hAnsi="Times New Roman"/>
        </w:rPr>
        <w:t>③服务对象满意度</w:t>
      </w:r>
    </w:p>
    <w:p>
      <w:pPr>
        <w:pStyle w:val="25"/>
        <w:ind w:firstLine="640"/>
        <w:rPr>
          <w:rFonts w:ascii="Times New Roman" w:hAnsi="Times New Roman"/>
        </w:rPr>
      </w:pPr>
      <w:r>
        <w:rPr>
          <w:rFonts w:hint="eastAsia" w:ascii="Times New Roman" w:hAnsi="Times New Roman"/>
        </w:rPr>
        <w:t>系统使用人员满意度。通过调查问卷中系统使用人员满意人数与调查总人数的比率，用以反映智慧国资监管平台使用人员对本项目的满意程度。</w:t>
      </w:r>
    </w:p>
    <w:p>
      <w:pPr>
        <w:pStyle w:val="25"/>
        <w:ind w:firstLine="640"/>
        <w:rPr>
          <w:rFonts w:ascii="Times New Roman" w:hAnsi="Times New Roman"/>
        </w:rPr>
      </w:pPr>
      <w:r>
        <w:rPr>
          <w:rFonts w:ascii="Times New Roman" w:hAnsi="Times New Roman"/>
        </w:rPr>
        <w:t>3</w:t>
      </w:r>
      <w:r>
        <w:rPr>
          <w:rFonts w:hint="eastAsia" w:ascii="Times New Roman" w:hAnsi="Times New Roman"/>
        </w:rPr>
        <w:t>.绩效评价方法</w:t>
      </w:r>
    </w:p>
    <w:p>
      <w:pPr>
        <w:pStyle w:val="25"/>
        <w:ind w:firstLine="640"/>
        <w:rPr>
          <w:rFonts w:ascii="Times New Roman" w:hAnsi="Times New Roman"/>
        </w:rPr>
      </w:pPr>
      <w:r>
        <w:rPr>
          <w:rFonts w:hint="eastAsia" w:ascii="Times New Roman" w:hAnsi="Times New Roman"/>
        </w:rPr>
        <w:t>结合项目具体情况，本次绩效评价主要运用指标分析法结合比较法等方法进行评价。坚持定量指标优先、定量指标与定性指标相结合的方式，同时通过文献法进行资料搜索以及多因素分析来支撑评价内容的逻辑紧密性与客观性。从项目决策、项目过程、项目产出以及项目效益四个方面开展评价，并对天津市和平区人民政府国有资产监督管理委员会进行了现场评价，绩效评价指标体系详见附件。</w:t>
      </w:r>
    </w:p>
    <w:p>
      <w:pPr>
        <w:pStyle w:val="29"/>
        <w:ind w:firstLine="640"/>
        <w:rPr>
          <w:rFonts w:ascii="Times New Roman" w:hAnsi="Times New Roman"/>
        </w:rPr>
      </w:pPr>
      <w:bookmarkStart w:id="14" w:name="_Toc13021"/>
      <w:bookmarkStart w:id="15" w:name="_Toc5152"/>
      <w:r>
        <w:rPr>
          <w:rFonts w:hint="eastAsia" w:ascii="Times New Roman" w:hAnsi="Times New Roman"/>
        </w:rPr>
        <w:t>（三）绩效评价工作过程</w:t>
      </w:r>
      <w:bookmarkEnd w:id="14"/>
      <w:bookmarkEnd w:id="15"/>
    </w:p>
    <w:p>
      <w:pPr>
        <w:pStyle w:val="25"/>
        <w:ind w:firstLine="640"/>
        <w:rPr>
          <w:rFonts w:ascii="Times New Roman" w:hAnsi="Times New Roman"/>
        </w:rPr>
      </w:pPr>
      <w:bookmarkStart w:id="16" w:name="_Toc57967893"/>
      <w:r>
        <w:rPr>
          <w:rFonts w:ascii="Times New Roman" w:hAnsi="Times New Roman"/>
        </w:rPr>
        <w:t>1.</w:t>
      </w:r>
      <w:r>
        <w:rPr>
          <w:rFonts w:hint="eastAsia" w:ascii="Times New Roman" w:hAnsi="Times New Roman"/>
        </w:rPr>
        <w:t>前期准备阶段</w:t>
      </w:r>
      <w:bookmarkEnd w:id="16"/>
    </w:p>
    <w:p>
      <w:pPr>
        <w:pStyle w:val="25"/>
        <w:ind w:firstLine="640"/>
        <w:rPr>
          <w:rFonts w:ascii="Times New Roman" w:hAnsi="Times New Roman"/>
        </w:rPr>
      </w:pPr>
      <w:r>
        <w:rPr>
          <w:rFonts w:hint="eastAsia" w:ascii="Times New Roman" w:hAnsi="Times New Roman"/>
        </w:rPr>
        <w:t>（</w:t>
      </w:r>
      <w:r>
        <w:rPr>
          <w:rFonts w:ascii="Times New Roman" w:hAnsi="Times New Roman"/>
        </w:rPr>
        <w:t>1</w:t>
      </w:r>
      <w:r>
        <w:rPr>
          <w:rFonts w:hint="eastAsia" w:ascii="Times New Roman" w:hAnsi="Times New Roman"/>
        </w:rPr>
        <w:t>）成立绩效评价项目组</w:t>
      </w:r>
    </w:p>
    <w:p>
      <w:pPr>
        <w:pStyle w:val="25"/>
        <w:ind w:firstLine="640"/>
        <w:rPr>
          <w:rFonts w:ascii="Times New Roman" w:hAnsi="Times New Roman"/>
        </w:rPr>
      </w:pPr>
      <w:r>
        <w:rPr>
          <w:rFonts w:hint="eastAsia" w:ascii="Times New Roman" w:hAnsi="Times New Roman"/>
        </w:rPr>
        <w:t>根据中央和天津市关于全面实施预算绩效管理的部署要求，天津市和平区财政局委托我司（天津安信管理咨询有限公司）对智慧国资尾款及二期建设费项目进行绩效评价工作。</w:t>
      </w:r>
    </w:p>
    <w:p>
      <w:pPr>
        <w:pStyle w:val="25"/>
        <w:ind w:firstLine="640"/>
        <w:rPr>
          <w:rFonts w:ascii="Times New Roman" w:hAnsi="Times New Roman"/>
        </w:rPr>
      </w:pPr>
      <w:r>
        <w:rPr>
          <w:rFonts w:hint="eastAsia" w:ascii="Times New Roman" w:hAnsi="Times New Roman"/>
        </w:rPr>
        <w:t>2023年7月10日，绩效评价项目组（以下简称“评价组”）赴天津市和平区人民政府国有资产监督管理委员会参加了项目见面会，听取了该单位对智慧国资尾款及二期建设费项目的项目背景、申请立项、资金落实、业务管理、财务管理、项目产出、项目效益等方面的情况介绍，并对项目后续评价工作的基本原则及所需的各类资料文件提出了要求。</w:t>
      </w:r>
    </w:p>
    <w:p>
      <w:pPr>
        <w:pStyle w:val="25"/>
        <w:ind w:firstLine="640"/>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）制定绩效评价方案</w:t>
      </w:r>
    </w:p>
    <w:p>
      <w:pPr>
        <w:pStyle w:val="25"/>
        <w:ind w:firstLine="640"/>
        <w:rPr>
          <w:rFonts w:ascii="Times New Roman" w:hAnsi="Times New Roman"/>
        </w:rPr>
      </w:pPr>
      <w:r>
        <w:rPr>
          <w:rFonts w:hint="eastAsia" w:ascii="Times New Roman" w:hAnsi="Times New Roman"/>
        </w:rPr>
        <w:t>根据《中共天津市委天津市人民政府印发&lt;关于全面推进预算绩效管理的实施方案&gt;的通知》（津党发〔2019〕25号）要求，评价项目组制定了《天津市和平区人民政府国有资产监督管理委员会智慧国资尾款及二期建设费项目绩效评价实施工作方案》，根据评价方案组织开展项目评价工作。</w:t>
      </w:r>
    </w:p>
    <w:p>
      <w:pPr>
        <w:pStyle w:val="25"/>
        <w:ind w:firstLine="640"/>
        <w:rPr>
          <w:rFonts w:ascii="Times New Roman" w:hAnsi="Times New Roman"/>
        </w:rPr>
      </w:pPr>
      <w:r>
        <w:rPr>
          <w:rFonts w:hint="eastAsia" w:ascii="Times New Roman" w:hAnsi="Times New Roman"/>
        </w:rPr>
        <w:t>（</w:t>
      </w:r>
      <w:r>
        <w:rPr>
          <w:rFonts w:ascii="Times New Roman" w:hAnsi="Times New Roman"/>
        </w:rPr>
        <w:t>3</w:t>
      </w:r>
      <w:r>
        <w:rPr>
          <w:rFonts w:hint="eastAsia" w:ascii="Times New Roman" w:hAnsi="Times New Roman"/>
        </w:rPr>
        <w:t>）指标体系设计</w:t>
      </w:r>
    </w:p>
    <w:p>
      <w:pPr>
        <w:pStyle w:val="25"/>
        <w:ind w:firstLine="640"/>
        <w:rPr>
          <w:rFonts w:ascii="Times New Roman" w:hAnsi="Times New Roman"/>
        </w:rPr>
      </w:pPr>
      <w:r>
        <w:rPr>
          <w:rFonts w:hint="eastAsia" w:ascii="Times New Roman" w:hAnsi="Times New Roman"/>
        </w:rPr>
        <w:t>根据智慧国资尾款及二期建设费项目绩效目标及实际工作需要，从决策、过程、产出、效益四个维度出发，设立项目立项、绩效目标、预算编制、资金管理、组织实施、产出数量、产出质量、产出时效、产出成本、社会效益、可持续影响、服务对象满意度12项二级指标和22项三级指标，采取指标分值百分制，将22项指标量化为100分，分值权重在征求被评单位意见的基础上确定，详见附</w:t>
      </w:r>
      <w:r>
        <w:rPr>
          <w:rFonts w:hint="eastAsia"/>
          <w:lang w:val="en-US" w:eastAsia="zh-CN"/>
        </w:rPr>
        <w:t>件</w:t>
      </w:r>
      <w:r>
        <w:rPr>
          <w:rFonts w:hint="eastAsia" w:ascii="Times New Roman" w:hAnsi="Times New Roman"/>
        </w:rPr>
        <w:t>。</w:t>
      </w:r>
    </w:p>
    <w:p>
      <w:pPr>
        <w:pStyle w:val="25"/>
        <w:ind w:firstLine="640"/>
        <w:rPr>
          <w:rFonts w:ascii="Times New Roman" w:hAnsi="Times New Roman"/>
        </w:rPr>
      </w:pPr>
      <w:bookmarkStart w:id="17" w:name="_Toc57967894"/>
      <w:r>
        <w:rPr>
          <w:rFonts w:ascii="Times New Roman" w:hAnsi="Times New Roman"/>
        </w:rPr>
        <w:t>2.</w:t>
      </w:r>
      <w:r>
        <w:rPr>
          <w:rFonts w:hint="eastAsia" w:ascii="Times New Roman" w:hAnsi="Times New Roman"/>
        </w:rPr>
        <w:t>评价实施阶段</w:t>
      </w:r>
      <w:bookmarkEnd w:id="17"/>
    </w:p>
    <w:p>
      <w:pPr>
        <w:pStyle w:val="25"/>
        <w:ind w:firstLine="640"/>
        <w:rPr>
          <w:rFonts w:ascii="Times New Roman" w:hAnsi="Times New Roman"/>
        </w:rPr>
      </w:pPr>
      <w:r>
        <w:rPr>
          <w:rFonts w:hint="eastAsia" w:ascii="Times New Roman" w:hAnsi="Times New Roman"/>
        </w:rPr>
        <w:t>（</w:t>
      </w:r>
      <w:r>
        <w:rPr>
          <w:rFonts w:ascii="Times New Roman" w:hAnsi="Times New Roman"/>
        </w:rPr>
        <w:t>1</w:t>
      </w:r>
      <w:r>
        <w:rPr>
          <w:rFonts w:hint="eastAsia" w:ascii="Times New Roman" w:hAnsi="Times New Roman"/>
        </w:rPr>
        <w:t>）正式进驻。</w:t>
      </w:r>
    </w:p>
    <w:p>
      <w:pPr>
        <w:pStyle w:val="25"/>
        <w:ind w:firstLine="640"/>
        <w:rPr>
          <w:rFonts w:ascii="Times New Roman" w:hAnsi="Times New Roman"/>
        </w:rPr>
      </w:pPr>
      <w:r>
        <w:rPr>
          <w:rFonts w:hint="eastAsia" w:ascii="Times New Roman" w:hAnsi="Times New Roman"/>
        </w:rPr>
        <w:t>评价组于</w:t>
      </w:r>
      <w:r>
        <w:rPr>
          <w:rFonts w:ascii="Times New Roman" w:hAnsi="Times New Roman"/>
        </w:rPr>
        <w:t>2023</w:t>
      </w:r>
      <w:r>
        <w:rPr>
          <w:rFonts w:hint="eastAsia" w:ascii="Times New Roman" w:hAnsi="Times New Roman"/>
        </w:rPr>
        <w:t>年</w:t>
      </w:r>
      <w:r>
        <w:rPr>
          <w:rFonts w:ascii="Times New Roman" w:hAnsi="Times New Roman"/>
        </w:rPr>
        <w:t>7</w:t>
      </w:r>
      <w:r>
        <w:rPr>
          <w:rFonts w:hint="eastAsia" w:ascii="Times New Roman" w:hAnsi="Times New Roman"/>
        </w:rPr>
        <w:t>月</w:t>
      </w:r>
      <w:r>
        <w:rPr>
          <w:rFonts w:ascii="Times New Roman" w:hAnsi="Times New Roman"/>
        </w:rPr>
        <w:t>1</w:t>
      </w:r>
      <w:r>
        <w:rPr>
          <w:rFonts w:hint="eastAsia" w:ascii="Times New Roman" w:hAnsi="Times New Roman"/>
        </w:rPr>
        <w:t>0日正式进驻天津市和平区人民政府国有资产监督管理委员会实施评价工作。</w:t>
      </w:r>
    </w:p>
    <w:p>
      <w:pPr>
        <w:pStyle w:val="25"/>
        <w:ind w:firstLine="640"/>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）全面审查。</w:t>
      </w:r>
    </w:p>
    <w:p>
      <w:pPr>
        <w:pStyle w:val="25"/>
        <w:ind w:firstLine="640"/>
        <w:rPr>
          <w:rFonts w:ascii="Times New Roman" w:hAnsi="Times New Roman"/>
        </w:rPr>
      </w:pPr>
      <w:r>
        <w:rPr>
          <w:rFonts w:hint="eastAsia" w:ascii="Times New Roman" w:hAnsi="Times New Roman"/>
        </w:rPr>
        <w:t>评价过程中，评价组对智慧国资尾款及二期建设费项目的文件依据、预算编制、制度执行、资金拨付、资金使用情况、产出效益等方面进行了全面梳理。评价组根据《市国资委关于印发&lt;贯彻国务院国资委国资监管大格局部署要求深入推进天津“智慧国资”监管平台建设实施方案&gt;的通知》等文件，对专项经费的到位情况、预算编制、资金拨付、资金使用等相关业务文件进行了核查。</w:t>
      </w:r>
    </w:p>
    <w:p>
      <w:pPr>
        <w:pStyle w:val="25"/>
        <w:ind w:firstLine="640"/>
        <w:rPr>
          <w:rFonts w:ascii="Times New Roman" w:hAnsi="Times New Roman"/>
        </w:rPr>
      </w:pPr>
      <w:r>
        <w:rPr>
          <w:rFonts w:hint="eastAsia" w:ascii="Times New Roman" w:hAnsi="Times New Roman"/>
        </w:rPr>
        <w:t>（</w:t>
      </w:r>
      <w:r>
        <w:rPr>
          <w:rFonts w:ascii="Times New Roman" w:hAnsi="Times New Roman"/>
        </w:rPr>
        <w:t>3</w:t>
      </w:r>
      <w:r>
        <w:rPr>
          <w:rFonts w:hint="eastAsia" w:ascii="Times New Roman" w:hAnsi="Times New Roman"/>
        </w:rPr>
        <w:t>）实地核查。</w:t>
      </w:r>
    </w:p>
    <w:p>
      <w:pPr>
        <w:pStyle w:val="25"/>
        <w:ind w:firstLine="640"/>
        <w:rPr>
          <w:rFonts w:ascii="Times New Roman" w:hAnsi="Times New Roman"/>
        </w:rPr>
      </w:pPr>
      <w:r>
        <w:rPr>
          <w:rFonts w:hint="eastAsia" w:ascii="Times New Roman" w:hAnsi="Times New Roman"/>
        </w:rPr>
        <w:t>对天津市和平区人民政府国有资产监督管理委员会开展现场评价，针对项目完成情况进行一一核查，根据上述核查内容形成评价清单。</w:t>
      </w:r>
    </w:p>
    <w:p>
      <w:pPr>
        <w:pStyle w:val="25"/>
        <w:ind w:firstLine="640"/>
        <w:rPr>
          <w:rFonts w:ascii="Times New Roman" w:hAnsi="Times New Roman"/>
        </w:rPr>
      </w:pPr>
      <w:r>
        <w:rPr>
          <w:rFonts w:hint="eastAsia" w:ascii="Times New Roman" w:hAnsi="Times New Roman"/>
        </w:rPr>
        <w:t>（</w:t>
      </w:r>
      <w:r>
        <w:rPr>
          <w:rFonts w:ascii="Times New Roman" w:hAnsi="Times New Roman"/>
        </w:rPr>
        <w:t>4</w:t>
      </w:r>
      <w:r>
        <w:rPr>
          <w:rFonts w:hint="eastAsia" w:ascii="Times New Roman" w:hAnsi="Times New Roman"/>
        </w:rPr>
        <w:t>）评价打分。</w:t>
      </w:r>
    </w:p>
    <w:p>
      <w:pPr>
        <w:pStyle w:val="25"/>
        <w:ind w:firstLine="640"/>
        <w:rPr>
          <w:rFonts w:ascii="Times New Roman" w:hAnsi="Times New Roman"/>
        </w:rPr>
      </w:pPr>
      <w:r>
        <w:rPr>
          <w:rFonts w:hint="eastAsia" w:ascii="Times New Roman" w:hAnsi="Times New Roman"/>
        </w:rPr>
        <w:t>按照绩效评价指标体系编制了工作底稿，并对各绩效评价指标进行了评分。</w:t>
      </w:r>
    </w:p>
    <w:p>
      <w:pPr>
        <w:pStyle w:val="25"/>
        <w:ind w:firstLine="640"/>
        <w:rPr>
          <w:rFonts w:ascii="Times New Roman" w:hAnsi="Times New Roman"/>
        </w:rPr>
      </w:pPr>
      <w:r>
        <w:rPr>
          <w:rFonts w:hint="eastAsia" w:ascii="Times New Roman" w:hAnsi="Times New Roman"/>
        </w:rPr>
        <w:t>（</w:t>
      </w:r>
      <w:r>
        <w:rPr>
          <w:rFonts w:ascii="Times New Roman" w:hAnsi="Times New Roman"/>
        </w:rPr>
        <w:t>5</w:t>
      </w:r>
      <w:r>
        <w:rPr>
          <w:rFonts w:hint="eastAsia" w:ascii="Times New Roman" w:hAnsi="Times New Roman"/>
        </w:rPr>
        <w:t>）编制报告。</w:t>
      </w:r>
    </w:p>
    <w:p>
      <w:pPr>
        <w:pStyle w:val="25"/>
        <w:ind w:firstLine="640"/>
        <w:rPr>
          <w:rFonts w:ascii="Times New Roman" w:hAnsi="Times New Roman"/>
        </w:rPr>
      </w:pPr>
      <w:r>
        <w:rPr>
          <w:rFonts w:hint="eastAsia" w:ascii="Times New Roman" w:hAnsi="Times New Roman"/>
        </w:rPr>
        <w:t>评价组根据实地核查、评价打分编制绩效评价报告，全面梳理智慧国资尾款及二期建设费项目在决策依据、过程管理、产出情况、取得效益等方面存在的问题及工作建议。</w:t>
      </w:r>
    </w:p>
    <w:p>
      <w:pPr>
        <w:pStyle w:val="27"/>
        <w:rPr>
          <w:rFonts w:ascii="Times New Roman" w:hAnsi="Times New Roman"/>
        </w:rPr>
      </w:pPr>
      <w:bookmarkStart w:id="18" w:name="_Toc623"/>
      <w:bookmarkStart w:id="19" w:name="_Toc1640"/>
      <w:r>
        <w:rPr>
          <w:rFonts w:hint="eastAsia" w:ascii="Times New Roman" w:hAnsi="Times New Roman"/>
        </w:rPr>
        <w:t>三、综合评价情况及评价结论</w:t>
      </w:r>
      <w:bookmarkEnd w:id="18"/>
      <w:bookmarkEnd w:id="19"/>
    </w:p>
    <w:p>
      <w:pPr>
        <w:pStyle w:val="25"/>
        <w:ind w:firstLine="640"/>
        <w:rPr>
          <w:rFonts w:ascii="Times New Roman" w:hAnsi="Times New Roman"/>
        </w:rPr>
      </w:pPr>
      <w:bookmarkStart w:id="20" w:name="_Hlk91875381"/>
      <w:r>
        <w:rPr>
          <w:rFonts w:hint="eastAsia" w:ascii="Times New Roman" w:hAnsi="Times New Roman"/>
        </w:rPr>
        <w:t>经过综合评价，智慧国资尾款及二期建设费项目得分</w:t>
      </w:r>
      <w:r>
        <w:rPr>
          <w:rFonts w:hint="eastAsia"/>
          <w:lang w:val="en-US" w:eastAsia="zh-CN"/>
        </w:rPr>
        <w:t>99</w:t>
      </w:r>
      <w:r>
        <w:rPr>
          <w:rFonts w:hint="eastAsia" w:ascii="Times New Roman" w:hAnsi="Times New Roman"/>
        </w:rPr>
        <w:t>分，评价等级为“优”。其中，项目决策16分，项目过程23分，项目产出38分，项目效益</w:t>
      </w:r>
      <w:r>
        <w:rPr>
          <w:rFonts w:hint="eastAsia"/>
          <w:lang w:val="en-US" w:eastAsia="zh-CN"/>
        </w:rPr>
        <w:t>22</w:t>
      </w:r>
      <w:r>
        <w:rPr>
          <w:rFonts w:hint="eastAsia" w:ascii="Times New Roman" w:hAnsi="Times New Roman"/>
        </w:rPr>
        <w:t>分</w:t>
      </w:r>
      <w:bookmarkEnd w:id="20"/>
      <w:r>
        <w:rPr>
          <w:rFonts w:hint="eastAsia" w:ascii="Times New Roman" w:hAnsi="Times New Roman"/>
        </w:rPr>
        <w:t>。</w:t>
      </w:r>
    </w:p>
    <w:p>
      <w:pPr>
        <w:pStyle w:val="25"/>
        <w:ind w:firstLine="640"/>
        <w:rPr>
          <w:rFonts w:ascii="Times New Roman" w:hAnsi="Times New Roman"/>
        </w:rPr>
      </w:pPr>
      <w:bookmarkStart w:id="21" w:name="_Hlk91875395"/>
      <w:r>
        <w:rPr>
          <w:rFonts w:hint="eastAsia" w:ascii="Times New Roman" w:hAnsi="Times New Roman"/>
        </w:rPr>
        <w:t>具体情况见表2：</w:t>
      </w:r>
    </w:p>
    <w:p>
      <w:pPr>
        <w:pStyle w:val="32"/>
        <w:rPr>
          <w:rFonts w:ascii="Times New Roman" w:hAnsi="Times New Roman"/>
        </w:rPr>
      </w:pPr>
      <w:r>
        <w:rPr>
          <w:rFonts w:ascii="Times New Roman" w:hAnsi="Times New Roman"/>
        </w:rPr>
        <w:t xml:space="preserve">表2  </w:t>
      </w:r>
      <w:r>
        <w:rPr>
          <w:rFonts w:hint="eastAsia" w:ascii="Times New Roman" w:hAnsi="Times New Roman" w:cs="宋体"/>
          <w:bCs w:val="0"/>
          <w:szCs w:val="28"/>
        </w:rPr>
        <w:t>智慧国资尾款及二期建设费</w:t>
      </w:r>
      <w:r>
        <w:rPr>
          <w:rFonts w:hint="eastAsia" w:ascii="Times New Roman" w:hAnsi="Times New Roman"/>
        </w:rPr>
        <w:t>项目绩效得分情况表</w:t>
      </w:r>
    </w:p>
    <w:tbl>
      <w:tblPr>
        <w:tblStyle w:val="15"/>
        <w:tblW w:w="4879"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473"/>
        <w:gridCol w:w="1473"/>
        <w:gridCol w:w="1473"/>
        <w:gridCol w:w="1473"/>
        <w:gridCol w:w="1473"/>
        <w:gridCol w:w="147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68" w:hRule="atLeast"/>
          <w:jc w:val="center"/>
        </w:trPr>
        <w:tc>
          <w:tcPr>
            <w:tcW w:w="833" w:type="pct"/>
            <w:vAlign w:val="center"/>
          </w:tcPr>
          <w:p>
            <w:pPr>
              <w:pStyle w:val="35"/>
              <w:rPr>
                <w:rFonts w:ascii="Times New Roman" w:hAnsi="Times New Roman"/>
              </w:rPr>
            </w:pPr>
            <w:r>
              <w:rPr>
                <w:rFonts w:hint="eastAsia" w:ascii="Times New Roman" w:hAnsi="Times New Roman"/>
              </w:rPr>
              <w:t>指标</w:t>
            </w:r>
          </w:p>
        </w:tc>
        <w:tc>
          <w:tcPr>
            <w:tcW w:w="833" w:type="pct"/>
            <w:vAlign w:val="center"/>
          </w:tcPr>
          <w:p>
            <w:pPr>
              <w:pStyle w:val="35"/>
              <w:rPr>
                <w:rFonts w:ascii="Times New Roman" w:hAnsi="Times New Roman"/>
              </w:rPr>
            </w:pPr>
            <w:r>
              <w:rPr>
                <w:rFonts w:hint="eastAsia" w:ascii="Times New Roman" w:hAnsi="Times New Roman"/>
              </w:rPr>
              <w:t>项目决策</w:t>
            </w:r>
          </w:p>
        </w:tc>
        <w:tc>
          <w:tcPr>
            <w:tcW w:w="833" w:type="pct"/>
            <w:vAlign w:val="center"/>
          </w:tcPr>
          <w:p>
            <w:pPr>
              <w:pStyle w:val="35"/>
              <w:rPr>
                <w:rFonts w:ascii="Times New Roman" w:hAnsi="Times New Roman"/>
              </w:rPr>
            </w:pPr>
            <w:r>
              <w:rPr>
                <w:rFonts w:hint="eastAsia" w:ascii="Times New Roman" w:hAnsi="Times New Roman"/>
              </w:rPr>
              <w:t>项目过程</w:t>
            </w:r>
          </w:p>
        </w:tc>
        <w:tc>
          <w:tcPr>
            <w:tcW w:w="833" w:type="pct"/>
            <w:vAlign w:val="center"/>
          </w:tcPr>
          <w:p>
            <w:pPr>
              <w:pStyle w:val="35"/>
              <w:rPr>
                <w:rFonts w:ascii="Times New Roman" w:hAnsi="Times New Roman"/>
              </w:rPr>
            </w:pPr>
            <w:r>
              <w:rPr>
                <w:rFonts w:hint="eastAsia" w:ascii="Times New Roman" w:hAnsi="Times New Roman"/>
              </w:rPr>
              <w:t>项目产出</w:t>
            </w:r>
          </w:p>
        </w:tc>
        <w:tc>
          <w:tcPr>
            <w:tcW w:w="833" w:type="pct"/>
            <w:vAlign w:val="center"/>
          </w:tcPr>
          <w:p>
            <w:pPr>
              <w:pStyle w:val="35"/>
              <w:rPr>
                <w:rFonts w:ascii="Times New Roman" w:hAnsi="Times New Roman"/>
              </w:rPr>
            </w:pPr>
            <w:r>
              <w:rPr>
                <w:rFonts w:hint="eastAsia" w:ascii="Times New Roman" w:hAnsi="Times New Roman"/>
              </w:rPr>
              <w:t>项目效益</w:t>
            </w:r>
          </w:p>
        </w:tc>
        <w:tc>
          <w:tcPr>
            <w:tcW w:w="834" w:type="pct"/>
            <w:vAlign w:val="center"/>
          </w:tcPr>
          <w:p>
            <w:pPr>
              <w:pStyle w:val="35"/>
              <w:rPr>
                <w:rFonts w:ascii="Times New Roman" w:hAnsi="Times New Roman"/>
              </w:rPr>
            </w:pPr>
            <w:r>
              <w:rPr>
                <w:rFonts w:hint="eastAsia" w:ascii="Times New Roman" w:hAnsi="Times New Roman"/>
              </w:rPr>
              <w:t>合计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68" w:hRule="atLeast"/>
          <w:jc w:val="center"/>
        </w:trPr>
        <w:tc>
          <w:tcPr>
            <w:tcW w:w="833" w:type="pct"/>
            <w:vAlign w:val="center"/>
          </w:tcPr>
          <w:p>
            <w:pPr>
              <w:pStyle w:val="37"/>
              <w:rPr>
                <w:rFonts w:ascii="Times New Roman" w:hAnsi="Times New Roman"/>
              </w:rPr>
            </w:pPr>
            <w:r>
              <w:rPr>
                <w:rFonts w:hint="eastAsia" w:ascii="Times New Roman" w:hAnsi="Times New Roman"/>
              </w:rPr>
              <w:t>分值</w:t>
            </w:r>
          </w:p>
        </w:tc>
        <w:tc>
          <w:tcPr>
            <w:tcW w:w="833" w:type="pct"/>
            <w:vAlign w:val="center"/>
          </w:tcPr>
          <w:p>
            <w:pPr>
              <w:pStyle w:val="37"/>
              <w:rPr>
                <w:rFonts w:ascii="Times New Roman" w:hAnsi="Times New Roman"/>
              </w:rPr>
            </w:pPr>
            <w:r>
              <w:rPr>
                <w:rFonts w:ascii="Times New Roman" w:hAnsi="Times New Roman"/>
              </w:rPr>
              <w:t>17</w:t>
            </w:r>
          </w:p>
        </w:tc>
        <w:tc>
          <w:tcPr>
            <w:tcW w:w="833" w:type="pct"/>
            <w:vAlign w:val="center"/>
          </w:tcPr>
          <w:p>
            <w:pPr>
              <w:pStyle w:val="37"/>
              <w:rPr>
                <w:rFonts w:ascii="Times New Roman" w:hAnsi="Times New Roman"/>
              </w:rPr>
            </w:pPr>
            <w:r>
              <w:rPr>
                <w:rFonts w:ascii="Times New Roman" w:hAnsi="Times New Roman"/>
              </w:rPr>
              <w:t>23</w:t>
            </w:r>
          </w:p>
        </w:tc>
        <w:tc>
          <w:tcPr>
            <w:tcW w:w="833" w:type="pct"/>
            <w:vAlign w:val="center"/>
          </w:tcPr>
          <w:p>
            <w:pPr>
              <w:pStyle w:val="37"/>
              <w:rPr>
                <w:rFonts w:ascii="Times New Roman" w:hAnsi="Times New Roman"/>
              </w:rPr>
            </w:pPr>
            <w:r>
              <w:rPr>
                <w:rFonts w:ascii="Times New Roman" w:hAnsi="Times New Roman"/>
              </w:rPr>
              <w:t>38</w:t>
            </w:r>
          </w:p>
        </w:tc>
        <w:tc>
          <w:tcPr>
            <w:tcW w:w="833" w:type="pct"/>
            <w:vAlign w:val="center"/>
          </w:tcPr>
          <w:p>
            <w:pPr>
              <w:pStyle w:val="37"/>
              <w:rPr>
                <w:rFonts w:ascii="Times New Roman" w:hAnsi="Times New Roman"/>
              </w:rPr>
            </w:pPr>
            <w:r>
              <w:rPr>
                <w:rFonts w:ascii="Times New Roman" w:hAnsi="Times New Roman"/>
              </w:rPr>
              <w:t>22</w:t>
            </w:r>
          </w:p>
        </w:tc>
        <w:tc>
          <w:tcPr>
            <w:tcW w:w="834" w:type="pct"/>
            <w:vAlign w:val="center"/>
          </w:tcPr>
          <w:p>
            <w:pPr>
              <w:pStyle w:val="37"/>
              <w:rPr>
                <w:rFonts w:ascii="Times New Roman" w:hAnsi="Times New Roman"/>
              </w:rPr>
            </w:pPr>
            <w:r>
              <w:rPr>
                <w:rFonts w:ascii="Times New Roman" w:hAnsi="Times New Roman"/>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68" w:hRule="atLeast"/>
          <w:jc w:val="center"/>
        </w:trPr>
        <w:tc>
          <w:tcPr>
            <w:tcW w:w="833" w:type="pct"/>
            <w:vAlign w:val="center"/>
          </w:tcPr>
          <w:p>
            <w:pPr>
              <w:pStyle w:val="37"/>
              <w:rPr>
                <w:rFonts w:ascii="Times New Roman" w:hAnsi="Times New Roman"/>
              </w:rPr>
            </w:pPr>
            <w:r>
              <w:rPr>
                <w:rFonts w:hint="eastAsia" w:ascii="Times New Roman" w:hAnsi="Times New Roman"/>
              </w:rPr>
              <w:t>得分</w:t>
            </w:r>
          </w:p>
        </w:tc>
        <w:tc>
          <w:tcPr>
            <w:tcW w:w="833" w:type="pct"/>
            <w:vAlign w:val="center"/>
          </w:tcPr>
          <w:p>
            <w:pPr>
              <w:pStyle w:val="37"/>
              <w:rPr>
                <w:rFonts w:ascii="Times New Roman" w:hAnsi="Times New Roman"/>
              </w:rPr>
            </w:pPr>
            <w:r>
              <w:rPr>
                <w:rFonts w:hint="eastAsia" w:ascii="Times New Roman" w:hAnsi="Times New Roman"/>
              </w:rPr>
              <w:t>16</w:t>
            </w:r>
          </w:p>
        </w:tc>
        <w:tc>
          <w:tcPr>
            <w:tcW w:w="833" w:type="pct"/>
            <w:vAlign w:val="center"/>
          </w:tcPr>
          <w:p>
            <w:pPr>
              <w:pStyle w:val="37"/>
              <w:rPr>
                <w:rFonts w:ascii="Times New Roman" w:hAnsi="Times New Roman"/>
              </w:rPr>
            </w:pPr>
            <w:r>
              <w:rPr>
                <w:rFonts w:hint="eastAsia" w:ascii="Times New Roman" w:hAnsi="Times New Roman"/>
              </w:rPr>
              <w:t>23</w:t>
            </w:r>
          </w:p>
        </w:tc>
        <w:tc>
          <w:tcPr>
            <w:tcW w:w="833" w:type="pct"/>
            <w:vAlign w:val="center"/>
          </w:tcPr>
          <w:p>
            <w:pPr>
              <w:pStyle w:val="37"/>
              <w:rPr>
                <w:rFonts w:ascii="Times New Roman" w:hAnsi="Times New Roman"/>
              </w:rPr>
            </w:pPr>
            <w:r>
              <w:rPr>
                <w:rFonts w:hint="eastAsia" w:ascii="Times New Roman" w:hAnsi="Times New Roman"/>
              </w:rPr>
              <w:t>38</w:t>
            </w:r>
          </w:p>
        </w:tc>
        <w:tc>
          <w:tcPr>
            <w:tcW w:w="833" w:type="pct"/>
            <w:vAlign w:val="center"/>
          </w:tcPr>
          <w:p>
            <w:pPr>
              <w:pStyle w:val="37"/>
              <w:rPr>
                <w:rFonts w:hint="default" w:ascii="Times New Roman" w:hAnsi="Times New Roman" w:eastAsia="宋体"/>
                <w:lang w:val="en-US" w:eastAsia="zh-CN"/>
              </w:rPr>
            </w:pPr>
            <w:r>
              <w:rPr>
                <w:rFonts w:hint="eastAsia"/>
                <w:lang w:val="en-US" w:eastAsia="zh-CN"/>
              </w:rPr>
              <w:t>22</w:t>
            </w:r>
          </w:p>
        </w:tc>
        <w:tc>
          <w:tcPr>
            <w:tcW w:w="834" w:type="pct"/>
            <w:vAlign w:val="center"/>
          </w:tcPr>
          <w:p>
            <w:pPr>
              <w:pStyle w:val="37"/>
              <w:rPr>
                <w:rFonts w:hint="default" w:ascii="Times New Roman" w:hAnsi="Times New Roman" w:eastAsia="宋体"/>
                <w:lang w:val="en-US" w:eastAsia="zh-CN"/>
              </w:rPr>
            </w:pPr>
            <w:r>
              <w:rPr>
                <w:rFonts w:hint="eastAsia"/>
                <w:lang w:val="en-US" w:eastAsia="zh-CN"/>
              </w:rPr>
              <w:t>99</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68" w:hRule="atLeast"/>
          <w:jc w:val="center"/>
        </w:trPr>
        <w:tc>
          <w:tcPr>
            <w:tcW w:w="833" w:type="pct"/>
            <w:vAlign w:val="center"/>
          </w:tcPr>
          <w:p>
            <w:pPr>
              <w:pStyle w:val="37"/>
              <w:rPr>
                <w:rFonts w:ascii="Times New Roman" w:hAnsi="Times New Roman"/>
              </w:rPr>
            </w:pPr>
            <w:r>
              <w:rPr>
                <w:rFonts w:hint="eastAsia" w:ascii="Times New Roman" w:hAnsi="Times New Roman"/>
              </w:rPr>
              <w:t>得分率</w:t>
            </w:r>
          </w:p>
        </w:tc>
        <w:tc>
          <w:tcPr>
            <w:tcW w:w="833" w:type="pct"/>
            <w:vAlign w:val="center"/>
          </w:tcPr>
          <w:p>
            <w:pPr>
              <w:pStyle w:val="37"/>
              <w:rPr>
                <w:rFonts w:ascii="Times New Roman" w:hAnsi="Times New Roman"/>
              </w:rPr>
            </w:pPr>
            <w:r>
              <w:rPr>
                <w:rFonts w:hint="eastAsia" w:ascii="Times New Roman" w:hAnsi="Times New Roman"/>
              </w:rPr>
              <w:t>94.1%</w:t>
            </w:r>
          </w:p>
        </w:tc>
        <w:tc>
          <w:tcPr>
            <w:tcW w:w="833" w:type="pct"/>
            <w:vAlign w:val="center"/>
          </w:tcPr>
          <w:p>
            <w:pPr>
              <w:pStyle w:val="37"/>
              <w:rPr>
                <w:rFonts w:ascii="Times New Roman" w:hAnsi="Times New Roman"/>
              </w:rPr>
            </w:pPr>
            <w:r>
              <w:rPr>
                <w:rFonts w:hint="eastAsia" w:ascii="Times New Roman" w:hAnsi="Times New Roman"/>
              </w:rPr>
              <w:t>100%</w:t>
            </w:r>
          </w:p>
        </w:tc>
        <w:tc>
          <w:tcPr>
            <w:tcW w:w="833" w:type="pct"/>
            <w:vAlign w:val="center"/>
          </w:tcPr>
          <w:p>
            <w:pPr>
              <w:pStyle w:val="37"/>
              <w:rPr>
                <w:rFonts w:ascii="Times New Roman" w:hAnsi="Times New Roman"/>
              </w:rPr>
            </w:pPr>
            <w:r>
              <w:rPr>
                <w:rFonts w:hint="eastAsia" w:ascii="Times New Roman" w:hAnsi="Times New Roman"/>
              </w:rPr>
              <w:t>100%</w:t>
            </w:r>
          </w:p>
        </w:tc>
        <w:tc>
          <w:tcPr>
            <w:tcW w:w="833" w:type="pct"/>
            <w:vAlign w:val="center"/>
          </w:tcPr>
          <w:p>
            <w:pPr>
              <w:pStyle w:val="37"/>
              <w:rPr>
                <w:rFonts w:ascii="Times New Roman" w:hAnsi="Times New Roman"/>
              </w:rPr>
            </w:pPr>
            <w:r>
              <w:rPr>
                <w:rFonts w:hint="eastAsia"/>
                <w:lang w:val="en-US" w:eastAsia="zh-CN"/>
              </w:rPr>
              <w:t>100</w:t>
            </w:r>
            <w:r>
              <w:rPr>
                <w:rFonts w:hint="eastAsia" w:ascii="Times New Roman" w:hAnsi="Times New Roman"/>
              </w:rPr>
              <w:t>%</w:t>
            </w:r>
          </w:p>
        </w:tc>
        <w:tc>
          <w:tcPr>
            <w:tcW w:w="834" w:type="pct"/>
            <w:vAlign w:val="center"/>
          </w:tcPr>
          <w:p>
            <w:pPr>
              <w:pStyle w:val="37"/>
              <w:rPr>
                <w:rFonts w:ascii="Times New Roman" w:hAnsi="Times New Roman"/>
              </w:rPr>
            </w:pPr>
            <w:r>
              <w:rPr>
                <w:rFonts w:hint="eastAsia"/>
                <w:lang w:val="en-US" w:eastAsia="zh-CN"/>
              </w:rPr>
              <w:t>99</w:t>
            </w:r>
            <w:r>
              <w:rPr>
                <w:rFonts w:hint="eastAsia" w:ascii="Times New Roman" w:hAnsi="Times New Roman"/>
              </w:rPr>
              <w:t>%</w:t>
            </w:r>
          </w:p>
        </w:tc>
      </w:tr>
      <w:bookmarkEnd w:id="21"/>
    </w:tbl>
    <w:p>
      <w:pPr>
        <w:pStyle w:val="25"/>
        <w:ind w:firstLine="640"/>
        <w:rPr>
          <w:rFonts w:hint="eastAsia" w:ascii="Times New Roman" w:hAnsi="Times New Roman" w:eastAsia="仿宋_GB2312"/>
          <w:lang w:eastAsia="zh-CN"/>
        </w:rPr>
      </w:pPr>
      <w:bookmarkStart w:id="22" w:name="_Hlk91875411"/>
      <w:r>
        <w:rPr>
          <w:rFonts w:hint="eastAsia" w:ascii="Times New Roman" w:hAnsi="Times New Roman"/>
        </w:rPr>
        <w:t>评价结论：一是项目决策方面，智慧国资尾款及二期建设费项目立项依据充分，立项程序规范，预算编制测算数据合理，测算标准客观，符合项目需求，但存在绩效</w:t>
      </w:r>
      <w:r>
        <w:rPr>
          <w:rFonts w:hint="eastAsia" w:ascii="Times New Roman" w:hAnsi="Times New Roman"/>
          <w:bCs/>
        </w:rPr>
        <w:t>目标设定未体现项目预期产出效益和效果</w:t>
      </w:r>
      <w:r>
        <w:rPr>
          <w:rFonts w:hint="eastAsia" w:ascii="Times New Roman" w:hAnsi="Times New Roman"/>
        </w:rPr>
        <w:t>的问题。二是项目过程方面，财政资金到位及时，管理制度或办法健全，资金使用合理。三是项目产出方面，产出数量、质量、成本已达到预期目标，由于市级智慧国资监管平台开放对接时间延迟，项目于2021年7月9日组织和平区智慧国资监管平台上线试运行，同年10月结束试运行并及时验收。四是项目效益方面，本项目建设完成后实现了国有企业平台使用全覆盖，制定了《智慧国资监管平台项目章程》，</w:t>
      </w:r>
      <w:r>
        <w:rPr>
          <w:rFonts w:hint="eastAsia" w:ascii="Times New Roman" w:hAnsi="Times New Roman"/>
          <w:bCs/>
        </w:rPr>
        <w:t>确保了国资监管信息系统建设和应用规范有序</w:t>
      </w:r>
      <w:r>
        <w:rPr>
          <w:rFonts w:hint="eastAsia"/>
          <w:bCs/>
          <w:lang w:eastAsia="zh-CN"/>
        </w:rPr>
        <w:t>。</w:t>
      </w:r>
    </w:p>
    <w:bookmarkEnd w:id="22"/>
    <w:p>
      <w:pPr>
        <w:pStyle w:val="27"/>
        <w:rPr>
          <w:rFonts w:ascii="Times New Roman" w:hAnsi="Times New Roman"/>
        </w:rPr>
      </w:pPr>
      <w:bookmarkStart w:id="23" w:name="_Toc12105"/>
      <w:bookmarkStart w:id="24" w:name="_Toc24709"/>
      <w:r>
        <w:rPr>
          <w:rFonts w:hint="eastAsia" w:ascii="Times New Roman" w:hAnsi="Times New Roman"/>
        </w:rPr>
        <w:t>四、绩效评价指标分析</w:t>
      </w:r>
      <w:bookmarkEnd w:id="23"/>
      <w:bookmarkEnd w:id="24"/>
    </w:p>
    <w:p>
      <w:pPr>
        <w:pStyle w:val="29"/>
        <w:ind w:firstLine="640"/>
        <w:rPr>
          <w:rFonts w:ascii="Times New Roman" w:hAnsi="Times New Roman"/>
        </w:rPr>
      </w:pPr>
      <w:bookmarkStart w:id="25" w:name="_Toc7616"/>
      <w:bookmarkStart w:id="26" w:name="_Toc30016"/>
      <w:r>
        <w:rPr>
          <w:rFonts w:hint="eastAsia" w:ascii="Times New Roman" w:hAnsi="Times New Roman"/>
        </w:rPr>
        <w:t>（一）项目决策情况</w:t>
      </w:r>
      <w:bookmarkEnd w:id="25"/>
      <w:bookmarkEnd w:id="26"/>
    </w:p>
    <w:p>
      <w:pPr>
        <w:pStyle w:val="25"/>
        <w:ind w:firstLine="640"/>
        <w:rPr>
          <w:rFonts w:ascii="Times New Roman" w:hAnsi="Times New Roman"/>
        </w:rPr>
      </w:pPr>
      <w:r>
        <w:rPr>
          <w:rFonts w:hint="eastAsia" w:ascii="Times New Roman" w:hAnsi="Times New Roman"/>
        </w:rPr>
        <w:t>决策指标主要包括项目立项、绩效目标、预算编制</w:t>
      </w:r>
      <w:r>
        <w:rPr>
          <w:rFonts w:ascii="Times New Roman" w:hAnsi="Times New Roman"/>
        </w:rPr>
        <w:t>3</w:t>
      </w:r>
      <w:r>
        <w:rPr>
          <w:rFonts w:hint="eastAsia" w:ascii="Times New Roman" w:hAnsi="Times New Roman"/>
        </w:rPr>
        <w:t>项二级指标，</w:t>
      </w:r>
      <w:r>
        <w:rPr>
          <w:rFonts w:ascii="Times New Roman" w:hAnsi="Times New Roman"/>
        </w:rPr>
        <w:t>8</w:t>
      </w:r>
      <w:r>
        <w:rPr>
          <w:rFonts w:hint="eastAsia" w:ascii="Times New Roman" w:hAnsi="Times New Roman"/>
        </w:rPr>
        <w:t>项三级指标，基础总分</w:t>
      </w:r>
      <w:r>
        <w:rPr>
          <w:rFonts w:ascii="Times New Roman" w:hAnsi="Times New Roman"/>
        </w:rPr>
        <w:t>17</w:t>
      </w:r>
      <w:r>
        <w:rPr>
          <w:rFonts w:hint="eastAsia" w:ascii="Times New Roman" w:hAnsi="Times New Roman"/>
        </w:rPr>
        <w:t>分，合计得分16分。</w:t>
      </w:r>
    </w:p>
    <w:p>
      <w:pPr>
        <w:pStyle w:val="25"/>
        <w:ind w:firstLine="640"/>
        <w:rPr>
          <w:rFonts w:ascii="Times New Roman" w:hAnsi="Times New Roman"/>
        </w:rPr>
      </w:pPr>
      <w:r>
        <w:rPr>
          <w:rFonts w:hint="eastAsia" w:ascii="Times New Roman" w:hAnsi="Times New Roman"/>
        </w:rPr>
        <w:t>1.项目立项</w:t>
      </w:r>
    </w:p>
    <w:p>
      <w:pPr>
        <w:pStyle w:val="25"/>
        <w:ind w:firstLine="640"/>
        <w:rPr>
          <w:rFonts w:ascii="Times New Roman" w:hAnsi="Times New Roman"/>
        </w:rPr>
      </w:pPr>
      <w:r>
        <w:rPr>
          <w:rFonts w:hint="eastAsia" w:ascii="Times New Roman" w:hAnsi="Times New Roman"/>
        </w:rPr>
        <w:t>（1）立项依据充分性（总分2分，得分2分）。智慧国资尾款及二期建设费项目依据</w:t>
      </w:r>
      <w:r>
        <w:rPr>
          <w:rFonts w:hint="eastAsia" w:ascii="Times New Roman" w:hAnsi="Times New Roman" w:cs="Arial"/>
          <w:color w:val="191919"/>
          <w:shd w:val="clear" w:color="auto" w:fill="FFFFFF"/>
        </w:rPr>
        <w:t>《市国资委关于印发&lt;贯彻国务院国资委国资监管大格局部署要求深入推进天津“智慧国资”监管平台建设实施方案&gt;的通知》立项</w:t>
      </w:r>
      <w:r>
        <w:rPr>
          <w:rFonts w:hint="eastAsia" w:ascii="Times New Roman" w:hAnsi="Times New Roman"/>
        </w:rPr>
        <w:t>，符合国民经济发展规划、行业发展规划和相关政策要求，项目主要内容是建设全面建设涵盖财务管理、产权管理、投资管理、资金监控、三重一大、审计监督等业务模块的智慧国资监管平台，并完成与市级国资监管平台的数据对接，符合天津市和平区国资监管工作要求，</w:t>
      </w:r>
      <w:r>
        <w:rPr>
          <w:rFonts w:ascii="Times New Roman" w:hAnsi="Times New Roman"/>
        </w:rPr>
        <w:t>与实施部门职责相关，属于部门履职所需</w:t>
      </w:r>
      <w:r>
        <w:rPr>
          <w:rFonts w:hint="eastAsia" w:ascii="Times New Roman" w:hAnsi="Times New Roman"/>
        </w:rPr>
        <w:t>。本项目属于公共财政支持范围，未与其他部门同类项目或部门内部相关项目重复，项目立项依据充分。</w:t>
      </w:r>
    </w:p>
    <w:p>
      <w:pPr>
        <w:pStyle w:val="25"/>
        <w:ind w:firstLine="640"/>
        <w:rPr>
          <w:rFonts w:ascii="Times New Roman" w:hAnsi="Times New Roman"/>
        </w:rPr>
      </w:pPr>
      <w:r>
        <w:rPr>
          <w:rFonts w:hint="eastAsia" w:ascii="Times New Roman" w:hAnsi="Times New Roman"/>
        </w:rPr>
        <w:t>（2）立项程序规范性（总分2分，得分2分）。智慧国资尾款及二期建设费项目按照规定的程序通过党委会议申请设立，前期经过财政评审建议，项目有完整的三重一大会议纪要、财政评审建议文件、采购计划、采购需求、采购预算等相关材料，项目立项程序符合规范要求。</w:t>
      </w:r>
    </w:p>
    <w:p>
      <w:pPr>
        <w:pStyle w:val="25"/>
        <w:ind w:firstLine="640"/>
        <w:rPr>
          <w:rFonts w:ascii="Times New Roman" w:hAnsi="Times New Roman"/>
        </w:rPr>
      </w:pPr>
      <w:r>
        <w:rPr>
          <w:rFonts w:hint="eastAsia" w:ascii="Times New Roman" w:hAnsi="Times New Roman"/>
        </w:rPr>
        <w:t>2.绩效目标</w:t>
      </w:r>
    </w:p>
    <w:p>
      <w:pPr>
        <w:pStyle w:val="25"/>
        <w:ind w:firstLine="640"/>
        <w:rPr>
          <w:rFonts w:ascii="Times New Roman" w:hAnsi="Times New Roman"/>
          <w:bCs/>
        </w:rPr>
      </w:pPr>
      <w:r>
        <w:rPr>
          <w:rFonts w:hint="eastAsia" w:ascii="Times New Roman" w:hAnsi="Times New Roman"/>
        </w:rPr>
        <w:t>（1）绩效目标明确性（总分2分，得分2分）。本项目主要是建设智慧国资监管平台，天津市和平区人民政府国有资产监督管理委员会</w:t>
      </w:r>
      <w:r>
        <w:rPr>
          <w:rFonts w:hint="eastAsia" w:ascii="Times New Roman" w:hAnsi="Times New Roman"/>
          <w:bCs/>
        </w:rPr>
        <w:t>设定的绩效目标与项目目标任务数相对应，</w:t>
      </w:r>
      <w:r>
        <w:rPr>
          <w:rFonts w:hint="eastAsia" w:ascii="Times New Roman" w:hAnsi="Times New Roman"/>
        </w:rPr>
        <w:t>绩效指标及指标值清晰、可衡量，绩效目标设置明确。</w:t>
      </w:r>
    </w:p>
    <w:p>
      <w:pPr>
        <w:pStyle w:val="25"/>
        <w:ind w:firstLine="640"/>
        <w:rPr>
          <w:rFonts w:ascii="Times New Roman" w:hAnsi="Times New Roman"/>
          <w:bCs/>
        </w:rPr>
      </w:pPr>
      <w:r>
        <w:rPr>
          <w:rFonts w:hint="eastAsia" w:ascii="Times New Roman" w:hAnsi="Times New Roman"/>
          <w:bCs/>
        </w:rPr>
        <w:t>（2）绩效目标合理性（总分</w:t>
      </w:r>
      <w:r>
        <w:rPr>
          <w:rFonts w:ascii="Times New Roman" w:hAnsi="Times New Roman"/>
          <w:bCs/>
        </w:rPr>
        <w:t>4</w:t>
      </w:r>
      <w:r>
        <w:rPr>
          <w:rFonts w:hint="eastAsia" w:ascii="Times New Roman" w:hAnsi="Times New Roman"/>
          <w:bCs/>
        </w:rPr>
        <w:t>分，得分3分）。</w:t>
      </w:r>
      <w:r>
        <w:rPr>
          <w:rFonts w:hint="eastAsia" w:ascii="Times New Roman" w:hAnsi="Times New Roman"/>
        </w:rPr>
        <w:t>天津市和平区人民政府国有资产监督管理委员会</w:t>
      </w:r>
      <w:r>
        <w:rPr>
          <w:rFonts w:hint="eastAsia" w:ascii="Times New Roman" w:hAnsi="Times New Roman"/>
          <w:bCs/>
        </w:rPr>
        <w:t>设定的</w:t>
      </w:r>
      <w:r>
        <w:rPr>
          <w:rFonts w:hint="eastAsia" w:ascii="Times New Roman" w:hAnsi="Times New Roman"/>
        </w:rPr>
        <w:t>绩效目标为“为落实国务院国资委加快建设在线监管系统，全面建设涵盖财务、产权、投资、资金、三重一大、审计监督等系统，按照市国资委下发的数据标准完成与市国资监管平台的数据对接”，内容与智慧国资监管平台建设工作相关联，</w:t>
      </w:r>
      <w:r>
        <w:rPr>
          <w:rFonts w:hint="eastAsia" w:ascii="Times New Roman" w:hAnsi="Times New Roman"/>
          <w:bCs/>
        </w:rPr>
        <w:t>并将绩效目标细化分解为具体的绩效指标，预期产出效益和效果符合正常的业绩水平，绩效目标与预算确定的资金量相匹配，但存在绩效目标设定未体现项目预期产出效益和效果的问题。</w:t>
      </w:r>
    </w:p>
    <w:p>
      <w:pPr>
        <w:pStyle w:val="25"/>
        <w:ind w:firstLine="640"/>
        <w:rPr>
          <w:rFonts w:ascii="Times New Roman" w:hAnsi="Times New Roman"/>
          <w:bCs/>
        </w:rPr>
      </w:pPr>
      <w:r>
        <w:rPr>
          <w:rFonts w:hint="eastAsia" w:ascii="Times New Roman" w:hAnsi="Times New Roman"/>
          <w:bCs/>
        </w:rPr>
        <w:t>3.预算编制</w:t>
      </w:r>
    </w:p>
    <w:p>
      <w:pPr>
        <w:pStyle w:val="25"/>
        <w:ind w:firstLine="640"/>
        <w:rPr>
          <w:rFonts w:ascii="Times New Roman" w:hAnsi="Times New Roman"/>
          <w:bCs/>
        </w:rPr>
      </w:pPr>
      <w:r>
        <w:rPr>
          <w:rFonts w:hint="eastAsia" w:ascii="Times New Roman" w:hAnsi="Times New Roman"/>
          <w:bCs/>
        </w:rPr>
        <w:t>（1）测算内容合规性（总分2分，得分2分）。智慧国资尾款及二期建设费项目</w:t>
      </w:r>
      <w:r>
        <w:rPr>
          <w:rFonts w:hint="eastAsia" w:ascii="Times New Roman" w:hAnsi="Times New Roman"/>
        </w:rPr>
        <w:t>测算内容主要为购买智慧国资监管平台系统硬件设备、系统安装工程费、软件开发费，</w:t>
      </w:r>
      <w:r>
        <w:rPr>
          <w:rFonts w:ascii="Times New Roman" w:hAnsi="Times New Roman"/>
        </w:rPr>
        <w:t>符合</w:t>
      </w:r>
      <w:r>
        <w:rPr>
          <w:rFonts w:hint="eastAsia" w:ascii="Times New Roman" w:hAnsi="Times New Roman" w:cs="Arial"/>
          <w:color w:val="191919"/>
          <w:shd w:val="clear" w:color="auto" w:fill="FFFFFF"/>
        </w:rPr>
        <w:t>《市国资委关于印发&lt;贯彻国务院国资委国资监管大格局部署要求深入推进天津“智慧国资”监管平台建设实施方案&gt;的通知》</w:t>
      </w:r>
      <w:r>
        <w:rPr>
          <w:rFonts w:ascii="Times New Roman" w:hAnsi="Times New Roman"/>
        </w:rPr>
        <w:t>文件规定的工作范围，</w:t>
      </w:r>
      <w:r>
        <w:rPr>
          <w:rFonts w:hint="eastAsia" w:ascii="Times New Roman" w:hAnsi="Times New Roman"/>
        </w:rPr>
        <w:t>内容与实际需求相匹配，不存在重复测算，项目测算内容合规。</w:t>
      </w:r>
    </w:p>
    <w:p>
      <w:pPr>
        <w:pStyle w:val="25"/>
        <w:ind w:firstLine="640"/>
        <w:rPr>
          <w:rFonts w:ascii="Times New Roman" w:hAnsi="Times New Roman"/>
          <w:bCs/>
        </w:rPr>
      </w:pPr>
      <w:r>
        <w:rPr>
          <w:rFonts w:hint="eastAsia" w:ascii="Times New Roman" w:hAnsi="Times New Roman"/>
          <w:bCs/>
        </w:rPr>
        <w:t>（2）测算标准合理性（总分1分，得分1分）。智慧国资尾款及二期建设费项目采用政府采购方式进行公开招标，预算测算标准经财政评审通过，符合相关行业标准和社会实际支出水平，测算标准合理。</w:t>
      </w:r>
    </w:p>
    <w:p>
      <w:pPr>
        <w:pStyle w:val="25"/>
        <w:ind w:firstLine="640"/>
        <w:rPr>
          <w:rFonts w:ascii="Times New Roman" w:hAnsi="Times New Roman"/>
          <w:bCs/>
        </w:rPr>
      </w:pPr>
      <w:r>
        <w:rPr>
          <w:rFonts w:hint="eastAsia" w:ascii="Times New Roman" w:hAnsi="Times New Roman"/>
          <w:bCs/>
        </w:rPr>
        <w:t>（3）测算数据客观性（总分2分，得分2分）。智慧国资尾款及二期建设费项目</w:t>
      </w:r>
      <w:r>
        <w:rPr>
          <w:rFonts w:hint="eastAsia" w:ascii="Times New Roman" w:hAnsi="Times New Roman"/>
        </w:rPr>
        <w:t>测算数据符合监管平台建设工作的客观需求，经</w:t>
      </w:r>
      <w:r>
        <w:rPr>
          <w:rFonts w:hint="eastAsia" w:ascii="Times New Roman" w:hAnsi="Times New Roman"/>
          <w:bCs/>
        </w:rPr>
        <w:t>财政评审通过，与相关行业数据可比，</w:t>
      </w:r>
      <w:r>
        <w:rPr>
          <w:rFonts w:hint="eastAsia" w:ascii="Times New Roman" w:hAnsi="Times New Roman"/>
        </w:rPr>
        <w:t>项目测算数据客观。</w:t>
      </w:r>
    </w:p>
    <w:p>
      <w:pPr>
        <w:pStyle w:val="25"/>
        <w:ind w:firstLine="640"/>
        <w:rPr>
          <w:rFonts w:ascii="Times New Roman" w:hAnsi="Times New Roman"/>
          <w:bCs/>
        </w:rPr>
      </w:pPr>
      <w:r>
        <w:rPr>
          <w:rFonts w:hint="eastAsia" w:ascii="Times New Roman" w:hAnsi="Times New Roman"/>
          <w:bCs/>
        </w:rPr>
        <w:t>（4）测算过程细化度（总分2分，得分2分）。智慧国资尾款及二期建设费项目</w:t>
      </w:r>
      <w:r>
        <w:rPr>
          <w:rFonts w:hint="eastAsia" w:ascii="Times New Roman" w:hAnsi="Times New Roman"/>
        </w:rPr>
        <w:t>内容是建设智慧国资监管平台，包括财务监管、资金监管、产权管理、三重一大、工资总额、政策法规、审计监督等内容，天津市和平区人民政府国有资产监督管理委员会根据</w:t>
      </w:r>
      <w:r>
        <w:rPr>
          <w:rFonts w:hint="eastAsia" w:ascii="Times New Roman" w:hAnsi="Times New Roman"/>
          <w:bCs/>
        </w:rPr>
        <w:t>每款设备购置单价和所需数量测算出设备购置费，根据预计施工工时和每工时费用测算出人工费，根据工程预计所需天数和每日安装费用测算出安装工程费，根据软件开发预计所需天数和每日开发费用测算软件开发费，且根据事权划分准确核定本级财政支出，</w:t>
      </w:r>
      <w:r>
        <w:rPr>
          <w:rFonts w:ascii="Times New Roman" w:hAnsi="Times New Roman"/>
        </w:rPr>
        <w:t>项目测算过程细化程度良好</w:t>
      </w:r>
      <w:r>
        <w:rPr>
          <w:rFonts w:hint="eastAsia" w:ascii="Times New Roman" w:hAnsi="Times New Roman"/>
        </w:rPr>
        <w:t>。</w:t>
      </w:r>
    </w:p>
    <w:p>
      <w:pPr>
        <w:pStyle w:val="29"/>
        <w:ind w:firstLine="640"/>
        <w:rPr>
          <w:rFonts w:ascii="Times New Roman" w:hAnsi="Times New Roman"/>
        </w:rPr>
      </w:pPr>
      <w:bookmarkStart w:id="27" w:name="_Toc23610"/>
      <w:bookmarkStart w:id="28" w:name="_Toc27659"/>
      <w:r>
        <w:rPr>
          <w:rFonts w:hint="eastAsia" w:ascii="Times New Roman" w:hAnsi="Times New Roman"/>
        </w:rPr>
        <w:t>（二）项目过程情况</w:t>
      </w:r>
      <w:bookmarkEnd w:id="27"/>
      <w:bookmarkEnd w:id="28"/>
    </w:p>
    <w:p>
      <w:pPr>
        <w:pStyle w:val="25"/>
        <w:ind w:firstLine="640"/>
        <w:rPr>
          <w:rFonts w:ascii="Times New Roman" w:hAnsi="Times New Roman"/>
        </w:rPr>
      </w:pPr>
      <w:r>
        <w:rPr>
          <w:rFonts w:hint="eastAsia" w:ascii="Times New Roman" w:hAnsi="Times New Roman"/>
        </w:rPr>
        <w:t>过程指标主要包括资金管理、</w:t>
      </w:r>
      <w:r>
        <w:rPr>
          <w:rFonts w:hint="eastAsia" w:ascii="Times New Roman" w:hAnsi="Times New Roman"/>
          <w:bCs/>
        </w:rPr>
        <w:t>组织实施2项二级指标，6项三级指标，基础总分2</w:t>
      </w:r>
      <w:r>
        <w:rPr>
          <w:rFonts w:ascii="Times New Roman" w:hAnsi="Times New Roman"/>
          <w:bCs/>
        </w:rPr>
        <w:t>3</w:t>
      </w:r>
      <w:r>
        <w:rPr>
          <w:rFonts w:hint="eastAsia" w:ascii="Times New Roman" w:hAnsi="Times New Roman"/>
          <w:bCs/>
        </w:rPr>
        <w:t>分，合计得分23分。</w:t>
      </w:r>
    </w:p>
    <w:p>
      <w:pPr>
        <w:pStyle w:val="25"/>
        <w:ind w:firstLine="640"/>
        <w:rPr>
          <w:rFonts w:ascii="Times New Roman" w:hAnsi="Times New Roman"/>
        </w:rPr>
      </w:pPr>
      <w:r>
        <w:rPr>
          <w:rFonts w:hint="eastAsia" w:ascii="Times New Roman" w:hAnsi="Times New Roman"/>
        </w:rPr>
        <w:t>1.资金管理</w:t>
      </w:r>
    </w:p>
    <w:p>
      <w:pPr>
        <w:pStyle w:val="25"/>
        <w:ind w:firstLine="640"/>
        <w:rPr>
          <w:rFonts w:ascii="Times New Roman" w:hAnsi="Times New Roman"/>
          <w:bCs/>
        </w:rPr>
      </w:pPr>
      <w:r>
        <w:rPr>
          <w:rFonts w:hint="eastAsia" w:ascii="Times New Roman" w:hAnsi="Times New Roman"/>
        </w:rPr>
        <w:t>（1）资金到位率（总分2分，得分2分）。</w:t>
      </w:r>
      <w:r>
        <w:rPr>
          <w:rFonts w:hint="eastAsia" w:ascii="Times New Roman" w:hAnsi="Times New Roman"/>
          <w:bCs/>
        </w:rPr>
        <w:t>智慧国资尾款及二期建设费项目</w:t>
      </w:r>
      <w:r>
        <w:rPr>
          <w:rFonts w:hint="eastAsia" w:ascii="Times New Roman" w:hAnsi="Times New Roman"/>
        </w:rPr>
        <w:t>2</w:t>
      </w:r>
      <w:r>
        <w:rPr>
          <w:rFonts w:ascii="Times New Roman" w:hAnsi="Times New Roman"/>
        </w:rPr>
        <w:t>022</w:t>
      </w:r>
      <w:r>
        <w:rPr>
          <w:rFonts w:hint="eastAsia" w:ascii="Times New Roman" w:hAnsi="Times New Roman"/>
        </w:rPr>
        <w:t>年预算数为区级资金</w:t>
      </w:r>
      <w:r>
        <w:rPr>
          <w:rFonts w:ascii="Times New Roman" w:hAnsi="Times New Roman"/>
        </w:rPr>
        <w:t>30</w:t>
      </w:r>
      <w:r>
        <w:rPr>
          <w:rFonts w:hint="eastAsia" w:ascii="Times New Roman" w:hAnsi="Times New Roman"/>
          <w:bCs/>
        </w:rPr>
        <w:t>万元，截至2</w:t>
      </w:r>
      <w:r>
        <w:rPr>
          <w:rFonts w:ascii="Times New Roman" w:hAnsi="Times New Roman"/>
          <w:bCs/>
        </w:rPr>
        <w:t>022</w:t>
      </w:r>
      <w:r>
        <w:rPr>
          <w:rFonts w:hint="eastAsia" w:ascii="Times New Roman" w:hAnsi="Times New Roman"/>
          <w:bCs/>
        </w:rPr>
        <w:t>年</w:t>
      </w:r>
      <w:r>
        <w:rPr>
          <w:rFonts w:ascii="Times New Roman" w:hAnsi="Times New Roman"/>
          <w:bCs/>
        </w:rPr>
        <w:t>3</w:t>
      </w:r>
      <w:r>
        <w:rPr>
          <w:rFonts w:hint="eastAsia" w:ascii="Times New Roman" w:hAnsi="Times New Roman"/>
          <w:bCs/>
        </w:rPr>
        <w:t>月，</w:t>
      </w:r>
      <w:r>
        <w:rPr>
          <w:rFonts w:hint="eastAsia" w:ascii="Times New Roman" w:hAnsi="Times New Roman"/>
        </w:rPr>
        <w:t>实际到位区级资金</w:t>
      </w:r>
      <w:r>
        <w:rPr>
          <w:rFonts w:ascii="Times New Roman" w:hAnsi="Times New Roman"/>
          <w:bCs/>
        </w:rPr>
        <w:t>30</w:t>
      </w:r>
      <w:r>
        <w:rPr>
          <w:rFonts w:hint="eastAsia" w:ascii="Times New Roman" w:hAnsi="Times New Roman"/>
        </w:rPr>
        <w:t>万元，</w:t>
      </w:r>
      <w:r>
        <w:rPr>
          <w:rFonts w:hint="eastAsia" w:ascii="Times New Roman" w:hAnsi="Times New Roman"/>
          <w:bCs/>
        </w:rPr>
        <w:t>资金到位率为1</w:t>
      </w:r>
      <w:r>
        <w:rPr>
          <w:rFonts w:ascii="Times New Roman" w:hAnsi="Times New Roman"/>
          <w:bCs/>
        </w:rPr>
        <w:t>00</w:t>
      </w:r>
      <w:r>
        <w:rPr>
          <w:rFonts w:hint="eastAsia" w:ascii="Times New Roman" w:hAnsi="Times New Roman"/>
          <w:bCs/>
        </w:rPr>
        <w:t>%。</w:t>
      </w:r>
    </w:p>
    <w:p>
      <w:pPr>
        <w:pStyle w:val="25"/>
        <w:ind w:firstLine="640"/>
        <w:rPr>
          <w:rFonts w:ascii="Times New Roman" w:hAnsi="Times New Roman"/>
          <w:bCs/>
        </w:rPr>
      </w:pPr>
      <w:r>
        <w:rPr>
          <w:rFonts w:hint="eastAsia" w:ascii="Times New Roman" w:hAnsi="Times New Roman"/>
        </w:rPr>
        <w:t>（2）资金沉淀率（总分1分，得分1分）。</w:t>
      </w:r>
      <w:r>
        <w:rPr>
          <w:rFonts w:hint="eastAsia" w:ascii="Times New Roman" w:hAnsi="Times New Roman"/>
          <w:bCs/>
        </w:rPr>
        <w:t>智慧国资尾款及二期建设费项目2022年</w:t>
      </w:r>
      <w:r>
        <w:rPr>
          <w:rFonts w:hint="eastAsia" w:ascii="Times New Roman" w:hAnsi="Times New Roman"/>
        </w:rPr>
        <w:t>实际到位区级资金</w:t>
      </w:r>
      <w:r>
        <w:rPr>
          <w:rFonts w:ascii="Times New Roman" w:hAnsi="Times New Roman"/>
          <w:bCs/>
        </w:rPr>
        <w:t>30</w:t>
      </w:r>
      <w:r>
        <w:rPr>
          <w:rFonts w:hint="eastAsia" w:ascii="Times New Roman" w:hAnsi="Times New Roman"/>
        </w:rPr>
        <w:t>万元并全部支出，结转结余资金为0万元，资金沉淀率为0%。</w:t>
      </w:r>
    </w:p>
    <w:p>
      <w:pPr>
        <w:pStyle w:val="25"/>
        <w:ind w:firstLine="640"/>
        <w:rPr>
          <w:rFonts w:ascii="Times New Roman" w:hAnsi="Times New Roman"/>
          <w:bCs/>
        </w:rPr>
      </w:pPr>
      <w:r>
        <w:rPr>
          <w:rFonts w:hint="eastAsia" w:ascii="Times New Roman" w:hAnsi="Times New Roman"/>
        </w:rPr>
        <w:t>（3）预算执行率（总分2分，得分2分）。</w:t>
      </w:r>
      <w:r>
        <w:rPr>
          <w:rFonts w:hint="eastAsia" w:ascii="Times New Roman" w:hAnsi="Times New Roman"/>
          <w:bCs/>
        </w:rPr>
        <w:t>智慧国资尾款及二期建设费项目</w:t>
      </w:r>
      <w:r>
        <w:rPr>
          <w:rFonts w:hint="eastAsia" w:ascii="Times New Roman" w:hAnsi="Times New Roman"/>
        </w:rPr>
        <w:t>实际到位区级资金</w:t>
      </w:r>
      <w:r>
        <w:rPr>
          <w:rFonts w:ascii="Times New Roman" w:hAnsi="Times New Roman"/>
        </w:rPr>
        <w:t>30</w:t>
      </w:r>
      <w:r>
        <w:rPr>
          <w:rFonts w:hint="eastAsia" w:ascii="Times New Roman" w:hAnsi="Times New Roman"/>
        </w:rPr>
        <w:t>万元，</w:t>
      </w:r>
      <w:r>
        <w:rPr>
          <w:rFonts w:hint="eastAsia" w:ascii="Times New Roman" w:hAnsi="Times New Roman"/>
          <w:bCs/>
        </w:rPr>
        <w:t>截至2</w:t>
      </w:r>
      <w:r>
        <w:rPr>
          <w:rFonts w:ascii="Times New Roman" w:hAnsi="Times New Roman"/>
          <w:bCs/>
        </w:rPr>
        <w:t>022</w:t>
      </w:r>
      <w:r>
        <w:rPr>
          <w:rFonts w:hint="eastAsia" w:ascii="Times New Roman" w:hAnsi="Times New Roman"/>
          <w:bCs/>
        </w:rPr>
        <w:t>年</w:t>
      </w:r>
      <w:r>
        <w:rPr>
          <w:rFonts w:ascii="Times New Roman" w:hAnsi="Times New Roman"/>
          <w:bCs/>
        </w:rPr>
        <w:t>3</w:t>
      </w:r>
      <w:r>
        <w:rPr>
          <w:rFonts w:hint="eastAsia" w:ascii="Times New Roman" w:hAnsi="Times New Roman"/>
          <w:bCs/>
        </w:rPr>
        <w:t>月，实际支出区级资金</w:t>
      </w:r>
      <w:r>
        <w:rPr>
          <w:rFonts w:ascii="Times New Roman" w:hAnsi="Times New Roman"/>
          <w:bCs/>
        </w:rPr>
        <w:t>30</w:t>
      </w:r>
      <w:r>
        <w:rPr>
          <w:rFonts w:hint="eastAsia" w:ascii="Times New Roman" w:hAnsi="Times New Roman"/>
          <w:bCs/>
        </w:rPr>
        <w:t>万元，</w:t>
      </w:r>
      <w:r>
        <w:rPr>
          <w:rFonts w:hint="eastAsia" w:ascii="Times New Roman" w:hAnsi="Times New Roman"/>
        </w:rPr>
        <w:t>预算执行率为</w:t>
      </w:r>
      <w:r>
        <w:rPr>
          <w:rFonts w:ascii="Times New Roman" w:hAnsi="Times New Roman"/>
        </w:rPr>
        <w:t>100</w:t>
      </w:r>
      <w:r>
        <w:rPr>
          <w:rFonts w:hint="eastAsia" w:ascii="Times New Roman" w:hAnsi="Times New Roman"/>
        </w:rPr>
        <w:t>%。</w:t>
      </w:r>
    </w:p>
    <w:p>
      <w:pPr>
        <w:pStyle w:val="25"/>
        <w:ind w:firstLine="640"/>
        <w:rPr>
          <w:rFonts w:ascii="Times New Roman" w:hAnsi="Times New Roman"/>
          <w:bCs/>
        </w:rPr>
      </w:pPr>
      <w:r>
        <w:rPr>
          <w:rFonts w:hint="eastAsia" w:ascii="Times New Roman" w:hAnsi="Times New Roman"/>
          <w:bCs/>
        </w:rPr>
        <w:t>（4）资金使用合规性（总分11分，得分11分）。</w:t>
      </w:r>
      <w:r>
        <w:rPr>
          <w:rFonts w:hint="eastAsia" w:ascii="Times New Roman" w:hAnsi="Times New Roman"/>
        </w:rPr>
        <w:t>根据天津市和平区人民政府国有资产监督管理委员会提供的资金申请请示、资金拨付单及财务账显示，本项目资金全部用于智慧国资监管平台建设费用支出，相关凭证及请款单据完整，资金的拨付有完整的审批程序和手续，项目资金使用合规。项目支出符合预算批复和合同规定用途且不存在资金截留、挤占、挪用、虚列支出等情况。</w:t>
      </w:r>
    </w:p>
    <w:p>
      <w:pPr>
        <w:pStyle w:val="25"/>
        <w:ind w:firstLine="640"/>
        <w:rPr>
          <w:rFonts w:ascii="Times New Roman" w:hAnsi="Times New Roman"/>
          <w:bCs/>
        </w:rPr>
      </w:pPr>
      <w:r>
        <w:rPr>
          <w:rFonts w:hint="eastAsia" w:ascii="Times New Roman" w:hAnsi="Times New Roman"/>
          <w:bCs/>
        </w:rPr>
        <w:t>2.组织实施</w:t>
      </w:r>
    </w:p>
    <w:p>
      <w:pPr>
        <w:pStyle w:val="25"/>
        <w:ind w:firstLine="640"/>
        <w:rPr>
          <w:rFonts w:ascii="Times New Roman" w:hAnsi="Times New Roman"/>
          <w:bCs/>
        </w:rPr>
      </w:pPr>
      <w:r>
        <w:rPr>
          <w:rFonts w:hint="eastAsia" w:ascii="Times New Roman" w:hAnsi="Times New Roman"/>
          <w:bCs/>
        </w:rPr>
        <w:t>（1）管理制度健全性（总分2分，得分2分）。</w:t>
      </w:r>
      <w:r>
        <w:rPr>
          <w:rFonts w:hint="eastAsia" w:ascii="Times New Roman" w:hAnsi="Times New Roman"/>
        </w:rPr>
        <w:t>天津市和平区人民政府国有资产监督管理委员会</w:t>
      </w:r>
      <w:r>
        <w:rPr>
          <w:rFonts w:hint="eastAsia" w:ascii="Times New Roman" w:hAnsi="Times New Roman"/>
          <w:bCs/>
        </w:rPr>
        <w:t>作为项目实施单位</w:t>
      </w:r>
      <w:r>
        <w:rPr>
          <w:rFonts w:hint="eastAsia" w:ascii="Times New Roman" w:hAnsi="Times New Roman"/>
        </w:rPr>
        <w:t>，具有规范的内部控制管理制度，财务和业务管理制度合法、合规，制度中也明确项目申报、项目实施、项目结项及项目后续4个环节的管理要求，项目管理制度健全。</w:t>
      </w:r>
    </w:p>
    <w:p>
      <w:pPr>
        <w:pStyle w:val="25"/>
        <w:ind w:firstLine="640"/>
        <w:rPr>
          <w:rFonts w:ascii="Times New Roman" w:hAnsi="Times New Roman"/>
          <w:bCs/>
        </w:rPr>
      </w:pPr>
      <w:r>
        <w:rPr>
          <w:rFonts w:hint="eastAsia" w:ascii="Times New Roman" w:hAnsi="Times New Roman"/>
          <w:bCs/>
        </w:rPr>
        <w:t>（2）制度执行有效性（总分5分，得分5分）。本项目严格执行实施计划，遵守相关管理制度规定和合同内容规定，通过例会、月度总结等形式，检查工作进度、解决项目问题，智慧国资监管平台建设完成后按照评审通过后的验收草案进行验收，项目前期财政评审、采购计划、采购需求、采购预算，实施过程中建设合同、专家评审、验收报告等资料齐全并及时归档，项目资金申请、支出手续完备，项目实施的人员条件等均落实到位，制度执行有效。</w:t>
      </w:r>
    </w:p>
    <w:p>
      <w:pPr>
        <w:pStyle w:val="29"/>
        <w:ind w:firstLine="640"/>
        <w:rPr>
          <w:rFonts w:ascii="Times New Roman" w:hAnsi="Times New Roman"/>
        </w:rPr>
      </w:pPr>
      <w:bookmarkStart w:id="29" w:name="_Toc2140"/>
      <w:bookmarkStart w:id="30" w:name="_Toc20009"/>
      <w:r>
        <w:rPr>
          <w:rFonts w:hint="eastAsia" w:ascii="Times New Roman" w:hAnsi="Times New Roman"/>
        </w:rPr>
        <w:t>（三）项目产出情况</w:t>
      </w:r>
      <w:bookmarkEnd w:id="29"/>
      <w:bookmarkEnd w:id="30"/>
    </w:p>
    <w:p>
      <w:pPr>
        <w:pStyle w:val="25"/>
        <w:ind w:firstLine="640"/>
        <w:rPr>
          <w:rFonts w:ascii="Times New Roman" w:hAnsi="Times New Roman"/>
        </w:rPr>
      </w:pPr>
      <w:r>
        <w:rPr>
          <w:rFonts w:hint="eastAsia" w:ascii="Times New Roman" w:hAnsi="Times New Roman"/>
        </w:rPr>
        <w:t>产出指标主要包括产出数量、产出质量、产出时效和产出成本</w:t>
      </w:r>
      <w:r>
        <w:rPr>
          <w:rFonts w:ascii="Times New Roman" w:hAnsi="Times New Roman"/>
        </w:rPr>
        <w:t>4</w:t>
      </w:r>
      <w:r>
        <w:rPr>
          <w:rFonts w:hint="eastAsia" w:ascii="Times New Roman" w:hAnsi="Times New Roman"/>
        </w:rPr>
        <w:t>项二级指标，4项三级指标，基础总分</w:t>
      </w:r>
      <w:r>
        <w:rPr>
          <w:rFonts w:ascii="Times New Roman" w:hAnsi="Times New Roman"/>
        </w:rPr>
        <w:t>38</w:t>
      </w:r>
      <w:r>
        <w:rPr>
          <w:rFonts w:hint="eastAsia" w:ascii="Times New Roman" w:hAnsi="Times New Roman"/>
        </w:rPr>
        <w:t>分，合计得分38分。</w:t>
      </w:r>
    </w:p>
    <w:p>
      <w:pPr>
        <w:pStyle w:val="25"/>
        <w:ind w:firstLine="640"/>
        <w:rPr>
          <w:rFonts w:ascii="Times New Roman" w:hAnsi="Times New Roman"/>
        </w:rPr>
      </w:pPr>
      <w:r>
        <w:rPr>
          <w:rFonts w:ascii="Times New Roman" w:hAnsi="Times New Roman"/>
        </w:rPr>
        <w:t>1</w:t>
      </w:r>
      <w:r>
        <w:rPr>
          <w:rFonts w:hint="eastAsia" w:ascii="Times New Roman" w:hAnsi="Times New Roman"/>
        </w:rPr>
        <w:t>.产出数量</w:t>
      </w:r>
    </w:p>
    <w:p>
      <w:pPr>
        <w:pStyle w:val="25"/>
        <w:ind w:firstLine="640"/>
        <w:rPr>
          <w:rFonts w:ascii="Times New Roman" w:hAnsi="Times New Roman"/>
        </w:rPr>
      </w:pPr>
      <w:r>
        <w:rPr>
          <w:rFonts w:hint="eastAsia" w:ascii="Times New Roman" w:hAnsi="Times New Roman"/>
        </w:rPr>
        <w:t>智慧国资监管平台业务板块建设完成率（总分10分，得分10分）。截至2022年12月31日，项目建设方</w:t>
      </w:r>
      <w:r>
        <w:rPr>
          <w:rFonts w:hint="eastAsia" w:ascii="Times New Roman" w:hAnsi="Times New Roman"/>
          <w:szCs w:val="32"/>
        </w:rPr>
        <w:t>已完成</w:t>
      </w:r>
      <w:r>
        <w:rPr>
          <w:rFonts w:hint="eastAsia" w:ascii="Times New Roman" w:hAnsi="Times New Roman"/>
        </w:rPr>
        <w:t>财务管理、产权管理、投资管理、资金监控、三重一大、审计监督六大基础模块的搭建，与市国资委工作要求和项目合同书的建设范围规定一致，智慧国资监管平台业务板块建设完成率为100%。</w:t>
      </w:r>
    </w:p>
    <w:p>
      <w:pPr>
        <w:pStyle w:val="25"/>
        <w:ind w:firstLine="640"/>
        <w:rPr>
          <w:rFonts w:ascii="Times New Roman" w:hAnsi="Times New Roman"/>
        </w:rPr>
      </w:pPr>
      <w:r>
        <w:rPr>
          <w:rFonts w:hint="eastAsia" w:ascii="Times New Roman" w:hAnsi="Times New Roman"/>
        </w:rPr>
        <w:t>2.产出质量</w:t>
      </w:r>
    </w:p>
    <w:p>
      <w:pPr>
        <w:pStyle w:val="25"/>
        <w:ind w:firstLine="640"/>
        <w:rPr>
          <w:rFonts w:ascii="Times New Roman" w:hAnsi="Times New Roman"/>
        </w:rPr>
      </w:pPr>
      <w:r>
        <w:rPr>
          <w:rFonts w:hint="eastAsia" w:ascii="Times New Roman" w:hAnsi="Times New Roman"/>
        </w:rPr>
        <w:t>智慧国资监管平台上线运行稳定率（总分10分，得分10分）。智慧国资监管平台自上线试运行以来，系统使用期间运行稳定，符合合同要求，截至2022年底系统未出现故障，智慧国资监管平台上线运行稳定率为100%。</w:t>
      </w:r>
    </w:p>
    <w:p>
      <w:pPr>
        <w:pStyle w:val="25"/>
        <w:ind w:firstLine="640"/>
        <w:rPr>
          <w:rFonts w:ascii="Times New Roman" w:hAnsi="Times New Roman"/>
        </w:rPr>
      </w:pPr>
      <w:r>
        <w:rPr>
          <w:rFonts w:hint="eastAsia" w:ascii="Times New Roman" w:hAnsi="Times New Roman"/>
        </w:rPr>
        <w:t>3.产出时效</w:t>
      </w:r>
    </w:p>
    <w:p>
      <w:pPr>
        <w:pStyle w:val="25"/>
        <w:ind w:firstLine="640"/>
        <w:rPr>
          <w:rFonts w:ascii="Times New Roman" w:hAnsi="Times New Roman"/>
        </w:rPr>
      </w:pPr>
      <w:r>
        <w:rPr>
          <w:rFonts w:hint="eastAsia" w:ascii="Times New Roman" w:hAnsi="Times New Roman"/>
        </w:rPr>
        <w:t>智慧国资监管平台建设工作完成时间（总分9分，得分9分）。本项目于2021年1月完成六大基础模块的搭建工作，同年5月、6月打通区级和市级智慧国资系统网络并实现两个系统的数据对接，与市国资委工作要求和项目合同书的实施计划预计达成时间一致。由于市级智慧国资监管平台开放对接时间延迟，项目于2021年7月9日组织和平区智慧国资监管平台上线试运行，同年10月结束试运行并验收，智慧国资监管平台建设工作完成及时。</w:t>
      </w:r>
    </w:p>
    <w:p>
      <w:pPr>
        <w:pStyle w:val="25"/>
        <w:ind w:firstLine="640"/>
        <w:rPr>
          <w:rFonts w:ascii="Times New Roman" w:hAnsi="Times New Roman"/>
        </w:rPr>
      </w:pPr>
      <w:r>
        <w:rPr>
          <w:rFonts w:hint="eastAsia" w:ascii="Times New Roman" w:hAnsi="Times New Roman"/>
        </w:rPr>
        <w:t>4.产出成本</w:t>
      </w:r>
    </w:p>
    <w:p>
      <w:pPr>
        <w:pStyle w:val="25"/>
        <w:ind w:firstLine="640"/>
        <w:rPr>
          <w:rFonts w:ascii="Times New Roman" w:hAnsi="Times New Roman"/>
        </w:rPr>
      </w:pPr>
      <w:r>
        <w:rPr>
          <w:rFonts w:hint="eastAsia" w:ascii="Times New Roman" w:hAnsi="Times New Roman"/>
        </w:rPr>
        <w:t>智慧国资监管平台建设成本节约情况（总分9分，得分9分）。根据相关财务资料，</w:t>
      </w:r>
      <w:r>
        <w:rPr>
          <w:rFonts w:hint="eastAsia" w:ascii="Times New Roman" w:hAnsi="Times New Roman"/>
          <w:bCs/>
        </w:rPr>
        <w:t>智慧国资尾款及二期建设费项目2022年</w:t>
      </w:r>
      <w:r>
        <w:rPr>
          <w:rFonts w:hint="eastAsia" w:ascii="Times New Roman" w:hAnsi="Times New Roman"/>
        </w:rPr>
        <w:t>计划投入资金30万元，实际支出资金30万元，成本节约率0%。</w:t>
      </w:r>
    </w:p>
    <w:p>
      <w:pPr>
        <w:pStyle w:val="29"/>
        <w:ind w:firstLine="640"/>
        <w:rPr>
          <w:rFonts w:ascii="Times New Roman" w:hAnsi="Times New Roman"/>
        </w:rPr>
      </w:pPr>
      <w:bookmarkStart w:id="31" w:name="_Toc32179"/>
      <w:bookmarkStart w:id="32" w:name="_Toc25599"/>
      <w:r>
        <w:rPr>
          <w:rFonts w:hint="eastAsia" w:ascii="Times New Roman" w:hAnsi="Times New Roman"/>
        </w:rPr>
        <w:t>（四）项目效益情况</w:t>
      </w:r>
      <w:bookmarkEnd w:id="31"/>
      <w:bookmarkEnd w:id="32"/>
    </w:p>
    <w:p>
      <w:pPr>
        <w:pStyle w:val="25"/>
        <w:ind w:firstLine="640"/>
        <w:rPr>
          <w:rFonts w:ascii="Times New Roman" w:hAnsi="Times New Roman"/>
        </w:rPr>
      </w:pPr>
      <w:r>
        <w:rPr>
          <w:rFonts w:hint="eastAsia" w:ascii="Times New Roman" w:hAnsi="Times New Roman"/>
        </w:rPr>
        <w:t>效益指标主要包括社会效益、可持续影响、服务对象满意度</w:t>
      </w:r>
      <w:r>
        <w:rPr>
          <w:rFonts w:ascii="Times New Roman" w:hAnsi="Times New Roman"/>
        </w:rPr>
        <w:t>3</w:t>
      </w:r>
      <w:r>
        <w:rPr>
          <w:rFonts w:hint="eastAsia" w:ascii="Times New Roman" w:hAnsi="Times New Roman"/>
        </w:rPr>
        <w:t>项二级指标，4项三级指标，基础总分</w:t>
      </w:r>
      <w:r>
        <w:rPr>
          <w:rFonts w:ascii="Times New Roman" w:hAnsi="Times New Roman"/>
        </w:rPr>
        <w:t>22</w:t>
      </w:r>
      <w:r>
        <w:rPr>
          <w:rFonts w:hint="eastAsia" w:ascii="Times New Roman" w:hAnsi="Times New Roman"/>
        </w:rPr>
        <w:t>分，合计得分</w:t>
      </w:r>
      <w:r>
        <w:rPr>
          <w:rFonts w:hint="eastAsia"/>
          <w:lang w:val="en-US" w:eastAsia="zh-CN"/>
        </w:rPr>
        <w:t>22</w:t>
      </w:r>
      <w:r>
        <w:rPr>
          <w:rFonts w:hint="eastAsia" w:ascii="Times New Roman" w:hAnsi="Times New Roman"/>
        </w:rPr>
        <w:t>分。</w:t>
      </w:r>
    </w:p>
    <w:p>
      <w:pPr>
        <w:pStyle w:val="25"/>
        <w:ind w:firstLine="640"/>
        <w:rPr>
          <w:rFonts w:ascii="Times New Roman" w:hAnsi="Times New Roman"/>
        </w:rPr>
      </w:pPr>
      <w:r>
        <w:rPr>
          <w:rFonts w:hint="eastAsia" w:ascii="Times New Roman" w:hAnsi="Times New Roman"/>
        </w:rPr>
        <w:t>1.社会效益</w:t>
      </w:r>
    </w:p>
    <w:p>
      <w:pPr>
        <w:pStyle w:val="25"/>
        <w:ind w:firstLine="640"/>
        <w:rPr>
          <w:rFonts w:ascii="Times New Roman" w:hAnsi="Times New Roman"/>
        </w:rPr>
      </w:pPr>
      <w:r>
        <w:rPr>
          <w:rFonts w:hint="eastAsia" w:ascii="Times New Roman" w:hAnsi="Times New Roman"/>
        </w:rPr>
        <w:t>（1）国有企业平台使用覆盖率（总分7分，得分7分）。2022年天津市和平区国有资产管理委员会区管国有企业57家，智慧国资监管平台建设完成后实际使用系统的国有企业数量为57家，国有企业平台使用覆盖率为100%，有效提升了国有企业监管能力。</w:t>
      </w:r>
    </w:p>
    <w:p>
      <w:pPr>
        <w:pStyle w:val="25"/>
        <w:ind w:firstLine="640"/>
        <w:rPr>
          <w:rFonts w:ascii="Times New Roman" w:hAnsi="Times New Roman"/>
        </w:rPr>
      </w:pPr>
      <w:r>
        <w:rPr>
          <w:rFonts w:hint="eastAsia" w:ascii="Times New Roman" w:hAnsi="Times New Roman"/>
        </w:rPr>
        <w:t>（2）智慧国资监管平台信息化水平的提升情况（总分7分，得分</w:t>
      </w:r>
      <w:r>
        <w:rPr>
          <w:rFonts w:hint="eastAsia"/>
          <w:lang w:val="en-US" w:eastAsia="zh-CN"/>
        </w:rPr>
        <w:t>7</w:t>
      </w:r>
      <w:r>
        <w:rPr>
          <w:rFonts w:hint="eastAsia" w:ascii="Times New Roman" w:hAnsi="Times New Roman"/>
        </w:rPr>
        <w:t>分）。智慧国资监管平台财务管理、产权管理、投资管理、资金监控、三重一大、审计监督六大基础模块搭建完成后，通过与企业数据对接，实现了对企业数据的实时监管和分析。系统全面上线后形成上联国务院国资委和市国资委，下联区属企业的闭环监管系统，实现了监管方式从“事后处理”向“事前规范、事中控制、事后评价”的转变，从“要报表”向“连系统、拿数据、做分析”的转变，能够及时收集企业的数据并进行分析，从分析中发现问题，及时预警提示，为领导决策提供数据依据，有效提升了国资监管效率、质量和水平。</w:t>
      </w:r>
    </w:p>
    <w:p>
      <w:pPr>
        <w:pStyle w:val="25"/>
        <w:ind w:firstLine="640"/>
        <w:rPr>
          <w:rFonts w:ascii="Times New Roman" w:hAnsi="Times New Roman"/>
        </w:rPr>
      </w:pPr>
      <w:r>
        <w:rPr>
          <w:rFonts w:ascii="Times New Roman" w:hAnsi="Times New Roman"/>
        </w:rPr>
        <w:t>2</w:t>
      </w:r>
      <w:r>
        <w:rPr>
          <w:rFonts w:hint="eastAsia" w:ascii="Times New Roman" w:hAnsi="Times New Roman"/>
        </w:rPr>
        <w:t>.可持续影响</w:t>
      </w:r>
    </w:p>
    <w:p>
      <w:pPr>
        <w:pStyle w:val="25"/>
        <w:ind w:firstLine="640"/>
        <w:rPr>
          <w:rFonts w:ascii="Times New Roman" w:hAnsi="Times New Roman"/>
        </w:rPr>
      </w:pPr>
      <w:r>
        <w:rPr>
          <w:rFonts w:hint="eastAsia" w:ascii="Times New Roman" w:hAnsi="Times New Roman"/>
        </w:rPr>
        <w:t>建立健全国资信息化管理制度（总分4分，得分4分）。根据相关文件要求，天津市和平区人民政府国有资产监督管理委员会需建立健全规范的信息化工作计划、建设、运行、维护和管理制度。天津市和平区人民政府国有资产监督管理委员会结合本项目实际情况制定了《智慧国资监管平台项目章程》，其中包括平台建设实施计划、建设方案、项目管理、系统运维等管理制度，项目实施过程中通过例会、</w:t>
      </w:r>
      <w:r>
        <w:rPr>
          <w:rFonts w:hint="eastAsia" w:ascii="Times New Roman" w:hAnsi="Times New Roman"/>
          <w:bCs/>
        </w:rPr>
        <w:t>月度总结等形式，对智慧国资监管平台建设工作进行严格管理，及时发现并解决问题，确保了国资监管信息系统建设和应用规范有序。</w:t>
      </w:r>
    </w:p>
    <w:p>
      <w:pPr>
        <w:pStyle w:val="25"/>
        <w:ind w:firstLine="640"/>
        <w:rPr>
          <w:rFonts w:ascii="Times New Roman" w:hAnsi="Times New Roman"/>
        </w:rPr>
      </w:pPr>
      <w:r>
        <w:rPr>
          <w:rFonts w:ascii="Times New Roman" w:hAnsi="Times New Roman"/>
        </w:rPr>
        <w:t>3</w:t>
      </w:r>
      <w:r>
        <w:rPr>
          <w:rFonts w:hint="eastAsia" w:ascii="Times New Roman" w:hAnsi="Times New Roman"/>
        </w:rPr>
        <w:t>.服务对象满意度</w:t>
      </w:r>
    </w:p>
    <w:p>
      <w:pPr>
        <w:pStyle w:val="25"/>
        <w:ind w:firstLine="640"/>
        <w:rPr>
          <w:rFonts w:ascii="Times New Roman" w:hAnsi="Times New Roman"/>
        </w:rPr>
      </w:pPr>
      <w:r>
        <w:rPr>
          <w:rFonts w:hint="eastAsia" w:ascii="Times New Roman" w:hAnsi="Times New Roman"/>
        </w:rPr>
        <w:t>系统使用人员满意度（总分4分，得分4分）。采取随机向天津市和平区人民政府国有资产监督管理委员会机关和国有企业系统使用人员发放调查问卷方式，系统使用人员满意度问卷共发放25份，涉及满意度问题8项，调查内容中对现有平台对国资监管效率的满意度、现有平台安全性的满意度、现有平台实时性的满意度、现有平台易用性的满意度、现有平台可维护性的满意度、现有平台经济性的满意度、现有平台可扩展性的满意度、现有平台适用性的满意度等问题做出调查，调查结果显示，系统使用人员的综合满意度为100%。</w:t>
      </w:r>
    </w:p>
    <w:p>
      <w:pPr>
        <w:pStyle w:val="27"/>
        <w:spacing w:line="240" w:lineRule="auto"/>
        <w:ind w:firstLine="640" w:firstLineChars="200"/>
        <w:rPr>
          <w:rFonts w:ascii="Times New Roman" w:hAnsi="Times New Roman"/>
        </w:rPr>
      </w:pPr>
      <w:bookmarkStart w:id="33" w:name="_Toc24361"/>
      <w:bookmarkStart w:id="34" w:name="_Toc32479"/>
      <w:r>
        <w:rPr>
          <w:rFonts w:hint="eastAsia" w:ascii="Times New Roman" w:hAnsi="Times New Roman"/>
        </w:rPr>
        <w:t>五、存在的主要问题</w:t>
      </w:r>
      <w:bookmarkEnd w:id="33"/>
      <w:bookmarkEnd w:id="34"/>
    </w:p>
    <w:p>
      <w:pPr>
        <w:pStyle w:val="29"/>
        <w:ind w:firstLine="640"/>
        <w:rPr>
          <w:rFonts w:ascii="Times New Roman" w:hAnsi="Times New Roman"/>
        </w:rPr>
      </w:pPr>
      <w:bookmarkStart w:id="35" w:name="_Toc10818"/>
      <w:bookmarkStart w:id="36" w:name="_Toc9801"/>
      <w:bookmarkStart w:id="37" w:name="_Hlk91875531"/>
      <w:r>
        <w:rPr>
          <w:rFonts w:hint="eastAsia" w:ascii="Times New Roman" w:hAnsi="Times New Roman"/>
        </w:rPr>
        <w:t>绩效目标完整性需进一步提升</w:t>
      </w:r>
      <w:bookmarkEnd w:id="35"/>
      <w:bookmarkEnd w:id="36"/>
    </w:p>
    <w:p>
      <w:pPr>
        <w:pStyle w:val="25"/>
        <w:ind w:firstLine="640"/>
        <w:rPr>
          <w:rFonts w:ascii="Times New Roman" w:hAnsi="Times New Roman"/>
        </w:rPr>
      </w:pPr>
      <w:r>
        <w:rPr>
          <w:rFonts w:hint="eastAsia" w:ascii="Times New Roman" w:hAnsi="Times New Roman"/>
        </w:rPr>
        <w:t>天津市和平区人民政府国有资产监督管理委员会设定的绩效目标为“为落实国务院国资委加快建设在线监管系统，全面建设涵盖财务、产权、投资、资金、三重一大、审计监督等系统，按照市国资委下发的数据标准完成与市国资监管平台的数据对接”，内容未体现项目实施后达成的预期效益和效果。</w:t>
      </w:r>
    </w:p>
    <w:bookmarkEnd w:id="37"/>
    <w:p>
      <w:pPr>
        <w:pStyle w:val="27"/>
        <w:rPr>
          <w:rFonts w:ascii="Times New Roman" w:hAnsi="Times New Roman"/>
        </w:rPr>
      </w:pPr>
      <w:bookmarkStart w:id="38" w:name="_Toc5008"/>
      <w:bookmarkStart w:id="39" w:name="_Toc24665"/>
      <w:r>
        <w:rPr>
          <w:rFonts w:hint="eastAsia" w:ascii="Times New Roman" w:hAnsi="Times New Roman"/>
        </w:rPr>
        <w:t>六、相关建议</w:t>
      </w:r>
      <w:bookmarkEnd w:id="38"/>
      <w:bookmarkEnd w:id="39"/>
    </w:p>
    <w:p>
      <w:pPr>
        <w:pStyle w:val="29"/>
        <w:ind w:firstLine="640"/>
        <w:rPr>
          <w:rFonts w:ascii="Times New Roman" w:hAnsi="Times New Roman"/>
        </w:rPr>
      </w:pPr>
      <w:bookmarkStart w:id="40" w:name="_Toc1041"/>
      <w:bookmarkStart w:id="41" w:name="_Toc6128"/>
      <w:r>
        <w:rPr>
          <w:rFonts w:hint="eastAsia" w:ascii="Times New Roman" w:hAnsi="Times New Roman"/>
        </w:rPr>
        <w:t>加强项目绩效工作管理意识</w:t>
      </w:r>
      <w:bookmarkEnd w:id="40"/>
      <w:bookmarkEnd w:id="41"/>
    </w:p>
    <w:p>
      <w:pPr>
        <w:pStyle w:val="25"/>
        <w:ind w:firstLine="640"/>
        <w:rPr>
          <w:rFonts w:ascii="Times New Roman" w:hAnsi="Times New Roman"/>
        </w:rPr>
      </w:pPr>
      <w:r>
        <w:rPr>
          <w:rFonts w:hint="eastAsia" w:ascii="Times New Roman" w:hAnsi="Times New Roman"/>
        </w:rPr>
        <w:t>建议天津市和平区国有资产管理委员会加强绩效培训力度，提高绩效工作的重视程度，强化对绩效基本概念的理解，设定绩效目标时应体现项目核心产出和效益，从而提高整体绩效工作质量。</w:t>
      </w:r>
    </w:p>
    <w:p>
      <w:pPr>
        <w:pStyle w:val="27"/>
        <w:bidi w:val="0"/>
        <w:rPr>
          <w:rFonts w:hint="default" w:ascii="Times New Roman" w:hAnsi="Times New Roman"/>
          <w:lang w:val="en-US" w:eastAsia="zh-Hans"/>
        </w:rPr>
      </w:pPr>
      <w:bookmarkStart w:id="42" w:name="_Toc7113"/>
      <w:r>
        <w:rPr>
          <w:rFonts w:hint="eastAsia" w:ascii="Times New Roman" w:hAnsi="Times New Roman"/>
          <w:lang w:val="en-US" w:eastAsia="zh-Hans"/>
        </w:rPr>
        <w:t>七、相关附件</w:t>
      </w:r>
      <w:bookmarkEnd w:id="42"/>
    </w:p>
    <w:p>
      <w:pPr>
        <w:pStyle w:val="25"/>
        <w:ind w:left="1556" w:leftChars="304" w:hanging="918" w:hangingChars="287"/>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附件：天津市和平区人民政府国有资产监督管理委员会智慧国资尾款及二期建设费绩效评价指标体系及评分表</w:t>
      </w:r>
    </w:p>
    <w:sectPr>
      <w:footerReference r:id="rId11" w:type="default"/>
      <w:pgSz w:w="11906" w:h="16838"/>
      <w:pgMar w:top="2041" w:right="1531" w:bottom="2041" w:left="1531"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014603440"/>
                          </w:sdtPr>
                          <w:sdtContent>
                            <w:p>
                              <w:pPr>
                                <w:pStyle w:val="10"/>
                                <w:ind w:firstLine="360"/>
                                <w:jc w:val="right"/>
                              </w:pPr>
                              <w:r>
                                <w:fldChar w:fldCharType="begin"/>
                              </w:r>
                              <w:r>
                                <w:instrText xml:space="preserve">PAGE   \* MERGEFORMAT</w:instrText>
                              </w:r>
                              <w:r>
                                <w:fldChar w:fldCharType="separate"/>
                              </w:r>
                              <w:r>
                                <w:rPr>
                                  <w:lang w:val="zh-CN"/>
                                </w:rPr>
                                <w:t>2</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id w:val="-1014603440"/>
                    </w:sdtPr>
                    <w:sdtContent>
                      <w:p>
                        <w:pPr>
                          <w:pStyle w:val="10"/>
                          <w:ind w:firstLine="360"/>
                          <w:jc w:val="right"/>
                        </w:pPr>
                        <w:r>
                          <w:fldChar w:fldCharType="begin"/>
                        </w:r>
                        <w:r>
                          <w:instrText xml:space="preserve">PAGE   \* MERGEFORMAT</w:instrText>
                        </w:r>
                        <w:r>
                          <w:fldChar w:fldCharType="separate"/>
                        </w:r>
                        <w:r>
                          <w:rPr>
                            <w:lang w:val="zh-CN"/>
                          </w:rPr>
                          <w:t>2</w:t>
                        </w:r>
                        <w:r>
                          <w:fldChar w:fldCharType="end"/>
                        </w:r>
                      </w:p>
                    </w:sdtContent>
                  </w:sdt>
                  <w:p/>
                </w:txbxContent>
              </v:textbox>
            </v:shape>
          </w:pict>
        </mc:Fallback>
      </mc:AlternateContent>
    </w:r>
  </w:p>
  <w:p>
    <w:pPr>
      <w:ind w:firstLine="4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ZmZDFjYmZhY2ZiYTc1ODMxNTFlOTcwZDYzYWU1NDkifQ=="/>
  </w:docVars>
  <w:rsids>
    <w:rsidRoot w:val="00661057"/>
    <w:rsid w:val="00010865"/>
    <w:rsid w:val="00015C05"/>
    <w:rsid w:val="00017921"/>
    <w:rsid w:val="00021949"/>
    <w:rsid w:val="00024AFD"/>
    <w:rsid w:val="000315D7"/>
    <w:rsid w:val="000320CF"/>
    <w:rsid w:val="00041A50"/>
    <w:rsid w:val="00053EC5"/>
    <w:rsid w:val="0007429F"/>
    <w:rsid w:val="000746D9"/>
    <w:rsid w:val="000751CF"/>
    <w:rsid w:val="00090B22"/>
    <w:rsid w:val="000966C1"/>
    <w:rsid w:val="000B12D4"/>
    <w:rsid w:val="000B57FD"/>
    <w:rsid w:val="000B765C"/>
    <w:rsid w:val="000C161F"/>
    <w:rsid w:val="000C677C"/>
    <w:rsid w:val="000D0CBC"/>
    <w:rsid w:val="000D1B8A"/>
    <w:rsid w:val="000D4798"/>
    <w:rsid w:val="000D59C4"/>
    <w:rsid w:val="000E09D3"/>
    <w:rsid w:val="000E1645"/>
    <w:rsid w:val="000E60B5"/>
    <w:rsid w:val="000F5749"/>
    <w:rsid w:val="000F57C3"/>
    <w:rsid w:val="00100141"/>
    <w:rsid w:val="0010563C"/>
    <w:rsid w:val="001144A3"/>
    <w:rsid w:val="00133A6C"/>
    <w:rsid w:val="0014294F"/>
    <w:rsid w:val="00142FBC"/>
    <w:rsid w:val="00150419"/>
    <w:rsid w:val="00156000"/>
    <w:rsid w:val="00162746"/>
    <w:rsid w:val="001704F7"/>
    <w:rsid w:val="00170B3D"/>
    <w:rsid w:val="0017117B"/>
    <w:rsid w:val="0017581B"/>
    <w:rsid w:val="0017673E"/>
    <w:rsid w:val="00185478"/>
    <w:rsid w:val="001871E9"/>
    <w:rsid w:val="0019129E"/>
    <w:rsid w:val="00191749"/>
    <w:rsid w:val="00195E1D"/>
    <w:rsid w:val="001A2DD7"/>
    <w:rsid w:val="001A5D0F"/>
    <w:rsid w:val="001C455A"/>
    <w:rsid w:val="001C68F0"/>
    <w:rsid w:val="001D0C4F"/>
    <w:rsid w:val="001D4D25"/>
    <w:rsid w:val="001D598D"/>
    <w:rsid w:val="00201EAB"/>
    <w:rsid w:val="00202699"/>
    <w:rsid w:val="00206ED6"/>
    <w:rsid w:val="00210763"/>
    <w:rsid w:val="00213586"/>
    <w:rsid w:val="00223431"/>
    <w:rsid w:val="00231B10"/>
    <w:rsid w:val="002362E6"/>
    <w:rsid w:val="002367DC"/>
    <w:rsid w:val="0025214F"/>
    <w:rsid w:val="00252F45"/>
    <w:rsid w:val="00254126"/>
    <w:rsid w:val="00255788"/>
    <w:rsid w:val="00256F67"/>
    <w:rsid w:val="002606BD"/>
    <w:rsid w:val="00264F7B"/>
    <w:rsid w:val="00265D4E"/>
    <w:rsid w:val="002678A4"/>
    <w:rsid w:val="0027222E"/>
    <w:rsid w:val="002753AA"/>
    <w:rsid w:val="002815AF"/>
    <w:rsid w:val="00282482"/>
    <w:rsid w:val="00285E85"/>
    <w:rsid w:val="00297E04"/>
    <w:rsid w:val="002A3D27"/>
    <w:rsid w:val="002A425C"/>
    <w:rsid w:val="002B6E5F"/>
    <w:rsid w:val="002C23B2"/>
    <w:rsid w:val="002C2ECC"/>
    <w:rsid w:val="002D741B"/>
    <w:rsid w:val="002E0D16"/>
    <w:rsid w:val="002E3C4E"/>
    <w:rsid w:val="002F077A"/>
    <w:rsid w:val="002F2542"/>
    <w:rsid w:val="002F31E3"/>
    <w:rsid w:val="002F7F21"/>
    <w:rsid w:val="003029A1"/>
    <w:rsid w:val="003032A9"/>
    <w:rsid w:val="00303D5F"/>
    <w:rsid w:val="00304E75"/>
    <w:rsid w:val="00307E6B"/>
    <w:rsid w:val="00310651"/>
    <w:rsid w:val="00325B50"/>
    <w:rsid w:val="00326748"/>
    <w:rsid w:val="00335C30"/>
    <w:rsid w:val="0033624F"/>
    <w:rsid w:val="003502BF"/>
    <w:rsid w:val="003606F4"/>
    <w:rsid w:val="003652D2"/>
    <w:rsid w:val="0037372D"/>
    <w:rsid w:val="0038049A"/>
    <w:rsid w:val="0038053D"/>
    <w:rsid w:val="00380E46"/>
    <w:rsid w:val="00381F5C"/>
    <w:rsid w:val="003854CE"/>
    <w:rsid w:val="00386038"/>
    <w:rsid w:val="00386369"/>
    <w:rsid w:val="003920E7"/>
    <w:rsid w:val="00395D8F"/>
    <w:rsid w:val="00396581"/>
    <w:rsid w:val="0039718C"/>
    <w:rsid w:val="003A2940"/>
    <w:rsid w:val="003A2F91"/>
    <w:rsid w:val="003A30C9"/>
    <w:rsid w:val="003B4F6C"/>
    <w:rsid w:val="003C3423"/>
    <w:rsid w:val="003D42E6"/>
    <w:rsid w:val="003D5E93"/>
    <w:rsid w:val="003E5D8A"/>
    <w:rsid w:val="003E7C97"/>
    <w:rsid w:val="003F12E1"/>
    <w:rsid w:val="003F4C3B"/>
    <w:rsid w:val="003F61ED"/>
    <w:rsid w:val="00407F2A"/>
    <w:rsid w:val="004132DE"/>
    <w:rsid w:val="004174C2"/>
    <w:rsid w:val="0043312F"/>
    <w:rsid w:val="00440EAF"/>
    <w:rsid w:val="004429F6"/>
    <w:rsid w:val="00442C96"/>
    <w:rsid w:val="0044422D"/>
    <w:rsid w:val="00455F34"/>
    <w:rsid w:val="0046745A"/>
    <w:rsid w:val="004746B7"/>
    <w:rsid w:val="00481085"/>
    <w:rsid w:val="0048230B"/>
    <w:rsid w:val="0048792B"/>
    <w:rsid w:val="004A5665"/>
    <w:rsid w:val="004A5987"/>
    <w:rsid w:val="004A6BE4"/>
    <w:rsid w:val="004C0450"/>
    <w:rsid w:val="004C1741"/>
    <w:rsid w:val="004C4A72"/>
    <w:rsid w:val="004C5E4A"/>
    <w:rsid w:val="004C7A68"/>
    <w:rsid w:val="004D10A8"/>
    <w:rsid w:val="004D3BC4"/>
    <w:rsid w:val="004E0D4E"/>
    <w:rsid w:val="004E51AA"/>
    <w:rsid w:val="004F7B1D"/>
    <w:rsid w:val="00500272"/>
    <w:rsid w:val="0050309A"/>
    <w:rsid w:val="00506277"/>
    <w:rsid w:val="00507119"/>
    <w:rsid w:val="00513E56"/>
    <w:rsid w:val="00517695"/>
    <w:rsid w:val="005227CB"/>
    <w:rsid w:val="0052280F"/>
    <w:rsid w:val="005301DF"/>
    <w:rsid w:val="0053130C"/>
    <w:rsid w:val="00532532"/>
    <w:rsid w:val="005375FD"/>
    <w:rsid w:val="00541337"/>
    <w:rsid w:val="00563B61"/>
    <w:rsid w:val="00573B4A"/>
    <w:rsid w:val="00575954"/>
    <w:rsid w:val="00577671"/>
    <w:rsid w:val="00590B7F"/>
    <w:rsid w:val="005978EB"/>
    <w:rsid w:val="005A02D6"/>
    <w:rsid w:val="005A7556"/>
    <w:rsid w:val="005C4163"/>
    <w:rsid w:val="005C4F23"/>
    <w:rsid w:val="005C5F21"/>
    <w:rsid w:val="005C66DA"/>
    <w:rsid w:val="005D2B39"/>
    <w:rsid w:val="005E0A86"/>
    <w:rsid w:val="005E3B63"/>
    <w:rsid w:val="005F72E1"/>
    <w:rsid w:val="00601702"/>
    <w:rsid w:val="0060374B"/>
    <w:rsid w:val="006207A7"/>
    <w:rsid w:val="00635391"/>
    <w:rsid w:val="00642B6B"/>
    <w:rsid w:val="006509C0"/>
    <w:rsid w:val="006555B4"/>
    <w:rsid w:val="00661057"/>
    <w:rsid w:val="0066490F"/>
    <w:rsid w:val="0066557D"/>
    <w:rsid w:val="00665A76"/>
    <w:rsid w:val="00677282"/>
    <w:rsid w:val="0068007F"/>
    <w:rsid w:val="00680FC8"/>
    <w:rsid w:val="006913F0"/>
    <w:rsid w:val="006A1A15"/>
    <w:rsid w:val="006A2799"/>
    <w:rsid w:val="006B33B3"/>
    <w:rsid w:val="006B6D9D"/>
    <w:rsid w:val="006B6F79"/>
    <w:rsid w:val="006C3511"/>
    <w:rsid w:val="006D0238"/>
    <w:rsid w:val="006D642B"/>
    <w:rsid w:val="006F71A1"/>
    <w:rsid w:val="007051DB"/>
    <w:rsid w:val="0071296D"/>
    <w:rsid w:val="00712F83"/>
    <w:rsid w:val="00713AFA"/>
    <w:rsid w:val="00716ABF"/>
    <w:rsid w:val="0072230F"/>
    <w:rsid w:val="0072315E"/>
    <w:rsid w:val="00726B01"/>
    <w:rsid w:val="00743FB6"/>
    <w:rsid w:val="00747CF7"/>
    <w:rsid w:val="00774788"/>
    <w:rsid w:val="00781ADF"/>
    <w:rsid w:val="007823FB"/>
    <w:rsid w:val="00783F5D"/>
    <w:rsid w:val="007903CE"/>
    <w:rsid w:val="00793670"/>
    <w:rsid w:val="007A0119"/>
    <w:rsid w:val="007A7BE7"/>
    <w:rsid w:val="007D330F"/>
    <w:rsid w:val="007E1792"/>
    <w:rsid w:val="007F5AC1"/>
    <w:rsid w:val="007F68E4"/>
    <w:rsid w:val="007F7F99"/>
    <w:rsid w:val="008059C4"/>
    <w:rsid w:val="008104FF"/>
    <w:rsid w:val="00811D5D"/>
    <w:rsid w:val="00814D5C"/>
    <w:rsid w:val="0081535C"/>
    <w:rsid w:val="008202A4"/>
    <w:rsid w:val="0082624D"/>
    <w:rsid w:val="008329B3"/>
    <w:rsid w:val="00840466"/>
    <w:rsid w:val="008509FA"/>
    <w:rsid w:val="00855D04"/>
    <w:rsid w:val="00860004"/>
    <w:rsid w:val="00862FEA"/>
    <w:rsid w:val="008712EC"/>
    <w:rsid w:val="00871A31"/>
    <w:rsid w:val="0087558E"/>
    <w:rsid w:val="00890929"/>
    <w:rsid w:val="008924A7"/>
    <w:rsid w:val="00895AEA"/>
    <w:rsid w:val="008A759E"/>
    <w:rsid w:val="008B0066"/>
    <w:rsid w:val="008B59A6"/>
    <w:rsid w:val="008D2D00"/>
    <w:rsid w:val="008D7880"/>
    <w:rsid w:val="008E3F5C"/>
    <w:rsid w:val="008E5E84"/>
    <w:rsid w:val="008F0212"/>
    <w:rsid w:val="008F062C"/>
    <w:rsid w:val="008F417A"/>
    <w:rsid w:val="008F5986"/>
    <w:rsid w:val="008F7880"/>
    <w:rsid w:val="009040D7"/>
    <w:rsid w:val="009061EE"/>
    <w:rsid w:val="009103B4"/>
    <w:rsid w:val="00910630"/>
    <w:rsid w:val="00912ED4"/>
    <w:rsid w:val="00913830"/>
    <w:rsid w:val="00913E98"/>
    <w:rsid w:val="00934AD2"/>
    <w:rsid w:val="00935816"/>
    <w:rsid w:val="009363BB"/>
    <w:rsid w:val="00941CE3"/>
    <w:rsid w:val="0095347B"/>
    <w:rsid w:val="00955B84"/>
    <w:rsid w:val="00976240"/>
    <w:rsid w:val="00977C36"/>
    <w:rsid w:val="00985716"/>
    <w:rsid w:val="009866A6"/>
    <w:rsid w:val="00990F30"/>
    <w:rsid w:val="00992019"/>
    <w:rsid w:val="009C1629"/>
    <w:rsid w:val="009C2C2E"/>
    <w:rsid w:val="009C4DCE"/>
    <w:rsid w:val="009D402B"/>
    <w:rsid w:val="009E109E"/>
    <w:rsid w:val="009E204A"/>
    <w:rsid w:val="009E4267"/>
    <w:rsid w:val="009E768A"/>
    <w:rsid w:val="009E79DC"/>
    <w:rsid w:val="009F6318"/>
    <w:rsid w:val="00A061D0"/>
    <w:rsid w:val="00A06C54"/>
    <w:rsid w:val="00A207D3"/>
    <w:rsid w:val="00A25B3A"/>
    <w:rsid w:val="00A25CC2"/>
    <w:rsid w:val="00A308A4"/>
    <w:rsid w:val="00A31C1E"/>
    <w:rsid w:val="00A414FB"/>
    <w:rsid w:val="00A46147"/>
    <w:rsid w:val="00A4688B"/>
    <w:rsid w:val="00A6224E"/>
    <w:rsid w:val="00A709F4"/>
    <w:rsid w:val="00A74304"/>
    <w:rsid w:val="00A8117E"/>
    <w:rsid w:val="00A86391"/>
    <w:rsid w:val="00A90D9B"/>
    <w:rsid w:val="00A91945"/>
    <w:rsid w:val="00A96AAB"/>
    <w:rsid w:val="00AA5431"/>
    <w:rsid w:val="00AB2391"/>
    <w:rsid w:val="00AB65E0"/>
    <w:rsid w:val="00AC02F2"/>
    <w:rsid w:val="00AC0D86"/>
    <w:rsid w:val="00AC3016"/>
    <w:rsid w:val="00AC41C7"/>
    <w:rsid w:val="00AE03EE"/>
    <w:rsid w:val="00AE0785"/>
    <w:rsid w:val="00AE44A0"/>
    <w:rsid w:val="00AE4B56"/>
    <w:rsid w:val="00AF00D2"/>
    <w:rsid w:val="00AF55D3"/>
    <w:rsid w:val="00AF57C9"/>
    <w:rsid w:val="00B002BF"/>
    <w:rsid w:val="00B03444"/>
    <w:rsid w:val="00B1013E"/>
    <w:rsid w:val="00B15D0A"/>
    <w:rsid w:val="00B22276"/>
    <w:rsid w:val="00B238F1"/>
    <w:rsid w:val="00B23EF4"/>
    <w:rsid w:val="00B23F0C"/>
    <w:rsid w:val="00B26714"/>
    <w:rsid w:val="00B331B1"/>
    <w:rsid w:val="00B35E24"/>
    <w:rsid w:val="00B43992"/>
    <w:rsid w:val="00B4638E"/>
    <w:rsid w:val="00B5638F"/>
    <w:rsid w:val="00B6027A"/>
    <w:rsid w:val="00B60A6B"/>
    <w:rsid w:val="00B62C18"/>
    <w:rsid w:val="00B66CC2"/>
    <w:rsid w:val="00B841DD"/>
    <w:rsid w:val="00B8712D"/>
    <w:rsid w:val="00B906BE"/>
    <w:rsid w:val="00B976F1"/>
    <w:rsid w:val="00BA3E3D"/>
    <w:rsid w:val="00BB25CA"/>
    <w:rsid w:val="00BB59FC"/>
    <w:rsid w:val="00BE05CF"/>
    <w:rsid w:val="00BE0603"/>
    <w:rsid w:val="00BE5B7E"/>
    <w:rsid w:val="00BE5C78"/>
    <w:rsid w:val="00BE65F5"/>
    <w:rsid w:val="00BF08E7"/>
    <w:rsid w:val="00BF42E6"/>
    <w:rsid w:val="00BF6478"/>
    <w:rsid w:val="00C04CAE"/>
    <w:rsid w:val="00C061DB"/>
    <w:rsid w:val="00C06924"/>
    <w:rsid w:val="00C07B2B"/>
    <w:rsid w:val="00C1073E"/>
    <w:rsid w:val="00C10AC5"/>
    <w:rsid w:val="00C116C8"/>
    <w:rsid w:val="00C2225A"/>
    <w:rsid w:val="00C36200"/>
    <w:rsid w:val="00C362F8"/>
    <w:rsid w:val="00C5133E"/>
    <w:rsid w:val="00C51B32"/>
    <w:rsid w:val="00C53E45"/>
    <w:rsid w:val="00C54DC3"/>
    <w:rsid w:val="00C65AB2"/>
    <w:rsid w:val="00C66FD3"/>
    <w:rsid w:val="00C84297"/>
    <w:rsid w:val="00C85726"/>
    <w:rsid w:val="00C86CC8"/>
    <w:rsid w:val="00C87832"/>
    <w:rsid w:val="00C91F96"/>
    <w:rsid w:val="00C96A15"/>
    <w:rsid w:val="00CA012D"/>
    <w:rsid w:val="00CB137E"/>
    <w:rsid w:val="00CC12EF"/>
    <w:rsid w:val="00CC5CAC"/>
    <w:rsid w:val="00CC704D"/>
    <w:rsid w:val="00CD188A"/>
    <w:rsid w:val="00CD2BE9"/>
    <w:rsid w:val="00CD4757"/>
    <w:rsid w:val="00CD6F4C"/>
    <w:rsid w:val="00CE1B8A"/>
    <w:rsid w:val="00CE3AF2"/>
    <w:rsid w:val="00CE6F29"/>
    <w:rsid w:val="00CE77D0"/>
    <w:rsid w:val="00CF22DB"/>
    <w:rsid w:val="00D02A23"/>
    <w:rsid w:val="00D054B1"/>
    <w:rsid w:val="00D07A9E"/>
    <w:rsid w:val="00D1019C"/>
    <w:rsid w:val="00D12E9B"/>
    <w:rsid w:val="00D13CE2"/>
    <w:rsid w:val="00D217CE"/>
    <w:rsid w:val="00D21DCB"/>
    <w:rsid w:val="00D23322"/>
    <w:rsid w:val="00D351A7"/>
    <w:rsid w:val="00D42233"/>
    <w:rsid w:val="00D42400"/>
    <w:rsid w:val="00D43049"/>
    <w:rsid w:val="00D47E28"/>
    <w:rsid w:val="00D56DD6"/>
    <w:rsid w:val="00D57A11"/>
    <w:rsid w:val="00D61993"/>
    <w:rsid w:val="00D7101A"/>
    <w:rsid w:val="00D7729E"/>
    <w:rsid w:val="00D77B0C"/>
    <w:rsid w:val="00D84F79"/>
    <w:rsid w:val="00D8540E"/>
    <w:rsid w:val="00D85EDA"/>
    <w:rsid w:val="00D96687"/>
    <w:rsid w:val="00DA0BF0"/>
    <w:rsid w:val="00DB0A45"/>
    <w:rsid w:val="00DC0184"/>
    <w:rsid w:val="00DC2003"/>
    <w:rsid w:val="00DC48BE"/>
    <w:rsid w:val="00DD15F6"/>
    <w:rsid w:val="00DF2687"/>
    <w:rsid w:val="00DF6D0A"/>
    <w:rsid w:val="00E05FE5"/>
    <w:rsid w:val="00E06041"/>
    <w:rsid w:val="00E11346"/>
    <w:rsid w:val="00E178BD"/>
    <w:rsid w:val="00E269B8"/>
    <w:rsid w:val="00E33B46"/>
    <w:rsid w:val="00E56741"/>
    <w:rsid w:val="00E719AC"/>
    <w:rsid w:val="00E744B0"/>
    <w:rsid w:val="00E752B7"/>
    <w:rsid w:val="00E76319"/>
    <w:rsid w:val="00E87E19"/>
    <w:rsid w:val="00EA32EF"/>
    <w:rsid w:val="00EB012E"/>
    <w:rsid w:val="00EB35C3"/>
    <w:rsid w:val="00EC2367"/>
    <w:rsid w:val="00EC73A6"/>
    <w:rsid w:val="00ED153D"/>
    <w:rsid w:val="00ED6EF6"/>
    <w:rsid w:val="00ED7AA6"/>
    <w:rsid w:val="00EE5FF0"/>
    <w:rsid w:val="00EF447D"/>
    <w:rsid w:val="00EF5DA5"/>
    <w:rsid w:val="00EF72FF"/>
    <w:rsid w:val="00F00CA5"/>
    <w:rsid w:val="00F01F08"/>
    <w:rsid w:val="00F04803"/>
    <w:rsid w:val="00F064CE"/>
    <w:rsid w:val="00F07D83"/>
    <w:rsid w:val="00F22538"/>
    <w:rsid w:val="00F24D75"/>
    <w:rsid w:val="00F25493"/>
    <w:rsid w:val="00F2621D"/>
    <w:rsid w:val="00F5341C"/>
    <w:rsid w:val="00F54EC4"/>
    <w:rsid w:val="00F55003"/>
    <w:rsid w:val="00F624C0"/>
    <w:rsid w:val="00F73404"/>
    <w:rsid w:val="00F73AC3"/>
    <w:rsid w:val="00F73C16"/>
    <w:rsid w:val="00F73FEC"/>
    <w:rsid w:val="00F75B3D"/>
    <w:rsid w:val="00F8291C"/>
    <w:rsid w:val="00F82FB7"/>
    <w:rsid w:val="00F840B1"/>
    <w:rsid w:val="00F973E5"/>
    <w:rsid w:val="00FA3A53"/>
    <w:rsid w:val="00FA5929"/>
    <w:rsid w:val="00FB2C9E"/>
    <w:rsid w:val="00FB66CB"/>
    <w:rsid w:val="00FC3A6B"/>
    <w:rsid w:val="00FC77B3"/>
    <w:rsid w:val="00FD3B3A"/>
    <w:rsid w:val="00FD4D14"/>
    <w:rsid w:val="00FE27D0"/>
    <w:rsid w:val="00FF5079"/>
    <w:rsid w:val="011A4D50"/>
    <w:rsid w:val="017A6585"/>
    <w:rsid w:val="02816CCE"/>
    <w:rsid w:val="04E622BB"/>
    <w:rsid w:val="052A0361"/>
    <w:rsid w:val="05450A86"/>
    <w:rsid w:val="054D3027"/>
    <w:rsid w:val="05AF0E13"/>
    <w:rsid w:val="05D979E4"/>
    <w:rsid w:val="082F0F7A"/>
    <w:rsid w:val="0C692C1B"/>
    <w:rsid w:val="0CED33FE"/>
    <w:rsid w:val="0D1A77DF"/>
    <w:rsid w:val="0E5005EE"/>
    <w:rsid w:val="0E5C414B"/>
    <w:rsid w:val="0F067906"/>
    <w:rsid w:val="0F5C08A7"/>
    <w:rsid w:val="10FB40F0"/>
    <w:rsid w:val="11643A43"/>
    <w:rsid w:val="11B76E7E"/>
    <w:rsid w:val="12A65A60"/>
    <w:rsid w:val="146401FE"/>
    <w:rsid w:val="15B30AF5"/>
    <w:rsid w:val="165916C2"/>
    <w:rsid w:val="16B55AB3"/>
    <w:rsid w:val="17FA7383"/>
    <w:rsid w:val="18E56531"/>
    <w:rsid w:val="1BA710FC"/>
    <w:rsid w:val="1D835251"/>
    <w:rsid w:val="1E072090"/>
    <w:rsid w:val="1E0B2298"/>
    <w:rsid w:val="1E481C6C"/>
    <w:rsid w:val="20756A8B"/>
    <w:rsid w:val="248B0E8F"/>
    <w:rsid w:val="25B67607"/>
    <w:rsid w:val="28CB3175"/>
    <w:rsid w:val="2A1F4553"/>
    <w:rsid w:val="2B4A399E"/>
    <w:rsid w:val="2BF3422E"/>
    <w:rsid w:val="2D032242"/>
    <w:rsid w:val="33EF39F0"/>
    <w:rsid w:val="353341F1"/>
    <w:rsid w:val="361B5D55"/>
    <w:rsid w:val="364A2958"/>
    <w:rsid w:val="3B673FAC"/>
    <w:rsid w:val="3C617ADE"/>
    <w:rsid w:val="3D842320"/>
    <w:rsid w:val="40054829"/>
    <w:rsid w:val="42976F25"/>
    <w:rsid w:val="43335634"/>
    <w:rsid w:val="44D4670C"/>
    <w:rsid w:val="493E0EA4"/>
    <w:rsid w:val="4957740E"/>
    <w:rsid w:val="4D090A1F"/>
    <w:rsid w:val="4D1F09C9"/>
    <w:rsid w:val="4E830CA5"/>
    <w:rsid w:val="4FD62D0A"/>
    <w:rsid w:val="5084398F"/>
    <w:rsid w:val="53F561A1"/>
    <w:rsid w:val="53FD5056"/>
    <w:rsid w:val="5B6230FC"/>
    <w:rsid w:val="5BC64609"/>
    <w:rsid w:val="5F675708"/>
    <w:rsid w:val="6138591F"/>
    <w:rsid w:val="631A1780"/>
    <w:rsid w:val="65110961"/>
    <w:rsid w:val="652F0DE7"/>
    <w:rsid w:val="653603C7"/>
    <w:rsid w:val="689E075E"/>
    <w:rsid w:val="6B104EE7"/>
    <w:rsid w:val="6B1A35C7"/>
    <w:rsid w:val="6BF66210"/>
    <w:rsid w:val="6FCBCDA2"/>
    <w:rsid w:val="70733469"/>
    <w:rsid w:val="70DD5B9B"/>
    <w:rsid w:val="70F0688D"/>
    <w:rsid w:val="71B21A2D"/>
    <w:rsid w:val="730C2768"/>
    <w:rsid w:val="74D33D47"/>
    <w:rsid w:val="77AF9460"/>
    <w:rsid w:val="7A6F3D08"/>
    <w:rsid w:val="7AC8601E"/>
    <w:rsid w:val="7D6D04F4"/>
    <w:rsid w:val="7D7BD1CB"/>
    <w:rsid w:val="7D96115C"/>
    <w:rsid w:val="7DE762AB"/>
    <w:rsid w:val="7E413C0D"/>
    <w:rsid w:val="7F8B421F"/>
    <w:rsid w:val="7FBB35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name="heading 1"/>
    <w:lsdException w:qFormat="1" w:unhideWhenUsed="0" w:uiPriority="9" w:name="heading 2"/>
    <w:lsdException w:qFormat="1" w:unhideWhenUsed="0" w:uiPriority="9" w:name="heading 3"/>
    <w:lsdException w:qFormat="1" w:unhideWhenUsed="0" w:uiPriority="9" w:name="heading 4"/>
    <w:lsdException w:qFormat="1" w:unhideWhenUsed="0" w:uiPriority="9" w:name="heading 5"/>
    <w:lsdException w:qFormat="1" w:unhideWhenUsed="0" w:uiPriority="9" w:name="heading 6"/>
    <w:lsdException w:qFormat="1" w:unhideWhenUsed="0" w:uiPriority="9" w:name="heading 7"/>
    <w:lsdException w:qFormat="1" w:unhideWhenUsed="0" w:uiPriority="9" w:name="heading 8"/>
    <w:lsdException w:qFormat="1" w:unhideWhenUsed="0" w:uiPriority="9" w:name="heading 9"/>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qFormat="1" w:unhideWhenUsed="0" w:uiPriority="39" w:name="toc 1"/>
    <w:lsdException w:qFormat="1" w:uiPriority="39" w:semiHidden="0" w:name="toc 2"/>
    <w:lsdException w:qFormat="1" w:uiPriority="39" w:semiHidden="0" w:name="toc 3"/>
    <w:lsdException w:unhideWhenUsed="0" w:uiPriority="39" w:name="toc 4"/>
    <w:lsdException w:unhideWhenUsed="0" w:uiPriority="39" w:name="toc 5"/>
    <w:lsdException w:unhideWhenUsed="0" w:uiPriority="39" w:name="toc 6"/>
    <w:lsdException w:unhideWhenUsed="0" w:uiPriority="39" w:name="toc 7"/>
    <w:lsdException w:unhideWhenUsed="0" w:uiPriority="39" w:name="toc 8"/>
    <w:lsdException w:unhideWhenUsed="0" w:uiPriority="39" w:name="toc 9"/>
    <w:lsdException w:unhideWhenUsed="0" w:uiPriority="99" w:name="Normal Indent"/>
    <w:lsdException w:unhideWhenUsed="0" w:uiPriority="99" w:name="footnote text"/>
    <w:lsdException w:qFormat="1" w:unhideWhenUsed="0" w:uiPriority="99" w:name="annotation text"/>
    <w:lsdException w:unhideWhenUsed="0" w:uiPriority="99" w:name="header"/>
    <w:lsdException w:qFormat="1" w:unhideWhenUsed="0" w:uiPriority="99" w:semiHidden="0" w:name="footer"/>
    <w:lsdException w:unhideWhenUsed="0" w:uiPriority="99" w:name="index heading"/>
    <w:lsdException w:qFormat="1" w:unhideWhenUsed="0" w:uiPriority="35" w:name="caption"/>
    <w:lsdException w:unhideWhenUsed="0" w:uiPriority="99" w:name="table of figures"/>
    <w:lsdException w:unhideWhenUsed="0" w:uiPriority="99" w:name="envelope address"/>
    <w:lsdException w:unhideWhenUsed="0" w:uiPriority="99" w:name="envelope return"/>
    <w:lsdException w:unhideWhenUsed="0" w:uiPriority="99" w:name="footnote reference"/>
    <w:lsdException w:qFormat="1" w:unhideWhenUsed="0" w:uiPriority="99" w:name="annotation reference"/>
    <w:lsdException w:unhideWhenUsed="0" w:uiPriority="99" w:name="line number"/>
    <w:lsdException w:unhideWhenUsed="0" w:uiPriority="99" w:name="page number"/>
    <w:lsdException w:unhideWhenUsed="0" w:uiPriority="99" w:name="endnote reference"/>
    <w:lsdException w:unhideWhenUsed="0" w:uiPriority="99" w:name="endnote text"/>
    <w:lsdException w:unhideWhenUsed="0" w:uiPriority="99" w:name="table of authorities"/>
    <w:lsdException w:unhideWhenUsed="0" w:uiPriority="99" w:name="macro"/>
    <w:lsdException w:unhideWhenUsed="0" w:uiPriority="99" w:name="toa heading"/>
    <w:lsdException w:unhideWhenUsed="0" w:uiPriority="99" w:name="List"/>
    <w:lsdException w:unhideWhenUsed="0" w:uiPriority="99" w:name="List Bullet"/>
    <w:lsdException w:unhideWhenUsed="0" w:uiPriority="99" w:name="List Number"/>
    <w:lsdException w:unhideWhenUsed="0" w:uiPriority="99" w:name="List 2"/>
    <w:lsdException w:unhideWhenUsed="0" w:uiPriority="99" w:name="List 3"/>
    <w:lsdException w:unhideWhenUsed="0" w:uiPriority="99" w:name="List 4"/>
    <w:lsdException w:unhideWhenUsed="0" w:uiPriority="99" w:name="List 5"/>
    <w:lsdException w:unhideWhenUsed="0" w:uiPriority="99" w:name="List Bullet 2"/>
    <w:lsdException w:unhideWhenUsed="0" w:uiPriority="99" w:name="List Bullet 3"/>
    <w:lsdException w:unhideWhenUsed="0" w:uiPriority="99" w:name="List Bullet 4"/>
    <w:lsdException w:unhideWhenUsed="0" w:uiPriority="99" w:name="List Bullet 5"/>
    <w:lsdException w:unhideWhenUsed="0" w:uiPriority="99" w:name="List Number 2"/>
    <w:lsdException w:unhideWhenUsed="0" w:uiPriority="99" w:name="List Number 3"/>
    <w:lsdException w:unhideWhenUsed="0" w:uiPriority="99" w:name="List Number 4"/>
    <w:lsdException w:unhideWhenUsed="0" w:uiPriority="99" w:name="List Number 5"/>
    <w:lsdException w:qFormat="1" w:unhideWhenUsed="0" w:uiPriority="10" w:name="Title"/>
    <w:lsdException w:unhideWhenUsed="0" w:uiPriority="99" w:name="Closing"/>
    <w:lsdException w:unhideWhenUsed="0" w:uiPriority="99" w:name="Signature"/>
    <w:lsdException w:uiPriority="1" w:name="Default Paragraph Font"/>
    <w:lsdException w:unhideWhenUsed="0" w:uiPriority="99" w:name="Body Text"/>
    <w:lsdException w:unhideWhenUsed="0" w:uiPriority="99" w:name="Body Text Indent"/>
    <w:lsdException w:unhideWhenUsed="0" w:uiPriority="99" w:name="List Continue"/>
    <w:lsdException w:unhideWhenUsed="0" w:uiPriority="99" w:name="List Continue 2"/>
    <w:lsdException w:unhideWhenUsed="0" w:uiPriority="99" w:name="List Continue 3"/>
    <w:lsdException w:unhideWhenUsed="0" w:uiPriority="99" w:name="List Continue 4"/>
    <w:lsdException w:unhideWhenUsed="0" w:uiPriority="99" w:name="List Continue 5"/>
    <w:lsdException w:unhideWhenUsed="0" w:uiPriority="99" w:name="Message Header"/>
    <w:lsdException w:qFormat="1" w:unhideWhenUsed="0" w:uiPriority="11" w:name="Subtitle"/>
    <w:lsdException w:unhideWhenUsed="0" w:uiPriority="99" w:name="Salutation"/>
    <w:lsdException w:unhideWhenUsed="0" w:uiPriority="99" w:name="Date"/>
    <w:lsdException w:unhideWhenUsed="0" w:uiPriority="99" w:name="Body Text First Indent"/>
    <w:lsdException w:unhideWhenUsed="0" w:uiPriority="99" w:name="Body Text First Indent 2"/>
    <w:lsdException w:unhideWhenUsed="0" w:uiPriority="99" w:name="Note Heading"/>
    <w:lsdException w:unhideWhenUsed="0" w:uiPriority="99" w:name="Body Text 2"/>
    <w:lsdException w:unhideWhenUsed="0" w:uiPriority="99" w:name="Body Text 3"/>
    <w:lsdException w:unhideWhenUsed="0" w:uiPriority="99" w:name="Body Text Indent 2"/>
    <w:lsdException w:unhideWhenUsed="0" w:uiPriority="99" w:name="Body Text Indent 3"/>
    <w:lsdException w:unhideWhenUsed="0" w:uiPriority="99" w:name="Block Text"/>
    <w:lsdException w:qFormat="1" w:uiPriority="99" w:semiHidden="0" w:name="Hyperlink"/>
    <w:lsdException w:unhideWhenUsed="0" w:uiPriority="99" w:name="FollowedHyperlink"/>
    <w:lsdException w:qFormat="1" w:unhideWhenUsed="0" w:uiPriority="22" w:name="Strong"/>
    <w:lsdException w:qFormat="1" w:unhideWhenUsed="0" w:uiPriority="20" w:name="Emphasis"/>
    <w:lsdException w:unhideWhenUsed="0" w:uiPriority="99" w:name="Document Map"/>
    <w:lsdException w:unhideWhenUsed="0" w:uiPriority="99" w:name="Plain Text"/>
    <w:lsdException w:unhideWhenUsed="0" w:uiPriority="99" w:name="E-mail Signature"/>
    <w:lsdException w:unhideWhenUsed="0" w:uiPriority="99" w:name="Normal (Web)"/>
    <w:lsdException w:unhideWhenUsed="0" w:uiPriority="99" w:name="HTML Acronym"/>
    <w:lsdException w:unhideWhenUsed="0" w:uiPriority="99" w:name="HTML Address"/>
    <w:lsdException w:unhideWhenUsed="0" w:uiPriority="99" w:name="HTML Cite"/>
    <w:lsdException w:unhideWhenUsed="0" w:uiPriority="99" w:name="HTML Code"/>
    <w:lsdException w:unhideWhenUsed="0" w:uiPriority="99" w:name="HTML Definition"/>
    <w:lsdException w:unhideWhenUsed="0" w:uiPriority="99" w:name="HTML Keyboard"/>
    <w:lsdException w:unhideWhenUsed="0" w:uiPriority="99" w:name="HTML Preformatted"/>
    <w:lsdException w:unhideWhenUsed="0" w:uiPriority="99" w:name="HTML Sample"/>
    <w:lsdException w:unhideWhenUsed="0" w:uiPriority="99" w:name="HTML Typewriter"/>
    <w:lsdException w:unhideWhenUsed="0"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9"/>
    <w:semiHidden/>
    <w:qFormat/>
    <w:uiPriority w:val="9"/>
    <w:pPr>
      <w:keepNext/>
      <w:keepLines/>
      <w:spacing w:before="340" w:after="330" w:line="578" w:lineRule="auto"/>
      <w:ind w:firstLine="0" w:firstLineChars="0"/>
      <w:jc w:val="center"/>
      <w:outlineLvl w:val="0"/>
    </w:pPr>
    <w:rPr>
      <w:b/>
      <w:bCs/>
      <w:kern w:val="44"/>
      <w:sz w:val="44"/>
      <w:szCs w:val="44"/>
    </w:rPr>
  </w:style>
  <w:style w:type="paragraph" w:styleId="3">
    <w:name w:val="heading 2"/>
    <w:basedOn w:val="1"/>
    <w:next w:val="1"/>
    <w:link w:val="20"/>
    <w:semiHidden/>
    <w:qFormat/>
    <w:uiPriority w:val="9"/>
    <w:pPr>
      <w:keepNext/>
      <w:keepLines/>
      <w:spacing w:before="260" w:after="260"/>
      <w:ind w:firstLine="0" w:firstLineChars="0"/>
      <w:outlineLvl w:val="1"/>
    </w:pPr>
    <w:rPr>
      <w:rFonts w:asciiTheme="majorHAnsi" w:hAnsiTheme="majorHAnsi" w:cstheme="majorBidi"/>
      <w:b/>
      <w:bCs/>
      <w:sz w:val="32"/>
      <w:szCs w:val="32"/>
    </w:rPr>
  </w:style>
  <w:style w:type="paragraph" w:styleId="4">
    <w:name w:val="heading 3"/>
    <w:basedOn w:val="1"/>
    <w:next w:val="1"/>
    <w:link w:val="21"/>
    <w:semiHidden/>
    <w:qFormat/>
    <w:uiPriority w:val="9"/>
    <w:pPr>
      <w:keepNext/>
      <w:keepLines/>
      <w:spacing w:before="260" w:after="260"/>
      <w:ind w:firstLine="0" w:firstLineChars="0"/>
      <w:outlineLvl w:val="2"/>
    </w:pPr>
    <w:rPr>
      <w:b/>
      <w:bCs/>
      <w:sz w:val="30"/>
      <w:szCs w:val="32"/>
    </w:rPr>
  </w:style>
  <w:style w:type="paragraph" w:styleId="5">
    <w:name w:val="heading 4"/>
    <w:basedOn w:val="1"/>
    <w:next w:val="1"/>
    <w:link w:val="23"/>
    <w:semiHidden/>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2"/>
    <w:semiHidden/>
    <w:qFormat/>
    <w:uiPriority w:val="9"/>
    <w:pPr>
      <w:keepNext/>
      <w:keepLines/>
      <w:spacing w:before="280" w:after="290" w:line="480" w:lineRule="auto"/>
      <w:ind w:firstLine="0" w:firstLineChars="0"/>
      <w:outlineLvl w:val="4"/>
    </w:pPr>
    <w:rPr>
      <w:b/>
      <w:bCs/>
      <w:szCs w:val="28"/>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7">
    <w:name w:val="annotation text"/>
    <w:basedOn w:val="1"/>
    <w:link w:val="44"/>
    <w:semiHidden/>
    <w:qFormat/>
    <w:uiPriority w:val="99"/>
  </w:style>
  <w:style w:type="paragraph" w:styleId="8">
    <w:name w:val="toc 3"/>
    <w:basedOn w:val="1"/>
    <w:next w:val="1"/>
    <w:unhideWhenUsed/>
    <w:qFormat/>
    <w:uiPriority w:val="39"/>
    <w:pPr>
      <w:widowControl/>
      <w:tabs>
        <w:tab w:val="right" w:leader="dot" w:pos="8302"/>
      </w:tabs>
      <w:spacing w:after="100" w:line="259" w:lineRule="auto"/>
      <w:ind w:left="284" w:firstLine="0" w:firstLineChars="0"/>
    </w:pPr>
    <w:rPr>
      <w:rFonts w:ascii="仿宋_GB2312" w:eastAsia="仿宋_GB2312" w:cs="Times New Roman"/>
      <w:spacing w:val="-20"/>
      <w:sz w:val="32"/>
      <w:szCs w:val="32"/>
    </w:rPr>
  </w:style>
  <w:style w:type="paragraph" w:styleId="9">
    <w:name w:val="Balloon Text"/>
    <w:basedOn w:val="1"/>
    <w:link w:val="41"/>
    <w:semiHidden/>
    <w:qFormat/>
    <w:uiPriority w:val="99"/>
    <w:pPr>
      <w:spacing w:line="240" w:lineRule="auto"/>
    </w:pPr>
    <w:rPr>
      <w:sz w:val="18"/>
      <w:szCs w:val="18"/>
    </w:rPr>
  </w:style>
  <w:style w:type="paragraph" w:styleId="10">
    <w:name w:val="footer"/>
    <w:basedOn w:val="1"/>
    <w:link w:val="40"/>
    <w:qFormat/>
    <w:uiPriority w:val="99"/>
    <w:pPr>
      <w:tabs>
        <w:tab w:val="center" w:pos="4153"/>
        <w:tab w:val="right" w:pos="8306"/>
      </w:tabs>
      <w:snapToGrid w:val="0"/>
      <w:spacing w:line="240" w:lineRule="auto"/>
    </w:pPr>
    <w:rPr>
      <w:sz w:val="18"/>
      <w:szCs w:val="18"/>
    </w:rPr>
  </w:style>
  <w:style w:type="paragraph" w:styleId="11">
    <w:name w:val="toc 1"/>
    <w:basedOn w:val="1"/>
    <w:next w:val="1"/>
    <w:semiHidden/>
    <w:qFormat/>
    <w:uiPriority w:val="39"/>
  </w:style>
  <w:style w:type="paragraph" w:styleId="12">
    <w:name w:val="toc 2"/>
    <w:basedOn w:val="1"/>
    <w:next w:val="1"/>
    <w:unhideWhenUsed/>
    <w:qFormat/>
    <w:uiPriority w:val="39"/>
    <w:pPr>
      <w:widowControl/>
      <w:tabs>
        <w:tab w:val="right" w:leader="dot" w:pos="8302"/>
      </w:tabs>
      <w:spacing w:after="100" w:line="259" w:lineRule="auto"/>
      <w:ind w:firstLine="0" w:firstLineChars="0"/>
    </w:pPr>
    <w:rPr>
      <w:rFonts w:ascii="仿宋_GB2312" w:eastAsia="仿宋_GB2312" w:cs="Times New Roman"/>
      <w:b/>
      <w:kern w:val="0"/>
      <w:sz w:val="32"/>
      <w:szCs w:val="32"/>
    </w:rPr>
  </w:style>
  <w:style w:type="paragraph" w:styleId="13">
    <w:name w:val="annotation subject"/>
    <w:basedOn w:val="7"/>
    <w:next w:val="7"/>
    <w:link w:val="45"/>
    <w:semiHidden/>
    <w:qFormat/>
    <w:uiPriority w:val="99"/>
    <w:rPr>
      <w:b/>
      <w:bCs/>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character" w:styleId="18">
    <w:name w:val="annotation reference"/>
    <w:basedOn w:val="16"/>
    <w:semiHidden/>
    <w:qFormat/>
    <w:uiPriority w:val="99"/>
    <w:rPr>
      <w:sz w:val="21"/>
      <w:szCs w:val="21"/>
    </w:rPr>
  </w:style>
  <w:style w:type="character" w:customStyle="1" w:styleId="19">
    <w:name w:val="标题 1 字符"/>
    <w:basedOn w:val="16"/>
    <w:link w:val="2"/>
    <w:semiHidden/>
    <w:qFormat/>
    <w:uiPriority w:val="9"/>
    <w:rPr>
      <w:b/>
      <w:bCs/>
      <w:kern w:val="44"/>
      <w:sz w:val="44"/>
      <w:szCs w:val="44"/>
    </w:rPr>
  </w:style>
  <w:style w:type="character" w:customStyle="1" w:styleId="20">
    <w:name w:val="标题 2 字符"/>
    <w:basedOn w:val="16"/>
    <w:link w:val="3"/>
    <w:semiHidden/>
    <w:qFormat/>
    <w:uiPriority w:val="9"/>
    <w:rPr>
      <w:rFonts w:asciiTheme="majorHAnsi" w:hAnsiTheme="majorHAnsi" w:cstheme="majorBidi"/>
      <w:b/>
      <w:bCs/>
      <w:sz w:val="32"/>
      <w:szCs w:val="32"/>
    </w:rPr>
  </w:style>
  <w:style w:type="character" w:customStyle="1" w:styleId="21">
    <w:name w:val="标题 3 字符"/>
    <w:basedOn w:val="16"/>
    <w:link w:val="4"/>
    <w:semiHidden/>
    <w:qFormat/>
    <w:uiPriority w:val="9"/>
    <w:rPr>
      <w:b/>
      <w:bCs/>
      <w:sz w:val="30"/>
      <w:szCs w:val="32"/>
    </w:rPr>
  </w:style>
  <w:style w:type="character" w:customStyle="1" w:styleId="22">
    <w:name w:val="标题 5 字符"/>
    <w:basedOn w:val="16"/>
    <w:link w:val="6"/>
    <w:semiHidden/>
    <w:qFormat/>
    <w:uiPriority w:val="9"/>
    <w:rPr>
      <w:b/>
      <w:bCs/>
      <w:szCs w:val="28"/>
    </w:rPr>
  </w:style>
  <w:style w:type="character" w:customStyle="1" w:styleId="23">
    <w:name w:val="标题 4 字符"/>
    <w:basedOn w:val="16"/>
    <w:link w:val="5"/>
    <w:semiHidden/>
    <w:qFormat/>
    <w:uiPriority w:val="9"/>
    <w:rPr>
      <w:rFonts w:asciiTheme="majorHAnsi" w:hAnsiTheme="majorHAnsi" w:eastAsiaTheme="majorEastAsia" w:cstheme="majorBidi"/>
      <w:b/>
      <w:bCs/>
      <w:sz w:val="28"/>
      <w:szCs w:val="28"/>
    </w:rPr>
  </w:style>
  <w:style w:type="paragraph" w:customStyle="1" w:styleId="24">
    <w:name w:val="市局绩效-标题"/>
    <w:basedOn w:val="2"/>
    <w:link w:val="26"/>
    <w:qFormat/>
    <w:uiPriority w:val="0"/>
    <w:pPr>
      <w:spacing w:line="600" w:lineRule="exact"/>
    </w:pPr>
    <w:rPr>
      <w:rFonts w:ascii="方正小标宋简体" w:hAnsi="方正小标宋简体" w:eastAsia="方正小标宋简体"/>
      <w:b w:val="0"/>
    </w:rPr>
  </w:style>
  <w:style w:type="paragraph" w:customStyle="1" w:styleId="25">
    <w:name w:val="市局绩效-正文"/>
    <w:basedOn w:val="1"/>
    <w:link w:val="28"/>
    <w:qFormat/>
    <w:uiPriority w:val="0"/>
    <w:pPr>
      <w:spacing w:line="600" w:lineRule="exact"/>
      <w:jc w:val="both"/>
    </w:pPr>
    <w:rPr>
      <w:rFonts w:ascii="Times New Roman" w:hAnsi="Times New Roman" w:eastAsia="仿宋_GB2312"/>
      <w:sz w:val="32"/>
    </w:rPr>
  </w:style>
  <w:style w:type="character" w:customStyle="1" w:styleId="26">
    <w:name w:val="市局绩效-标题 字符"/>
    <w:basedOn w:val="19"/>
    <w:link w:val="24"/>
    <w:qFormat/>
    <w:uiPriority w:val="0"/>
    <w:rPr>
      <w:rFonts w:ascii="方正小标宋简体" w:hAnsi="方正小标宋简体" w:eastAsia="方正小标宋简体"/>
      <w:b w:val="0"/>
      <w:kern w:val="44"/>
      <w:sz w:val="44"/>
      <w:szCs w:val="44"/>
    </w:rPr>
  </w:style>
  <w:style w:type="paragraph" w:customStyle="1" w:styleId="27">
    <w:name w:val="市局绩效-一级标题"/>
    <w:basedOn w:val="3"/>
    <w:link w:val="30"/>
    <w:qFormat/>
    <w:uiPriority w:val="0"/>
    <w:pPr>
      <w:spacing w:before="0" w:after="0" w:line="600" w:lineRule="exact"/>
      <w:ind w:firstLine="641"/>
      <w:jc w:val="both"/>
    </w:pPr>
    <w:rPr>
      <w:rFonts w:ascii="Times New Roman" w:hAnsi="Times New Roman" w:eastAsia="黑体"/>
      <w:b w:val="0"/>
    </w:rPr>
  </w:style>
  <w:style w:type="character" w:customStyle="1" w:styleId="28">
    <w:name w:val="市局绩效-正文 字符"/>
    <w:basedOn w:val="16"/>
    <w:link w:val="25"/>
    <w:qFormat/>
    <w:uiPriority w:val="0"/>
    <w:rPr>
      <w:rFonts w:ascii="Times New Roman" w:hAnsi="Times New Roman" w:eastAsia="仿宋_GB2312"/>
      <w:sz w:val="32"/>
    </w:rPr>
  </w:style>
  <w:style w:type="paragraph" w:customStyle="1" w:styleId="29">
    <w:name w:val="市局绩效-二级标题"/>
    <w:basedOn w:val="4"/>
    <w:link w:val="31"/>
    <w:qFormat/>
    <w:uiPriority w:val="0"/>
    <w:pPr>
      <w:spacing w:before="0" w:after="0" w:line="600" w:lineRule="exact"/>
      <w:ind w:firstLine="200" w:firstLineChars="200"/>
      <w:jc w:val="both"/>
    </w:pPr>
    <w:rPr>
      <w:rFonts w:eastAsia="楷体_GB2312"/>
      <w:b w:val="0"/>
      <w:sz w:val="32"/>
    </w:rPr>
  </w:style>
  <w:style w:type="character" w:customStyle="1" w:styleId="30">
    <w:name w:val="市局绩效-一级标题 字符"/>
    <w:basedOn w:val="20"/>
    <w:link w:val="27"/>
    <w:qFormat/>
    <w:uiPriority w:val="0"/>
    <w:rPr>
      <w:rFonts w:ascii="Times New Roman" w:hAnsi="Times New Roman" w:eastAsia="黑体" w:cstheme="majorBidi"/>
      <w:b w:val="0"/>
      <w:sz w:val="32"/>
      <w:szCs w:val="32"/>
    </w:rPr>
  </w:style>
  <w:style w:type="character" w:customStyle="1" w:styleId="31">
    <w:name w:val="市局绩效-二级标题 字符"/>
    <w:basedOn w:val="21"/>
    <w:link w:val="29"/>
    <w:qFormat/>
    <w:uiPriority w:val="0"/>
    <w:rPr>
      <w:rFonts w:eastAsia="楷体_GB2312"/>
      <w:b w:val="0"/>
      <w:sz w:val="32"/>
      <w:szCs w:val="32"/>
    </w:rPr>
  </w:style>
  <w:style w:type="paragraph" w:customStyle="1" w:styleId="32">
    <w:name w:val="市局绩效-表格标题"/>
    <w:basedOn w:val="1"/>
    <w:link w:val="34"/>
    <w:qFormat/>
    <w:uiPriority w:val="0"/>
    <w:pPr>
      <w:widowControl/>
      <w:spacing w:line="600" w:lineRule="exact"/>
      <w:ind w:firstLine="0" w:firstLineChars="0"/>
      <w:jc w:val="center"/>
    </w:pPr>
    <w:rPr>
      <w:rFonts w:ascii="Times New Roman" w:hAnsi="Times New Roman" w:eastAsia="黑体" w:cs="Times New Roman"/>
      <w:bCs/>
      <w:sz w:val="28"/>
      <w:szCs w:val="24"/>
    </w:rPr>
  </w:style>
  <w:style w:type="paragraph" w:customStyle="1" w:styleId="33">
    <w:name w:val="市局绩效-表格单位"/>
    <w:basedOn w:val="1"/>
    <w:link w:val="36"/>
    <w:qFormat/>
    <w:uiPriority w:val="0"/>
    <w:pPr>
      <w:widowControl/>
      <w:spacing w:line="240" w:lineRule="auto"/>
      <w:ind w:firstLine="0" w:firstLineChars="0"/>
      <w:jc w:val="right"/>
    </w:pPr>
    <w:rPr>
      <w:rFonts w:ascii="Times New Roman" w:hAnsi="Times New Roman" w:eastAsia="宋体"/>
      <w:bCs/>
      <w:szCs w:val="18"/>
    </w:rPr>
  </w:style>
  <w:style w:type="character" w:customStyle="1" w:styleId="34">
    <w:name w:val="市局绩效-表格标题 字符"/>
    <w:basedOn w:val="16"/>
    <w:link w:val="32"/>
    <w:qFormat/>
    <w:uiPriority w:val="0"/>
    <w:rPr>
      <w:rFonts w:ascii="Times New Roman" w:hAnsi="Times New Roman" w:eastAsia="黑体" w:cs="Times New Roman"/>
      <w:bCs/>
      <w:sz w:val="28"/>
      <w:szCs w:val="24"/>
    </w:rPr>
  </w:style>
  <w:style w:type="paragraph" w:customStyle="1" w:styleId="35">
    <w:name w:val="市局绩效-表格表头"/>
    <w:basedOn w:val="25"/>
    <w:link w:val="38"/>
    <w:qFormat/>
    <w:uiPriority w:val="0"/>
    <w:pPr>
      <w:spacing w:line="240" w:lineRule="auto"/>
      <w:ind w:firstLine="0" w:firstLineChars="0"/>
      <w:jc w:val="center"/>
    </w:pPr>
    <w:rPr>
      <w:rFonts w:eastAsia="黑体"/>
      <w:b/>
      <w:sz w:val="21"/>
    </w:rPr>
  </w:style>
  <w:style w:type="character" w:customStyle="1" w:styleId="36">
    <w:name w:val="市局绩效-表格单位 字符"/>
    <w:basedOn w:val="16"/>
    <w:link w:val="33"/>
    <w:qFormat/>
    <w:uiPriority w:val="0"/>
    <w:rPr>
      <w:rFonts w:ascii="Times New Roman" w:hAnsi="Times New Roman" w:eastAsia="宋体"/>
      <w:bCs/>
      <w:szCs w:val="18"/>
    </w:rPr>
  </w:style>
  <w:style w:type="paragraph" w:customStyle="1" w:styleId="37">
    <w:name w:val="市局绩效-表格内容"/>
    <w:basedOn w:val="25"/>
    <w:link w:val="39"/>
    <w:qFormat/>
    <w:uiPriority w:val="0"/>
    <w:pPr>
      <w:spacing w:line="360" w:lineRule="auto"/>
      <w:ind w:firstLine="0" w:firstLineChars="0"/>
      <w:jc w:val="center"/>
    </w:pPr>
    <w:rPr>
      <w:rFonts w:eastAsia="宋体"/>
      <w:sz w:val="21"/>
    </w:rPr>
  </w:style>
  <w:style w:type="character" w:customStyle="1" w:styleId="38">
    <w:name w:val="市局绩效-表格表头 字符"/>
    <w:basedOn w:val="28"/>
    <w:link w:val="35"/>
    <w:qFormat/>
    <w:uiPriority w:val="0"/>
    <w:rPr>
      <w:rFonts w:ascii="Times New Roman" w:hAnsi="Times New Roman" w:eastAsia="黑体"/>
      <w:b/>
      <w:sz w:val="32"/>
    </w:rPr>
  </w:style>
  <w:style w:type="character" w:customStyle="1" w:styleId="39">
    <w:name w:val="市局绩效-表格内容 字符"/>
    <w:basedOn w:val="28"/>
    <w:link w:val="37"/>
    <w:qFormat/>
    <w:uiPriority w:val="0"/>
    <w:rPr>
      <w:rFonts w:ascii="Times New Roman" w:hAnsi="Times New Roman" w:eastAsia="宋体"/>
      <w:sz w:val="32"/>
    </w:rPr>
  </w:style>
  <w:style w:type="character" w:customStyle="1" w:styleId="40">
    <w:name w:val="页脚 字符"/>
    <w:basedOn w:val="16"/>
    <w:link w:val="10"/>
    <w:qFormat/>
    <w:uiPriority w:val="99"/>
    <w:rPr>
      <w:sz w:val="18"/>
      <w:szCs w:val="18"/>
    </w:rPr>
  </w:style>
  <w:style w:type="character" w:customStyle="1" w:styleId="41">
    <w:name w:val="批注框文本 字符"/>
    <w:basedOn w:val="16"/>
    <w:link w:val="9"/>
    <w:semiHidden/>
    <w:qFormat/>
    <w:uiPriority w:val="99"/>
    <w:rPr>
      <w:sz w:val="18"/>
      <w:szCs w:val="18"/>
    </w:rPr>
  </w:style>
  <w:style w:type="paragraph" w:customStyle="1" w:styleId="42">
    <w:name w:val="市局绩效-注"/>
    <w:basedOn w:val="25"/>
    <w:link w:val="43"/>
    <w:qFormat/>
    <w:uiPriority w:val="0"/>
    <w:pPr>
      <w:ind w:firstLine="0" w:firstLineChars="0"/>
    </w:pPr>
    <w:rPr>
      <w:rFonts w:eastAsia="宋体"/>
      <w:bCs/>
      <w:sz w:val="21"/>
    </w:rPr>
  </w:style>
  <w:style w:type="character" w:customStyle="1" w:styleId="43">
    <w:name w:val="市局绩效-注 字符"/>
    <w:basedOn w:val="28"/>
    <w:link w:val="42"/>
    <w:qFormat/>
    <w:uiPriority w:val="0"/>
    <w:rPr>
      <w:rFonts w:ascii="Times New Roman" w:hAnsi="Times New Roman" w:eastAsia="宋体"/>
      <w:bCs/>
      <w:sz w:val="32"/>
    </w:rPr>
  </w:style>
  <w:style w:type="character" w:customStyle="1" w:styleId="44">
    <w:name w:val="批注文字 字符"/>
    <w:basedOn w:val="16"/>
    <w:link w:val="7"/>
    <w:semiHidden/>
    <w:qFormat/>
    <w:uiPriority w:val="99"/>
  </w:style>
  <w:style w:type="character" w:customStyle="1" w:styleId="45">
    <w:name w:val="批注主题 字符"/>
    <w:basedOn w:val="44"/>
    <w:link w:val="13"/>
    <w:semiHidden/>
    <w:qFormat/>
    <w:uiPriority w:val="99"/>
    <w:rPr>
      <w:b/>
      <w:bCs/>
    </w:rPr>
  </w:style>
  <w:style w:type="paragraph" w:customStyle="1" w:styleId="4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47">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1478</Words>
  <Characters>8426</Characters>
  <Lines>70</Lines>
  <Paragraphs>19</Paragraphs>
  <TotalTime>0</TotalTime>
  <ScaleCrop>false</ScaleCrop>
  <LinksUpToDate>false</LinksUpToDate>
  <CharactersWithSpaces>9885</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2021-10-05T20:17:00Z</dcterms:created>
  <dc:creator>忠晔 张</dc:creator>
  <cp:lastModifiedBy>袁国龙</cp:lastModifiedBy>
  <cp:lastPrinted>2022-04-28T19:26:00Z</cp:lastPrinted>
  <dcterms:modified xsi:type="dcterms:W3CDTF">2023-11-24T07:57:38Z</dcterms:modified>
  <cp:revision>226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883D73BFAFAE4F288236B7B6FD5A878F_12</vt:lpwstr>
  </property>
</Properties>
</file>