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ind w:firstLine="0" w:firstLineChars="0"/>
        <w:jc w:val="center"/>
        <w:rPr>
          <w:rFonts w:ascii="Times New Roman" w:hAnsi="Times New Roman" w:eastAsia="方正小标宋简体"/>
          <w:sz w:val="52"/>
          <w:szCs w:val="52"/>
        </w:rPr>
      </w:pPr>
      <w:r>
        <w:rPr>
          <w:rFonts w:hint="eastAsia" w:ascii="Times New Roman" w:hAnsi="Times New Roman" w:eastAsia="方正小标宋简体"/>
          <w:sz w:val="52"/>
          <w:szCs w:val="52"/>
          <w:lang w:eastAsia="zh-Hans"/>
        </w:rPr>
        <w:t>项目</w:t>
      </w:r>
      <w:r>
        <w:rPr>
          <w:rFonts w:ascii="Times New Roman" w:hAnsi="Times New Roman" w:eastAsia="方正小标宋简体"/>
          <w:sz w:val="52"/>
          <w:szCs w:val="52"/>
        </w:rPr>
        <w:t>支出</w:t>
      </w:r>
      <w:r>
        <w:rPr>
          <w:rFonts w:hint="eastAsia" w:ascii="Times New Roman" w:hAnsi="Times New Roman" w:eastAsia="方正小标宋简体"/>
          <w:sz w:val="52"/>
          <w:szCs w:val="52"/>
        </w:rPr>
        <w:t>绩效评价</w:t>
      </w:r>
      <w:r>
        <w:rPr>
          <w:rFonts w:ascii="Times New Roman" w:hAnsi="Times New Roman" w:eastAsia="方正小标宋简体"/>
          <w:sz w:val="52"/>
          <w:szCs w:val="52"/>
        </w:rPr>
        <w:t>报告</w:t>
      </w:r>
    </w:p>
    <w:p>
      <w:pPr>
        <w:spacing w:line="800" w:lineRule="exact"/>
        <w:ind w:firstLine="0" w:firstLineChars="0"/>
        <w:jc w:val="center"/>
        <w:rPr>
          <w:rFonts w:ascii="Times New Roman" w:hAnsi="Times New Roman" w:eastAsia="方正小标宋简体"/>
          <w:sz w:val="48"/>
          <w:szCs w:val="44"/>
        </w:rPr>
      </w:pPr>
      <w:r>
        <w:rPr>
          <w:rFonts w:ascii="Times New Roman" w:hAnsi="Times New Roman" w:eastAsia="方正小标宋简体"/>
          <w:sz w:val="40"/>
          <w:szCs w:val="36"/>
        </w:rPr>
        <w:t>（</w:t>
      </w:r>
      <w:r>
        <w:rPr>
          <w:rFonts w:ascii="Times New Roman" w:hAnsi="Times New Roman" w:eastAsia="方正小标宋简体" w:cs="Times New Roman"/>
          <w:sz w:val="40"/>
          <w:szCs w:val="40"/>
        </w:rPr>
        <w:t>2022</w:t>
      </w:r>
      <w:r>
        <w:rPr>
          <w:rFonts w:ascii="Times New Roman" w:hAnsi="Times New Roman" w:eastAsia="方正小标宋简体"/>
          <w:sz w:val="40"/>
          <w:szCs w:val="36"/>
        </w:rPr>
        <w:t>年度）</w:t>
      </w: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900" w:lineRule="exact"/>
        <w:ind w:firstLine="0" w:firstLineChars="0"/>
        <w:rPr>
          <w:rFonts w:ascii="Times New Roman" w:hAnsi="Times New Roman" w:eastAsia="仿宋_GB2312"/>
          <w:sz w:val="32"/>
          <w:szCs w:val="32"/>
        </w:rPr>
      </w:pPr>
      <w:r>
        <w:rPr>
          <w:rFonts w:hint="eastAsia" w:ascii="Times New Roman" w:hAnsi="Times New Roman" w:eastAsia="仿宋_GB2312"/>
          <w:sz w:val="32"/>
          <w:szCs w:val="32"/>
        </w:rPr>
        <w:t>主 管 部 门：</w:t>
      </w:r>
      <w:r>
        <w:rPr>
          <w:rFonts w:ascii="Times New Roman" w:hAnsi="Times New Roman" w:eastAsia="仿宋_GB2312"/>
          <w:sz w:val="32"/>
          <w:szCs w:val="32"/>
          <w:u w:val="single"/>
        </w:rPr>
        <w:t xml:space="preserve"> </w:t>
      </w:r>
      <w:r>
        <w:rPr>
          <w:rFonts w:ascii="Times New Roman" w:hAnsi="Times New Roman" w:eastAsia="仿宋_GB2312" w:cs="Times New Roman"/>
          <w:spacing w:val="-20"/>
          <w:sz w:val="32"/>
          <w:szCs w:val="32"/>
          <w:u w:val="single"/>
        </w:rPr>
        <w:t xml:space="preserve"> </w:t>
      </w:r>
      <w:r>
        <w:rPr>
          <w:rFonts w:ascii="Times New Roman" w:hAnsi="Times New Roman" w:eastAsia="仿宋_GB2312"/>
          <w:sz w:val="32"/>
          <w:szCs w:val="32"/>
          <w:u w:val="single"/>
        </w:rPr>
        <w:t>天津市和平区</w:t>
      </w:r>
      <w:r>
        <w:rPr>
          <w:rFonts w:hint="eastAsia" w:ascii="Times New Roman" w:hAnsi="Times New Roman" w:eastAsia="仿宋_GB2312"/>
          <w:sz w:val="32"/>
          <w:szCs w:val="32"/>
          <w:u w:val="single"/>
        </w:rPr>
        <w:t xml:space="preserve">人民政府劝业场街道办事处    </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rPr>
        <w:t xml:space="preserve"> </w:t>
      </w:r>
      <w:r>
        <w:rPr>
          <w:rFonts w:hint="eastAsia" w:ascii="Times New Roman" w:hAnsi="Times New Roman" w:eastAsia="仿宋_GB2312" w:cs="Times New Roman"/>
          <w:spacing w:val="-20"/>
          <w:sz w:val="32"/>
          <w:szCs w:val="32"/>
          <w:u w:val="single"/>
        </w:rPr>
        <w:t xml:space="preserve">  </w:t>
      </w:r>
      <w:r>
        <w:rPr>
          <w:rFonts w:ascii="Times New Roman" w:hAnsi="Times New Roman" w:eastAsia="仿宋_GB2312" w:cs="Times New Roman"/>
          <w:spacing w:val="-20"/>
          <w:sz w:val="32"/>
          <w:szCs w:val="32"/>
          <w:u w:val="single"/>
        </w:rPr>
        <w:t xml:space="preserve">       </w:t>
      </w:r>
    </w:p>
    <w:p>
      <w:pPr>
        <w:spacing w:line="900" w:lineRule="exact"/>
        <w:ind w:firstLine="0" w:firstLineChars="0"/>
        <w:rPr>
          <w:rFonts w:ascii="Times New Roman" w:hAnsi="Times New Roman" w:eastAsia="仿宋_GB2312" w:cs="Times New Roman"/>
          <w:spacing w:val="-20"/>
          <w:sz w:val="32"/>
          <w:szCs w:val="32"/>
          <w:u w:val="single"/>
        </w:rPr>
      </w:pPr>
      <w:r>
        <w:rPr>
          <w:rFonts w:hint="eastAsia" w:ascii="Times New Roman" w:hAnsi="Times New Roman" w:eastAsia="仿宋_GB2312"/>
          <w:sz w:val="32"/>
          <w:szCs w:val="32"/>
        </w:rPr>
        <w:t>项 目 单 位</w:t>
      </w:r>
      <w:r>
        <w:rPr>
          <w:rFonts w:ascii="Times New Roman" w:hAnsi="Times New Roman" w:eastAsia="仿宋_GB2312"/>
          <w:sz w:val="32"/>
          <w:szCs w:val="32"/>
        </w:rPr>
        <w:t>：</w:t>
      </w:r>
      <w:r>
        <w:rPr>
          <w:rFonts w:ascii="Times New Roman" w:hAnsi="Times New Roman" w:eastAsia="仿宋_GB2312"/>
          <w:sz w:val="32"/>
          <w:szCs w:val="32"/>
          <w:u w:val="single"/>
        </w:rPr>
        <w:t xml:space="preserve"> </w:t>
      </w:r>
      <w:r>
        <w:rPr>
          <w:rFonts w:ascii="Times New Roman" w:hAnsi="Times New Roman" w:eastAsia="仿宋_GB2312" w:cs="Times New Roman"/>
          <w:spacing w:val="-20"/>
          <w:sz w:val="32"/>
          <w:szCs w:val="32"/>
          <w:u w:val="single"/>
        </w:rPr>
        <w:t xml:space="preserve"> </w:t>
      </w:r>
      <w:r>
        <w:rPr>
          <w:rFonts w:ascii="Times New Roman" w:hAnsi="Times New Roman" w:eastAsia="仿宋_GB2312"/>
          <w:sz w:val="32"/>
          <w:szCs w:val="32"/>
          <w:u w:val="single"/>
        </w:rPr>
        <w:t>天津市和平区</w:t>
      </w:r>
      <w:r>
        <w:rPr>
          <w:rFonts w:hint="eastAsia" w:ascii="Times New Roman" w:hAnsi="Times New Roman" w:eastAsia="仿宋_GB2312"/>
          <w:sz w:val="32"/>
          <w:szCs w:val="32"/>
          <w:u w:val="single"/>
        </w:rPr>
        <w:t xml:space="preserve">人民政府劝业场街道办事处 </w:t>
      </w:r>
      <w:r>
        <w:rPr>
          <w:rFonts w:ascii="Times New Roman" w:hAnsi="Times New Roman" w:eastAsia="仿宋_GB2312" w:cs="Times New Roman"/>
          <w:spacing w:val="-20"/>
          <w:sz w:val="32"/>
          <w:szCs w:val="32"/>
          <w:u w:val="single"/>
        </w:rPr>
        <w:t xml:space="preserve"> </w:t>
      </w:r>
      <w:r>
        <w:rPr>
          <w:rFonts w:hint="eastAsia" w:ascii="Times New Roman" w:hAnsi="Times New Roman" w:eastAsia="仿宋_GB2312" w:cs="Times New Roman"/>
          <w:spacing w:val="-20"/>
          <w:sz w:val="32"/>
          <w:szCs w:val="32"/>
          <w:u w:val="single"/>
        </w:rPr>
        <w:t xml:space="preserve">             </w:t>
      </w:r>
      <w:r>
        <w:rPr>
          <w:rFonts w:ascii="Times New Roman" w:hAnsi="Times New Roman" w:eastAsia="仿宋_GB2312" w:cs="Times New Roman"/>
          <w:spacing w:val="-20"/>
          <w:sz w:val="32"/>
          <w:szCs w:val="32"/>
          <w:u w:val="single"/>
        </w:rPr>
        <w:t xml:space="preserve">     </w:t>
      </w:r>
    </w:p>
    <w:p>
      <w:pPr>
        <w:spacing w:line="900" w:lineRule="exact"/>
        <w:ind w:left="2240" w:hanging="2240" w:hangingChars="700"/>
        <w:rPr>
          <w:rFonts w:ascii="Times New Roman" w:hAnsi="Times New Roman" w:eastAsia="仿宋_GB2312"/>
          <w:sz w:val="32"/>
          <w:szCs w:val="32"/>
          <w:u w:val="single"/>
        </w:rPr>
      </w:pPr>
      <w:r>
        <w:rPr>
          <w:rFonts w:hint="eastAsia" w:ascii="Times New Roman" w:hAnsi="Times New Roman" w:eastAsia="仿宋_GB2312"/>
          <w:sz w:val="32"/>
          <w:szCs w:val="32"/>
        </w:rPr>
        <w:t>项 目 名 称：</w:t>
      </w:r>
      <w:r>
        <w:rPr>
          <w:rFonts w:hint="eastAsia" w:ascii="Times New Roman" w:hAnsi="Times New Roman" w:eastAsia="仿宋_GB2312"/>
          <w:sz w:val="32"/>
          <w:szCs w:val="32"/>
          <w:u w:val="single"/>
        </w:rPr>
        <w:t xml:space="preserve">   国有企业退休人员社会化管理补助资金    </w:t>
      </w:r>
    </w:p>
    <w:p>
      <w:pPr>
        <w:spacing w:line="900" w:lineRule="exact"/>
        <w:ind w:firstLine="0" w:firstLineChars="0"/>
        <w:rPr>
          <w:rFonts w:ascii="Times New Roman" w:hAnsi="Times New Roman" w:eastAsia="仿宋_GB2312"/>
          <w:sz w:val="32"/>
          <w:szCs w:val="32"/>
        </w:rPr>
      </w:pPr>
      <w:r>
        <w:rPr>
          <w:rFonts w:ascii="Times New Roman" w:hAnsi="Times New Roman" w:eastAsia="仿宋_GB2312"/>
          <w:sz w:val="32"/>
          <w:szCs w:val="32"/>
        </w:rPr>
        <w:t xml:space="preserve">评 </w:t>
      </w:r>
      <w:r>
        <w:rPr>
          <w:rFonts w:hint="eastAsia" w:ascii="Times New Roman" w:hAnsi="Times New Roman" w:eastAsia="仿宋_GB2312"/>
          <w:sz w:val="32"/>
          <w:szCs w:val="32"/>
        </w:rPr>
        <w:t xml:space="preserve">价 </w:t>
      </w:r>
      <w:r>
        <w:rPr>
          <w:rFonts w:ascii="Times New Roman" w:hAnsi="Times New Roman" w:eastAsia="仿宋_GB2312"/>
          <w:sz w:val="32"/>
          <w:szCs w:val="32"/>
        </w:rPr>
        <w:t>机 构</w:t>
      </w:r>
      <w:r>
        <w:rPr>
          <w:rFonts w:hint="eastAsia" w:ascii="Times New Roman" w:hAnsi="Times New Roman" w:eastAsia="仿宋_GB2312"/>
          <w:sz w:val="32"/>
          <w:szCs w:val="32"/>
        </w:rPr>
        <w:t>：</w:t>
      </w:r>
      <w:r>
        <w:rPr>
          <w:rFonts w:ascii="Times New Roman" w:hAnsi="Times New Roman" w:eastAsia="仿宋_GB2312"/>
          <w:sz w:val="32"/>
          <w:szCs w:val="32"/>
          <w:u w:val="single"/>
        </w:rPr>
        <w:t xml:space="preserve">         天津</w:t>
      </w:r>
      <w:r>
        <w:rPr>
          <w:rFonts w:hint="eastAsia" w:ascii="Times New Roman" w:hAnsi="Times New Roman" w:eastAsia="仿宋_GB2312"/>
          <w:sz w:val="32"/>
          <w:szCs w:val="32"/>
          <w:u w:val="single"/>
        </w:rPr>
        <w:t>安信管理咨询</w:t>
      </w:r>
      <w:r>
        <w:rPr>
          <w:rFonts w:ascii="Times New Roman" w:hAnsi="Times New Roman" w:eastAsia="仿宋_GB2312"/>
          <w:sz w:val="32"/>
          <w:szCs w:val="32"/>
          <w:u w:val="single"/>
        </w:rPr>
        <w:t>有限公司</w:t>
      </w:r>
      <w:r>
        <w:rPr>
          <w:rFonts w:hint="eastAsia" w:ascii="Times New Roman" w:hAnsi="Times New Roman" w:eastAsia="仿宋_GB2312"/>
          <w:sz w:val="32"/>
          <w:szCs w:val="32"/>
          <w:u w:val="single"/>
        </w:rPr>
        <w:t xml:space="preserve"> </w:t>
      </w:r>
      <w:r>
        <w:rPr>
          <w:rFonts w:ascii="Times New Roman" w:hAnsi="Times New Roman" w:eastAsia="仿宋_GB2312"/>
          <w:sz w:val="32"/>
          <w:szCs w:val="32"/>
          <w:u w:val="single"/>
        </w:rPr>
        <w:t xml:space="preserve">        </w:t>
      </w:r>
    </w:p>
    <w:p>
      <w:pPr>
        <w:spacing w:line="900" w:lineRule="exact"/>
        <w:ind w:firstLine="0" w:firstLineChars="0"/>
        <w:rPr>
          <w:rFonts w:ascii="Times New Roman" w:hAnsi="Times New Roman" w:eastAsia="仿宋_GB2312"/>
          <w:sz w:val="32"/>
          <w:szCs w:val="32"/>
          <w:u w:val="single"/>
        </w:rPr>
      </w:pPr>
      <w:r>
        <w:rPr>
          <w:rFonts w:ascii="Times New Roman" w:hAnsi="Times New Roman" w:eastAsia="仿宋_GB2312"/>
          <w:sz w:val="32"/>
          <w:szCs w:val="32"/>
        </w:rPr>
        <w:t xml:space="preserve">评 </w:t>
      </w:r>
      <w:r>
        <w:rPr>
          <w:rFonts w:hint="eastAsia" w:ascii="Times New Roman" w:hAnsi="Times New Roman" w:eastAsia="仿宋_GB2312"/>
          <w:sz w:val="32"/>
          <w:szCs w:val="32"/>
        </w:rPr>
        <w:t>价</w:t>
      </w:r>
      <w:r>
        <w:rPr>
          <w:rFonts w:ascii="Times New Roman" w:hAnsi="Times New Roman" w:eastAsia="仿宋_GB2312"/>
          <w:sz w:val="32"/>
          <w:szCs w:val="32"/>
        </w:rPr>
        <w:t xml:space="preserve"> 日 期：</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rPr>
        <w:t xml:space="preserve"> </w:t>
      </w:r>
      <w:r>
        <w:rPr>
          <w:rFonts w:ascii="Times New Roman" w:hAnsi="Times New Roman" w:eastAsia="仿宋_GB2312" w:cs="Times New Roman"/>
          <w:sz w:val="32"/>
          <w:szCs w:val="32"/>
          <w:u w:val="single"/>
        </w:rPr>
        <w:t>2023</w:t>
      </w:r>
      <w:r>
        <w:rPr>
          <w:rFonts w:hint="eastAsia" w:ascii="Times New Roman" w:hAnsi="Times New Roman" w:eastAsia="仿宋_GB2312"/>
          <w:sz w:val="32"/>
          <w:szCs w:val="32"/>
          <w:u w:val="single"/>
        </w:rPr>
        <w:t>年</w:t>
      </w:r>
      <w:r>
        <w:rPr>
          <w:rFonts w:ascii="Times New Roman" w:hAnsi="Times New Roman" w:eastAsia="仿宋_GB2312" w:cs="Times New Roman"/>
          <w:sz w:val="32"/>
          <w:szCs w:val="32"/>
          <w:u w:val="single"/>
        </w:rPr>
        <w:t>07</w:t>
      </w:r>
      <w:r>
        <w:rPr>
          <w:rFonts w:hint="eastAsia" w:ascii="Times New Roman" w:hAnsi="Times New Roman" w:eastAsia="仿宋_GB2312"/>
          <w:sz w:val="32"/>
          <w:szCs w:val="32"/>
          <w:u w:val="single"/>
        </w:rPr>
        <w:t>月-</w:t>
      </w:r>
      <w:r>
        <w:rPr>
          <w:rFonts w:ascii="Times New Roman" w:hAnsi="Times New Roman" w:eastAsia="仿宋_GB2312" w:cs="Times New Roman"/>
          <w:sz w:val="32"/>
          <w:szCs w:val="32"/>
          <w:u w:val="single"/>
        </w:rPr>
        <w:t>2023</w:t>
      </w:r>
      <w:r>
        <w:rPr>
          <w:rFonts w:hint="eastAsia" w:ascii="Times New Roman" w:hAnsi="Times New Roman" w:eastAsia="仿宋_GB2312"/>
          <w:sz w:val="32"/>
          <w:szCs w:val="32"/>
          <w:u w:val="single"/>
        </w:rPr>
        <w:t>年</w:t>
      </w:r>
      <w:r>
        <w:rPr>
          <w:rFonts w:ascii="Times New Roman" w:hAnsi="Times New Roman" w:eastAsia="仿宋_GB2312" w:cs="Times New Roman"/>
          <w:sz w:val="32"/>
          <w:szCs w:val="32"/>
          <w:u w:val="single"/>
        </w:rPr>
        <w:t>10</w:t>
      </w:r>
      <w:r>
        <w:rPr>
          <w:rFonts w:hint="eastAsia" w:ascii="Times New Roman" w:hAnsi="Times New Roman" w:eastAsia="仿宋_GB2312"/>
          <w:sz w:val="32"/>
          <w:szCs w:val="32"/>
          <w:u w:val="single"/>
        </w:rPr>
        <w:t>月</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rPr>
        <w:t xml:space="preserve">  </w:t>
      </w:r>
      <w:r>
        <w:rPr>
          <w:rFonts w:ascii="Times New Roman" w:hAnsi="Times New Roman" w:eastAsia="仿宋_GB2312"/>
          <w:sz w:val="32"/>
          <w:szCs w:val="32"/>
          <w:u w:val="single"/>
        </w:rPr>
        <w:t xml:space="preserve">  </w:t>
      </w:r>
    </w:p>
    <w:p>
      <w:pPr>
        <w:spacing w:line="900" w:lineRule="exact"/>
        <w:ind w:firstLine="0" w:firstLineChars="0"/>
        <w:rPr>
          <w:rFonts w:ascii="Times New Roman" w:hAnsi="Times New Roman" w:eastAsia="仿宋_GB2312"/>
          <w:sz w:val="32"/>
          <w:szCs w:val="32"/>
          <w:u w:val="single"/>
        </w:rPr>
      </w:pPr>
      <w:r>
        <w:rPr>
          <w:rFonts w:ascii="Times New Roman" w:hAnsi="Times New Roman" w:eastAsia="仿宋_GB2312"/>
          <w:sz w:val="32"/>
          <w:szCs w:val="32"/>
          <w:u w:val="single"/>
        </w:rPr>
        <w:t xml:space="preserve"> </w:t>
      </w:r>
    </w:p>
    <w:p>
      <w:pPr>
        <w:widowControl/>
        <w:spacing w:line="240" w:lineRule="auto"/>
        <w:ind w:firstLine="0" w:firstLineChars="0"/>
        <w:rPr>
          <w:rFonts w:ascii="Times New Roman" w:hAnsi="Times New Roman" w:eastAsia="方正小标宋简体"/>
          <w:bCs/>
          <w:color w:val="000000" w:themeColor="text1"/>
          <w:kern w:val="44"/>
          <w:sz w:val="44"/>
          <w:szCs w:val="44"/>
          <w14:textFill>
            <w14:solidFill>
              <w14:schemeClr w14:val="tx1"/>
            </w14:solidFill>
          </w14:textFill>
        </w:rPr>
      </w:pPr>
      <w:r>
        <w:rPr>
          <w:rFonts w:ascii="Times New Roman" w:hAnsi="Times New Roman" w:eastAsia="方正小标宋简体"/>
          <w:bCs/>
          <w:color w:val="000000" w:themeColor="text1"/>
          <w:kern w:val="44"/>
          <w:sz w:val="44"/>
          <w:szCs w:val="44"/>
          <w14:textFill>
            <w14:solidFill>
              <w14:schemeClr w14:val="tx1"/>
            </w14:solidFill>
          </w14:textFill>
        </w:rPr>
        <w:br w:type="page"/>
      </w:r>
    </w:p>
    <w:sdt>
      <w:sdtPr>
        <w:rPr>
          <w:rFonts w:ascii="Times New Roman" w:hAnsi="Times New Roman"/>
          <w:lang w:val="zh-CN"/>
        </w:rPr>
        <w:id w:val="-1"/>
        <w:docPartObj>
          <w:docPartGallery w:val="Table of Contents"/>
          <w:docPartUnique/>
        </w:docPartObj>
      </w:sdtPr>
      <w:sdtEndPr>
        <w:rPr>
          <w:rFonts w:ascii="Times New Roman" w:hAnsi="Times New Roman" w:eastAsiaTheme="majorEastAsia" w:cstheme="majorBidi"/>
          <w:b/>
          <w:bCs/>
          <w:color w:val="2F5597" w:themeColor="accent1" w:themeShade="BF"/>
          <w:kern w:val="0"/>
          <w:sz w:val="32"/>
          <w:szCs w:val="32"/>
          <w:lang w:val="zh-CN"/>
        </w:rPr>
      </w:sdtEndPr>
      <w:sdtContent>
        <w:p>
          <w:pPr>
            <w:ind w:firstLine="420"/>
            <w:jc w:val="center"/>
            <w:rPr>
              <w:rFonts w:ascii="Times New Roman" w:hAnsi="Times New Roman"/>
            </w:rPr>
          </w:pPr>
          <w:r>
            <w:rPr>
              <w:rFonts w:hint="eastAsia" w:ascii="Times New Roman" w:hAnsi="Times New Roman" w:eastAsia="黑体" w:cs="黑体"/>
              <w:sz w:val="32"/>
              <w:szCs w:val="32"/>
            </w:rPr>
            <w:t>目  录</w:t>
          </w:r>
          <w:r>
            <w:rPr>
              <w:rFonts w:ascii="Times New Roman" w:hAnsi="Times New Roman" w:eastAsia="黑体" w:cs="黑体"/>
            </w:rPr>
            <w:fldChar w:fldCharType="begin"/>
          </w:r>
          <w:r>
            <w:rPr>
              <w:rFonts w:ascii="Times New Roman" w:hAnsi="Times New Roman" w:eastAsia="黑体" w:cs="黑体"/>
            </w:rPr>
            <w:instrText xml:space="preserve"> </w:instrText>
          </w:r>
          <w:r>
            <w:rPr>
              <w:rFonts w:hint="eastAsia" w:ascii="Times New Roman" w:hAnsi="Times New Roman" w:eastAsia="黑体" w:cs="黑体"/>
            </w:rPr>
            <w:instrText xml:space="preserve">TOC \o "1-3" \h \z \u</w:instrText>
          </w:r>
          <w:r>
            <w:rPr>
              <w:rFonts w:ascii="Times New Roman" w:hAnsi="Times New Roman" w:eastAsia="黑体" w:cs="黑体"/>
            </w:rPr>
            <w:instrText xml:space="preserve"> </w:instrText>
          </w:r>
          <w:r>
            <w:rPr>
              <w:rFonts w:ascii="Times New Roman" w:hAnsi="Times New Roman" w:eastAsia="黑体" w:cs="黑体"/>
            </w:rPr>
            <w:fldChar w:fldCharType="separate"/>
          </w:r>
        </w:p>
        <w:p>
          <w:pPr>
            <w:pStyle w:val="14"/>
            <w:tabs>
              <w:tab w:val="right" w:leader="dot" w:pos="8312"/>
              <w:tab w:val="clear" w:pos="8302"/>
            </w:tabs>
            <w:rPr>
              <w:rFonts w:ascii="Times New Roman" w:hAnsi="Times New Roman"/>
            </w:rPr>
          </w:pPr>
          <w:r>
            <w:fldChar w:fldCharType="begin"/>
          </w:r>
          <w:r>
            <w:instrText xml:space="preserve"> HYPERLINK \l "_Toc1761341641" </w:instrText>
          </w:r>
          <w:r>
            <w:fldChar w:fldCharType="separate"/>
          </w:r>
          <w:r>
            <w:rPr>
              <w:rFonts w:hint="eastAsia" w:ascii="Times New Roman" w:hAnsi="Times New Roman"/>
            </w:rPr>
            <w:t>一、项目基本情况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_Toc1761341641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9"/>
            <w:tabs>
              <w:tab w:val="right" w:leader="dot" w:pos="8312"/>
              <w:tab w:val="clear" w:pos="8302"/>
            </w:tabs>
            <w:rPr>
              <w:rFonts w:ascii="Times New Roman" w:hAnsi="Times New Roman"/>
            </w:rPr>
          </w:pPr>
          <w:r>
            <w:fldChar w:fldCharType="begin"/>
          </w:r>
          <w:r>
            <w:instrText xml:space="preserve"> HYPERLINK \l "_Toc1954370039" </w:instrText>
          </w:r>
          <w:r>
            <w:fldChar w:fldCharType="separate"/>
          </w:r>
          <w:r>
            <w:rPr>
              <w:rFonts w:hint="eastAsia" w:ascii="Times New Roman" w:hAnsi="Times New Roman"/>
            </w:rPr>
            <w:t>（一）项目概况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_Toc1954370039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9"/>
            <w:tabs>
              <w:tab w:val="right" w:leader="dot" w:pos="8312"/>
              <w:tab w:val="clear" w:pos="8302"/>
            </w:tabs>
            <w:rPr>
              <w:rFonts w:ascii="Times New Roman" w:hAnsi="Times New Roman"/>
            </w:rPr>
          </w:pPr>
          <w:r>
            <w:fldChar w:fldCharType="begin"/>
          </w:r>
          <w:r>
            <w:instrText xml:space="preserve"> HYPERLINK \l "_Toc1334864608" </w:instrText>
          </w:r>
          <w:r>
            <w:fldChar w:fldCharType="separate"/>
          </w:r>
          <w:r>
            <w:rPr>
              <w:rFonts w:hint="eastAsia" w:ascii="Times New Roman" w:hAnsi="Times New Roman"/>
            </w:rPr>
            <w:t>（二）项目绩效目标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_Toc1334864608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pPr>
            <w:pStyle w:val="14"/>
            <w:tabs>
              <w:tab w:val="right" w:leader="dot" w:pos="8312"/>
              <w:tab w:val="clear" w:pos="8302"/>
            </w:tabs>
            <w:rPr>
              <w:rFonts w:ascii="Times New Roman" w:hAnsi="Times New Roman"/>
            </w:rPr>
          </w:pPr>
          <w:r>
            <w:fldChar w:fldCharType="begin"/>
          </w:r>
          <w:r>
            <w:instrText xml:space="preserve"> HYPERLINK \l "_Toc307806447" </w:instrText>
          </w:r>
          <w:r>
            <w:fldChar w:fldCharType="separate"/>
          </w:r>
          <w:r>
            <w:rPr>
              <w:rFonts w:hint="eastAsia" w:ascii="Times New Roman" w:hAnsi="Times New Roman"/>
            </w:rPr>
            <w:t>二、绩效评价工作开展情况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_Toc307806447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pPr>
            <w:pStyle w:val="9"/>
            <w:tabs>
              <w:tab w:val="right" w:leader="dot" w:pos="8312"/>
              <w:tab w:val="clear" w:pos="8302"/>
            </w:tabs>
            <w:rPr>
              <w:rFonts w:ascii="Times New Roman" w:hAnsi="Times New Roman"/>
            </w:rPr>
          </w:pPr>
          <w:r>
            <w:fldChar w:fldCharType="begin"/>
          </w:r>
          <w:r>
            <w:instrText xml:space="preserve"> HYPERLINK \l "_Toc14849106" </w:instrText>
          </w:r>
          <w:r>
            <w:fldChar w:fldCharType="separate"/>
          </w:r>
          <w:r>
            <w:rPr>
              <w:rFonts w:hint="eastAsia" w:ascii="Times New Roman" w:hAnsi="Times New Roman"/>
            </w:rPr>
            <w:t>（一）绩效评价的目的、对象和范围</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_Toc14849106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pPr>
            <w:pStyle w:val="9"/>
            <w:tabs>
              <w:tab w:val="right" w:leader="dot" w:pos="8312"/>
              <w:tab w:val="clear" w:pos="8302"/>
            </w:tabs>
            <w:rPr>
              <w:rFonts w:ascii="Times New Roman" w:hAnsi="Times New Roman"/>
            </w:rPr>
          </w:pPr>
          <w:r>
            <w:fldChar w:fldCharType="begin"/>
          </w:r>
          <w:r>
            <w:instrText xml:space="preserve"> HYPERLINK \l "_Toc460821490" </w:instrText>
          </w:r>
          <w:r>
            <w:fldChar w:fldCharType="separate"/>
          </w:r>
          <w:r>
            <w:rPr>
              <w:rFonts w:hint="eastAsia" w:ascii="Times New Roman" w:hAnsi="Times New Roman"/>
            </w:rPr>
            <w:t>（二）</w:t>
          </w:r>
          <w:r>
            <w:rPr>
              <w:rFonts w:hint="eastAsia" w:ascii="Times New Roman" w:hAnsi="Times New Roman" w:cs="楷体_GB2312"/>
            </w:rPr>
            <w:t>绩效评价原则、评价指标体系、评价方法</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_Toc460821490 \h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pPr>
            <w:pStyle w:val="9"/>
            <w:tabs>
              <w:tab w:val="right" w:leader="dot" w:pos="8312"/>
              <w:tab w:val="clear" w:pos="8302"/>
            </w:tabs>
            <w:rPr>
              <w:rFonts w:ascii="Times New Roman" w:hAnsi="Times New Roman"/>
            </w:rPr>
          </w:pPr>
          <w:r>
            <w:fldChar w:fldCharType="begin"/>
          </w:r>
          <w:r>
            <w:instrText xml:space="preserve"> HYPERLINK \l "_Toc1200751348" </w:instrText>
          </w:r>
          <w:r>
            <w:fldChar w:fldCharType="separate"/>
          </w:r>
          <w:r>
            <w:rPr>
              <w:rFonts w:hint="eastAsia" w:ascii="Times New Roman" w:hAnsi="Times New Roman"/>
            </w:rPr>
            <w:t>（三）绩效评价工作过程</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_Toc1200751348 \h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fldChar w:fldCharType="end"/>
          </w:r>
        </w:p>
        <w:p>
          <w:pPr>
            <w:pStyle w:val="14"/>
            <w:tabs>
              <w:tab w:val="right" w:leader="dot" w:pos="8312"/>
              <w:tab w:val="clear" w:pos="8302"/>
            </w:tabs>
            <w:rPr>
              <w:rFonts w:ascii="Times New Roman" w:hAnsi="Times New Roman"/>
            </w:rPr>
          </w:pPr>
          <w:r>
            <w:fldChar w:fldCharType="begin"/>
          </w:r>
          <w:r>
            <w:instrText xml:space="preserve"> HYPERLINK \l "_Toc1124074977" </w:instrText>
          </w:r>
          <w:r>
            <w:fldChar w:fldCharType="separate"/>
          </w:r>
          <w:r>
            <w:rPr>
              <w:rFonts w:hint="eastAsia" w:ascii="Times New Roman" w:hAnsi="Times New Roman"/>
            </w:rPr>
            <w:t>三、综合评价情况及评价结论</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_Toc1124074977 \h </w:instrText>
          </w:r>
          <w:r>
            <w:rPr>
              <w:rFonts w:ascii="Times New Roman" w:hAnsi="Times New Roman"/>
            </w:rPr>
            <w:fldChar w:fldCharType="separate"/>
          </w:r>
          <w:r>
            <w:rPr>
              <w:rFonts w:ascii="Times New Roman" w:hAnsi="Times New Roman"/>
            </w:rPr>
            <w:t>13</w:t>
          </w:r>
          <w:r>
            <w:rPr>
              <w:rFonts w:ascii="Times New Roman" w:hAnsi="Times New Roman"/>
            </w:rPr>
            <w:fldChar w:fldCharType="end"/>
          </w:r>
          <w:r>
            <w:rPr>
              <w:rFonts w:ascii="Times New Roman" w:hAnsi="Times New Roman"/>
            </w:rPr>
            <w:fldChar w:fldCharType="end"/>
          </w:r>
        </w:p>
        <w:p>
          <w:pPr>
            <w:pStyle w:val="9"/>
            <w:tabs>
              <w:tab w:val="right" w:leader="dot" w:pos="8312"/>
              <w:tab w:val="clear" w:pos="8302"/>
            </w:tabs>
            <w:rPr>
              <w:rFonts w:ascii="Times New Roman" w:hAnsi="Times New Roman"/>
            </w:rPr>
          </w:pPr>
          <w:r>
            <w:fldChar w:fldCharType="begin"/>
          </w:r>
          <w:r>
            <w:instrText xml:space="preserve"> HYPERLINK \l "_Toc914495780" </w:instrText>
          </w:r>
          <w:r>
            <w:fldChar w:fldCharType="separate"/>
          </w:r>
          <w:r>
            <w:rPr>
              <w:rFonts w:hint="eastAsia" w:ascii="Times New Roman" w:hAnsi="Times New Roman"/>
            </w:rPr>
            <w:t>（一）项目决策情况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_Toc914495780 \h </w:instrText>
          </w:r>
          <w:r>
            <w:rPr>
              <w:rFonts w:ascii="Times New Roman" w:hAnsi="Times New Roman"/>
            </w:rPr>
            <w:fldChar w:fldCharType="separate"/>
          </w:r>
          <w:r>
            <w:rPr>
              <w:rFonts w:ascii="Times New Roman" w:hAnsi="Times New Roman"/>
            </w:rPr>
            <w:t>14</w:t>
          </w:r>
          <w:r>
            <w:rPr>
              <w:rFonts w:ascii="Times New Roman" w:hAnsi="Times New Roman"/>
            </w:rPr>
            <w:fldChar w:fldCharType="end"/>
          </w:r>
          <w:r>
            <w:rPr>
              <w:rFonts w:ascii="Times New Roman" w:hAnsi="Times New Roman"/>
            </w:rPr>
            <w:fldChar w:fldCharType="end"/>
          </w:r>
        </w:p>
        <w:p>
          <w:pPr>
            <w:pStyle w:val="9"/>
            <w:tabs>
              <w:tab w:val="right" w:leader="dot" w:pos="8312"/>
              <w:tab w:val="clear" w:pos="8302"/>
            </w:tabs>
            <w:rPr>
              <w:rFonts w:ascii="Times New Roman" w:hAnsi="Times New Roman"/>
            </w:rPr>
          </w:pPr>
          <w:r>
            <w:fldChar w:fldCharType="begin"/>
          </w:r>
          <w:r>
            <w:instrText xml:space="preserve"> HYPERLINK \l "_Toc390112881" </w:instrText>
          </w:r>
          <w:r>
            <w:fldChar w:fldCharType="separate"/>
          </w:r>
          <w:r>
            <w:rPr>
              <w:rFonts w:hint="eastAsia" w:ascii="Times New Roman" w:hAnsi="Times New Roman"/>
            </w:rPr>
            <w:t>（二）项目过程情况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_Toc390112881 \h </w:instrText>
          </w:r>
          <w:r>
            <w:rPr>
              <w:rFonts w:ascii="Times New Roman" w:hAnsi="Times New Roman"/>
            </w:rPr>
            <w:fldChar w:fldCharType="separate"/>
          </w:r>
          <w:r>
            <w:rPr>
              <w:rFonts w:ascii="Times New Roman" w:hAnsi="Times New Roman"/>
            </w:rPr>
            <w:t>17</w:t>
          </w:r>
          <w:r>
            <w:rPr>
              <w:rFonts w:ascii="Times New Roman" w:hAnsi="Times New Roman"/>
            </w:rPr>
            <w:fldChar w:fldCharType="end"/>
          </w:r>
          <w:r>
            <w:rPr>
              <w:rFonts w:ascii="Times New Roman" w:hAnsi="Times New Roman"/>
            </w:rPr>
            <w:fldChar w:fldCharType="end"/>
          </w:r>
        </w:p>
        <w:p>
          <w:pPr>
            <w:pStyle w:val="9"/>
            <w:tabs>
              <w:tab w:val="right" w:leader="dot" w:pos="8312"/>
              <w:tab w:val="clear" w:pos="8302"/>
            </w:tabs>
            <w:rPr>
              <w:rFonts w:ascii="Times New Roman" w:hAnsi="Times New Roman"/>
            </w:rPr>
          </w:pPr>
          <w:r>
            <w:fldChar w:fldCharType="begin"/>
          </w:r>
          <w:r>
            <w:instrText xml:space="preserve"> HYPERLINK \l "_Toc359616676" </w:instrText>
          </w:r>
          <w:r>
            <w:fldChar w:fldCharType="separate"/>
          </w:r>
          <w:r>
            <w:rPr>
              <w:rFonts w:hint="eastAsia" w:ascii="Times New Roman" w:hAnsi="Times New Roman"/>
            </w:rPr>
            <w:t>（三）项目产出情况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_Toc359616676 \h </w:instrText>
          </w:r>
          <w:r>
            <w:rPr>
              <w:rFonts w:ascii="Times New Roman" w:hAnsi="Times New Roman"/>
            </w:rPr>
            <w:fldChar w:fldCharType="separate"/>
          </w:r>
          <w:r>
            <w:rPr>
              <w:rFonts w:ascii="Times New Roman" w:hAnsi="Times New Roman"/>
            </w:rPr>
            <w:t>19</w:t>
          </w:r>
          <w:r>
            <w:rPr>
              <w:rFonts w:ascii="Times New Roman" w:hAnsi="Times New Roman"/>
            </w:rPr>
            <w:fldChar w:fldCharType="end"/>
          </w:r>
          <w:r>
            <w:rPr>
              <w:rFonts w:ascii="Times New Roman" w:hAnsi="Times New Roman"/>
            </w:rPr>
            <w:fldChar w:fldCharType="end"/>
          </w:r>
        </w:p>
        <w:p>
          <w:pPr>
            <w:pStyle w:val="9"/>
            <w:tabs>
              <w:tab w:val="right" w:leader="dot" w:pos="8312"/>
              <w:tab w:val="clear" w:pos="8302"/>
            </w:tabs>
            <w:rPr>
              <w:rFonts w:ascii="Times New Roman" w:hAnsi="Times New Roman"/>
            </w:rPr>
          </w:pPr>
          <w:r>
            <w:fldChar w:fldCharType="begin"/>
          </w:r>
          <w:r>
            <w:instrText xml:space="preserve"> HYPERLINK \l "_Toc1058490874" </w:instrText>
          </w:r>
          <w:r>
            <w:fldChar w:fldCharType="separate"/>
          </w:r>
          <w:r>
            <w:rPr>
              <w:rFonts w:hint="eastAsia" w:ascii="Times New Roman" w:hAnsi="Times New Roman"/>
            </w:rPr>
            <w:t>（四）项目效益情况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_Toc1058490874 \h </w:instrText>
          </w:r>
          <w:r>
            <w:rPr>
              <w:rFonts w:ascii="Times New Roman" w:hAnsi="Times New Roman"/>
            </w:rPr>
            <w:fldChar w:fldCharType="separate"/>
          </w:r>
          <w:r>
            <w:rPr>
              <w:rFonts w:ascii="Times New Roman" w:hAnsi="Times New Roman"/>
            </w:rPr>
            <w:t>21</w:t>
          </w:r>
          <w:r>
            <w:rPr>
              <w:rFonts w:ascii="Times New Roman" w:hAnsi="Times New Roman"/>
            </w:rPr>
            <w:fldChar w:fldCharType="end"/>
          </w:r>
          <w:r>
            <w:rPr>
              <w:rFonts w:ascii="Times New Roman" w:hAnsi="Times New Roman"/>
            </w:rPr>
            <w:fldChar w:fldCharType="end"/>
          </w:r>
        </w:p>
        <w:p>
          <w:pPr>
            <w:pStyle w:val="14"/>
            <w:tabs>
              <w:tab w:val="right" w:leader="dot" w:pos="8312"/>
              <w:tab w:val="clear" w:pos="8302"/>
            </w:tabs>
            <w:rPr>
              <w:rFonts w:ascii="Times New Roman" w:hAnsi="Times New Roman"/>
            </w:rPr>
          </w:pPr>
          <w:r>
            <w:fldChar w:fldCharType="begin"/>
          </w:r>
          <w:r>
            <w:instrText xml:space="preserve"> HYPERLINK \l "_Toc301587570" </w:instrText>
          </w:r>
          <w:r>
            <w:fldChar w:fldCharType="separate"/>
          </w:r>
          <w:r>
            <w:rPr>
              <w:rFonts w:hint="eastAsia" w:ascii="Times New Roman" w:hAnsi="Times New Roman"/>
            </w:rPr>
            <w:t>五、存在的主要问题</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_Toc301587570 \h </w:instrText>
          </w:r>
          <w:r>
            <w:rPr>
              <w:rFonts w:ascii="Times New Roman" w:hAnsi="Times New Roman"/>
            </w:rPr>
            <w:fldChar w:fldCharType="separate"/>
          </w:r>
          <w:r>
            <w:rPr>
              <w:rFonts w:ascii="Times New Roman" w:hAnsi="Times New Roman"/>
            </w:rPr>
            <w:t>22</w:t>
          </w:r>
          <w:r>
            <w:rPr>
              <w:rFonts w:ascii="Times New Roman" w:hAnsi="Times New Roman"/>
            </w:rPr>
            <w:fldChar w:fldCharType="end"/>
          </w:r>
          <w:r>
            <w:rPr>
              <w:rFonts w:ascii="Times New Roman" w:hAnsi="Times New Roman"/>
            </w:rPr>
            <w:fldChar w:fldCharType="end"/>
          </w:r>
        </w:p>
        <w:p>
          <w:pPr>
            <w:pStyle w:val="9"/>
            <w:tabs>
              <w:tab w:val="right" w:leader="dot" w:pos="8312"/>
              <w:tab w:val="clear" w:pos="8302"/>
            </w:tabs>
            <w:rPr>
              <w:rFonts w:ascii="Times New Roman" w:hAnsi="Times New Roman"/>
            </w:rPr>
          </w:pPr>
          <w:r>
            <w:fldChar w:fldCharType="begin"/>
          </w:r>
          <w:r>
            <w:instrText xml:space="preserve"> HYPERLINK \l "_Toc720882070" </w:instrText>
          </w:r>
          <w:r>
            <w:fldChar w:fldCharType="separate"/>
          </w:r>
          <w:r>
            <w:rPr>
              <w:rFonts w:hint="eastAsia" w:ascii="Times New Roman" w:hAnsi="Times New Roman"/>
              <w:szCs w:val="21"/>
            </w:rPr>
            <w:t>（一）</w:t>
          </w:r>
          <w:r>
            <w:rPr>
              <w:rFonts w:hint="eastAsia" w:ascii="Times New Roman" w:hAnsi="Times New Roman"/>
            </w:rPr>
            <w:t>竣工验收管理制度执行有效性不足</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_Toc720882070 \h </w:instrText>
          </w:r>
          <w:r>
            <w:rPr>
              <w:rFonts w:ascii="Times New Roman" w:hAnsi="Times New Roman"/>
            </w:rPr>
            <w:fldChar w:fldCharType="separate"/>
          </w:r>
          <w:r>
            <w:rPr>
              <w:rFonts w:ascii="Times New Roman" w:hAnsi="Times New Roman"/>
            </w:rPr>
            <w:t>22</w:t>
          </w:r>
          <w:r>
            <w:rPr>
              <w:rFonts w:ascii="Times New Roman" w:hAnsi="Times New Roman"/>
            </w:rPr>
            <w:fldChar w:fldCharType="end"/>
          </w:r>
          <w:r>
            <w:rPr>
              <w:rFonts w:ascii="Times New Roman" w:hAnsi="Times New Roman"/>
            </w:rPr>
            <w:fldChar w:fldCharType="end"/>
          </w:r>
        </w:p>
        <w:p>
          <w:pPr>
            <w:pStyle w:val="9"/>
            <w:tabs>
              <w:tab w:val="right" w:leader="dot" w:pos="8312"/>
              <w:tab w:val="clear" w:pos="8302"/>
            </w:tabs>
            <w:rPr>
              <w:rFonts w:ascii="Times New Roman" w:hAnsi="Times New Roman"/>
            </w:rPr>
          </w:pPr>
          <w:r>
            <w:fldChar w:fldCharType="begin"/>
          </w:r>
          <w:r>
            <w:instrText xml:space="preserve"> HYPERLINK \l "_Toc1909697763" </w:instrText>
          </w:r>
          <w:r>
            <w:fldChar w:fldCharType="separate"/>
          </w:r>
          <w:r>
            <w:rPr>
              <w:rFonts w:hint="eastAsia" w:ascii="Times New Roman" w:hAnsi="Times New Roman"/>
              <w:szCs w:val="21"/>
            </w:rPr>
            <w:t>（二）</w:t>
          </w:r>
          <w:r>
            <w:rPr>
              <w:rFonts w:ascii="Times New Roman" w:hAnsi="Times New Roman"/>
              <w:szCs w:val="21"/>
            </w:rPr>
            <w:t xml:space="preserve"> </w:t>
          </w:r>
          <w:r>
            <w:rPr>
              <w:rFonts w:hint="eastAsia" w:ascii="Times New Roman" w:hAnsi="Times New Roman"/>
              <w:szCs w:val="21"/>
            </w:rPr>
            <w:t>活动宣传工作有待加强</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_Toc1909697763 \h </w:instrText>
          </w:r>
          <w:r>
            <w:rPr>
              <w:rFonts w:ascii="Times New Roman" w:hAnsi="Times New Roman"/>
            </w:rPr>
            <w:fldChar w:fldCharType="separate"/>
          </w:r>
          <w:r>
            <w:rPr>
              <w:rFonts w:ascii="Times New Roman" w:hAnsi="Times New Roman"/>
            </w:rPr>
            <w:t>23</w:t>
          </w:r>
          <w:r>
            <w:rPr>
              <w:rFonts w:ascii="Times New Roman" w:hAnsi="Times New Roman"/>
            </w:rPr>
            <w:fldChar w:fldCharType="end"/>
          </w:r>
          <w:r>
            <w:rPr>
              <w:rFonts w:ascii="Times New Roman" w:hAnsi="Times New Roman"/>
            </w:rPr>
            <w:fldChar w:fldCharType="end"/>
          </w:r>
        </w:p>
        <w:p>
          <w:pPr>
            <w:pStyle w:val="9"/>
            <w:tabs>
              <w:tab w:val="right" w:leader="dot" w:pos="8312"/>
              <w:tab w:val="clear" w:pos="8302"/>
            </w:tabs>
            <w:rPr>
              <w:rFonts w:ascii="Times New Roman" w:hAnsi="Times New Roman"/>
            </w:rPr>
          </w:pPr>
          <w:r>
            <w:fldChar w:fldCharType="begin"/>
          </w:r>
          <w:r>
            <w:instrText xml:space="preserve"> HYPERLINK \l "_Toc2147198326" </w:instrText>
          </w:r>
          <w:r>
            <w:fldChar w:fldCharType="separate"/>
          </w:r>
          <w:r>
            <w:rPr>
              <w:rFonts w:hint="eastAsia" w:ascii="Times New Roman" w:hAnsi="Times New Roman"/>
              <w:szCs w:val="21"/>
            </w:rPr>
            <w:t>（三）预算执行不足，存在资金结转结余</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_Toc2147198326 \h </w:instrText>
          </w:r>
          <w:r>
            <w:rPr>
              <w:rFonts w:ascii="Times New Roman" w:hAnsi="Times New Roman"/>
            </w:rPr>
            <w:fldChar w:fldCharType="separate"/>
          </w:r>
          <w:r>
            <w:rPr>
              <w:rFonts w:ascii="Times New Roman" w:hAnsi="Times New Roman"/>
            </w:rPr>
            <w:t>23</w:t>
          </w:r>
          <w:r>
            <w:rPr>
              <w:rFonts w:ascii="Times New Roman" w:hAnsi="Times New Roman"/>
            </w:rPr>
            <w:fldChar w:fldCharType="end"/>
          </w:r>
          <w:r>
            <w:rPr>
              <w:rFonts w:ascii="Times New Roman" w:hAnsi="Times New Roman"/>
            </w:rPr>
            <w:fldChar w:fldCharType="end"/>
          </w:r>
        </w:p>
        <w:p>
          <w:pPr>
            <w:pStyle w:val="14"/>
            <w:tabs>
              <w:tab w:val="right" w:leader="dot" w:pos="8312"/>
              <w:tab w:val="clear" w:pos="8302"/>
            </w:tabs>
            <w:rPr>
              <w:rFonts w:ascii="Times New Roman" w:hAnsi="Times New Roman"/>
            </w:rPr>
          </w:pPr>
          <w:r>
            <w:fldChar w:fldCharType="begin"/>
          </w:r>
          <w:r>
            <w:instrText xml:space="preserve"> HYPERLINK \l "_Toc1647060894" </w:instrText>
          </w:r>
          <w:r>
            <w:fldChar w:fldCharType="separate"/>
          </w:r>
          <w:r>
            <w:rPr>
              <w:rFonts w:hint="eastAsia" w:ascii="Times New Roman" w:hAnsi="Times New Roman"/>
            </w:rPr>
            <w:t>六、相关建议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_Toc1647060894 \h </w:instrText>
          </w:r>
          <w:r>
            <w:rPr>
              <w:rFonts w:ascii="Times New Roman" w:hAnsi="Times New Roman"/>
            </w:rPr>
            <w:fldChar w:fldCharType="separate"/>
          </w:r>
          <w:r>
            <w:rPr>
              <w:rFonts w:ascii="Times New Roman" w:hAnsi="Times New Roman"/>
            </w:rPr>
            <w:t>23</w:t>
          </w:r>
          <w:r>
            <w:rPr>
              <w:rFonts w:ascii="Times New Roman" w:hAnsi="Times New Roman"/>
            </w:rPr>
            <w:fldChar w:fldCharType="end"/>
          </w:r>
          <w:r>
            <w:rPr>
              <w:rFonts w:ascii="Times New Roman" w:hAnsi="Times New Roman"/>
            </w:rPr>
            <w:fldChar w:fldCharType="end"/>
          </w:r>
        </w:p>
        <w:p>
          <w:pPr>
            <w:pStyle w:val="9"/>
            <w:tabs>
              <w:tab w:val="right" w:leader="dot" w:pos="8312"/>
              <w:tab w:val="clear" w:pos="8302"/>
            </w:tabs>
            <w:rPr>
              <w:rFonts w:ascii="Times New Roman" w:hAnsi="Times New Roman"/>
            </w:rPr>
          </w:pPr>
          <w:r>
            <w:fldChar w:fldCharType="begin"/>
          </w:r>
          <w:r>
            <w:instrText xml:space="preserve"> HYPERLINK \l "_Toc1088235628" </w:instrText>
          </w:r>
          <w:r>
            <w:fldChar w:fldCharType="separate"/>
          </w:r>
          <w:r>
            <w:rPr>
              <w:rFonts w:hint="eastAsia" w:ascii="Times New Roman" w:hAnsi="Times New Roman"/>
            </w:rPr>
            <w:t>（一）规范竣工验收流程管理，提高竣工验收严谨性</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_Toc1088235628 \h </w:instrText>
          </w:r>
          <w:r>
            <w:rPr>
              <w:rFonts w:ascii="Times New Roman" w:hAnsi="Times New Roman"/>
            </w:rPr>
            <w:fldChar w:fldCharType="separate"/>
          </w:r>
          <w:r>
            <w:rPr>
              <w:rFonts w:ascii="Times New Roman" w:hAnsi="Times New Roman"/>
            </w:rPr>
            <w:t>23</w:t>
          </w:r>
          <w:r>
            <w:rPr>
              <w:rFonts w:ascii="Times New Roman" w:hAnsi="Times New Roman"/>
            </w:rPr>
            <w:fldChar w:fldCharType="end"/>
          </w:r>
          <w:r>
            <w:rPr>
              <w:rFonts w:ascii="Times New Roman" w:hAnsi="Times New Roman"/>
            </w:rPr>
            <w:fldChar w:fldCharType="end"/>
          </w:r>
        </w:p>
        <w:p>
          <w:pPr>
            <w:pStyle w:val="9"/>
            <w:tabs>
              <w:tab w:val="right" w:leader="dot" w:pos="8312"/>
              <w:tab w:val="clear" w:pos="8302"/>
            </w:tabs>
            <w:rPr>
              <w:rFonts w:ascii="Times New Roman" w:hAnsi="Times New Roman"/>
            </w:rPr>
          </w:pPr>
          <w:r>
            <w:fldChar w:fldCharType="begin"/>
          </w:r>
          <w:r>
            <w:instrText xml:space="preserve"> HYPERLINK \l "_Toc2005461944" </w:instrText>
          </w:r>
          <w:r>
            <w:fldChar w:fldCharType="separate"/>
          </w:r>
          <w:r>
            <w:rPr>
              <w:rFonts w:hint="eastAsia" w:ascii="Times New Roman" w:hAnsi="Times New Roman"/>
            </w:rPr>
            <w:t>（二）开展多渠道、多形式宣传工作，有效保障项目效益</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_Toc2005461944 \h </w:instrText>
          </w:r>
          <w:r>
            <w:rPr>
              <w:rFonts w:ascii="Times New Roman" w:hAnsi="Times New Roman"/>
            </w:rPr>
            <w:fldChar w:fldCharType="separate"/>
          </w:r>
          <w:r>
            <w:rPr>
              <w:rFonts w:ascii="Times New Roman" w:hAnsi="Times New Roman"/>
            </w:rPr>
            <w:t>24</w:t>
          </w:r>
          <w:r>
            <w:rPr>
              <w:rFonts w:ascii="Times New Roman" w:hAnsi="Times New Roman"/>
            </w:rPr>
            <w:fldChar w:fldCharType="end"/>
          </w:r>
          <w:r>
            <w:rPr>
              <w:rFonts w:ascii="Times New Roman" w:hAnsi="Times New Roman"/>
            </w:rPr>
            <w:fldChar w:fldCharType="end"/>
          </w:r>
        </w:p>
        <w:p>
          <w:pPr>
            <w:pStyle w:val="9"/>
            <w:tabs>
              <w:tab w:val="right" w:leader="dot" w:pos="8312"/>
              <w:tab w:val="clear" w:pos="8302"/>
            </w:tabs>
            <w:rPr>
              <w:rFonts w:ascii="Times New Roman" w:hAnsi="Times New Roman"/>
            </w:rPr>
          </w:pPr>
          <w:r>
            <w:fldChar w:fldCharType="begin"/>
          </w:r>
          <w:r>
            <w:instrText xml:space="preserve"> HYPERLINK \l "_Toc1043053143" </w:instrText>
          </w:r>
          <w:r>
            <w:fldChar w:fldCharType="separate"/>
          </w:r>
          <w:r>
            <w:rPr>
              <w:rFonts w:hint="eastAsia" w:ascii="Times New Roman" w:hAnsi="Times New Roman"/>
            </w:rPr>
            <w:t>（三）加强部门预算管理，提高预算执行水平</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_Toc1043053143 \h </w:instrText>
          </w:r>
          <w:r>
            <w:rPr>
              <w:rFonts w:ascii="Times New Roman" w:hAnsi="Times New Roman"/>
            </w:rPr>
            <w:fldChar w:fldCharType="separate"/>
          </w:r>
          <w:r>
            <w:rPr>
              <w:rFonts w:ascii="Times New Roman" w:hAnsi="Times New Roman"/>
            </w:rPr>
            <w:t>24</w:t>
          </w:r>
          <w:r>
            <w:rPr>
              <w:rFonts w:ascii="Times New Roman" w:hAnsi="Times New Roman"/>
            </w:rPr>
            <w:fldChar w:fldCharType="end"/>
          </w:r>
          <w:r>
            <w:rPr>
              <w:rFonts w:ascii="Times New Roman" w:hAnsi="Times New Roman"/>
            </w:rPr>
            <w:fldChar w:fldCharType="end"/>
          </w:r>
        </w:p>
        <w:p>
          <w:pPr>
            <w:pStyle w:val="14"/>
            <w:tabs>
              <w:tab w:val="right" w:leader="dot" w:pos="8312"/>
              <w:tab w:val="clear" w:pos="8302"/>
            </w:tabs>
            <w:rPr>
              <w:rFonts w:ascii="Times New Roman" w:hAnsi="Times New Roman"/>
            </w:rPr>
          </w:pPr>
          <w:r>
            <w:fldChar w:fldCharType="begin"/>
          </w:r>
          <w:r>
            <w:instrText xml:space="preserve"> HYPERLINK \l "_Toc685163940" </w:instrText>
          </w:r>
          <w:r>
            <w:fldChar w:fldCharType="separate"/>
          </w:r>
          <w:r>
            <w:rPr>
              <w:rFonts w:hint="eastAsia" w:ascii="Times New Roman" w:hAnsi="Times New Roman"/>
              <w:lang w:eastAsia="zh-Hans"/>
            </w:rPr>
            <w:t>七、相关附件</w:t>
          </w:r>
          <w:r>
            <w:rPr>
              <w:rFonts w:ascii="Times New Roman" w:hAnsi="Times New Roman"/>
            </w:rPr>
            <w:tab/>
          </w:r>
          <w:r>
            <w:rPr>
              <w:rFonts w:ascii="Times New Roman" w:hAnsi="Times New Roman"/>
            </w:rPr>
            <w:fldChar w:fldCharType="begin"/>
          </w:r>
          <w:r>
            <w:rPr>
              <w:rFonts w:ascii="Times New Roman" w:hAnsi="Times New Roman"/>
            </w:rPr>
            <w:instrText xml:space="preserve"> PAGEREF _Toc685163940 \h </w:instrText>
          </w:r>
          <w:r>
            <w:rPr>
              <w:rFonts w:ascii="Times New Roman" w:hAnsi="Times New Roman"/>
            </w:rPr>
            <w:fldChar w:fldCharType="separate"/>
          </w:r>
          <w:r>
            <w:rPr>
              <w:rFonts w:ascii="Times New Roman" w:hAnsi="Times New Roman"/>
            </w:rPr>
            <w:t>24</w:t>
          </w:r>
          <w:r>
            <w:rPr>
              <w:rFonts w:ascii="Times New Roman" w:hAnsi="Times New Roman"/>
            </w:rPr>
            <w:fldChar w:fldCharType="end"/>
          </w:r>
          <w:r>
            <w:rPr>
              <w:rFonts w:ascii="Times New Roman" w:hAnsi="Times New Roman"/>
            </w:rPr>
            <w:fldChar w:fldCharType="end"/>
          </w:r>
        </w:p>
        <w:p>
          <w:pPr>
            <w:pStyle w:val="53"/>
            <w:ind w:firstLine="420"/>
            <w:jc w:val="center"/>
            <w:rPr>
              <w:rFonts w:ascii="Times New Roman" w:hAnsi="Times New Roman"/>
              <w:b/>
              <w:bCs/>
              <w:lang w:val="zh-CN"/>
            </w:rPr>
          </w:pPr>
          <w:r>
            <w:rPr>
              <w:rFonts w:ascii="Times New Roman" w:hAnsi="Times New Roman" w:eastAsia="黑体" w:cs="黑体"/>
              <w:color w:val="auto"/>
            </w:rPr>
            <w:fldChar w:fldCharType="end"/>
          </w:r>
        </w:p>
      </w:sdtContent>
    </w:sdt>
    <w:p>
      <w:pPr>
        <w:pStyle w:val="26"/>
        <w:spacing w:before="0" w:after="0"/>
        <w:rPr>
          <w:rFonts w:hint="eastAsia" w:ascii="Times New Roman" w:hAnsi="Times New Roman"/>
          <w:color w:val="000000" w:themeColor="text1"/>
          <w14:textFill>
            <w14:solidFill>
              <w14:schemeClr w14:val="tx1"/>
            </w14:solidFill>
          </w14:textFill>
        </w:rPr>
        <w:sectPr>
          <w:headerReference r:id="rId7" w:type="first"/>
          <w:footerReference r:id="rId10" w:type="first"/>
          <w:headerReference r:id="rId5" w:type="default"/>
          <w:footerReference r:id="rId8" w:type="default"/>
          <w:headerReference r:id="rId6" w:type="even"/>
          <w:footerReference r:id="rId9" w:type="even"/>
          <w:pgSz w:w="11906" w:h="16838"/>
          <w:pgMar w:top="2268" w:right="1797" w:bottom="1701" w:left="1797" w:header="851" w:footer="992" w:gutter="0"/>
          <w:pgNumType w:start="1"/>
          <w:cols w:space="425" w:num="1"/>
          <w:docGrid w:type="lines" w:linePitch="312" w:charSpace="0"/>
        </w:sectPr>
      </w:pPr>
      <w:bookmarkStart w:id="0" w:name="_Toc787958436"/>
    </w:p>
    <w:p>
      <w:pPr>
        <w:pStyle w:val="26"/>
        <w:spacing w:before="0" w:after="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国有企业退休人员社会化补助资金项目</w:t>
      </w:r>
      <w:bookmarkEnd w:id="0"/>
    </w:p>
    <w:p>
      <w:pPr>
        <w:pStyle w:val="26"/>
        <w:spacing w:before="0" w:after="0"/>
        <w:ind w:firstLine="360"/>
        <w:rPr>
          <w:rFonts w:ascii="Times New Roman" w:hAnsi="Times New Roman"/>
          <w:color w:val="000000" w:themeColor="text1"/>
          <w14:textFill>
            <w14:solidFill>
              <w14:schemeClr w14:val="tx1"/>
            </w14:solidFill>
          </w14:textFill>
        </w:rPr>
      </w:pPr>
      <w:bookmarkStart w:id="1" w:name="_Toc1833266450"/>
      <w:r>
        <w:rPr>
          <w:rFonts w:hint="eastAsia" w:ascii="Times New Roman" w:hAnsi="Times New Roman"/>
          <w:color w:val="000000" w:themeColor="text1"/>
          <w14:textFill>
            <w14:solidFill>
              <w14:schemeClr w14:val="tx1"/>
            </w14:solidFill>
          </w14:textFill>
        </w:rPr>
        <w:t>绩效评价报告</w:t>
      </w:r>
      <w:bookmarkEnd w:id="1"/>
    </w:p>
    <w:p>
      <w:pPr>
        <w:pStyle w:val="27"/>
        <w:ind w:firstLine="640"/>
      </w:pPr>
    </w:p>
    <w:p>
      <w:pPr>
        <w:pStyle w:val="27"/>
        <w:ind w:firstLine="640"/>
      </w:pPr>
      <w:r>
        <w:t>为提高财政资金使用效益，合理配置公共财政资源，根据市委、市政府关于全面推进预算绩效管理的实施方案和《天津市市级财政项目支出绩效评价管理办法》（津财绩效〔2020〕12号）等文件要求，</w:t>
      </w:r>
      <w:r>
        <w:rPr>
          <w:rFonts w:hint="eastAsia"/>
        </w:rPr>
        <w:t>天津市和平区财政局引入</w:t>
      </w:r>
      <w:r>
        <w:t>第三方专业机构</w:t>
      </w:r>
      <w:r>
        <w:rPr>
          <w:rFonts w:hint="eastAsia"/>
        </w:rPr>
        <w:t>成立</w:t>
      </w:r>
      <w:r>
        <w:t>绩效评价组，于2023年</w:t>
      </w:r>
      <w:r>
        <w:rPr>
          <w:rFonts w:hint="eastAsia"/>
        </w:rPr>
        <w:t>7月-</w:t>
      </w:r>
      <w:r>
        <w:t>10</w:t>
      </w:r>
      <w:r>
        <w:rPr>
          <w:rFonts w:hint="eastAsia"/>
        </w:rPr>
        <w:t>月</w:t>
      </w:r>
      <w:r>
        <w:t>，对</w:t>
      </w:r>
      <w:r>
        <w:rPr>
          <w:rFonts w:hint="eastAsia"/>
        </w:rPr>
        <w:t>天津市和平区人民政府劝业场街道办事处</w:t>
      </w:r>
      <w:r>
        <w:t>的“</w:t>
      </w:r>
      <w:r>
        <w:rPr>
          <w:rFonts w:hint="eastAsia"/>
        </w:rPr>
        <w:t>国有企业退休人员社会化管理补助资金</w:t>
      </w:r>
      <w:r>
        <w:t>”</w:t>
      </w:r>
      <w:r>
        <w:rPr>
          <w:rFonts w:hint="eastAsia"/>
        </w:rPr>
        <w:t>项目</w:t>
      </w:r>
      <w:r>
        <w:t>开展了绩效评价。该项目评价结果为91.4分，评价等级为“</w:t>
      </w:r>
      <w:r>
        <w:rPr>
          <w:rFonts w:hint="eastAsia"/>
        </w:rPr>
        <w:t>优</w:t>
      </w:r>
      <w:r>
        <w:t>”，有关情况如下。</w:t>
      </w:r>
    </w:p>
    <w:p>
      <w:pPr>
        <w:pStyle w:val="29"/>
      </w:pPr>
      <w:bookmarkStart w:id="2" w:name="_Toc142599164"/>
      <w:bookmarkStart w:id="3" w:name="_Toc1761341641"/>
      <w:bookmarkStart w:id="4" w:name="_Hlk91875033"/>
      <w:r>
        <w:rPr>
          <w:rFonts w:hint="eastAsia"/>
        </w:rPr>
        <w:t>一、项目基本情况</w:t>
      </w:r>
      <w:bookmarkEnd w:id="2"/>
      <w:bookmarkEnd w:id="3"/>
    </w:p>
    <w:p>
      <w:pPr>
        <w:pStyle w:val="31"/>
        <w:ind w:firstLine="640"/>
        <w:rPr>
          <w:rFonts w:ascii="Times New Roman" w:hAnsi="Times New Roman"/>
        </w:rPr>
      </w:pPr>
      <w:bookmarkStart w:id="5" w:name="_Toc142599165"/>
      <w:bookmarkStart w:id="6" w:name="_Toc1954370039"/>
      <w:r>
        <w:rPr>
          <w:rFonts w:hint="eastAsia" w:ascii="Times New Roman" w:hAnsi="Times New Roman"/>
        </w:rPr>
        <w:t>（一）项目概况</w:t>
      </w:r>
      <w:bookmarkEnd w:id="5"/>
      <w:bookmarkEnd w:id="6"/>
    </w:p>
    <w:p>
      <w:pPr>
        <w:pStyle w:val="27"/>
        <w:ind w:firstLine="640"/>
      </w:pPr>
      <w:r>
        <w:rPr>
          <w:rFonts w:hint="eastAsia"/>
        </w:rPr>
        <w:t>1.项目背景</w:t>
      </w:r>
    </w:p>
    <w:p>
      <w:pPr>
        <w:pStyle w:val="27"/>
        <w:ind w:firstLine="640"/>
      </w:pPr>
      <w:r>
        <w:rPr>
          <w:rFonts w:hint="eastAsia"/>
          <w:szCs w:val="32"/>
        </w:rPr>
        <w:t>全面贯彻党的十九大精神，认真落实党中央、国务院决策部署，平稳有序推进国有企业退休人员社会化管理工作，立足退休人员法定权益保障和服务需求，切实保障老年人“老有所娱、老有所学、老有所乐”</w:t>
      </w:r>
      <w:r>
        <w:rPr>
          <w:rFonts w:hint="eastAsia"/>
          <w:szCs w:val="32"/>
          <w:lang w:eastAsia="zh-CN"/>
        </w:rPr>
        <w:t>，</w:t>
      </w:r>
      <w:r>
        <w:rPr>
          <w:rFonts w:hint="eastAsia"/>
          <w:szCs w:val="32"/>
        </w:rPr>
        <w:t>确保离退休人员各项政策、待遇落实到位</w:t>
      </w:r>
      <w:r>
        <w:rPr>
          <w:rFonts w:hint="eastAsia"/>
          <w:szCs w:val="32"/>
          <w:lang w:eastAsia="zh-CN"/>
        </w:rPr>
        <w:t>，</w:t>
      </w:r>
      <w:r>
        <w:rPr>
          <w:rFonts w:hint="eastAsia"/>
          <w:szCs w:val="32"/>
        </w:rPr>
        <w:t xml:space="preserve">推动离退休人员的管理服务各项工作顺利开展，让离退休人员在舒适的环境中提升幸福感。 </w:t>
      </w:r>
    </w:p>
    <w:p>
      <w:pPr>
        <w:pStyle w:val="27"/>
        <w:ind w:firstLine="640"/>
        <w:rPr>
          <w:szCs w:val="32"/>
        </w:rPr>
      </w:pPr>
      <w:r>
        <w:rPr>
          <w:rFonts w:hint="eastAsia"/>
          <w:szCs w:val="32"/>
        </w:rPr>
        <w:t>广大退休人员长期以来为我国社会主义建设和国家发展做出了重要贡献，为使他们晚年生活的得到更加丰富，消除孤独，提升了国企退休人员幸福感，天津市和平区人民政府劝业场街道办进一步落实国有企业退休人员社会化管理工作，通过利用闲置房屋来增加社区离退休人员活动室的空间，但随着离退休人员综合素质的提升，对于文化生活的要求也日益增长，目前社区离退休人员活动室设备设施较陈旧，部分活动无法开展，内部单元功能设置实际需求尚有一定距离，需要进一步规划完善国企退休人员活动场所，保障离退休人员活动室正常开放。</w:t>
      </w:r>
      <w:r>
        <w:rPr>
          <w:szCs w:val="32"/>
        </w:rPr>
        <w:t xml:space="preserve"> </w:t>
      </w:r>
    </w:p>
    <w:p>
      <w:pPr>
        <w:pStyle w:val="27"/>
        <w:ind w:firstLine="640"/>
      </w:pPr>
      <w:r>
        <w:rPr>
          <w:rFonts w:hint="eastAsia"/>
        </w:rPr>
        <w:t>2.主要内容</w:t>
      </w:r>
    </w:p>
    <w:p>
      <w:pPr>
        <w:pStyle w:val="27"/>
        <w:ind w:firstLine="640"/>
        <w:rPr>
          <w:szCs w:val="32"/>
        </w:rPr>
      </w:pPr>
      <w:r>
        <w:t>天津市</w:t>
      </w:r>
      <w:r>
        <w:rPr>
          <w:rFonts w:hint="eastAsia"/>
        </w:rPr>
        <w:t>和平区人民政府劝业场街道办事处根据</w:t>
      </w:r>
      <w:r>
        <w:t>实际需要，</w:t>
      </w:r>
      <w:r>
        <w:rPr>
          <w:rFonts w:hint="eastAsia"/>
          <w:szCs w:val="32"/>
        </w:rPr>
        <w:t>通过利用闲置房屋来增加社区离退休人员活动室的空间</w:t>
      </w:r>
      <w:r>
        <w:rPr>
          <w:rFonts w:hint="eastAsia"/>
        </w:rPr>
        <w:t>，但</w:t>
      </w:r>
      <w:r>
        <w:rPr>
          <w:rFonts w:hint="eastAsia"/>
          <w:szCs w:val="32"/>
        </w:rPr>
        <w:t>闲置房屋内部单元功能设置与实际需求尚有一定距离无法使用，需要进一步将闲置房屋提升改造，保障活动室正常开放，丰富国企退休人员退休生活。</w:t>
      </w:r>
      <w:r>
        <w:rPr>
          <w:szCs w:val="32"/>
        </w:rPr>
        <w:t xml:space="preserve"> </w:t>
      </w:r>
    </w:p>
    <w:p>
      <w:pPr>
        <w:pStyle w:val="27"/>
        <w:ind w:firstLine="640"/>
      </w:pPr>
      <w:r>
        <w:rPr>
          <w:rFonts w:hint="eastAsia"/>
        </w:rPr>
        <w:t>3.项目组织管理</w:t>
      </w:r>
    </w:p>
    <w:p>
      <w:pPr>
        <w:pStyle w:val="27"/>
        <w:ind w:firstLine="640"/>
      </w:pPr>
      <w:r>
        <w:rPr>
          <w:rFonts w:hint="eastAsia"/>
        </w:rPr>
        <w:t>天津市和平区人民政府劝业场街道办事处负责与第三方服务机构签订服务合同，对服务质量组织验收，负责制定项目业务制度，统筹监督管理项目的具体开展情况，完成项目资金的使用，保障项目顺利实施。</w:t>
      </w:r>
    </w:p>
    <w:p>
      <w:pPr>
        <w:pStyle w:val="27"/>
        <w:ind w:firstLine="640"/>
      </w:pPr>
      <w:r>
        <w:rPr>
          <w:rFonts w:hint="eastAsia"/>
        </w:rPr>
        <w:t>4.资金投入和使用情况</w:t>
      </w:r>
    </w:p>
    <w:p>
      <w:pPr>
        <w:pStyle w:val="27"/>
        <w:ind w:firstLine="640"/>
      </w:pPr>
      <w:r>
        <w:rPr>
          <w:rFonts w:hint="eastAsia"/>
        </w:rPr>
        <w:t>项目预算安排区级资金</w:t>
      </w:r>
      <w:r>
        <w:t>10.40</w:t>
      </w:r>
      <w:r>
        <w:rPr>
          <w:rFonts w:hint="eastAsia"/>
        </w:rPr>
        <w:t>万元，全部为区财政资金。截至2</w:t>
      </w:r>
      <w:r>
        <w:t>022</w:t>
      </w:r>
      <w:r>
        <w:rPr>
          <w:rFonts w:hint="eastAsia"/>
        </w:rPr>
        <w:t>年</w:t>
      </w:r>
      <w:r>
        <w:t>6</w:t>
      </w:r>
      <w:r>
        <w:rPr>
          <w:rFonts w:hint="eastAsia"/>
        </w:rPr>
        <w:t>月</w:t>
      </w:r>
      <w:r>
        <w:t>16</w:t>
      </w:r>
      <w:r>
        <w:rPr>
          <w:rFonts w:hint="eastAsia"/>
        </w:rPr>
        <w:t>日，区级资金已到位</w:t>
      </w:r>
      <w:r>
        <w:t>10.40</w:t>
      </w:r>
      <w:r>
        <w:rPr>
          <w:rFonts w:hint="eastAsia"/>
        </w:rPr>
        <w:t>万元，资金到位率</w:t>
      </w:r>
      <w:r>
        <w:t>100</w:t>
      </w:r>
      <w:r>
        <w:rPr>
          <w:rFonts w:hint="eastAsia"/>
        </w:rPr>
        <w:t>%。</w:t>
      </w:r>
    </w:p>
    <w:p>
      <w:pPr>
        <w:pStyle w:val="27"/>
        <w:ind w:firstLine="640"/>
      </w:pPr>
      <w:r>
        <w:rPr>
          <w:rFonts w:hint="eastAsia"/>
        </w:rPr>
        <w:t>项目执行过程中，实际支出区级资金</w:t>
      </w:r>
      <w:r>
        <w:t>8.41</w:t>
      </w:r>
      <w:r>
        <w:rPr>
          <w:rFonts w:hint="eastAsia"/>
        </w:rPr>
        <w:t>万元，预算执行率</w:t>
      </w:r>
      <w:r>
        <w:t>80.87</w:t>
      </w:r>
      <w:r>
        <w:rPr>
          <w:rFonts w:hint="eastAsia"/>
        </w:rPr>
        <w:t>%。</w:t>
      </w:r>
    </w:p>
    <w:p>
      <w:pPr>
        <w:pStyle w:val="27"/>
        <w:ind w:firstLine="640"/>
      </w:pPr>
      <w:r>
        <w:rPr>
          <w:rFonts w:hint="eastAsia"/>
        </w:rPr>
        <w:t>资金具体情况见表1：</w:t>
      </w:r>
    </w:p>
    <w:p>
      <w:pPr>
        <w:pStyle w:val="34"/>
        <w:rPr>
          <w:rFonts w:eastAsia="黑体" w:cs="宋体"/>
          <w:bCs w:val="0"/>
          <w:sz w:val="28"/>
          <w:szCs w:val="28"/>
        </w:rPr>
      </w:pPr>
      <w:r>
        <w:rPr>
          <w:rFonts w:eastAsia="黑体" w:cs="宋体"/>
          <w:bCs w:val="0"/>
          <w:sz w:val="28"/>
          <w:szCs w:val="28"/>
        </w:rPr>
        <w:t>表1  资金预算执行率情况表</w:t>
      </w:r>
    </w:p>
    <w:p>
      <w:pPr>
        <w:pStyle w:val="35"/>
      </w:pPr>
      <w:r>
        <w:rPr>
          <w:rFonts w:hint="eastAsia"/>
        </w:rPr>
        <w:t>单位：万元</w:t>
      </w:r>
    </w:p>
    <w:tbl>
      <w:tblPr>
        <w:tblStyle w:val="17"/>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48"/>
        <w:gridCol w:w="1456"/>
        <w:gridCol w:w="1460"/>
        <w:gridCol w:w="1311"/>
        <w:gridCol w:w="1456"/>
        <w:gridCol w:w="139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blHeader/>
          <w:jc w:val="center"/>
        </w:trPr>
        <w:tc>
          <w:tcPr>
            <w:tcW w:w="1408" w:type="dxa"/>
            <w:vAlign w:val="center"/>
          </w:tcPr>
          <w:p>
            <w:pPr>
              <w:pStyle w:val="37"/>
            </w:pPr>
            <w:r>
              <w:rPr>
                <w:rFonts w:hint="eastAsia"/>
              </w:rPr>
              <w:t>资金计划</w:t>
            </w:r>
          </w:p>
          <w:p>
            <w:pPr>
              <w:pStyle w:val="37"/>
            </w:pPr>
            <w:r>
              <w:rPr>
                <w:rFonts w:hint="eastAsia"/>
              </w:rPr>
              <w:t>下达时间</w:t>
            </w:r>
          </w:p>
        </w:tc>
        <w:tc>
          <w:tcPr>
            <w:tcW w:w="1416" w:type="dxa"/>
            <w:vAlign w:val="center"/>
          </w:tcPr>
          <w:p>
            <w:pPr>
              <w:pStyle w:val="37"/>
            </w:pPr>
            <w:r>
              <w:rPr>
                <w:rFonts w:hint="eastAsia"/>
              </w:rPr>
              <w:t>资金计划</w:t>
            </w:r>
          </w:p>
          <w:p>
            <w:pPr>
              <w:pStyle w:val="37"/>
            </w:pPr>
            <w:r>
              <w:rPr>
                <w:rFonts w:hint="eastAsia"/>
              </w:rPr>
              <w:t>下达金额</w:t>
            </w:r>
          </w:p>
        </w:tc>
        <w:tc>
          <w:tcPr>
            <w:tcW w:w="1420" w:type="dxa"/>
            <w:vAlign w:val="center"/>
          </w:tcPr>
          <w:p>
            <w:pPr>
              <w:pStyle w:val="37"/>
            </w:pPr>
            <w:r>
              <w:rPr>
                <w:rFonts w:hint="eastAsia"/>
              </w:rPr>
              <w:t>实际到位</w:t>
            </w:r>
          </w:p>
          <w:p>
            <w:pPr>
              <w:pStyle w:val="37"/>
            </w:pPr>
            <w:r>
              <w:rPr>
                <w:rFonts w:hint="eastAsia"/>
              </w:rPr>
              <w:t>资金</w:t>
            </w:r>
          </w:p>
        </w:tc>
        <w:tc>
          <w:tcPr>
            <w:tcW w:w="1275" w:type="dxa"/>
            <w:vAlign w:val="center"/>
          </w:tcPr>
          <w:p>
            <w:pPr>
              <w:pStyle w:val="37"/>
            </w:pPr>
            <w:r>
              <w:rPr>
                <w:rFonts w:hint="eastAsia"/>
              </w:rPr>
              <w:t>资金到位率</w:t>
            </w:r>
          </w:p>
        </w:tc>
        <w:tc>
          <w:tcPr>
            <w:tcW w:w="1416" w:type="dxa"/>
            <w:vAlign w:val="center"/>
          </w:tcPr>
          <w:p>
            <w:pPr>
              <w:pStyle w:val="37"/>
            </w:pPr>
            <w:r>
              <w:rPr>
                <w:rFonts w:hint="eastAsia"/>
              </w:rPr>
              <w:t>实际支付</w:t>
            </w:r>
          </w:p>
          <w:p>
            <w:pPr>
              <w:pStyle w:val="37"/>
            </w:pPr>
            <w:r>
              <w:rPr>
                <w:rFonts w:hint="eastAsia"/>
              </w:rPr>
              <w:t>资金</w:t>
            </w:r>
          </w:p>
        </w:tc>
        <w:tc>
          <w:tcPr>
            <w:tcW w:w="1357" w:type="dxa"/>
            <w:vAlign w:val="center"/>
          </w:tcPr>
          <w:p>
            <w:pPr>
              <w:pStyle w:val="37"/>
            </w:pPr>
            <w:r>
              <w:rPr>
                <w:rFonts w:hint="eastAsia"/>
              </w:rPr>
              <w:t>预算执行率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54" w:hRule="atLeast"/>
          <w:jc w:val="center"/>
        </w:trPr>
        <w:tc>
          <w:tcPr>
            <w:tcW w:w="1408" w:type="dxa"/>
            <w:vAlign w:val="center"/>
          </w:tcPr>
          <w:p>
            <w:pPr>
              <w:pStyle w:val="39"/>
              <w:jc w:val="center"/>
            </w:pPr>
            <w:r>
              <w:rPr>
                <w:rFonts w:hint="eastAsia"/>
              </w:rPr>
              <w:t>202</w:t>
            </w:r>
            <w:r>
              <w:t>2</w:t>
            </w:r>
            <w:r>
              <w:rPr>
                <w:rFonts w:hint="eastAsia"/>
              </w:rPr>
              <w:t>年</w:t>
            </w:r>
          </w:p>
        </w:tc>
        <w:tc>
          <w:tcPr>
            <w:tcW w:w="1416" w:type="dxa"/>
            <w:vAlign w:val="center"/>
          </w:tcPr>
          <w:p>
            <w:pPr>
              <w:pStyle w:val="39"/>
              <w:jc w:val="center"/>
            </w:pPr>
            <w:r>
              <w:t>10.40</w:t>
            </w:r>
          </w:p>
        </w:tc>
        <w:tc>
          <w:tcPr>
            <w:tcW w:w="1420" w:type="dxa"/>
            <w:vAlign w:val="center"/>
          </w:tcPr>
          <w:p>
            <w:pPr>
              <w:pStyle w:val="39"/>
              <w:jc w:val="center"/>
            </w:pPr>
            <w:r>
              <w:t>10.40</w:t>
            </w:r>
          </w:p>
        </w:tc>
        <w:tc>
          <w:tcPr>
            <w:tcW w:w="1275" w:type="dxa"/>
            <w:vAlign w:val="center"/>
          </w:tcPr>
          <w:p>
            <w:pPr>
              <w:pStyle w:val="39"/>
              <w:jc w:val="center"/>
            </w:pPr>
            <w:r>
              <w:t>100</w:t>
            </w:r>
            <w:r>
              <w:rPr>
                <w:rFonts w:hint="eastAsia"/>
              </w:rPr>
              <w:t>%</w:t>
            </w:r>
          </w:p>
        </w:tc>
        <w:tc>
          <w:tcPr>
            <w:tcW w:w="1416" w:type="dxa"/>
            <w:vAlign w:val="center"/>
          </w:tcPr>
          <w:p>
            <w:pPr>
              <w:pStyle w:val="39"/>
              <w:jc w:val="center"/>
            </w:pPr>
            <w:r>
              <w:t>8.41</w:t>
            </w:r>
          </w:p>
        </w:tc>
        <w:tc>
          <w:tcPr>
            <w:tcW w:w="1357" w:type="dxa"/>
            <w:vAlign w:val="center"/>
          </w:tcPr>
          <w:p>
            <w:pPr>
              <w:pStyle w:val="39"/>
              <w:jc w:val="center"/>
            </w:pPr>
            <w:r>
              <w:t>80.87%</w:t>
            </w:r>
          </w:p>
        </w:tc>
      </w:tr>
    </w:tbl>
    <w:p>
      <w:pPr>
        <w:pStyle w:val="31"/>
        <w:ind w:firstLine="640"/>
        <w:rPr>
          <w:rFonts w:ascii="Times New Roman" w:hAnsi="Times New Roman"/>
        </w:rPr>
      </w:pPr>
      <w:bookmarkStart w:id="7" w:name="_Toc1334864608"/>
      <w:bookmarkStart w:id="8" w:name="_Toc142599166"/>
      <w:r>
        <w:rPr>
          <w:rFonts w:hint="eastAsia" w:ascii="Times New Roman" w:hAnsi="Times New Roman"/>
        </w:rPr>
        <w:t>（二）项目绩效目标</w:t>
      </w:r>
      <w:bookmarkEnd w:id="7"/>
      <w:bookmarkEnd w:id="8"/>
    </w:p>
    <w:p>
      <w:pPr>
        <w:pStyle w:val="27"/>
        <w:ind w:firstLine="640"/>
      </w:pPr>
      <w:r>
        <w:rPr>
          <w:rFonts w:hint="eastAsia"/>
        </w:rPr>
        <w:t>国有企业退休人员社会化管理补助资金项目绩效目标是</w:t>
      </w:r>
      <w:r>
        <w:rPr>
          <w:rFonts w:hint="eastAsia"/>
          <w:szCs w:val="32"/>
        </w:rPr>
        <w:t>为国企退休人员提供活动室，改善国企退休人员活动场所，丰富国企退休人员生活</w:t>
      </w:r>
      <w:r>
        <w:rPr>
          <w:rFonts w:hint="eastAsia"/>
        </w:rPr>
        <w:t>。</w:t>
      </w:r>
    </w:p>
    <w:bookmarkEnd w:id="4"/>
    <w:p>
      <w:pPr>
        <w:pStyle w:val="29"/>
      </w:pPr>
      <w:bookmarkStart w:id="9" w:name="_Toc307806447"/>
      <w:bookmarkStart w:id="10" w:name="_Toc142599167"/>
      <w:r>
        <w:rPr>
          <w:rFonts w:hint="eastAsia"/>
        </w:rPr>
        <w:t>二、绩效评价工作开展情况</w:t>
      </w:r>
      <w:bookmarkEnd w:id="9"/>
      <w:bookmarkEnd w:id="10"/>
    </w:p>
    <w:p>
      <w:pPr>
        <w:pStyle w:val="31"/>
        <w:ind w:firstLine="640"/>
        <w:rPr>
          <w:rFonts w:ascii="Times New Roman" w:hAnsi="Times New Roman"/>
        </w:rPr>
      </w:pPr>
      <w:bookmarkStart w:id="11" w:name="_Toc14849106"/>
      <w:bookmarkStart w:id="12" w:name="_Toc142599168"/>
      <w:r>
        <w:rPr>
          <w:rFonts w:hint="eastAsia" w:ascii="Times New Roman" w:hAnsi="Times New Roman"/>
        </w:rPr>
        <w:t>（一）绩效评价的目的、对象和范围</w:t>
      </w:r>
      <w:bookmarkEnd w:id="11"/>
      <w:bookmarkEnd w:id="12"/>
    </w:p>
    <w:p>
      <w:pPr>
        <w:pStyle w:val="27"/>
        <w:ind w:firstLine="640"/>
      </w:pPr>
      <w:r>
        <w:rPr>
          <w:rFonts w:hint="eastAsia"/>
        </w:rPr>
        <w:t>1.绩效评价目的</w:t>
      </w:r>
    </w:p>
    <w:p>
      <w:pPr>
        <w:pStyle w:val="27"/>
        <w:ind w:firstLine="640"/>
      </w:pPr>
      <w:r>
        <w:rPr>
          <w:rFonts w:hint="eastAsia"/>
        </w:rPr>
        <w:t>本次评价以《财政部关于印发〈项目支出绩效评价管理办法〉的通知》（</w:t>
      </w:r>
      <w:r>
        <w:rPr>
          <w:rFonts w:hint="eastAsia" w:cs="仿宋_GB2312"/>
        </w:rPr>
        <w:t>财预〔</w:t>
      </w:r>
      <w:r>
        <w:t>2020</w:t>
      </w:r>
      <w:r>
        <w:rPr>
          <w:rFonts w:hint="eastAsia" w:cs="仿宋_GB2312"/>
        </w:rPr>
        <w:t>〕</w:t>
      </w:r>
      <w:r>
        <w:rPr>
          <w:rFonts w:hint="eastAsia"/>
        </w:rPr>
        <w:t>1</w:t>
      </w:r>
      <w:r>
        <w:t>0</w:t>
      </w:r>
      <w:r>
        <w:rPr>
          <w:rFonts w:hint="eastAsia" w:cs="仿宋_GB2312"/>
        </w:rPr>
        <w:t>号</w:t>
      </w:r>
      <w:r>
        <w:rPr>
          <w:rFonts w:hint="eastAsia"/>
        </w:rPr>
        <w:t>）、《中共天津市委</w:t>
      </w:r>
      <w:r>
        <w:t xml:space="preserve"> 天津市人民政府印发〈关于全面推进预算绩效管理的实施方案〉的通知》（津党发〔2019〕25号）</w:t>
      </w:r>
      <w:r>
        <w:rPr>
          <w:rFonts w:hint="eastAsia"/>
        </w:rPr>
        <w:t>、《天津市市级财政项目支出绩效评价管理办法》（</w:t>
      </w:r>
      <w:r>
        <w:t>津财绩效〔2020〕12号</w:t>
      </w:r>
      <w:r>
        <w:rPr>
          <w:rFonts w:hint="eastAsia"/>
        </w:rPr>
        <w:t>）、《和平区区级部门预算绩效管理办法》等文件为依据，对国有企业退休人员社会化管理补助资金项目财政专项资金使用绩效情况进行评价。开展此次评价工作的目的在于：</w:t>
      </w:r>
    </w:p>
    <w:p>
      <w:pPr>
        <w:pStyle w:val="27"/>
        <w:numPr>
          <w:ilvl w:val="0"/>
          <w:numId w:val="1"/>
        </w:numPr>
        <w:ind w:firstLine="640"/>
      </w:pPr>
      <w:r>
        <w:rPr>
          <w:rFonts w:hint="eastAsia"/>
        </w:rPr>
        <w:t>通过对国有企业退休人员社会化管理补助资金项目的实施情况进行核实评价，了解掌握项目的实施情况。</w:t>
      </w:r>
    </w:p>
    <w:p>
      <w:pPr>
        <w:pStyle w:val="27"/>
        <w:numPr>
          <w:ilvl w:val="0"/>
          <w:numId w:val="1"/>
        </w:numPr>
        <w:ind w:firstLine="640"/>
      </w:pPr>
      <w:r>
        <w:rPr>
          <w:rFonts w:hint="eastAsia"/>
        </w:rPr>
        <w:t>根据国有企业退休人员社会化管理补助资金项目实施的具体情况，评价其项目资金安排的科学性、合理性、规范性，完善项目管理办法，提高项目管理水平和资金的使用效率。</w:t>
      </w:r>
    </w:p>
    <w:p>
      <w:pPr>
        <w:numPr>
          <w:ilvl w:val="0"/>
          <w:numId w:val="1"/>
        </w:num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本次从决策、过程、产出、效益四个方面对天津市和平区人民政府劝业场街道办事处国有企业退休人员社会化管理补助资金项目进行客观、公正的评价；总结项目管理与执行经验，发现项目管理和预算管理中存在的问题，提出改进意见和建议，为相关部门决策、管理提供参考依据，推动建立以绩效评价结果为导向的财政资金分配与管理制度。</w:t>
      </w:r>
    </w:p>
    <w:p>
      <w:pPr>
        <w:pStyle w:val="27"/>
        <w:ind w:firstLine="640"/>
      </w:pPr>
      <w:r>
        <w:rPr>
          <w:rFonts w:hint="eastAsia"/>
        </w:rPr>
        <w:t>（4）进一步丰富和完善国有企业退休人员社会化管理补助资金项目绩效评价方法体系，推动建立以绩效评价结果为导向的财政资金分配与管理制度，提升财政资金科学化、精细化管理水平，为国有企业退休人员社会化管理补助资金项目专项资金的安排提供重要依据。</w:t>
      </w:r>
    </w:p>
    <w:p>
      <w:pPr>
        <w:pStyle w:val="27"/>
        <w:ind w:firstLine="640"/>
      </w:pPr>
      <w:r>
        <w:rPr>
          <w:rFonts w:hint="eastAsia"/>
        </w:rPr>
        <w:t>2.绩效评价对象和范围</w:t>
      </w:r>
    </w:p>
    <w:p>
      <w:pPr>
        <w:pStyle w:val="27"/>
        <w:ind w:firstLine="640"/>
      </w:pPr>
      <w:r>
        <w:rPr>
          <w:rFonts w:hint="eastAsia"/>
        </w:rPr>
        <w:t>本次绩效评价针对天津市和平区人民政府劝业场街道办事处国有企业退休人员社会化管理补助资金项目展开，主要评价内容及范围如下：</w:t>
      </w:r>
    </w:p>
    <w:p>
      <w:pPr>
        <w:pStyle w:val="27"/>
        <w:ind w:firstLine="640"/>
      </w:pPr>
      <w:r>
        <w:rPr>
          <w:rFonts w:hint="eastAsia"/>
        </w:rPr>
        <w:t>（</w:t>
      </w:r>
      <w:r>
        <w:t>1</w:t>
      </w:r>
      <w:r>
        <w:rPr>
          <w:rFonts w:hint="eastAsia"/>
        </w:rPr>
        <w:t>）立项依据和立项程序情况；</w:t>
      </w:r>
    </w:p>
    <w:p>
      <w:pPr>
        <w:pStyle w:val="27"/>
        <w:ind w:firstLine="640"/>
      </w:pPr>
      <w:r>
        <w:rPr>
          <w:rFonts w:hint="eastAsia"/>
        </w:rPr>
        <w:t>（</w:t>
      </w:r>
      <w:r>
        <w:t>2</w:t>
      </w:r>
      <w:r>
        <w:rPr>
          <w:rFonts w:hint="eastAsia"/>
        </w:rPr>
        <w:t>）绩效目标和指标设定情况；</w:t>
      </w:r>
    </w:p>
    <w:p>
      <w:pPr>
        <w:pStyle w:val="27"/>
        <w:ind w:firstLine="640"/>
      </w:pPr>
      <w:r>
        <w:rPr>
          <w:rFonts w:hint="eastAsia"/>
        </w:rPr>
        <w:t>（</w:t>
      </w:r>
      <w:r>
        <w:t>3</w:t>
      </w:r>
      <w:r>
        <w:rPr>
          <w:rFonts w:hint="eastAsia"/>
        </w:rPr>
        <w:t>）预算编制和资金分配情况；</w:t>
      </w:r>
    </w:p>
    <w:p>
      <w:pPr>
        <w:pStyle w:val="27"/>
        <w:ind w:firstLine="640"/>
      </w:pPr>
      <w:r>
        <w:rPr>
          <w:rFonts w:hint="eastAsia"/>
        </w:rPr>
        <w:t>（</w:t>
      </w:r>
      <w:r>
        <w:t>4</w:t>
      </w:r>
      <w:r>
        <w:rPr>
          <w:rFonts w:hint="eastAsia"/>
        </w:rPr>
        <w:t>）资金管理和使用情况；</w:t>
      </w:r>
    </w:p>
    <w:p>
      <w:pPr>
        <w:pStyle w:val="27"/>
        <w:ind w:firstLine="640"/>
      </w:pPr>
      <w:r>
        <w:rPr>
          <w:rFonts w:hint="eastAsia"/>
        </w:rPr>
        <w:t>（</w:t>
      </w:r>
      <w:r>
        <w:t>5</w:t>
      </w:r>
      <w:r>
        <w:rPr>
          <w:rFonts w:hint="eastAsia"/>
        </w:rPr>
        <w:t>）相关制度办法的健全性及执行情况；</w:t>
      </w:r>
    </w:p>
    <w:p>
      <w:pPr>
        <w:pStyle w:val="27"/>
        <w:ind w:firstLine="640"/>
      </w:pPr>
      <w:r>
        <w:rPr>
          <w:rFonts w:hint="eastAsia"/>
        </w:rPr>
        <w:t>（</w:t>
      </w:r>
      <w:r>
        <w:t>6</w:t>
      </w:r>
      <w:r>
        <w:rPr>
          <w:rFonts w:hint="eastAsia"/>
        </w:rPr>
        <w:t>）实现的产出情况；</w:t>
      </w:r>
    </w:p>
    <w:p>
      <w:pPr>
        <w:pStyle w:val="27"/>
        <w:ind w:firstLine="640"/>
      </w:pPr>
      <w:r>
        <w:rPr>
          <w:rFonts w:hint="eastAsia"/>
        </w:rPr>
        <w:t>（</w:t>
      </w:r>
      <w:r>
        <w:t>7</w:t>
      </w:r>
      <w:r>
        <w:rPr>
          <w:rFonts w:hint="eastAsia"/>
        </w:rPr>
        <w:t>）取得的效益情况；</w:t>
      </w:r>
    </w:p>
    <w:p>
      <w:pPr>
        <w:pStyle w:val="27"/>
        <w:ind w:firstLine="640"/>
      </w:pPr>
      <w:r>
        <w:rPr>
          <w:rFonts w:hint="eastAsia"/>
        </w:rPr>
        <w:t>（</w:t>
      </w:r>
      <w:r>
        <w:t>8</w:t>
      </w:r>
      <w:r>
        <w:rPr>
          <w:rFonts w:hint="eastAsia"/>
        </w:rPr>
        <w:t>）其他相关内容。</w:t>
      </w:r>
    </w:p>
    <w:p>
      <w:pPr>
        <w:pStyle w:val="31"/>
        <w:ind w:firstLine="640"/>
        <w:rPr>
          <w:rFonts w:ascii="Times New Roman" w:hAnsi="Times New Roman"/>
        </w:rPr>
      </w:pPr>
      <w:bookmarkStart w:id="13" w:name="_Toc460821490"/>
      <w:bookmarkStart w:id="14" w:name="_Toc142599169"/>
      <w:r>
        <w:rPr>
          <w:rFonts w:hint="eastAsia" w:ascii="Times New Roman" w:hAnsi="Times New Roman"/>
        </w:rPr>
        <w:t>（二）</w:t>
      </w:r>
      <w:r>
        <w:rPr>
          <w:rFonts w:hint="eastAsia" w:ascii="Times New Roman" w:hAnsi="Times New Roman" w:cs="楷体_GB2312"/>
          <w:bCs w:val="0"/>
        </w:rPr>
        <w:t>绩效评价原则、评价指标体系、评价方法</w:t>
      </w:r>
      <w:bookmarkEnd w:id="13"/>
      <w:bookmarkEnd w:id="14"/>
    </w:p>
    <w:p>
      <w:pPr>
        <w:pStyle w:val="27"/>
        <w:ind w:firstLine="640"/>
      </w:pPr>
      <w:r>
        <w:rPr>
          <w:rFonts w:hint="eastAsia"/>
        </w:rPr>
        <w:t>1.绩效评价原则</w:t>
      </w:r>
    </w:p>
    <w:p>
      <w:pPr>
        <w:pStyle w:val="27"/>
        <w:ind w:firstLine="640"/>
      </w:pPr>
      <w:r>
        <w:rPr>
          <w:rFonts w:hint="eastAsia"/>
        </w:rPr>
        <w:t>（</w:t>
      </w:r>
      <w:r>
        <w:t>1</w:t>
      </w:r>
      <w:r>
        <w:rPr>
          <w:rFonts w:hint="eastAsia"/>
        </w:rPr>
        <w:t>）坚持科学规范的原则。此次绩效评价运用科学合理的评价指标体系和方法，按照规范的程序，对支出绩效进行客观、公正的反映。</w:t>
      </w:r>
    </w:p>
    <w:p>
      <w:pPr>
        <w:pStyle w:val="27"/>
        <w:ind w:firstLine="640"/>
      </w:pPr>
      <w:r>
        <w:rPr>
          <w:rFonts w:hint="eastAsia"/>
        </w:rPr>
        <w:t>（</w:t>
      </w:r>
      <w:r>
        <w:t>2）坚持统筹兼顾的原则。单位自评、部门评价和财政评价各方职责明确，各有侧重，互相衔接。此次评价我方作为第三方受委托机构在</w:t>
      </w:r>
      <w:r>
        <w:rPr>
          <w:rFonts w:hint="eastAsia"/>
        </w:rPr>
        <w:t>单位自评</w:t>
      </w:r>
      <w:r>
        <w:t>的基础上开展。</w:t>
      </w:r>
    </w:p>
    <w:p>
      <w:pPr>
        <w:pStyle w:val="27"/>
        <w:ind w:firstLine="640"/>
      </w:pPr>
      <w:r>
        <w:rPr>
          <w:rFonts w:hint="eastAsia"/>
        </w:rPr>
        <w:t>（</w:t>
      </w:r>
      <w:r>
        <w:t>3</w:t>
      </w:r>
      <w:r>
        <w:rPr>
          <w:rFonts w:hint="eastAsia"/>
        </w:rPr>
        <w:t>）坚持激励约束的原则。本次绩效评价结果可以作为预算安排、政策调整、改进管理的参考。</w:t>
      </w:r>
    </w:p>
    <w:p>
      <w:pPr>
        <w:pStyle w:val="27"/>
        <w:ind w:firstLine="640"/>
      </w:pPr>
      <w:r>
        <w:rPr>
          <w:rFonts w:hint="eastAsia"/>
        </w:rPr>
        <w:t>（</w:t>
      </w:r>
      <w:r>
        <w:t>4</w:t>
      </w:r>
      <w:r>
        <w:rPr>
          <w:rFonts w:hint="eastAsia"/>
        </w:rPr>
        <w:t>）坚持客观公正的原则。本次绩效评价将自觉接受有关机构和社会监督，全面、客观、公正、准确反映项目实际情况。</w:t>
      </w:r>
    </w:p>
    <w:p>
      <w:pPr>
        <w:pStyle w:val="27"/>
        <w:ind w:firstLine="640"/>
      </w:pPr>
      <w:r>
        <w:rPr>
          <w:rFonts w:hint="eastAsia"/>
        </w:rPr>
        <w:t>（</w:t>
      </w:r>
      <w:r>
        <w:t>5</w:t>
      </w:r>
      <w:r>
        <w:rPr>
          <w:rFonts w:hint="eastAsia"/>
        </w:rPr>
        <w:t>）坚持综合绩效评价，定量分析与定性分析相结合的原则。</w:t>
      </w:r>
    </w:p>
    <w:p>
      <w:pPr>
        <w:pStyle w:val="27"/>
        <w:ind w:firstLine="640"/>
      </w:pPr>
      <w:r>
        <w:rPr>
          <w:rFonts w:hint="eastAsia"/>
        </w:rPr>
        <w:t>（</w:t>
      </w:r>
      <w:r>
        <w:t>6</w:t>
      </w:r>
      <w:r>
        <w:rPr>
          <w:rFonts w:hint="eastAsia"/>
        </w:rPr>
        <w:t>）坚持绩效相关性原则。此次绩效评价将针对具体支出及其产出绩效进行，评价结果将清晰反映支出和产出绩效之间的紧密对应关系。</w:t>
      </w:r>
    </w:p>
    <w:p>
      <w:pPr>
        <w:pStyle w:val="27"/>
        <w:ind w:firstLine="640"/>
      </w:pPr>
      <w:r>
        <w:rPr>
          <w:rFonts w:hint="eastAsia"/>
        </w:rPr>
        <w:t>2.评价指标体系</w:t>
      </w:r>
    </w:p>
    <w:p>
      <w:pPr>
        <w:pStyle w:val="27"/>
        <w:ind w:firstLine="640"/>
      </w:pPr>
      <w:r>
        <w:rPr>
          <w:rFonts w:hint="eastAsia"/>
        </w:rPr>
        <w:t>针对项目情况，从决策、过程、产出及效益四大方面拟定绩效评价指标，其中：</w:t>
      </w:r>
    </w:p>
    <w:p>
      <w:pPr>
        <w:pStyle w:val="27"/>
        <w:ind w:firstLine="640"/>
        <w:rPr>
          <w:rFonts w:cs="仿宋_GB2312"/>
        </w:rPr>
      </w:pPr>
      <w:r>
        <w:rPr>
          <w:rFonts w:hint="eastAsia"/>
        </w:rPr>
        <w:t>（1）</w:t>
      </w:r>
      <w:r>
        <w:rPr>
          <w:rFonts w:hint="eastAsia" w:cs="仿宋_GB2312"/>
        </w:rPr>
        <w:t>项目决策指标</w:t>
      </w:r>
    </w:p>
    <w:p>
      <w:pPr>
        <w:pStyle w:val="27"/>
        <w:ind w:firstLine="640"/>
      </w:pPr>
      <w:r>
        <w:rPr>
          <w:rFonts w:hint="eastAsia"/>
        </w:rPr>
        <w:t>①项目立项</w:t>
      </w:r>
    </w:p>
    <w:p>
      <w:pPr>
        <w:pStyle w:val="27"/>
        <w:ind w:firstLine="640"/>
      </w:pPr>
      <w:r>
        <w:t>a.</w:t>
      </w:r>
      <w:r>
        <w:rPr>
          <w:rFonts w:hint="eastAsia"/>
        </w:rPr>
        <w:t>立项依据充分性。项目立项是否符合法律法规、相关政策、发展规划以及部门职责，用于反映和考核项目立项依据情况。</w:t>
      </w:r>
    </w:p>
    <w:p>
      <w:pPr>
        <w:pStyle w:val="27"/>
        <w:ind w:firstLine="640"/>
      </w:pPr>
      <w:r>
        <w:t>b.</w:t>
      </w:r>
      <w:r>
        <w:rPr>
          <w:rFonts w:hint="eastAsia"/>
        </w:rPr>
        <w:t>立项程序规范性。项目申请、设立过程是否符合相关要求，用以反映和考核项目立项的规范情况。</w:t>
      </w:r>
    </w:p>
    <w:p>
      <w:pPr>
        <w:pStyle w:val="27"/>
        <w:ind w:firstLine="640"/>
      </w:pPr>
      <w:r>
        <w:rPr>
          <w:rFonts w:hint="eastAsia"/>
        </w:rPr>
        <w:t>②绩效目标</w:t>
      </w:r>
    </w:p>
    <w:p>
      <w:pPr>
        <w:pStyle w:val="27"/>
        <w:ind w:firstLine="640"/>
      </w:pPr>
      <w:r>
        <w:rPr>
          <w:rFonts w:hint="eastAsia"/>
        </w:rPr>
        <w:t>a</w:t>
      </w:r>
      <w:r>
        <w:t>.</w:t>
      </w:r>
      <w:r>
        <w:rPr>
          <w:rFonts w:hint="eastAsia"/>
        </w:rPr>
        <w:t>绩效目标明确性。依据绩效目标设定的绩效指标是否清晰、细化、可衡量等，用以反映和考核项目绩效目标的明细化情况。</w:t>
      </w:r>
    </w:p>
    <w:p>
      <w:pPr>
        <w:pStyle w:val="27"/>
        <w:ind w:firstLine="640"/>
      </w:pPr>
      <w:r>
        <w:t>b.</w:t>
      </w:r>
      <w:r>
        <w:rPr>
          <w:rFonts w:hint="eastAsia"/>
        </w:rPr>
        <w:t>绩效目标合理性。项目所设定的绩效目标是否依据充分，是否符合客观实际，用以反映和考核项目绩效目标与项目实施的相符情况。</w:t>
      </w:r>
    </w:p>
    <w:p>
      <w:pPr>
        <w:pStyle w:val="27"/>
        <w:ind w:firstLine="640"/>
      </w:pPr>
      <w:r>
        <w:rPr>
          <w:rFonts w:hint="eastAsia"/>
        </w:rPr>
        <w:t>③预算编制</w:t>
      </w:r>
    </w:p>
    <w:p>
      <w:pPr>
        <w:pStyle w:val="27"/>
        <w:ind w:firstLine="640"/>
      </w:pPr>
      <w:r>
        <w:rPr>
          <w:rFonts w:hint="eastAsia"/>
        </w:rPr>
        <w:t>a</w:t>
      </w:r>
      <w:r>
        <w:t>.</w:t>
      </w:r>
      <w:r>
        <w:rPr>
          <w:rFonts w:hint="eastAsia"/>
        </w:rPr>
        <w:t>测算内容合规性。项目预算测算内容是否符合相关政策文件规定范围。</w:t>
      </w:r>
    </w:p>
    <w:p>
      <w:pPr>
        <w:pStyle w:val="27"/>
        <w:ind w:firstLine="640"/>
      </w:pPr>
      <w:r>
        <w:rPr>
          <w:rFonts w:hint="eastAsia"/>
        </w:rPr>
        <w:t>b</w:t>
      </w:r>
      <w:r>
        <w:t>.</w:t>
      </w:r>
      <w:r>
        <w:rPr>
          <w:rFonts w:hint="eastAsia"/>
        </w:rPr>
        <w:t>测算标准合理性。项目预算测算项目支出标准是否符合相关政策制度或行业、领域规定。</w:t>
      </w:r>
    </w:p>
    <w:p>
      <w:pPr>
        <w:pStyle w:val="27"/>
        <w:ind w:firstLine="640"/>
      </w:pPr>
      <w:r>
        <w:rPr>
          <w:rFonts w:hint="eastAsia"/>
        </w:rPr>
        <w:t>c</w:t>
      </w:r>
      <w:r>
        <w:t>.</w:t>
      </w:r>
      <w:r>
        <w:rPr>
          <w:rFonts w:hint="eastAsia"/>
        </w:rPr>
        <w:t>测算数据客观性。项目预算测算数据是否客观、真实、准确。</w:t>
      </w:r>
    </w:p>
    <w:p>
      <w:pPr>
        <w:pStyle w:val="27"/>
        <w:ind w:firstLine="640"/>
      </w:pPr>
      <w:r>
        <w:rPr>
          <w:rFonts w:hint="eastAsia"/>
        </w:rPr>
        <w:t>d</w:t>
      </w:r>
      <w:r>
        <w:t>.</w:t>
      </w:r>
      <w:r>
        <w:rPr>
          <w:rFonts w:hint="eastAsia"/>
        </w:rPr>
        <w:t>测算过程细化度。测算过程是否细化清晰。</w:t>
      </w:r>
    </w:p>
    <w:p>
      <w:pPr>
        <w:pStyle w:val="27"/>
        <w:ind w:firstLine="640"/>
      </w:pPr>
      <w:r>
        <w:rPr>
          <w:rFonts w:hint="eastAsia"/>
        </w:rPr>
        <w:t>（2）项目过程指标</w:t>
      </w:r>
    </w:p>
    <w:p>
      <w:pPr>
        <w:pStyle w:val="27"/>
        <w:ind w:firstLine="640"/>
      </w:pPr>
      <w:r>
        <w:rPr>
          <w:rFonts w:hint="eastAsia"/>
        </w:rPr>
        <w:t>①资金管理</w:t>
      </w:r>
    </w:p>
    <w:p>
      <w:pPr>
        <w:pStyle w:val="27"/>
        <w:ind w:firstLine="640"/>
      </w:pPr>
      <w:r>
        <w:rPr>
          <w:rFonts w:hint="eastAsia"/>
        </w:rPr>
        <w:t>a</w:t>
      </w:r>
      <w:r>
        <w:t>.</w:t>
      </w:r>
      <w:r>
        <w:rPr>
          <w:rFonts w:hint="eastAsia"/>
        </w:rPr>
        <w:t>资金到位率。实际到位资金与预算资金的比率，用以反映和考核资金落实情况对项目实施的总体保障程度。</w:t>
      </w:r>
    </w:p>
    <w:p>
      <w:pPr>
        <w:pStyle w:val="27"/>
        <w:ind w:firstLine="640"/>
      </w:pPr>
      <w:r>
        <w:rPr>
          <w:rFonts w:hint="eastAsia"/>
        </w:rPr>
        <w:t>b</w:t>
      </w:r>
      <w:r>
        <w:t>.</w:t>
      </w:r>
      <w:r>
        <w:rPr>
          <w:rFonts w:hint="eastAsia"/>
        </w:rPr>
        <w:t>资金沉淀率。项目结转结余资金与实际到位资金的比率，用以反映和考核项目资金使用效率和效益。</w:t>
      </w:r>
    </w:p>
    <w:p>
      <w:pPr>
        <w:pStyle w:val="27"/>
        <w:ind w:firstLine="640"/>
      </w:pPr>
      <w:r>
        <w:rPr>
          <w:rFonts w:hint="eastAsia"/>
        </w:rPr>
        <w:t>c</w:t>
      </w:r>
      <w:r>
        <w:t>.</w:t>
      </w:r>
      <w:r>
        <w:rPr>
          <w:rFonts w:hint="eastAsia"/>
        </w:rPr>
        <w:t>预算执行率。项目预算资金是否按照计划执行，用以反映或考核项目预算执行情况。</w:t>
      </w:r>
    </w:p>
    <w:p>
      <w:pPr>
        <w:pStyle w:val="27"/>
        <w:ind w:firstLine="640"/>
      </w:pPr>
      <w:r>
        <w:rPr>
          <w:rFonts w:hint="eastAsia"/>
        </w:rPr>
        <w:t>d</w:t>
      </w:r>
      <w:r>
        <w:t>.</w:t>
      </w:r>
      <w:r>
        <w:rPr>
          <w:rFonts w:hint="eastAsia"/>
        </w:rPr>
        <w:t>资金使用合规性。项目资金使用是否符合相关的财务管理制度规定，用以反映和考核项目资金的规范运行情况。</w:t>
      </w:r>
    </w:p>
    <w:p>
      <w:pPr>
        <w:pStyle w:val="27"/>
        <w:ind w:firstLine="640"/>
      </w:pPr>
      <w:r>
        <w:rPr>
          <w:rFonts w:hint="eastAsia"/>
        </w:rPr>
        <w:t>②组织实施</w:t>
      </w:r>
    </w:p>
    <w:p>
      <w:pPr>
        <w:pStyle w:val="27"/>
        <w:ind w:firstLine="640"/>
      </w:pPr>
      <w:r>
        <w:rPr>
          <w:rFonts w:hint="eastAsia"/>
        </w:rPr>
        <w:t>a</w:t>
      </w:r>
      <w:r>
        <w:t>.</w:t>
      </w:r>
      <w:r>
        <w:rPr>
          <w:rFonts w:hint="eastAsia"/>
        </w:rPr>
        <w:t>管理制度健全性。项目实施单位的财务和业务管理制度是否健全，用以反映和考核财务和业务管理制度对项目顺利实施的保障情况。</w:t>
      </w:r>
    </w:p>
    <w:p>
      <w:pPr>
        <w:pStyle w:val="27"/>
        <w:ind w:firstLine="640"/>
      </w:pPr>
      <w:r>
        <w:rPr>
          <w:rFonts w:hint="eastAsia"/>
        </w:rPr>
        <w:t>b</w:t>
      </w:r>
      <w:r>
        <w:t>.</w:t>
      </w:r>
      <w:r>
        <w:rPr>
          <w:rFonts w:hint="eastAsia"/>
        </w:rPr>
        <w:t>制度执行有效性。主要从项目申报、项目实施、项目验收等</w:t>
      </w:r>
      <w:r>
        <w:t>3个环节展开，结合相关管理规定进行评价</w:t>
      </w:r>
      <w:r>
        <w:rPr>
          <w:rFonts w:hint="eastAsia"/>
        </w:rPr>
        <w:t>。</w:t>
      </w:r>
    </w:p>
    <w:p>
      <w:pPr>
        <w:pStyle w:val="27"/>
        <w:ind w:firstLine="640"/>
      </w:pPr>
      <w:r>
        <w:rPr>
          <w:rFonts w:hint="eastAsia"/>
        </w:rPr>
        <w:t>（3）项目产出指标</w:t>
      </w:r>
    </w:p>
    <w:p>
      <w:pPr>
        <w:pStyle w:val="27"/>
        <w:ind w:firstLine="640"/>
      </w:pPr>
      <w:r>
        <w:rPr>
          <w:rFonts w:hint="eastAsia"/>
        </w:rPr>
        <w:t>①产出数量</w:t>
      </w:r>
    </w:p>
    <w:p>
      <w:pPr>
        <w:pStyle w:val="27"/>
        <w:ind w:firstLine="640"/>
      </w:pPr>
      <w:r>
        <w:rPr>
          <w:rFonts w:hint="eastAsia"/>
        </w:rPr>
        <w:t>a</w:t>
      </w:r>
      <w:r>
        <w:t>.</w:t>
      </w:r>
      <w:r>
        <w:rPr>
          <w:rFonts w:hint="eastAsia"/>
        </w:rPr>
        <w:t xml:space="preserve"> </w:t>
      </w:r>
      <w:r>
        <w:rPr>
          <w:rFonts w:hint="eastAsia"/>
          <w:color w:val="000000"/>
        </w:rPr>
        <w:t>维修工程完成率</w:t>
      </w:r>
      <w:r>
        <w:rPr>
          <w:rFonts w:hint="eastAsia"/>
        </w:rPr>
        <w:t>。项目实施期间实际完成维修的楼层数量与合同规定维修的楼层数量的比对，用以反映维修工程的完成情况。</w:t>
      </w:r>
    </w:p>
    <w:p>
      <w:pPr>
        <w:pStyle w:val="27"/>
        <w:ind w:firstLine="640"/>
      </w:pPr>
      <w:r>
        <w:t>b.</w:t>
      </w:r>
      <w:r>
        <w:rPr>
          <w:rFonts w:hint="eastAsia"/>
        </w:rPr>
        <w:t xml:space="preserve"> 国企退休人员活动完成率。项目实施期间实际完成国企退休人员活动数量与计划开展国企退休人员活动数量的比对，用以反映国企退休人员活动的完成情况。</w:t>
      </w:r>
    </w:p>
    <w:p>
      <w:pPr>
        <w:pStyle w:val="27"/>
        <w:ind w:firstLine="640"/>
      </w:pPr>
      <w:r>
        <w:rPr>
          <w:rFonts w:hint="eastAsia"/>
        </w:rPr>
        <w:t>②产出质量</w:t>
      </w:r>
    </w:p>
    <w:p>
      <w:pPr>
        <w:pStyle w:val="27"/>
        <w:ind w:firstLine="640"/>
      </w:pPr>
      <w:r>
        <w:rPr>
          <w:rFonts w:hint="eastAsia"/>
        </w:rPr>
        <w:t>a</w:t>
      </w:r>
      <w:r>
        <w:t>.</w:t>
      </w:r>
      <w:r>
        <w:rPr>
          <w:rFonts w:hint="eastAsia"/>
        </w:rPr>
        <w:t xml:space="preserve"> 维修工程验收合格率。项目实施期间实际验收合格的楼层数量与实际完成维修的楼层数量的比对，用以反映维修工程验收的合格情况。</w:t>
      </w:r>
    </w:p>
    <w:p>
      <w:pPr>
        <w:pStyle w:val="27"/>
        <w:ind w:firstLine="640"/>
      </w:pPr>
      <w:r>
        <w:rPr>
          <w:rFonts w:hint="eastAsia"/>
        </w:rPr>
        <w:t>b</w:t>
      </w:r>
      <w:r>
        <w:t>.</w:t>
      </w:r>
      <w:r>
        <w:rPr>
          <w:rFonts w:hint="eastAsia"/>
        </w:rPr>
        <w:t xml:space="preserve"> 国企退休人员活动参与率。项目实施期间实际参与国企退休人员活动人员数量与计划国企退休人员活动参与人员数量的比对，用以反映国企退休人员活动的参与情况。</w:t>
      </w:r>
    </w:p>
    <w:p>
      <w:pPr>
        <w:pStyle w:val="27"/>
        <w:ind w:firstLine="640"/>
      </w:pPr>
      <w:r>
        <w:rPr>
          <w:rFonts w:hint="eastAsia"/>
        </w:rPr>
        <w:t>③产出时效</w:t>
      </w:r>
    </w:p>
    <w:p>
      <w:pPr>
        <w:pStyle w:val="27"/>
        <w:ind w:firstLine="640"/>
      </w:pPr>
      <w:r>
        <w:rPr>
          <w:rFonts w:hint="eastAsia"/>
        </w:rPr>
        <w:t>a</w:t>
      </w:r>
      <w:r>
        <w:t>.</w:t>
      </w:r>
      <w:r>
        <w:rPr>
          <w:rFonts w:hint="eastAsia"/>
        </w:rPr>
        <w:t xml:space="preserve"> 维修工程竣工验收及时率。项目实施期间实际及时竣工验收的维修工程数量与实际完成竣工的维修工程数量比对，用以反映维修工程竣工验收的及时情况。</w:t>
      </w:r>
    </w:p>
    <w:p>
      <w:pPr>
        <w:pStyle w:val="27"/>
        <w:ind w:firstLine="640"/>
      </w:pPr>
      <w:r>
        <w:rPr>
          <w:rFonts w:hint="eastAsia"/>
        </w:rPr>
        <w:t>b</w:t>
      </w:r>
      <w:r>
        <w:t>.</w:t>
      </w:r>
      <w:r>
        <w:rPr>
          <w:rFonts w:hint="eastAsia"/>
        </w:rPr>
        <w:t xml:space="preserve"> 国企退休人员活动开展及时率。项目实施期间实际开展国企退休人员活动时间与计划开展时间比对，用以反映国企退休人员活动开展的及时情况。</w:t>
      </w:r>
    </w:p>
    <w:p>
      <w:pPr>
        <w:pStyle w:val="27"/>
        <w:ind w:firstLine="640"/>
      </w:pPr>
      <w:r>
        <w:rPr>
          <w:rFonts w:hint="eastAsia"/>
        </w:rPr>
        <w:t>④产出成本</w:t>
      </w:r>
    </w:p>
    <w:p>
      <w:pPr>
        <w:pStyle w:val="27"/>
        <w:ind w:firstLine="640"/>
      </w:pPr>
      <w:r>
        <w:rPr>
          <w:rFonts w:hint="eastAsia"/>
        </w:rPr>
        <w:t>活动室维修成本节约率。项目实施期间活动室维修的实际支出与计划支出的比对，用以反映活动室维修成本控制情况。</w:t>
      </w:r>
    </w:p>
    <w:p>
      <w:pPr>
        <w:pStyle w:val="27"/>
        <w:ind w:firstLine="640"/>
      </w:pPr>
      <w:r>
        <w:rPr>
          <w:rFonts w:hint="eastAsia"/>
        </w:rPr>
        <w:t>（</w:t>
      </w:r>
      <w:r>
        <w:t>4</w:t>
      </w:r>
      <w:r>
        <w:rPr>
          <w:rFonts w:hint="eastAsia"/>
        </w:rPr>
        <w:t>）项目效益指标</w:t>
      </w:r>
    </w:p>
    <w:p>
      <w:pPr>
        <w:pStyle w:val="27"/>
        <w:ind w:firstLine="640"/>
      </w:pPr>
      <w:r>
        <w:rPr>
          <w:rFonts w:hint="eastAsia"/>
        </w:rPr>
        <w:t>①社会效益</w:t>
      </w:r>
    </w:p>
    <w:p>
      <w:pPr>
        <w:pStyle w:val="27"/>
        <w:ind w:firstLine="640"/>
      </w:pPr>
      <w:r>
        <w:rPr>
          <w:rFonts w:hint="eastAsia"/>
        </w:rPr>
        <w:t>活动室使用率。项目实施期间实际使用的活动室数量与计划使用的活动室数量的比对，用以反映活动室的使用情况。</w:t>
      </w:r>
    </w:p>
    <w:p>
      <w:pPr>
        <w:pStyle w:val="27"/>
        <w:ind w:firstLine="640"/>
      </w:pPr>
      <w:r>
        <w:rPr>
          <w:rFonts w:hint="eastAsia"/>
        </w:rPr>
        <w:t>②可持续影响</w:t>
      </w:r>
    </w:p>
    <w:p>
      <w:pPr>
        <w:pStyle w:val="27"/>
        <w:ind w:firstLine="640"/>
      </w:pPr>
      <w:r>
        <w:rPr>
          <w:rFonts w:hint="eastAsia"/>
        </w:rPr>
        <w:t>建立健全活动宣传机制。通过活动宣传机制建立健全情况，反映项目效果可持续保障的情况。</w:t>
      </w:r>
    </w:p>
    <w:p>
      <w:pPr>
        <w:pStyle w:val="27"/>
        <w:ind w:firstLine="640"/>
      </w:pPr>
      <w:r>
        <w:rPr>
          <w:rFonts w:hint="eastAsia"/>
        </w:rPr>
        <w:t>③服务对象满意度</w:t>
      </w:r>
    </w:p>
    <w:p>
      <w:pPr>
        <w:pStyle w:val="27"/>
        <w:ind w:firstLine="640"/>
      </w:pPr>
      <w:r>
        <w:rPr>
          <w:rFonts w:hint="eastAsia"/>
          <w:color w:val="000000"/>
        </w:rPr>
        <w:t>国有企业退休人员满意度</w:t>
      </w:r>
      <w:r>
        <w:rPr>
          <w:rFonts w:hint="eastAsia"/>
        </w:rPr>
        <w:t>。通过</w:t>
      </w:r>
      <w:r>
        <w:rPr>
          <w:rFonts w:hint="eastAsia"/>
          <w:color w:val="000000"/>
        </w:rPr>
        <w:t>国有企业退休人员</w:t>
      </w:r>
      <w:r>
        <w:rPr>
          <w:rFonts w:hint="eastAsia"/>
        </w:rPr>
        <w:t>反馈调查问卷结果，反映</w:t>
      </w:r>
      <w:r>
        <w:rPr>
          <w:rFonts w:hint="eastAsia"/>
          <w:color w:val="000000"/>
        </w:rPr>
        <w:t>国有企业退休人员</w:t>
      </w:r>
      <w:r>
        <w:rPr>
          <w:rFonts w:hint="eastAsia"/>
        </w:rPr>
        <w:t>对活动开展情况的满意程度。</w:t>
      </w:r>
    </w:p>
    <w:p>
      <w:pPr>
        <w:pStyle w:val="27"/>
        <w:ind w:firstLine="640"/>
      </w:pPr>
      <w:r>
        <w:t>3</w:t>
      </w:r>
      <w:r>
        <w:rPr>
          <w:rFonts w:hint="eastAsia"/>
        </w:rPr>
        <w:t>.绩效评价方法</w:t>
      </w:r>
    </w:p>
    <w:p>
      <w:pPr>
        <w:pStyle w:val="27"/>
        <w:ind w:firstLine="640"/>
      </w:pPr>
      <w:bookmarkStart w:id="15" w:name="_Hlk91875362"/>
      <w:r>
        <w:rPr>
          <w:rFonts w:hint="eastAsia"/>
        </w:rPr>
        <w:t>结合项目具体情况，本次绩效评价主要运用指标分析法结合比较法等方法进行评价。坚持定量指标优先、定量指标与定性指标相结合的方式，同时通过文献法进行资料搜索以及多因素分析来支撑评价内容的逻辑紧密性与客观性。从项目决策、项目过程、项目产出以及项目效益四个方面开展评价</w:t>
      </w:r>
      <w:bookmarkEnd w:id="15"/>
      <w:r>
        <w:rPr>
          <w:rFonts w:hint="eastAsia"/>
        </w:rPr>
        <w:t>，并对天津市和平区人民政府劝业场街道办事处进行了现场评价，绩效评价指标体系详见附件。</w:t>
      </w:r>
    </w:p>
    <w:p>
      <w:pPr>
        <w:pStyle w:val="31"/>
        <w:ind w:firstLine="640"/>
        <w:rPr>
          <w:rFonts w:ascii="Times New Roman" w:hAnsi="Times New Roman"/>
        </w:rPr>
      </w:pPr>
      <w:bookmarkStart w:id="16" w:name="_Toc142599170"/>
      <w:bookmarkStart w:id="17" w:name="_Toc1200751348"/>
      <w:r>
        <w:rPr>
          <w:rFonts w:hint="eastAsia" w:ascii="Times New Roman" w:hAnsi="Times New Roman"/>
        </w:rPr>
        <w:t>（三）绩效评价工作过程</w:t>
      </w:r>
      <w:bookmarkEnd w:id="16"/>
      <w:bookmarkEnd w:id="17"/>
    </w:p>
    <w:p>
      <w:pPr>
        <w:pStyle w:val="27"/>
        <w:ind w:firstLine="640"/>
      </w:pPr>
      <w:bookmarkStart w:id="18" w:name="_Toc57967893"/>
      <w:r>
        <w:t>1.</w:t>
      </w:r>
      <w:r>
        <w:rPr>
          <w:rFonts w:hint="eastAsia"/>
        </w:rPr>
        <w:t>前期准备阶段</w:t>
      </w:r>
      <w:bookmarkEnd w:id="18"/>
    </w:p>
    <w:p>
      <w:pPr>
        <w:pStyle w:val="27"/>
        <w:ind w:firstLine="640"/>
      </w:pPr>
      <w:r>
        <w:rPr>
          <w:rFonts w:hint="eastAsia"/>
        </w:rPr>
        <w:t>（</w:t>
      </w:r>
      <w:r>
        <w:t>1</w:t>
      </w:r>
      <w:r>
        <w:rPr>
          <w:rFonts w:hint="eastAsia"/>
        </w:rPr>
        <w:t>）接受委托，成立绩效评价项目组</w:t>
      </w:r>
    </w:p>
    <w:p>
      <w:pPr>
        <w:pStyle w:val="27"/>
        <w:ind w:firstLine="640"/>
      </w:pPr>
      <w:r>
        <w:rPr>
          <w:rFonts w:hint="eastAsia"/>
        </w:rPr>
        <w:t>根据中央和天津市关于全面实施预算绩效管理的部署要求，天津市和平区财政局委托我司（天津安信管理咨询有限公司）对天津市和平区人民政府劝业场街道办事处国有企业退休人员社会化管理补助资金项目进行绩效评价工作。</w:t>
      </w:r>
    </w:p>
    <w:p>
      <w:pPr>
        <w:pStyle w:val="27"/>
        <w:ind w:firstLine="640"/>
      </w:pPr>
      <w:r>
        <w:t>2023</w:t>
      </w:r>
      <w:r>
        <w:rPr>
          <w:rFonts w:hint="eastAsia"/>
        </w:rPr>
        <w:t>年</w:t>
      </w:r>
      <w:r>
        <w:t>7</w:t>
      </w:r>
      <w:r>
        <w:rPr>
          <w:rFonts w:hint="eastAsia"/>
        </w:rPr>
        <w:t>月</w:t>
      </w:r>
      <w:r>
        <w:t>10</w:t>
      </w:r>
      <w:r>
        <w:rPr>
          <w:rFonts w:hint="eastAsia"/>
        </w:rPr>
        <w:t>日，绩效评价项目组（以下简称“评价组”）赴天津市和平区人民政府劝业场街道办事处参加了项目见面会，听取了该单位对国有企业退休人员社会化管理补助资金项目的项目背景、申请立项、资金落实、业务管理、财务管理、项目产出、项目效益等方面的情况介绍，并对项目后续评价工作的基本原则及所需的各类资料文件提出了要求。</w:t>
      </w:r>
    </w:p>
    <w:p>
      <w:pPr>
        <w:pStyle w:val="27"/>
        <w:ind w:firstLine="640"/>
      </w:pPr>
      <w:r>
        <w:rPr>
          <w:rFonts w:hint="eastAsia"/>
        </w:rPr>
        <w:t>（</w:t>
      </w:r>
      <w:r>
        <w:t>2</w:t>
      </w:r>
      <w:r>
        <w:rPr>
          <w:rFonts w:hint="eastAsia"/>
        </w:rPr>
        <w:t>）制定绩效评价方案</w:t>
      </w:r>
    </w:p>
    <w:p>
      <w:pPr>
        <w:pStyle w:val="27"/>
        <w:ind w:firstLine="640"/>
      </w:pPr>
      <w:r>
        <w:rPr>
          <w:rFonts w:hint="eastAsia"/>
        </w:rPr>
        <w:t>根据</w:t>
      </w:r>
      <w:r>
        <w:rPr>
          <w:rFonts w:hint="eastAsia"/>
          <w:color w:val="000000"/>
          <w:szCs w:val="32"/>
        </w:rPr>
        <w:t>《中共天津市委天津市人民政府印发</w:t>
      </w:r>
      <w:r>
        <w:rPr>
          <w:rFonts w:hint="eastAsia"/>
          <w:color w:val="000000"/>
          <w:szCs w:val="32"/>
          <w:lang w:eastAsia="zh-CN"/>
        </w:rPr>
        <w:t>〈</w:t>
      </w:r>
      <w:r>
        <w:rPr>
          <w:rFonts w:hint="eastAsia"/>
          <w:color w:val="000000"/>
          <w:szCs w:val="32"/>
        </w:rPr>
        <w:t>关于全面推进预算绩效管理的实施方案</w:t>
      </w:r>
      <w:r>
        <w:rPr>
          <w:rFonts w:hint="eastAsia"/>
          <w:color w:val="000000"/>
          <w:szCs w:val="32"/>
          <w:lang w:eastAsia="zh-CN"/>
        </w:rPr>
        <w:t>〉</w:t>
      </w:r>
      <w:r>
        <w:rPr>
          <w:rFonts w:hint="eastAsia"/>
          <w:color w:val="000000"/>
          <w:szCs w:val="32"/>
        </w:rPr>
        <w:t>的通知》（津党发〔2019〕25号）</w:t>
      </w:r>
      <w:r>
        <w:rPr>
          <w:rFonts w:hint="eastAsia"/>
        </w:rPr>
        <w:t>要求，评价项目组制定了《天津市和平区人民政府劝业场街道办事处国有企业退休人员社会化管理补助资金</w:t>
      </w:r>
      <w:r>
        <w:t>绩效评价实施工作方案</w:t>
      </w:r>
      <w:r>
        <w:rPr>
          <w:rFonts w:hint="eastAsia"/>
        </w:rPr>
        <w:t>》，根据评价方案组织开展项目评价工作。</w:t>
      </w:r>
    </w:p>
    <w:p>
      <w:pPr>
        <w:pStyle w:val="27"/>
        <w:ind w:firstLine="640"/>
      </w:pPr>
      <w:r>
        <w:rPr>
          <w:rFonts w:hint="eastAsia"/>
        </w:rPr>
        <w:t>（</w:t>
      </w:r>
      <w:r>
        <w:t>3</w:t>
      </w:r>
      <w:r>
        <w:rPr>
          <w:rFonts w:hint="eastAsia"/>
        </w:rPr>
        <w:t>）指标体系设计</w:t>
      </w:r>
    </w:p>
    <w:p>
      <w:pPr>
        <w:pStyle w:val="27"/>
        <w:ind w:firstLine="640"/>
      </w:pPr>
      <w:r>
        <w:rPr>
          <w:rFonts w:hint="eastAsia"/>
        </w:rPr>
        <w:t>根据国有企业退休人员社会化管理补助资金项目绩效目标及实际工作需要，从决策、过程、产出、效益四个维度出发，设立项目立项、绩效目标、预算编制、资金管理、组织实施、产出数量、产出质量、产出时效、产出成本、社会效益、可持续影响、服务对象满意度</w:t>
      </w:r>
      <w:r>
        <w:t>12</w:t>
      </w:r>
      <w:r>
        <w:rPr>
          <w:rFonts w:hint="eastAsia"/>
        </w:rPr>
        <w:t>项二级指标和2</w:t>
      </w:r>
      <w:r>
        <w:t>4</w:t>
      </w:r>
      <w:r>
        <w:rPr>
          <w:rFonts w:hint="eastAsia"/>
        </w:rPr>
        <w:t>项三级指标，采取指标分值百分制，将</w:t>
      </w:r>
      <w:r>
        <w:t>24</w:t>
      </w:r>
      <w:r>
        <w:rPr>
          <w:rFonts w:hint="eastAsia"/>
        </w:rPr>
        <w:t>项指标量化为</w:t>
      </w:r>
      <w:r>
        <w:t>100</w:t>
      </w:r>
      <w:r>
        <w:rPr>
          <w:rFonts w:hint="eastAsia"/>
        </w:rPr>
        <w:t>分，分值权重在征求被评单位意见的基础上确定，详见附件。</w:t>
      </w:r>
    </w:p>
    <w:p>
      <w:pPr>
        <w:pStyle w:val="27"/>
        <w:ind w:firstLine="640"/>
      </w:pPr>
      <w:bookmarkStart w:id="19" w:name="_Toc57967894"/>
      <w:r>
        <w:t>2.</w:t>
      </w:r>
      <w:r>
        <w:rPr>
          <w:rFonts w:hint="eastAsia"/>
        </w:rPr>
        <w:t>评价实施阶段</w:t>
      </w:r>
      <w:bookmarkEnd w:id="19"/>
    </w:p>
    <w:p>
      <w:pPr>
        <w:pStyle w:val="27"/>
        <w:ind w:firstLine="640"/>
      </w:pPr>
      <w:r>
        <w:rPr>
          <w:rFonts w:hint="eastAsia"/>
        </w:rPr>
        <w:t>（</w:t>
      </w:r>
      <w:r>
        <w:t>1</w:t>
      </w:r>
      <w:r>
        <w:rPr>
          <w:rFonts w:hint="eastAsia"/>
        </w:rPr>
        <w:t>）正式进驻。</w:t>
      </w:r>
    </w:p>
    <w:p>
      <w:pPr>
        <w:pStyle w:val="27"/>
        <w:ind w:firstLine="640"/>
      </w:pPr>
      <w:r>
        <w:rPr>
          <w:rFonts w:hint="eastAsia"/>
        </w:rPr>
        <w:t>评价组于</w:t>
      </w:r>
      <w:r>
        <w:t>2023</w:t>
      </w:r>
      <w:r>
        <w:rPr>
          <w:rFonts w:hint="eastAsia"/>
        </w:rPr>
        <w:t>年</w:t>
      </w:r>
      <w:r>
        <w:t>7</w:t>
      </w:r>
      <w:r>
        <w:rPr>
          <w:rFonts w:hint="eastAsia"/>
        </w:rPr>
        <w:t>月</w:t>
      </w:r>
      <w:r>
        <w:t>10</w:t>
      </w:r>
      <w:r>
        <w:rPr>
          <w:rFonts w:hint="eastAsia"/>
        </w:rPr>
        <w:t>日正式进驻天津市和平区人民政府劝业场街道办事处实施评价工作。</w:t>
      </w:r>
    </w:p>
    <w:p>
      <w:pPr>
        <w:pStyle w:val="27"/>
        <w:ind w:firstLine="640"/>
      </w:pPr>
      <w:r>
        <w:rPr>
          <w:rFonts w:hint="eastAsia"/>
        </w:rPr>
        <w:t>（</w:t>
      </w:r>
      <w:r>
        <w:t>2</w:t>
      </w:r>
      <w:r>
        <w:rPr>
          <w:rFonts w:hint="eastAsia"/>
        </w:rPr>
        <w:t>）全面审查。</w:t>
      </w:r>
    </w:p>
    <w:p>
      <w:pPr>
        <w:pStyle w:val="27"/>
        <w:ind w:firstLine="640"/>
      </w:pPr>
      <w:r>
        <w:rPr>
          <w:rFonts w:hint="eastAsia"/>
        </w:rPr>
        <w:t>评价过程中，评价组对国有企业退休人员社会化管理补助资金项目的文件依据、预算编制、制度执行、资金拨付、资金使用情况、产生效益等方面进行了全面梳理。评价组根据项目支出明细账、资金支出审批单等文件，对专项经费的到位情况、预算编制、资金拨付、资金使用等相关业务文件进行了核查。</w:t>
      </w:r>
    </w:p>
    <w:p>
      <w:pPr>
        <w:pStyle w:val="27"/>
        <w:ind w:firstLine="640"/>
      </w:pPr>
      <w:r>
        <w:rPr>
          <w:rFonts w:hint="eastAsia"/>
        </w:rPr>
        <w:t>（</w:t>
      </w:r>
      <w:r>
        <w:t>3</w:t>
      </w:r>
      <w:r>
        <w:rPr>
          <w:rFonts w:hint="eastAsia"/>
        </w:rPr>
        <w:t>）实地核查。</w:t>
      </w:r>
    </w:p>
    <w:p>
      <w:pPr>
        <w:pStyle w:val="27"/>
        <w:ind w:firstLine="640"/>
      </w:pPr>
      <w:r>
        <w:rPr>
          <w:rFonts w:hint="eastAsia"/>
        </w:rPr>
        <w:t>对天津市和平区人民政府劝业场街道办事处开展现场评价，针对项目完成情况进行一一核查，根据上述核查内容形成评价清单。</w:t>
      </w:r>
      <w:r>
        <w:t xml:space="preserve"> </w:t>
      </w:r>
    </w:p>
    <w:p>
      <w:pPr>
        <w:pStyle w:val="27"/>
        <w:ind w:firstLine="640"/>
      </w:pPr>
      <w:r>
        <w:rPr>
          <w:rFonts w:hint="eastAsia"/>
        </w:rPr>
        <w:t>（4）满意度调查</w:t>
      </w:r>
    </w:p>
    <w:p>
      <w:pPr>
        <w:pStyle w:val="27"/>
        <w:ind w:firstLine="640"/>
      </w:pPr>
      <w:r>
        <w:rPr>
          <w:rFonts w:hint="eastAsia"/>
        </w:rPr>
        <w:t>向项目服务对象发放满意度问卷调查，统计满意度情况，对社会调查中提到的其他意见建议进行整理，总结社会调查反映出的突出问题及其原因。</w:t>
      </w:r>
    </w:p>
    <w:p>
      <w:pPr>
        <w:pStyle w:val="27"/>
        <w:ind w:firstLine="640"/>
      </w:pPr>
      <w:r>
        <w:rPr>
          <w:rFonts w:hint="eastAsia"/>
        </w:rPr>
        <w:t>（</w:t>
      </w:r>
      <w:r>
        <w:t>5</w:t>
      </w:r>
      <w:r>
        <w:rPr>
          <w:rFonts w:hint="eastAsia"/>
        </w:rPr>
        <w:t>）评价打分。</w:t>
      </w:r>
    </w:p>
    <w:p>
      <w:pPr>
        <w:pStyle w:val="27"/>
        <w:ind w:firstLine="640"/>
      </w:pPr>
      <w:r>
        <w:rPr>
          <w:rFonts w:hint="eastAsia"/>
        </w:rPr>
        <w:t>按照绩效评价指标体系编制了工作底稿，并对各绩效评价指标进行了评分。</w:t>
      </w:r>
    </w:p>
    <w:p>
      <w:pPr>
        <w:pStyle w:val="27"/>
        <w:ind w:firstLine="640"/>
      </w:pPr>
      <w:r>
        <w:rPr>
          <w:rFonts w:hint="eastAsia"/>
        </w:rPr>
        <w:t>（</w:t>
      </w:r>
      <w:r>
        <w:t>6</w:t>
      </w:r>
      <w:r>
        <w:rPr>
          <w:rFonts w:hint="eastAsia"/>
        </w:rPr>
        <w:t>）编制报告。</w:t>
      </w:r>
    </w:p>
    <w:p>
      <w:pPr>
        <w:pStyle w:val="27"/>
        <w:ind w:firstLine="640"/>
      </w:pPr>
      <w:r>
        <w:rPr>
          <w:rFonts w:hint="eastAsia"/>
        </w:rPr>
        <w:t>评价组根据现场评价打分，编制绩效评价报告，全面梳理本项目在决策依据、过程管理、产出情况、取得效益等方面存在的问题及工作建议。</w:t>
      </w:r>
    </w:p>
    <w:p>
      <w:pPr>
        <w:pStyle w:val="29"/>
      </w:pPr>
      <w:bookmarkStart w:id="20" w:name="_Toc142599171"/>
      <w:bookmarkStart w:id="21" w:name="_Toc1124074977"/>
      <w:r>
        <w:rPr>
          <w:rFonts w:hint="eastAsia"/>
        </w:rPr>
        <w:t>三、综合评价情况及评价结论</w:t>
      </w:r>
      <w:bookmarkEnd w:id="20"/>
      <w:bookmarkEnd w:id="21"/>
    </w:p>
    <w:p>
      <w:pPr>
        <w:pStyle w:val="27"/>
        <w:ind w:firstLine="640"/>
      </w:pPr>
      <w:bookmarkStart w:id="22" w:name="_Hlk91875381"/>
      <w:r>
        <w:rPr>
          <w:rFonts w:hint="eastAsia"/>
        </w:rPr>
        <w:t>经过综合评价，天津市和平区人民政府劝业场街道办事处国有企业退休人员社会化管理补助资金项目得分</w:t>
      </w:r>
      <w:r>
        <w:t>91.4</w:t>
      </w:r>
      <w:r>
        <w:rPr>
          <w:rFonts w:hint="eastAsia"/>
        </w:rPr>
        <w:t>分，评价等级为“优”。其中，项目决策</w:t>
      </w:r>
      <w:r>
        <w:t>17</w:t>
      </w:r>
      <w:r>
        <w:rPr>
          <w:rFonts w:hint="eastAsia"/>
        </w:rPr>
        <w:t>分，项目过程</w:t>
      </w:r>
      <w:r>
        <w:t>21.4</w:t>
      </w:r>
      <w:r>
        <w:rPr>
          <w:rFonts w:hint="eastAsia"/>
        </w:rPr>
        <w:t>分，项目产出</w:t>
      </w:r>
      <w:r>
        <w:t>38</w:t>
      </w:r>
      <w:r>
        <w:rPr>
          <w:rFonts w:hint="eastAsia"/>
        </w:rPr>
        <w:t>分，项目效益</w:t>
      </w:r>
      <w:r>
        <w:t>15</w:t>
      </w:r>
      <w:r>
        <w:rPr>
          <w:rFonts w:hint="eastAsia"/>
        </w:rPr>
        <w:t>分</w:t>
      </w:r>
      <w:bookmarkEnd w:id="22"/>
      <w:r>
        <w:rPr>
          <w:rFonts w:hint="eastAsia"/>
        </w:rPr>
        <w:t>。</w:t>
      </w:r>
    </w:p>
    <w:p>
      <w:pPr>
        <w:pStyle w:val="27"/>
        <w:ind w:firstLine="640"/>
      </w:pPr>
      <w:bookmarkStart w:id="23" w:name="_Hlk91875395"/>
      <w:r>
        <w:rPr>
          <w:rFonts w:hint="eastAsia"/>
        </w:rPr>
        <w:t>具体情况见表2：</w:t>
      </w:r>
    </w:p>
    <w:p>
      <w:pPr>
        <w:pStyle w:val="34"/>
        <w:rPr>
          <w:rFonts w:eastAsia="黑体" w:cs="宋体"/>
          <w:bCs w:val="0"/>
          <w:sz w:val="28"/>
          <w:szCs w:val="28"/>
        </w:rPr>
      </w:pPr>
      <w:r>
        <w:rPr>
          <w:rFonts w:eastAsia="黑体" w:cs="宋体"/>
          <w:bCs w:val="0"/>
          <w:sz w:val="28"/>
          <w:szCs w:val="28"/>
        </w:rPr>
        <w:t xml:space="preserve">表2  </w:t>
      </w:r>
      <w:r>
        <w:rPr>
          <w:rFonts w:hint="eastAsia" w:eastAsia="黑体" w:cs="宋体"/>
          <w:bCs w:val="0"/>
          <w:sz w:val="28"/>
          <w:szCs w:val="28"/>
        </w:rPr>
        <w:t>国有企业退休人员社会化管理补助资金项目绩效得分情况表</w:t>
      </w:r>
    </w:p>
    <w:p>
      <w:pPr>
        <w:pStyle w:val="35"/>
      </w:pPr>
      <w:r>
        <w:rPr>
          <w:rFonts w:hint="eastAsia"/>
        </w:rPr>
        <w:t>单位：分值</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1413"/>
        <w:gridCol w:w="1412"/>
        <w:gridCol w:w="1443"/>
        <w:gridCol w:w="1412"/>
        <w:gridCol w:w="1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6" w:type="dxa"/>
            <w:vAlign w:val="center"/>
          </w:tcPr>
          <w:p>
            <w:pPr>
              <w:pStyle w:val="37"/>
            </w:pPr>
            <w:r>
              <w:rPr>
                <w:rFonts w:hint="eastAsia"/>
              </w:rPr>
              <w:t>指标</w:t>
            </w:r>
          </w:p>
        </w:tc>
        <w:tc>
          <w:tcPr>
            <w:tcW w:w="1376" w:type="dxa"/>
            <w:vAlign w:val="center"/>
          </w:tcPr>
          <w:p>
            <w:pPr>
              <w:pStyle w:val="37"/>
            </w:pPr>
            <w:r>
              <w:rPr>
                <w:rFonts w:hint="eastAsia"/>
              </w:rPr>
              <w:t>项目决策</w:t>
            </w:r>
          </w:p>
        </w:tc>
        <w:tc>
          <w:tcPr>
            <w:tcW w:w="1375" w:type="dxa"/>
            <w:vAlign w:val="center"/>
          </w:tcPr>
          <w:p>
            <w:pPr>
              <w:pStyle w:val="37"/>
            </w:pPr>
            <w:r>
              <w:rPr>
                <w:rFonts w:hint="eastAsia"/>
              </w:rPr>
              <w:t>项目过程</w:t>
            </w:r>
          </w:p>
        </w:tc>
        <w:tc>
          <w:tcPr>
            <w:tcW w:w="1405" w:type="dxa"/>
            <w:vAlign w:val="center"/>
          </w:tcPr>
          <w:p>
            <w:pPr>
              <w:pStyle w:val="37"/>
            </w:pPr>
            <w:r>
              <w:rPr>
                <w:rFonts w:hint="eastAsia"/>
              </w:rPr>
              <w:t>项目产出</w:t>
            </w:r>
          </w:p>
        </w:tc>
        <w:tc>
          <w:tcPr>
            <w:tcW w:w="1375" w:type="dxa"/>
            <w:vAlign w:val="center"/>
          </w:tcPr>
          <w:p>
            <w:pPr>
              <w:pStyle w:val="37"/>
            </w:pPr>
            <w:r>
              <w:rPr>
                <w:rFonts w:hint="eastAsia"/>
              </w:rPr>
              <w:t>项目效益</w:t>
            </w:r>
          </w:p>
        </w:tc>
        <w:tc>
          <w:tcPr>
            <w:tcW w:w="1395" w:type="dxa"/>
            <w:vAlign w:val="center"/>
          </w:tcPr>
          <w:p>
            <w:pPr>
              <w:pStyle w:val="37"/>
            </w:pPr>
            <w:r>
              <w:rPr>
                <w:rFonts w:hint="eastAsia"/>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6" w:type="dxa"/>
            <w:vAlign w:val="center"/>
          </w:tcPr>
          <w:p>
            <w:pPr>
              <w:pStyle w:val="39"/>
              <w:jc w:val="center"/>
            </w:pPr>
            <w:r>
              <w:rPr>
                <w:rFonts w:hint="eastAsia"/>
              </w:rPr>
              <w:t>分值</w:t>
            </w:r>
          </w:p>
        </w:tc>
        <w:tc>
          <w:tcPr>
            <w:tcW w:w="1376" w:type="dxa"/>
            <w:vAlign w:val="center"/>
          </w:tcPr>
          <w:p>
            <w:pPr>
              <w:pStyle w:val="39"/>
              <w:jc w:val="center"/>
            </w:pPr>
            <w:r>
              <w:t>17</w:t>
            </w:r>
          </w:p>
        </w:tc>
        <w:tc>
          <w:tcPr>
            <w:tcW w:w="1375" w:type="dxa"/>
            <w:vAlign w:val="center"/>
          </w:tcPr>
          <w:p>
            <w:pPr>
              <w:pStyle w:val="39"/>
              <w:jc w:val="center"/>
            </w:pPr>
            <w:r>
              <w:t>23</w:t>
            </w:r>
          </w:p>
        </w:tc>
        <w:tc>
          <w:tcPr>
            <w:tcW w:w="1405" w:type="dxa"/>
            <w:vAlign w:val="center"/>
          </w:tcPr>
          <w:p>
            <w:pPr>
              <w:pStyle w:val="39"/>
              <w:jc w:val="center"/>
            </w:pPr>
            <w:r>
              <w:t>38</w:t>
            </w:r>
          </w:p>
        </w:tc>
        <w:tc>
          <w:tcPr>
            <w:tcW w:w="1375" w:type="dxa"/>
            <w:vAlign w:val="center"/>
          </w:tcPr>
          <w:p>
            <w:pPr>
              <w:pStyle w:val="39"/>
              <w:jc w:val="center"/>
            </w:pPr>
            <w:r>
              <w:t>22</w:t>
            </w:r>
          </w:p>
        </w:tc>
        <w:tc>
          <w:tcPr>
            <w:tcW w:w="1395" w:type="dxa"/>
            <w:vAlign w:val="center"/>
          </w:tcPr>
          <w:p>
            <w:pPr>
              <w:pStyle w:val="39"/>
              <w:jc w:val="center"/>
            </w:pPr>
            <w: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6" w:type="dxa"/>
            <w:vAlign w:val="center"/>
          </w:tcPr>
          <w:p>
            <w:pPr>
              <w:pStyle w:val="39"/>
              <w:jc w:val="center"/>
            </w:pPr>
            <w:r>
              <w:rPr>
                <w:rFonts w:hint="eastAsia"/>
              </w:rPr>
              <w:t>得分</w:t>
            </w:r>
          </w:p>
        </w:tc>
        <w:tc>
          <w:tcPr>
            <w:tcW w:w="1376" w:type="dxa"/>
            <w:vAlign w:val="center"/>
          </w:tcPr>
          <w:p>
            <w:pPr>
              <w:pStyle w:val="39"/>
              <w:jc w:val="center"/>
            </w:pPr>
            <w:r>
              <w:t>17</w:t>
            </w:r>
          </w:p>
        </w:tc>
        <w:tc>
          <w:tcPr>
            <w:tcW w:w="1375" w:type="dxa"/>
            <w:vAlign w:val="center"/>
          </w:tcPr>
          <w:p>
            <w:pPr>
              <w:pStyle w:val="39"/>
              <w:jc w:val="center"/>
            </w:pPr>
            <w:r>
              <w:t>21.4</w:t>
            </w:r>
          </w:p>
        </w:tc>
        <w:tc>
          <w:tcPr>
            <w:tcW w:w="1405" w:type="dxa"/>
            <w:vAlign w:val="center"/>
          </w:tcPr>
          <w:p>
            <w:pPr>
              <w:pStyle w:val="39"/>
              <w:jc w:val="center"/>
            </w:pPr>
            <w:r>
              <w:t>38</w:t>
            </w:r>
          </w:p>
        </w:tc>
        <w:tc>
          <w:tcPr>
            <w:tcW w:w="1375" w:type="dxa"/>
            <w:vAlign w:val="center"/>
          </w:tcPr>
          <w:p>
            <w:pPr>
              <w:pStyle w:val="39"/>
              <w:jc w:val="center"/>
            </w:pPr>
            <w:r>
              <w:t>15</w:t>
            </w:r>
          </w:p>
        </w:tc>
        <w:tc>
          <w:tcPr>
            <w:tcW w:w="1395" w:type="dxa"/>
            <w:vAlign w:val="center"/>
          </w:tcPr>
          <w:p>
            <w:pPr>
              <w:pStyle w:val="39"/>
              <w:jc w:val="center"/>
            </w:pPr>
            <w:r>
              <w:t>91.4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76" w:type="dxa"/>
            <w:vAlign w:val="center"/>
          </w:tcPr>
          <w:p>
            <w:pPr>
              <w:pStyle w:val="39"/>
              <w:jc w:val="center"/>
            </w:pPr>
            <w:r>
              <w:rPr>
                <w:rFonts w:hint="eastAsia"/>
              </w:rPr>
              <w:t>得分率</w:t>
            </w:r>
          </w:p>
        </w:tc>
        <w:tc>
          <w:tcPr>
            <w:tcW w:w="1376" w:type="dxa"/>
            <w:vAlign w:val="center"/>
          </w:tcPr>
          <w:p>
            <w:pPr>
              <w:pStyle w:val="39"/>
              <w:jc w:val="center"/>
            </w:pPr>
            <w:r>
              <w:t>100</w:t>
            </w:r>
            <w:r>
              <w:rPr>
                <w:rFonts w:hint="eastAsia"/>
              </w:rPr>
              <w:t>%</w:t>
            </w:r>
          </w:p>
        </w:tc>
        <w:tc>
          <w:tcPr>
            <w:tcW w:w="1375" w:type="dxa"/>
            <w:vAlign w:val="center"/>
          </w:tcPr>
          <w:p>
            <w:pPr>
              <w:pStyle w:val="39"/>
              <w:jc w:val="center"/>
            </w:pPr>
            <w:r>
              <w:t>93.04</w:t>
            </w:r>
            <w:r>
              <w:rPr>
                <w:rFonts w:hint="eastAsia"/>
              </w:rPr>
              <w:t>%</w:t>
            </w:r>
          </w:p>
        </w:tc>
        <w:tc>
          <w:tcPr>
            <w:tcW w:w="1405" w:type="dxa"/>
            <w:vAlign w:val="center"/>
          </w:tcPr>
          <w:p>
            <w:pPr>
              <w:pStyle w:val="39"/>
              <w:jc w:val="center"/>
            </w:pPr>
            <w:r>
              <w:t>100</w:t>
            </w:r>
            <w:r>
              <w:rPr>
                <w:rFonts w:hint="eastAsia"/>
              </w:rPr>
              <w:t>%</w:t>
            </w:r>
          </w:p>
        </w:tc>
        <w:tc>
          <w:tcPr>
            <w:tcW w:w="1375" w:type="dxa"/>
            <w:vAlign w:val="center"/>
          </w:tcPr>
          <w:p>
            <w:pPr>
              <w:pStyle w:val="39"/>
              <w:jc w:val="center"/>
            </w:pPr>
            <w:r>
              <w:t>68.18</w:t>
            </w:r>
            <w:r>
              <w:rPr>
                <w:rFonts w:hint="eastAsia"/>
              </w:rPr>
              <w:t>%</w:t>
            </w:r>
          </w:p>
        </w:tc>
        <w:tc>
          <w:tcPr>
            <w:tcW w:w="1395" w:type="dxa"/>
            <w:vAlign w:val="center"/>
          </w:tcPr>
          <w:p>
            <w:pPr>
              <w:pStyle w:val="39"/>
              <w:jc w:val="center"/>
            </w:pPr>
            <w:r>
              <w:t>91.40</w:t>
            </w:r>
            <w:r>
              <w:rPr>
                <w:rFonts w:hint="eastAsia"/>
              </w:rPr>
              <w:t>%</w:t>
            </w:r>
          </w:p>
        </w:tc>
      </w:tr>
      <w:bookmarkEnd w:id="23"/>
    </w:tbl>
    <w:p>
      <w:pPr>
        <w:pStyle w:val="27"/>
        <w:ind w:firstLine="640"/>
        <w:rPr>
          <w:bCs/>
        </w:rPr>
      </w:pPr>
      <w:bookmarkStart w:id="24" w:name="_Hlk91875411"/>
      <w:r>
        <w:rPr>
          <w:rFonts w:hint="eastAsia"/>
        </w:rPr>
        <w:t>评价结论：</w:t>
      </w:r>
      <w:bookmarkEnd w:id="24"/>
      <w:r>
        <w:rPr>
          <w:rFonts w:hint="eastAsia"/>
        </w:rPr>
        <w:t>项目立项程序规范，预算编制合理，资金到位及时，项目产出完成良好，服务对象对项目整体执行效果满意度较高。但是</w:t>
      </w:r>
      <w:r>
        <w:rPr>
          <w:rFonts w:hint="eastAsia" w:cs="仿宋_GB2312"/>
        </w:rPr>
        <w:t>项目过程方面存在部分合同管理不规范的情况，且预算执行不足，有资金沉淀。单位</w:t>
      </w:r>
      <w:r>
        <w:rPr>
          <w:rFonts w:hint="eastAsia"/>
        </w:rPr>
        <w:t>未建立退休人员活动宣传机制，仅通过电话告知方式通知部分退休人员参加活动宣传手段单一，进而导致项目效益低等情况。</w:t>
      </w:r>
    </w:p>
    <w:p>
      <w:pPr>
        <w:pStyle w:val="27"/>
        <w:ind w:firstLine="640"/>
      </w:pPr>
      <w:r>
        <w:rPr>
          <w:rFonts w:hint="eastAsia"/>
        </w:rPr>
        <w:t>四、绩效评价指标分析</w:t>
      </w:r>
    </w:p>
    <w:p>
      <w:pPr>
        <w:pStyle w:val="31"/>
        <w:ind w:firstLine="640"/>
        <w:rPr>
          <w:rFonts w:ascii="Times New Roman" w:hAnsi="Times New Roman"/>
        </w:rPr>
      </w:pPr>
      <w:bookmarkStart w:id="25" w:name="_Toc914495780"/>
      <w:bookmarkStart w:id="26" w:name="_Toc142599172"/>
      <w:r>
        <w:rPr>
          <w:rFonts w:hint="eastAsia" w:ascii="Times New Roman" w:hAnsi="Times New Roman"/>
        </w:rPr>
        <w:t>（一）项目决策情况</w:t>
      </w:r>
      <w:bookmarkEnd w:id="25"/>
      <w:bookmarkEnd w:id="26"/>
    </w:p>
    <w:p>
      <w:pPr>
        <w:pStyle w:val="27"/>
        <w:ind w:firstLine="640"/>
      </w:pPr>
      <w:r>
        <w:rPr>
          <w:rFonts w:hint="eastAsia"/>
        </w:rPr>
        <w:t>决策指标主要包括项目立项、绩效目标、预算编制</w:t>
      </w:r>
      <w:r>
        <w:t>3</w:t>
      </w:r>
      <w:r>
        <w:rPr>
          <w:rFonts w:hint="eastAsia"/>
        </w:rPr>
        <w:t>项二级指标，</w:t>
      </w:r>
      <w:r>
        <w:t>8</w:t>
      </w:r>
      <w:r>
        <w:rPr>
          <w:rFonts w:hint="eastAsia"/>
        </w:rPr>
        <w:t>项三级指标，基础总分</w:t>
      </w:r>
      <w:r>
        <w:t>17</w:t>
      </w:r>
      <w:r>
        <w:rPr>
          <w:rFonts w:hint="eastAsia"/>
        </w:rPr>
        <w:t>分，合计得分</w:t>
      </w:r>
      <w:r>
        <w:t>17</w:t>
      </w:r>
      <w:r>
        <w:rPr>
          <w:rFonts w:hint="eastAsia"/>
        </w:rPr>
        <w:t>分。</w:t>
      </w:r>
    </w:p>
    <w:p>
      <w:pPr>
        <w:pStyle w:val="27"/>
        <w:ind w:firstLine="640"/>
      </w:pPr>
      <w:r>
        <w:rPr>
          <w:rFonts w:hint="eastAsia"/>
        </w:rPr>
        <w:t>1.项目立项</w:t>
      </w:r>
    </w:p>
    <w:p>
      <w:pPr>
        <w:pStyle w:val="27"/>
        <w:ind w:firstLine="640"/>
      </w:pPr>
      <w:r>
        <w:rPr>
          <w:rFonts w:hint="eastAsia"/>
        </w:rPr>
        <w:t>（1）立项依据充分性（总分2分，得分2分）。国有企业退休人员社会化管理补助资金项目依据《中共中央办公厅、国务院办公厅印发</w:t>
      </w:r>
      <w:r>
        <w:rPr>
          <w:rFonts w:hint="eastAsia"/>
          <w:lang w:eastAsia="zh-CN"/>
        </w:rPr>
        <w:t>〈</w:t>
      </w:r>
      <w:r>
        <w:rPr>
          <w:rFonts w:hint="eastAsia"/>
        </w:rPr>
        <w:t>关于国有企业退休人员社会化管理的指导意见</w:t>
      </w:r>
      <w:r>
        <w:rPr>
          <w:rFonts w:hint="eastAsia"/>
          <w:lang w:eastAsia="zh-CN"/>
        </w:rPr>
        <w:t>〉</w:t>
      </w:r>
      <w:r>
        <w:rPr>
          <w:rFonts w:hint="eastAsia"/>
        </w:rPr>
        <w:t>的通知》（厅字</w:t>
      </w:r>
      <w:r>
        <w:rPr>
          <w:rFonts w:hint="eastAsia"/>
          <w:color w:val="000000"/>
          <w:szCs w:val="32"/>
        </w:rPr>
        <w:t>〔2019〕1</w:t>
      </w:r>
      <w:r>
        <w:rPr>
          <w:color w:val="000000"/>
          <w:szCs w:val="32"/>
        </w:rPr>
        <w:t>9</w:t>
      </w:r>
      <w:r>
        <w:rPr>
          <w:rFonts w:hint="eastAsia"/>
          <w:color w:val="000000"/>
          <w:szCs w:val="32"/>
        </w:rPr>
        <w:t>号</w:t>
      </w:r>
      <w:r>
        <w:rPr>
          <w:rFonts w:hint="eastAsia"/>
        </w:rPr>
        <w:t>）和《中共天津市委办公厅、天津市人民政府办公厅关于印发</w:t>
      </w:r>
      <w:r>
        <w:rPr>
          <w:rFonts w:hint="eastAsia"/>
          <w:lang w:eastAsia="zh-CN"/>
        </w:rPr>
        <w:t>〈</w:t>
      </w:r>
      <w:r>
        <w:rPr>
          <w:rFonts w:hint="eastAsia"/>
        </w:rPr>
        <w:t>天津市国有企业退休人员社会化管理工作实施方案</w:t>
      </w:r>
      <w:r>
        <w:rPr>
          <w:rFonts w:hint="eastAsia"/>
          <w:lang w:eastAsia="zh-CN"/>
        </w:rPr>
        <w:t>〉</w:t>
      </w:r>
      <w:r>
        <w:rPr>
          <w:rFonts w:hint="eastAsia"/>
        </w:rPr>
        <w:t>的通知》（津党厅〔2019〕</w:t>
      </w:r>
      <w:r>
        <w:t>69</w:t>
      </w:r>
      <w:r>
        <w:rPr>
          <w:rFonts w:hint="eastAsia"/>
        </w:rPr>
        <w:t>号）立项</w:t>
      </w:r>
      <w:r>
        <w:t>，</w:t>
      </w:r>
      <w:r>
        <w:rPr>
          <w:rFonts w:hint="eastAsia"/>
        </w:rPr>
        <w:t>与文件中“做好服务保障。坚持在政治上尊重、思想上关心、生活上照顾、精神上关怀，依法保障国有企业退休人员相关待遇，实现老有所养、老有所医、老有所教、老有所学、老有所为、老有所乐，共享经济社会发展成果”的要求相匹配，同时符合天津市和平区人民政府劝业场街道办事处“加强对本辖区离退休干部党员的管理和思想教育，利用本辖区资源做好离退休干部服务工作”的主要职责，属于部门履职所需。项目属于公共财政支持范围，未与其他部门同类项目或部门内部相关项目重复，项目立项依据充分。</w:t>
      </w:r>
    </w:p>
    <w:p>
      <w:pPr>
        <w:pStyle w:val="27"/>
        <w:ind w:firstLine="640"/>
      </w:pPr>
      <w:r>
        <w:rPr>
          <w:rFonts w:hint="eastAsia"/>
        </w:rPr>
        <w:t>（2）立项程序规范性（总分2分，得分</w:t>
      </w:r>
      <w:r>
        <w:t>2</w:t>
      </w:r>
      <w:r>
        <w:rPr>
          <w:rFonts w:hint="eastAsia"/>
        </w:rPr>
        <w:t>分）。2</w:t>
      </w:r>
      <w:r>
        <w:t>022</w:t>
      </w:r>
      <w:r>
        <w:rPr>
          <w:rFonts w:hint="eastAsia"/>
        </w:rPr>
        <w:t>年国有企业退休人员社会化管理补助资金项目有完整的工作请示签呈单、项目支出预算明细表、审批文件等相关材料，事前经过党工委集体决策，项目立项程序符合规范要求。</w:t>
      </w:r>
    </w:p>
    <w:p>
      <w:pPr>
        <w:pStyle w:val="27"/>
        <w:ind w:firstLine="640"/>
      </w:pPr>
      <w:r>
        <w:rPr>
          <w:rFonts w:hint="eastAsia"/>
        </w:rPr>
        <w:t>2.绩效目标</w:t>
      </w:r>
    </w:p>
    <w:p>
      <w:pPr>
        <w:pStyle w:val="27"/>
        <w:ind w:firstLine="640"/>
        <w:rPr>
          <w:bCs/>
        </w:rPr>
      </w:pPr>
      <w:r>
        <w:rPr>
          <w:rFonts w:hint="eastAsia"/>
        </w:rPr>
        <w:t>（1）绩效目标明确性（总分</w:t>
      </w:r>
      <w:r>
        <w:t>2</w:t>
      </w:r>
      <w:r>
        <w:rPr>
          <w:rFonts w:hint="eastAsia"/>
        </w:rPr>
        <w:t>分，得分</w:t>
      </w:r>
      <w:r>
        <w:t>2</w:t>
      </w:r>
      <w:r>
        <w:rPr>
          <w:rFonts w:hint="eastAsia"/>
        </w:rPr>
        <w:t>分）。</w:t>
      </w:r>
      <w:r>
        <w:rPr>
          <w:rFonts w:hint="eastAsia"/>
          <w:bCs/>
        </w:rPr>
        <w:t>根据</w:t>
      </w:r>
      <w:r>
        <w:rPr>
          <w:rFonts w:hint="eastAsia"/>
        </w:rPr>
        <w:t>《天津市财政局关于印发</w:t>
      </w:r>
      <w:r>
        <w:rPr>
          <w:rFonts w:hint="eastAsia"/>
          <w:lang w:eastAsia="zh-CN"/>
        </w:rPr>
        <w:t>〈</w:t>
      </w:r>
      <w:r>
        <w:rPr>
          <w:rFonts w:hint="eastAsia"/>
        </w:rPr>
        <w:t>天津市市级部门预算绩效目标管理办法</w:t>
      </w:r>
      <w:r>
        <w:rPr>
          <w:rFonts w:hint="eastAsia"/>
          <w:lang w:eastAsia="zh-CN"/>
        </w:rPr>
        <w:t>〉</w:t>
      </w:r>
      <w:r>
        <w:rPr>
          <w:rFonts w:hint="eastAsia"/>
        </w:rPr>
        <w:t>的通知》（津财绩效〔2020〕16号）文件要求</w:t>
      </w:r>
      <w:r>
        <w:rPr>
          <w:rFonts w:hint="eastAsia"/>
          <w:bCs/>
        </w:rPr>
        <w:t>，“绩效指标是绩效目标的细化和量化”，</w:t>
      </w:r>
      <w:r>
        <w:rPr>
          <w:rFonts w:hint="eastAsia"/>
        </w:rPr>
        <w:t>国有企业退休人员社会化管理补助资金项目</w:t>
      </w:r>
      <w:r>
        <w:rPr>
          <w:rFonts w:hint="eastAsia"/>
          <w:bCs/>
        </w:rPr>
        <w:t>实施年度为2</w:t>
      </w:r>
      <w:r>
        <w:rPr>
          <w:bCs/>
        </w:rPr>
        <w:t>022</w:t>
      </w:r>
      <w:r>
        <w:rPr>
          <w:rFonts w:hint="eastAsia"/>
          <w:bCs/>
        </w:rPr>
        <w:t>年，根据天津市和平区人民政府劝业场街道办事处提供的本项目绩效目标申报表，项目绩效目标与项目目标任务数相对应，产出指标、效益指标、满意度指标均通过清晰、可衡量的指标值予以体现。</w:t>
      </w:r>
    </w:p>
    <w:p>
      <w:pPr>
        <w:pStyle w:val="27"/>
        <w:ind w:firstLine="640"/>
        <w:rPr>
          <w:bCs/>
        </w:rPr>
      </w:pPr>
      <w:r>
        <w:rPr>
          <w:rFonts w:hint="eastAsia"/>
          <w:bCs/>
        </w:rPr>
        <w:t>（2）绩效目标合理性（总分</w:t>
      </w:r>
      <w:r>
        <w:rPr>
          <w:bCs/>
        </w:rPr>
        <w:t>4</w:t>
      </w:r>
      <w:r>
        <w:rPr>
          <w:rFonts w:hint="eastAsia"/>
          <w:bCs/>
        </w:rPr>
        <w:t>分，得分</w:t>
      </w:r>
      <w:r>
        <w:rPr>
          <w:bCs/>
        </w:rPr>
        <w:t>4</w:t>
      </w:r>
      <w:r>
        <w:rPr>
          <w:rFonts w:hint="eastAsia"/>
          <w:bCs/>
        </w:rPr>
        <w:t>分）。</w:t>
      </w:r>
      <w:r>
        <w:rPr>
          <w:rFonts w:hint="eastAsia"/>
        </w:rPr>
        <w:t>根据《天津市财政局关于印发</w:t>
      </w:r>
      <w:r>
        <w:rPr>
          <w:rFonts w:hint="eastAsia"/>
          <w:lang w:eastAsia="zh-CN"/>
        </w:rPr>
        <w:t>〈</w:t>
      </w:r>
      <w:r>
        <w:rPr>
          <w:rFonts w:hint="eastAsia"/>
        </w:rPr>
        <w:t>天津市市级部门预算绩效目标管理办法</w:t>
      </w:r>
      <w:r>
        <w:rPr>
          <w:rFonts w:hint="eastAsia"/>
          <w:lang w:eastAsia="zh-CN"/>
        </w:rPr>
        <w:t>〉</w:t>
      </w:r>
      <w:r>
        <w:rPr>
          <w:rFonts w:hint="eastAsia"/>
        </w:rPr>
        <w:t>的通知》（津财绩效〔2020〕16号）文件要求</w:t>
      </w:r>
      <w:r>
        <w:rPr>
          <w:rFonts w:hint="eastAsia"/>
          <w:bCs/>
        </w:rPr>
        <w:t>“绩效目标要能清晰反映预算资金的预期产出和效果”。天津市和平区人民政府劝业场街道办事处设置的项目</w:t>
      </w:r>
      <w:r>
        <w:rPr>
          <w:rFonts w:hint="eastAsia"/>
        </w:rPr>
        <w:t>绩效目标为“用于支付信德大厦的物业费和水电费，下一步将支付工程维修费，改善国企退休人员活动场所，提升国企退休人员幸福感”，项目绩效目标与实际工作内容相关联，</w:t>
      </w:r>
      <w:r>
        <w:rPr>
          <w:rFonts w:hint="eastAsia"/>
          <w:bCs/>
        </w:rPr>
        <w:t>并将绩效目标细化分解为具体的绩效指标，预期产出效益和效果符合正常的业绩水平，绩效目标与预算确定的资金量相匹配。</w:t>
      </w:r>
    </w:p>
    <w:p>
      <w:pPr>
        <w:pStyle w:val="27"/>
        <w:ind w:firstLine="640"/>
        <w:rPr>
          <w:bCs/>
        </w:rPr>
      </w:pPr>
      <w:r>
        <w:rPr>
          <w:rFonts w:hint="eastAsia"/>
          <w:bCs/>
        </w:rPr>
        <w:t>3.预算编制</w:t>
      </w:r>
    </w:p>
    <w:p>
      <w:pPr>
        <w:pStyle w:val="27"/>
        <w:ind w:firstLine="640"/>
        <w:rPr>
          <w:bCs/>
        </w:rPr>
      </w:pPr>
      <w:r>
        <w:rPr>
          <w:rFonts w:hint="eastAsia"/>
          <w:bCs/>
        </w:rPr>
        <w:t>（1）测算内容合规性（总分2分，得分2分）。</w:t>
      </w:r>
      <w:r>
        <w:rPr>
          <w:rFonts w:hint="eastAsia"/>
        </w:rPr>
        <w:t>国有企业退休人员社会化管理补助资金项目</w:t>
      </w:r>
      <w:r>
        <w:rPr>
          <w:rFonts w:hint="eastAsia"/>
          <w:bCs/>
        </w:rPr>
        <w:t>测算内容为</w:t>
      </w:r>
      <w:r>
        <w:rPr>
          <w:rFonts w:hint="eastAsia"/>
          <w:szCs w:val="32"/>
        </w:rPr>
        <w:t>利用闲置房屋来增加社区离退休人员活动室的空间，但闲置房屋设备设施较陈旧与实际需求尚有一定距离，需要对活动室提升改造，保障离退休人员活动室正常开放。</w:t>
      </w:r>
      <w:r>
        <w:rPr>
          <w:rFonts w:hint="eastAsia"/>
          <w:bCs/>
        </w:rPr>
        <w:t>测算内容符合</w:t>
      </w:r>
      <w:r>
        <w:rPr>
          <w:rFonts w:hint="eastAsia"/>
        </w:rPr>
        <w:t>《中共天津市委办公厅、天津市人民政府办公厅关于印发</w:t>
      </w:r>
      <w:r>
        <w:rPr>
          <w:rFonts w:hint="eastAsia"/>
          <w:lang w:eastAsia="zh-CN"/>
        </w:rPr>
        <w:t>〈</w:t>
      </w:r>
      <w:r>
        <w:rPr>
          <w:rFonts w:hint="eastAsia"/>
        </w:rPr>
        <w:t>天津市国有企业退休人员社会化管理工作实施方案</w:t>
      </w:r>
      <w:r>
        <w:rPr>
          <w:rFonts w:hint="eastAsia"/>
          <w:lang w:eastAsia="zh-CN"/>
        </w:rPr>
        <w:t>〉</w:t>
      </w:r>
      <w:r>
        <w:rPr>
          <w:rFonts w:hint="eastAsia"/>
        </w:rPr>
        <w:t>的通知》（津党厅〔2019〕</w:t>
      </w:r>
      <w:r>
        <w:t>69</w:t>
      </w:r>
      <w:r>
        <w:rPr>
          <w:rFonts w:hint="eastAsia"/>
        </w:rPr>
        <w:t>号）</w:t>
      </w:r>
      <w:r>
        <w:t>文件规定的工作范围</w:t>
      </w:r>
      <w:r>
        <w:rPr>
          <w:rFonts w:hint="eastAsia"/>
        </w:rPr>
        <w:t>，</w:t>
      </w:r>
      <w:r>
        <w:rPr>
          <w:rFonts w:hint="eastAsia"/>
          <w:bCs/>
        </w:rPr>
        <w:t>其内容与实际需求相匹配，不存在重复测算，项目测算内容合规。</w:t>
      </w:r>
    </w:p>
    <w:p>
      <w:pPr>
        <w:pStyle w:val="27"/>
        <w:ind w:firstLine="640"/>
        <w:rPr>
          <w:bCs/>
        </w:rPr>
      </w:pPr>
      <w:r>
        <w:rPr>
          <w:rFonts w:hint="eastAsia"/>
          <w:bCs/>
        </w:rPr>
        <w:t>（2）测算标准合理性（总分1分，得分1分）。本项目采用政府采购方式进行公开招标。根据合同约定，项目所需费用1</w:t>
      </w:r>
      <w:r>
        <w:rPr>
          <w:bCs/>
        </w:rPr>
        <w:t>6.33</w:t>
      </w:r>
      <w:r>
        <w:rPr>
          <w:rFonts w:hint="eastAsia"/>
          <w:bCs/>
        </w:rPr>
        <w:t>万元分3期结算，2</w:t>
      </w:r>
      <w:r>
        <w:rPr>
          <w:bCs/>
        </w:rPr>
        <w:t>021</w:t>
      </w:r>
      <w:r>
        <w:rPr>
          <w:rFonts w:hint="eastAsia"/>
          <w:bCs/>
        </w:rPr>
        <w:t>年1</w:t>
      </w:r>
      <w:r>
        <w:rPr>
          <w:bCs/>
        </w:rPr>
        <w:t>1</w:t>
      </w:r>
      <w:r>
        <w:rPr>
          <w:rFonts w:hint="eastAsia"/>
          <w:bCs/>
        </w:rPr>
        <w:t>月已支付</w:t>
      </w:r>
      <w:r>
        <w:rPr>
          <w:bCs/>
        </w:rPr>
        <w:t>4.90</w:t>
      </w:r>
      <w:r>
        <w:rPr>
          <w:rFonts w:hint="eastAsia"/>
          <w:bCs/>
        </w:rPr>
        <w:t>万元、1</w:t>
      </w:r>
      <w:r>
        <w:rPr>
          <w:bCs/>
        </w:rPr>
        <w:t>2</w:t>
      </w:r>
      <w:r>
        <w:rPr>
          <w:rFonts w:hint="eastAsia"/>
          <w:bCs/>
        </w:rPr>
        <w:t>月支付3</w:t>
      </w:r>
      <w:r>
        <w:rPr>
          <w:bCs/>
        </w:rPr>
        <w:t>.02</w:t>
      </w:r>
      <w:r>
        <w:rPr>
          <w:rFonts w:hint="eastAsia"/>
          <w:bCs/>
        </w:rPr>
        <w:t>万元，剩余</w:t>
      </w:r>
      <w:r>
        <w:rPr>
          <w:bCs/>
        </w:rPr>
        <w:t>8.41</w:t>
      </w:r>
      <w:r>
        <w:rPr>
          <w:rFonts w:hint="eastAsia"/>
          <w:bCs/>
        </w:rPr>
        <w:t>万元未支付，2</w:t>
      </w:r>
      <w:r>
        <w:rPr>
          <w:bCs/>
        </w:rPr>
        <w:t>022</w:t>
      </w:r>
      <w:r>
        <w:rPr>
          <w:rFonts w:hint="eastAsia"/>
          <w:bCs/>
        </w:rPr>
        <w:t>年根据合同约定申请预算</w:t>
      </w:r>
      <w:r>
        <w:rPr>
          <w:bCs/>
        </w:rPr>
        <w:t>8.41</w:t>
      </w:r>
      <w:r>
        <w:rPr>
          <w:rFonts w:hint="eastAsia"/>
          <w:bCs/>
        </w:rPr>
        <w:t>万元</w:t>
      </w:r>
      <w:r>
        <w:rPr>
          <w:rFonts w:hint="eastAsia"/>
          <w:bCs/>
          <w:lang w:eastAsia="zh-CN"/>
        </w:rPr>
        <w:t>，</w:t>
      </w:r>
      <w:r>
        <w:rPr>
          <w:rFonts w:hint="eastAsia"/>
          <w:bCs/>
        </w:rPr>
        <w:t>预算测算符合相关行业标准和社会实际支出水平，测算标准合理。</w:t>
      </w:r>
    </w:p>
    <w:p>
      <w:pPr>
        <w:pStyle w:val="27"/>
        <w:ind w:firstLine="640"/>
      </w:pPr>
      <w:r>
        <w:rPr>
          <w:rFonts w:hint="eastAsia"/>
          <w:bCs/>
        </w:rPr>
        <w:t>（3）测算数据客观性（总分2分，得分2分）。根据天津市</w:t>
      </w:r>
      <w:r>
        <w:rPr>
          <w:rFonts w:hint="eastAsia"/>
        </w:rPr>
        <w:t>和平区人民政府劝业场街道办事处</w:t>
      </w:r>
      <w:r>
        <w:rPr>
          <w:rFonts w:hint="eastAsia"/>
          <w:bCs/>
        </w:rPr>
        <w:t>提供的</w:t>
      </w:r>
      <w:r>
        <w:rPr>
          <w:rFonts w:hint="eastAsia"/>
        </w:rPr>
        <w:t>国有企业退休人员社会化管理补助资金项目的</w:t>
      </w:r>
      <w:r>
        <w:rPr>
          <w:rFonts w:hint="eastAsia"/>
          <w:bCs/>
        </w:rPr>
        <w:t>采购实施计划、项目预价资料，项目预算测算数据符合客观需求，具有合规佐证依据，测算数据客观准确</w:t>
      </w:r>
      <w:r>
        <w:rPr>
          <w:rFonts w:hint="eastAsia"/>
        </w:rPr>
        <w:t>。</w:t>
      </w:r>
    </w:p>
    <w:p>
      <w:pPr>
        <w:pStyle w:val="27"/>
        <w:ind w:firstLine="640"/>
      </w:pPr>
      <w:r>
        <w:rPr>
          <w:rFonts w:hint="eastAsia"/>
          <w:bCs/>
        </w:rPr>
        <w:t>（4）测算过程细化度（总分2分，得分2分）。</w:t>
      </w:r>
      <w:r>
        <w:rPr>
          <w:rFonts w:hint="eastAsia"/>
        </w:rPr>
        <w:t>国有企业退休人员社会化管理补助资金项目实际内容为</w:t>
      </w:r>
      <w:r>
        <w:rPr>
          <w:rFonts w:hint="eastAsia"/>
          <w:szCs w:val="32"/>
        </w:rPr>
        <w:t>新增加的社区离退休人员活动室提升改造</w:t>
      </w:r>
      <w:r>
        <w:rPr>
          <w:rFonts w:hint="eastAsia"/>
        </w:rPr>
        <w:t>，</w:t>
      </w:r>
      <w:r>
        <w:rPr>
          <w:rFonts w:hint="eastAsia"/>
          <w:bCs/>
        </w:rPr>
        <w:t>项目按事权划分原则，由区级财政统筹解决，依据计划施工明细的工程量、单价、人工费</w:t>
      </w:r>
      <w:r>
        <w:t>测算</w:t>
      </w:r>
      <w:r>
        <w:rPr>
          <w:rFonts w:hint="eastAsia"/>
        </w:rPr>
        <w:t>项目资金，资金测算过程细化清晰。</w:t>
      </w:r>
    </w:p>
    <w:p>
      <w:pPr>
        <w:pStyle w:val="31"/>
        <w:ind w:firstLine="640"/>
        <w:rPr>
          <w:rFonts w:ascii="Times New Roman" w:hAnsi="Times New Roman"/>
        </w:rPr>
      </w:pPr>
      <w:bookmarkStart w:id="27" w:name="_Toc390112881"/>
      <w:bookmarkStart w:id="28" w:name="_Toc142599173"/>
      <w:r>
        <w:rPr>
          <w:rFonts w:hint="eastAsia" w:ascii="Times New Roman" w:hAnsi="Times New Roman"/>
        </w:rPr>
        <w:t>（二）项目过程情况</w:t>
      </w:r>
      <w:bookmarkEnd w:id="27"/>
      <w:bookmarkEnd w:id="28"/>
    </w:p>
    <w:p>
      <w:pPr>
        <w:pStyle w:val="27"/>
        <w:ind w:firstLine="640"/>
      </w:pPr>
      <w:r>
        <w:rPr>
          <w:rFonts w:hint="eastAsia"/>
        </w:rPr>
        <w:t>过程指标主要包括资金管理、</w:t>
      </w:r>
      <w:r>
        <w:rPr>
          <w:rFonts w:hint="eastAsia"/>
          <w:bCs/>
        </w:rPr>
        <w:t>组织实施2项二级指标，</w:t>
      </w:r>
      <w:r>
        <w:rPr>
          <w:bCs/>
        </w:rPr>
        <w:t>6</w:t>
      </w:r>
      <w:r>
        <w:rPr>
          <w:rFonts w:hint="eastAsia"/>
          <w:bCs/>
        </w:rPr>
        <w:t>项三级指标，基础总分2</w:t>
      </w:r>
      <w:r>
        <w:rPr>
          <w:bCs/>
        </w:rPr>
        <w:t>3</w:t>
      </w:r>
      <w:r>
        <w:rPr>
          <w:rFonts w:hint="eastAsia"/>
          <w:bCs/>
        </w:rPr>
        <w:t>分，合计得分</w:t>
      </w:r>
      <w:r>
        <w:rPr>
          <w:bCs/>
        </w:rPr>
        <w:t>21.4</w:t>
      </w:r>
      <w:r>
        <w:rPr>
          <w:rFonts w:hint="eastAsia"/>
          <w:bCs/>
        </w:rPr>
        <w:t>分。</w:t>
      </w:r>
    </w:p>
    <w:p>
      <w:pPr>
        <w:pStyle w:val="27"/>
        <w:ind w:firstLine="640"/>
      </w:pPr>
      <w:r>
        <w:rPr>
          <w:rFonts w:hint="eastAsia"/>
        </w:rPr>
        <w:t>1.资金管理</w:t>
      </w:r>
    </w:p>
    <w:p>
      <w:pPr>
        <w:pStyle w:val="27"/>
        <w:ind w:firstLine="640"/>
        <w:rPr>
          <w:bCs/>
        </w:rPr>
      </w:pPr>
      <w:r>
        <w:rPr>
          <w:rFonts w:hint="eastAsia"/>
        </w:rPr>
        <w:t>（1）资金到位率（总分</w:t>
      </w:r>
      <w:r>
        <w:t>2</w:t>
      </w:r>
      <w:r>
        <w:rPr>
          <w:rFonts w:hint="eastAsia"/>
        </w:rPr>
        <w:t>分，得分</w:t>
      </w:r>
      <w:r>
        <w:t>2</w:t>
      </w:r>
      <w:r>
        <w:rPr>
          <w:rFonts w:hint="eastAsia"/>
        </w:rPr>
        <w:t>分）。国有企业退休人员社会化管理补助资金项目2</w:t>
      </w:r>
      <w:r>
        <w:t>022</w:t>
      </w:r>
      <w:r>
        <w:rPr>
          <w:rFonts w:hint="eastAsia"/>
        </w:rPr>
        <w:t>年初预算金额为</w:t>
      </w:r>
      <w:r>
        <w:t>10.40</w:t>
      </w:r>
      <w:r>
        <w:rPr>
          <w:rFonts w:hint="eastAsia"/>
          <w:bCs/>
        </w:rPr>
        <w:t>万元。</w:t>
      </w:r>
      <w:r>
        <w:rPr>
          <w:rFonts w:hint="eastAsia"/>
          <w:bCs/>
          <w:lang w:eastAsia="zh-CN"/>
        </w:rPr>
        <w:t>截至2022年</w:t>
      </w:r>
      <w:r>
        <w:rPr>
          <w:bCs/>
        </w:rPr>
        <w:t>6</w:t>
      </w:r>
      <w:r>
        <w:rPr>
          <w:rFonts w:hint="eastAsia"/>
          <w:bCs/>
        </w:rPr>
        <w:t>月</w:t>
      </w:r>
      <w:r>
        <w:rPr>
          <w:bCs/>
        </w:rPr>
        <w:t>16</w:t>
      </w:r>
      <w:r>
        <w:rPr>
          <w:rFonts w:hint="eastAsia"/>
          <w:bCs/>
        </w:rPr>
        <w:t>日，</w:t>
      </w:r>
      <w:r>
        <w:rPr>
          <w:rFonts w:hint="eastAsia"/>
        </w:rPr>
        <w:t>项目实际到位金额为</w:t>
      </w:r>
      <w:r>
        <w:t>10.40</w:t>
      </w:r>
      <w:r>
        <w:rPr>
          <w:rFonts w:hint="eastAsia"/>
        </w:rPr>
        <w:t>万元，</w:t>
      </w:r>
      <w:r>
        <w:rPr>
          <w:rFonts w:hint="eastAsia"/>
          <w:bCs/>
        </w:rPr>
        <w:t>资金到位率为1</w:t>
      </w:r>
      <w:r>
        <w:rPr>
          <w:bCs/>
        </w:rPr>
        <w:t>00</w:t>
      </w:r>
      <w:r>
        <w:rPr>
          <w:rFonts w:hint="eastAsia"/>
          <w:bCs/>
        </w:rPr>
        <w:t>%。</w:t>
      </w:r>
    </w:p>
    <w:p>
      <w:pPr>
        <w:pStyle w:val="27"/>
        <w:ind w:firstLine="640"/>
      </w:pPr>
      <w:r>
        <w:rPr>
          <w:rFonts w:hint="eastAsia"/>
        </w:rPr>
        <w:t>（2）资金沉淀率（总分1分，得分</w:t>
      </w:r>
      <w:r>
        <w:t>0.8</w:t>
      </w:r>
      <w:r>
        <w:rPr>
          <w:rFonts w:hint="eastAsia"/>
        </w:rPr>
        <w:t>分）。国有企业退休人员社会化管理补助资金项目</w:t>
      </w:r>
      <w:r>
        <w:rPr>
          <w:rFonts w:hint="eastAsia"/>
          <w:bCs/>
        </w:rPr>
        <w:t>2022年</w:t>
      </w:r>
      <w:r>
        <w:rPr>
          <w:rFonts w:hint="eastAsia"/>
        </w:rPr>
        <w:t>实际到位区级资金</w:t>
      </w:r>
      <w:r>
        <w:t>10.40</w:t>
      </w:r>
      <w:r>
        <w:rPr>
          <w:rFonts w:hint="eastAsia"/>
        </w:rPr>
        <w:t>万元，结转结余资金为</w:t>
      </w:r>
      <w:r>
        <w:t>2</w:t>
      </w:r>
      <w:r>
        <w:rPr>
          <w:rFonts w:hint="eastAsia"/>
        </w:rPr>
        <w:t>万元，资金沉淀率为</w:t>
      </w:r>
      <w:r>
        <w:t>19.23</w:t>
      </w:r>
      <w:r>
        <w:rPr>
          <w:rFonts w:hint="eastAsia"/>
        </w:rPr>
        <w:t>%。</w:t>
      </w:r>
    </w:p>
    <w:p>
      <w:pPr>
        <w:pStyle w:val="27"/>
        <w:ind w:firstLine="640"/>
      </w:pPr>
      <w:r>
        <w:rPr>
          <w:rFonts w:hint="eastAsia"/>
        </w:rPr>
        <w:t>（3）预算执行率（总分</w:t>
      </w:r>
      <w:r>
        <w:t>2</w:t>
      </w:r>
      <w:r>
        <w:rPr>
          <w:rFonts w:hint="eastAsia"/>
        </w:rPr>
        <w:t>分，得分</w:t>
      </w:r>
      <w:r>
        <w:t>1.6</w:t>
      </w:r>
      <w:r>
        <w:rPr>
          <w:rFonts w:hint="eastAsia"/>
        </w:rPr>
        <w:t>分）。国有企业退休人员社会化管理补助资金项目实际到位区级资金</w:t>
      </w:r>
      <w:r>
        <w:t>10.40</w:t>
      </w:r>
      <w:r>
        <w:rPr>
          <w:rFonts w:hint="eastAsia"/>
        </w:rPr>
        <w:t>万元。</w:t>
      </w:r>
      <w:r>
        <w:rPr>
          <w:rFonts w:hint="eastAsia"/>
          <w:bCs/>
        </w:rPr>
        <w:t>根据单位财务明细账显示，截至2</w:t>
      </w:r>
      <w:r>
        <w:rPr>
          <w:bCs/>
        </w:rPr>
        <w:t>022</w:t>
      </w:r>
      <w:r>
        <w:rPr>
          <w:rFonts w:hint="eastAsia"/>
          <w:bCs/>
        </w:rPr>
        <w:t>年</w:t>
      </w:r>
      <w:r>
        <w:rPr>
          <w:bCs/>
        </w:rPr>
        <w:t>12</w:t>
      </w:r>
      <w:r>
        <w:rPr>
          <w:rFonts w:hint="eastAsia"/>
          <w:bCs/>
        </w:rPr>
        <w:t>月</w:t>
      </w:r>
      <w:r>
        <w:rPr>
          <w:bCs/>
        </w:rPr>
        <w:t>31</w:t>
      </w:r>
      <w:r>
        <w:rPr>
          <w:rFonts w:hint="eastAsia"/>
          <w:bCs/>
        </w:rPr>
        <w:t>日，项目实际支出区级资金</w:t>
      </w:r>
      <w:r>
        <w:rPr>
          <w:bCs/>
        </w:rPr>
        <w:t>8.41</w:t>
      </w:r>
      <w:r>
        <w:rPr>
          <w:rFonts w:hint="eastAsia"/>
          <w:bCs/>
        </w:rPr>
        <w:t>万元，</w:t>
      </w:r>
      <w:r>
        <w:rPr>
          <w:rFonts w:hint="eastAsia"/>
        </w:rPr>
        <w:t>预算执行率为</w:t>
      </w:r>
      <w:r>
        <w:t>80.87</w:t>
      </w:r>
      <w:r>
        <w:rPr>
          <w:rFonts w:hint="eastAsia"/>
        </w:rPr>
        <w:t>%。</w:t>
      </w:r>
    </w:p>
    <w:p>
      <w:pPr>
        <w:pStyle w:val="27"/>
        <w:ind w:firstLine="640"/>
        <w:rPr>
          <w:bCs/>
        </w:rPr>
      </w:pPr>
      <w:r>
        <w:rPr>
          <w:rFonts w:hint="eastAsia"/>
          <w:bCs/>
        </w:rPr>
        <w:t>（</w:t>
      </w:r>
      <w:r>
        <w:rPr>
          <w:bCs/>
        </w:rPr>
        <w:t>4</w:t>
      </w:r>
      <w:r>
        <w:rPr>
          <w:rFonts w:hint="eastAsia"/>
          <w:bCs/>
        </w:rPr>
        <w:t>）资金使用合规性（总分</w:t>
      </w:r>
      <w:r>
        <w:rPr>
          <w:bCs/>
        </w:rPr>
        <w:t>11</w:t>
      </w:r>
      <w:r>
        <w:rPr>
          <w:rFonts w:hint="eastAsia"/>
          <w:bCs/>
        </w:rPr>
        <w:t>分，得分</w:t>
      </w:r>
      <w:r>
        <w:rPr>
          <w:bCs/>
        </w:rPr>
        <w:t>11</w:t>
      </w:r>
      <w:r>
        <w:rPr>
          <w:rFonts w:hint="eastAsia"/>
          <w:bCs/>
        </w:rPr>
        <w:t>分）。</w:t>
      </w:r>
      <w:r>
        <w:rPr>
          <w:rFonts w:hint="eastAsia"/>
        </w:rPr>
        <w:t>依据</w:t>
      </w:r>
      <w:r>
        <w:rPr>
          <w:rFonts w:hint="eastAsia"/>
          <w:bCs/>
        </w:rPr>
        <w:t>天津市</w:t>
      </w:r>
      <w:r>
        <w:rPr>
          <w:rFonts w:hint="eastAsia"/>
        </w:rPr>
        <w:t>和平区人民政府劝业场街道办事处提供的资金申请请示、请示批复、资金拨付单及电子账得出，本项目资金全部用于</w:t>
      </w:r>
      <w:r>
        <w:rPr>
          <w:rFonts w:hint="eastAsia"/>
          <w:szCs w:val="32"/>
        </w:rPr>
        <w:t>新增加的社区离退休人员活动室提升改造费用</w:t>
      </w:r>
      <w:r>
        <w:rPr>
          <w:rFonts w:hint="eastAsia"/>
        </w:rPr>
        <w:t>支出，相关凭证及请款单据完整，资金的拨付有完整的审批程序和手续，项目资金使用合规，项目支出符合预算批复和合同规定用途且不存在资金截留、挤占、挪用、虚列支出等情况。</w:t>
      </w:r>
    </w:p>
    <w:p>
      <w:pPr>
        <w:pStyle w:val="27"/>
        <w:ind w:firstLine="640"/>
        <w:rPr>
          <w:bCs/>
        </w:rPr>
      </w:pPr>
      <w:r>
        <w:rPr>
          <w:rFonts w:hint="eastAsia"/>
          <w:bCs/>
        </w:rPr>
        <w:t>2.组织实施</w:t>
      </w:r>
    </w:p>
    <w:p>
      <w:pPr>
        <w:pStyle w:val="27"/>
        <w:ind w:firstLine="640"/>
      </w:pPr>
      <w:r>
        <w:rPr>
          <w:rFonts w:hint="eastAsia"/>
          <w:bCs/>
        </w:rPr>
        <w:t>（1）管理制度健全性（总分2分，得分2分）。天津市</w:t>
      </w:r>
      <w:r>
        <w:rPr>
          <w:rFonts w:hint="eastAsia"/>
        </w:rPr>
        <w:t>和平区人民政府劝业场街道办事处</w:t>
      </w:r>
      <w:r>
        <w:rPr>
          <w:rFonts w:hint="eastAsia"/>
          <w:bCs/>
        </w:rPr>
        <w:t>作为项目实施单位</w:t>
      </w:r>
      <w:r>
        <w:rPr>
          <w:rFonts w:hint="eastAsia"/>
        </w:rPr>
        <w:t>，具有相应的财务和业务管理制度，主要为单位内部控制制度中工程项目控制管理制度、合同业务控制管理制度、收支业务控制管理制度、预算业务控制管理制度、政府采购业务控制管理制度、资产业务控制管理制度等。财务和业务管理制度合法、合规，制度中也明确项目申报、项目实施、项目验收等环节的管理要求，单位管理制度健全。</w:t>
      </w:r>
    </w:p>
    <w:p>
      <w:pPr>
        <w:pStyle w:val="27"/>
        <w:ind w:firstLine="640"/>
      </w:pPr>
      <w:r>
        <w:rPr>
          <w:rFonts w:hint="eastAsia"/>
          <w:bCs/>
        </w:rPr>
        <w:t>（2）制度执行有效性（总分5分，得分</w:t>
      </w:r>
      <w:r>
        <w:rPr>
          <w:bCs/>
        </w:rPr>
        <w:t>4</w:t>
      </w:r>
      <w:r>
        <w:rPr>
          <w:rFonts w:hint="eastAsia"/>
          <w:bCs/>
        </w:rPr>
        <w:t>分）。项目管理及实施符合内部控制手册中工程项目控制相关流程规定，</w:t>
      </w:r>
      <w:r>
        <w:rPr>
          <w:rFonts w:hint="eastAsia"/>
        </w:rPr>
        <w:t>项目</w:t>
      </w:r>
      <w:r>
        <w:rPr>
          <w:rFonts w:hint="eastAsia"/>
          <w:bCs/>
        </w:rPr>
        <w:t>采购计划、项目需求书、采购合同、合同履约验收报告</w:t>
      </w:r>
      <w:r>
        <w:rPr>
          <w:rFonts w:hint="eastAsia"/>
          <w:bCs/>
          <w:lang w:eastAsia="zh-CN"/>
        </w:rPr>
        <w:t>等</w:t>
      </w:r>
      <w:r>
        <w:rPr>
          <w:rFonts w:hint="eastAsia"/>
          <w:bCs/>
        </w:rPr>
        <w:t>资料齐全并及时归档；项目资金支出手续完备；项目实施的人员条件、设备等落实到位。但单位提供的工程竣工验收单建设单位参加验收人员未签字或盖章，竣工验收管理不到位，制度有效执行方面略有不足。</w:t>
      </w:r>
    </w:p>
    <w:p>
      <w:pPr>
        <w:pStyle w:val="31"/>
        <w:ind w:firstLine="640"/>
        <w:rPr>
          <w:rFonts w:ascii="Times New Roman" w:hAnsi="Times New Roman"/>
        </w:rPr>
      </w:pPr>
      <w:bookmarkStart w:id="29" w:name="_Toc142599174"/>
      <w:bookmarkStart w:id="30" w:name="_Toc359616676"/>
      <w:r>
        <w:rPr>
          <w:rFonts w:hint="eastAsia" w:ascii="Times New Roman" w:hAnsi="Times New Roman"/>
        </w:rPr>
        <w:t>（三）项目产出情况</w:t>
      </w:r>
      <w:bookmarkEnd w:id="29"/>
      <w:bookmarkEnd w:id="30"/>
    </w:p>
    <w:p>
      <w:pPr>
        <w:pStyle w:val="27"/>
        <w:ind w:firstLine="640"/>
      </w:pPr>
      <w:r>
        <w:rPr>
          <w:rFonts w:hint="eastAsia"/>
        </w:rPr>
        <w:t>产出指标主要包括产出数量、产出质量、产出时效和产出成本</w:t>
      </w:r>
      <w:r>
        <w:t>4</w:t>
      </w:r>
      <w:r>
        <w:rPr>
          <w:rFonts w:hint="eastAsia"/>
        </w:rPr>
        <w:t>项二级指标，</w:t>
      </w:r>
      <w:r>
        <w:t>7</w:t>
      </w:r>
      <w:r>
        <w:rPr>
          <w:rFonts w:hint="eastAsia"/>
        </w:rPr>
        <w:t>项三级指标，基础总分</w:t>
      </w:r>
      <w:r>
        <w:t>38</w:t>
      </w:r>
      <w:r>
        <w:rPr>
          <w:rFonts w:hint="eastAsia"/>
        </w:rPr>
        <w:t>分，合计得分</w:t>
      </w:r>
      <w:r>
        <w:t>38</w:t>
      </w:r>
      <w:r>
        <w:rPr>
          <w:rFonts w:hint="eastAsia"/>
        </w:rPr>
        <w:t>分。</w:t>
      </w:r>
    </w:p>
    <w:p>
      <w:pPr>
        <w:pStyle w:val="27"/>
        <w:ind w:firstLine="640"/>
      </w:pPr>
      <w:r>
        <w:t>1</w:t>
      </w:r>
      <w:r>
        <w:rPr>
          <w:rFonts w:hint="eastAsia"/>
        </w:rPr>
        <w:t>.产出数量</w:t>
      </w:r>
    </w:p>
    <w:p>
      <w:pPr>
        <w:pStyle w:val="27"/>
        <w:ind w:firstLine="640"/>
        <w:rPr>
          <w:bCs/>
        </w:rPr>
      </w:pPr>
      <w:r>
        <w:rPr>
          <w:rFonts w:hint="eastAsia"/>
          <w:bCs/>
        </w:rPr>
        <w:t>（</w:t>
      </w:r>
      <w:r>
        <w:rPr>
          <w:bCs/>
        </w:rPr>
        <w:t>1</w:t>
      </w:r>
      <w:r>
        <w:rPr>
          <w:rFonts w:hint="eastAsia"/>
          <w:bCs/>
        </w:rPr>
        <w:t>）维修工程完成率（总分</w:t>
      </w:r>
      <w:r>
        <w:rPr>
          <w:bCs/>
        </w:rPr>
        <w:t>6</w:t>
      </w:r>
      <w:r>
        <w:rPr>
          <w:rFonts w:hint="eastAsia"/>
          <w:bCs/>
        </w:rPr>
        <w:t>分，得分</w:t>
      </w:r>
      <w:r>
        <w:rPr>
          <w:bCs/>
        </w:rPr>
        <w:t>6</w:t>
      </w:r>
      <w:r>
        <w:rPr>
          <w:rFonts w:hint="eastAsia"/>
          <w:bCs/>
        </w:rPr>
        <w:t>分）。根据国有企业退休人员活动室维修工作实施计划、合同及验收报告，劝业场街道办合同规定完成</w:t>
      </w:r>
      <w:r>
        <w:rPr>
          <w:bCs/>
        </w:rPr>
        <w:t>2个楼层的维修工程，实际完成了2个楼层的维修工程，与国有企业退休人员活动室维修工作合同规定一致，维修工程完成率为100%</w:t>
      </w:r>
      <w:r>
        <w:rPr>
          <w:rFonts w:hint="eastAsia"/>
          <w:bCs/>
        </w:rPr>
        <w:t>。</w:t>
      </w:r>
    </w:p>
    <w:p>
      <w:pPr>
        <w:pStyle w:val="27"/>
        <w:ind w:firstLine="640"/>
        <w:rPr>
          <w:bCs/>
        </w:rPr>
      </w:pPr>
      <w:r>
        <w:rPr>
          <w:rFonts w:hint="eastAsia"/>
          <w:bCs/>
        </w:rPr>
        <w:t>（</w:t>
      </w:r>
      <w:r>
        <w:rPr>
          <w:bCs/>
        </w:rPr>
        <w:t>2</w:t>
      </w:r>
      <w:r>
        <w:rPr>
          <w:rFonts w:hint="eastAsia"/>
          <w:bCs/>
        </w:rPr>
        <w:t>）国企退休人员活动完成率（总分</w:t>
      </w:r>
      <w:r>
        <w:rPr>
          <w:bCs/>
        </w:rPr>
        <w:t>6</w:t>
      </w:r>
      <w:r>
        <w:rPr>
          <w:rFonts w:hint="eastAsia"/>
          <w:bCs/>
        </w:rPr>
        <w:t>分，得分</w:t>
      </w:r>
      <w:r>
        <w:rPr>
          <w:bCs/>
        </w:rPr>
        <w:t>6</w:t>
      </w:r>
      <w:r>
        <w:rPr>
          <w:rFonts w:hint="eastAsia"/>
          <w:bCs/>
        </w:rPr>
        <w:t>分）。2</w:t>
      </w:r>
      <w:r>
        <w:rPr>
          <w:bCs/>
        </w:rPr>
        <w:t>022</w:t>
      </w:r>
      <w:r>
        <w:rPr>
          <w:rFonts w:hint="eastAsia"/>
          <w:bCs/>
        </w:rPr>
        <w:t>年劝业场街道办计划开展</w:t>
      </w:r>
      <w:r>
        <w:rPr>
          <w:bCs/>
        </w:rPr>
        <w:t>3场国企退休人员主题活动，截至2022年底实际完成了劝业场街国企退休职工中国象棋比赛、企业退休职工舞蹈队活动、劝业场街老年人协会义诊活动3场活动，国企退休人员活动完成率</w:t>
      </w:r>
      <w:r>
        <w:rPr>
          <w:rFonts w:hint="eastAsia"/>
          <w:bCs/>
        </w:rPr>
        <w:t>为</w:t>
      </w:r>
      <w:r>
        <w:rPr>
          <w:bCs/>
        </w:rPr>
        <w:t>100%。</w:t>
      </w:r>
    </w:p>
    <w:p>
      <w:pPr>
        <w:pStyle w:val="27"/>
        <w:ind w:firstLine="640"/>
        <w:rPr>
          <w:bCs/>
        </w:rPr>
      </w:pPr>
      <w:r>
        <w:rPr>
          <w:rFonts w:hint="eastAsia"/>
          <w:bCs/>
        </w:rPr>
        <w:t>2.产出质量</w:t>
      </w:r>
    </w:p>
    <w:p>
      <w:pPr>
        <w:pStyle w:val="27"/>
        <w:ind w:firstLine="640"/>
      </w:pPr>
      <w:r>
        <w:rPr>
          <w:rFonts w:hint="eastAsia"/>
          <w:bCs/>
        </w:rPr>
        <w:t>（1）维修工程验收合格率（总分</w:t>
      </w:r>
      <w:r>
        <w:t>5</w:t>
      </w:r>
      <w:r>
        <w:rPr>
          <w:rFonts w:hint="eastAsia"/>
        </w:rPr>
        <w:t>分，得分</w:t>
      </w:r>
      <w:r>
        <w:t>5</w:t>
      </w:r>
      <w:r>
        <w:rPr>
          <w:rFonts w:hint="eastAsia"/>
        </w:rPr>
        <w:t>分）。根据国有企业退休人员活动室维修工程竣工验收单显示，完成了和平区河北路5</w:t>
      </w:r>
      <w:r>
        <w:t>0</w:t>
      </w:r>
      <w:r>
        <w:rPr>
          <w:rFonts w:hint="eastAsia"/>
        </w:rPr>
        <w:t>号八层、十层房屋维修的室内顶棚、墙面、地面、门窗修缮、电路及照明系统修缮、排水系统修缮等竣工验收工作，并全部验收合格，维修工程验收合格率为</w:t>
      </w:r>
      <w:r>
        <w:t>100%。</w:t>
      </w:r>
    </w:p>
    <w:p>
      <w:pPr>
        <w:pStyle w:val="27"/>
        <w:ind w:firstLine="640"/>
      </w:pPr>
      <w:r>
        <w:rPr>
          <w:rFonts w:hint="eastAsia"/>
        </w:rPr>
        <w:t>（2）国企退休人员活动参与率（总分</w:t>
      </w:r>
      <w:r>
        <w:t>6</w:t>
      </w:r>
      <w:r>
        <w:rPr>
          <w:rFonts w:hint="eastAsia"/>
        </w:rPr>
        <w:t>分，得分</w:t>
      </w:r>
      <w:r>
        <w:t>6</w:t>
      </w:r>
      <w:r>
        <w:rPr>
          <w:rFonts w:hint="eastAsia"/>
        </w:rPr>
        <w:t>分）。2</w:t>
      </w:r>
      <w:r>
        <w:t>022</w:t>
      </w:r>
      <w:r>
        <w:rPr>
          <w:rFonts w:hint="eastAsia"/>
        </w:rPr>
        <w:t>年劝业场街道办开展了劝业场街国企退休职工中国象棋比赛、企业退休职工舞蹈队活动、劝业场街老年人协会义诊3场活动，根据单位提供的活动方案和活动签到表得出，劝业场街国企退休职工中国象棋比赛计划参与人数为</w:t>
      </w:r>
      <w:r>
        <w:t>12人实际到场15人、企业退休职工舞蹈队活动计划参加人数为6人实际到场6人、劝业场街老年人协会义诊活动参加人数为10人实际到场10人，国企退休人员活动参与率为110.71%</w:t>
      </w:r>
      <w:r>
        <w:rPr>
          <w:rFonts w:hint="eastAsia"/>
        </w:rPr>
        <w:t>。</w:t>
      </w:r>
    </w:p>
    <w:p>
      <w:pPr>
        <w:pStyle w:val="27"/>
        <w:ind w:firstLine="640"/>
      </w:pPr>
      <w:r>
        <w:rPr>
          <w:rFonts w:hint="eastAsia"/>
        </w:rPr>
        <w:t>3.产出时效</w:t>
      </w:r>
    </w:p>
    <w:p>
      <w:pPr>
        <w:pStyle w:val="27"/>
        <w:ind w:firstLine="640"/>
      </w:pPr>
      <w:r>
        <w:rPr>
          <w:rFonts w:hint="eastAsia"/>
        </w:rPr>
        <w:t>（</w:t>
      </w:r>
      <w:r>
        <w:t>1</w:t>
      </w:r>
      <w:r>
        <w:rPr>
          <w:rFonts w:hint="eastAsia"/>
        </w:rPr>
        <w:t>）维修工程竣工验收及时率（总分</w:t>
      </w:r>
      <w:r>
        <w:t>5</w:t>
      </w:r>
      <w:r>
        <w:rPr>
          <w:rFonts w:hint="eastAsia"/>
        </w:rPr>
        <w:t>分，得分</w:t>
      </w:r>
      <w:r>
        <w:t>5</w:t>
      </w:r>
      <w:r>
        <w:rPr>
          <w:rFonts w:hint="eastAsia"/>
        </w:rPr>
        <w:t>分）。根据单位提供的国有企业退休人员活动室维修工程竣工验收单得出，劝业场街道办实际及时竣工验收的维修工程数量为</w:t>
      </w:r>
      <w:r>
        <w:t>1个，实际完成竣工的维修工程数量为1个，维修工程竣工验收及时率为100%。</w:t>
      </w:r>
    </w:p>
    <w:p>
      <w:pPr>
        <w:pStyle w:val="50"/>
        <w:spacing w:line="600" w:lineRule="exact"/>
        <w:ind w:firstLine="640"/>
        <w:rPr>
          <w:rFonts w:eastAsia="仿宋_GB2312"/>
          <w:sz w:val="32"/>
        </w:rPr>
      </w:pPr>
      <w:r>
        <w:rPr>
          <w:rFonts w:hint="eastAsia" w:eastAsia="仿宋_GB2312" w:cstheme="minorBidi"/>
          <w:sz w:val="32"/>
          <w:szCs w:val="21"/>
        </w:rPr>
        <w:t>（</w:t>
      </w:r>
      <w:r>
        <w:rPr>
          <w:rFonts w:eastAsia="仿宋_GB2312" w:cstheme="minorBidi"/>
          <w:sz w:val="32"/>
          <w:szCs w:val="21"/>
        </w:rPr>
        <w:t>2</w:t>
      </w:r>
      <w:r>
        <w:rPr>
          <w:rFonts w:hint="eastAsia" w:eastAsia="仿宋_GB2312" w:cstheme="minorBidi"/>
          <w:sz w:val="32"/>
          <w:szCs w:val="21"/>
        </w:rPr>
        <w:t>）活动开展及时率（总分</w:t>
      </w:r>
      <w:r>
        <w:rPr>
          <w:rFonts w:eastAsia="仿宋_GB2312" w:cstheme="minorBidi"/>
          <w:sz w:val="32"/>
          <w:szCs w:val="21"/>
        </w:rPr>
        <w:t>5</w:t>
      </w:r>
      <w:r>
        <w:rPr>
          <w:rFonts w:hint="eastAsia" w:eastAsia="仿宋_GB2312" w:cstheme="minorBidi"/>
          <w:sz w:val="32"/>
          <w:szCs w:val="21"/>
        </w:rPr>
        <w:t>分，得分</w:t>
      </w:r>
      <w:r>
        <w:rPr>
          <w:rFonts w:eastAsia="仿宋_GB2312" w:cstheme="minorBidi"/>
          <w:sz w:val="32"/>
          <w:szCs w:val="21"/>
        </w:rPr>
        <w:t>5</w:t>
      </w:r>
      <w:r>
        <w:rPr>
          <w:rFonts w:hint="eastAsia" w:eastAsia="仿宋_GB2312" w:cstheme="minorBidi"/>
          <w:sz w:val="32"/>
          <w:szCs w:val="21"/>
        </w:rPr>
        <w:t>分）。根据单位提供的活动方案和活动签到表得出，劝业场街道办计划</w:t>
      </w:r>
      <w:r>
        <w:rPr>
          <w:rFonts w:eastAsia="仿宋_GB2312" w:cstheme="minorBidi"/>
          <w:sz w:val="32"/>
          <w:szCs w:val="21"/>
        </w:rPr>
        <w:t>2022年4月13日开展劝业场街老年人协会义诊活动、2022年10月20日开展劝业场街国企退休职工中国象棋比赛、每周四下午2：30-4：30开展企业退休职工舞蹈队活动，经核实劝业场街国企退休职工中国象棋比赛、企业退休职工舞蹈队活动、劝业场街老年人协会义诊3场活动均已按照活动实施方案计划时间如期开展，国企退休人员活动开展及时率为100%</w:t>
      </w:r>
      <w:r>
        <w:rPr>
          <w:rFonts w:hint="eastAsia" w:eastAsia="仿宋_GB2312"/>
          <w:sz w:val="32"/>
        </w:rPr>
        <w:t>。</w:t>
      </w:r>
    </w:p>
    <w:p>
      <w:pPr>
        <w:spacing w:line="600" w:lineRule="exact"/>
        <w:ind w:firstLine="640"/>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4.产出成本</w:t>
      </w:r>
    </w:p>
    <w:p>
      <w:pPr>
        <w:pStyle w:val="27"/>
        <w:ind w:firstLine="640"/>
      </w:pPr>
      <w:r>
        <w:rPr>
          <w:rFonts w:hint="eastAsia"/>
        </w:rPr>
        <w:t>活动室维修成本节约率</w:t>
      </w:r>
      <w:r>
        <w:t>（</w:t>
      </w:r>
      <w:r>
        <w:rPr>
          <w:rFonts w:hint="eastAsia"/>
        </w:rPr>
        <w:t>总分</w:t>
      </w:r>
      <w:r>
        <w:t>5</w:t>
      </w:r>
      <w:r>
        <w:rPr>
          <w:rFonts w:hint="eastAsia"/>
        </w:rPr>
        <w:t>分，得分</w:t>
      </w:r>
      <w:r>
        <w:t>5</w:t>
      </w:r>
      <w:r>
        <w:rPr>
          <w:rFonts w:hint="eastAsia"/>
        </w:rPr>
        <w:t>分</w:t>
      </w:r>
      <w:r>
        <w:t>）。</w:t>
      </w:r>
      <w:r>
        <w:rPr>
          <w:rFonts w:hint="eastAsia"/>
        </w:rPr>
        <w:t>依据项目预算明细、项目合同等相关资料，劝业场街道办项目计划支出金额为</w:t>
      </w:r>
      <w:r>
        <w:t>10.40万元，202</w:t>
      </w:r>
      <w:r>
        <w:rPr>
          <w:rFonts w:hint="eastAsia"/>
          <w:lang w:val="en-US" w:eastAsia="zh-CN"/>
        </w:rPr>
        <w:t>2</w:t>
      </w:r>
      <w:r>
        <w:t>年实际支出总金额8.41万元，未超过年初预算资金，项目资金成本节约率19.13%</w:t>
      </w:r>
      <w:r>
        <w:rPr>
          <w:rFonts w:hint="eastAsia"/>
        </w:rPr>
        <w:t>。</w:t>
      </w:r>
    </w:p>
    <w:p>
      <w:pPr>
        <w:pStyle w:val="31"/>
        <w:ind w:firstLine="640"/>
        <w:rPr>
          <w:rFonts w:ascii="Times New Roman" w:hAnsi="Times New Roman"/>
        </w:rPr>
      </w:pPr>
      <w:bookmarkStart w:id="31" w:name="_Toc1058490874"/>
      <w:bookmarkStart w:id="32" w:name="_Toc142599175"/>
      <w:r>
        <w:rPr>
          <w:rFonts w:hint="eastAsia" w:ascii="Times New Roman" w:hAnsi="Times New Roman"/>
        </w:rPr>
        <w:t>（四）项目效益情况</w:t>
      </w:r>
      <w:bookmarkEnd w:id="31"/>
      <w:bookmarkEnd w:id="32"/>
    </w:p>
    <w:p>
      <w:pPr>
        <w:pStyle w:val="27"/>
        <w:ind w:firstLine="640"/>
      </w:pPr>
      <w:r>
        <w:rPr>
          <w:rFonts w:hint="eastAsia"/>
        </w:rPr>
        <w:t>效益指标主要包括社会效益、可持续影响、服务对象满意度</w:t>
      </w:r>
      <w:r>
        <w:t>3</w:t>
      </w:r>
      <w:r>
        <w:rPr>
          <w:rFonts w:hint="eastAsia"/>
        </w:rPr>
        <w:t>项二级指标，</w:t>
      </w:r>
      <w:r>
        <w:t>3</w:t>
      </w:r>
      <w:r>
        <w:rPr>
          <w:rFonts w:hint="eastAsia"/>
        </w:rPr>
        <w:t>项三级指标，基础总分</w:t>
      </w:r>
      <w:r>
        <w:t>22</w:t>
      </w:r>
      <w:r>
        <w:rPr>
          <w:rFonts w:hint="eastAsia"/>
        </w:rPr>
        <w:t>分，合计得分</w:t>
      </w:r>
      <w:r>
        <w:t>15</w:t>
      </w:r>
      <w:r>
        <w:rPr>
          <w:rFonts w:hint="eastAsia"/>
        </w:rPr>
        <w:t>分。</w:t>
      </w:r>
    </w:p>
    <w:p>
      <w:pPr>
        <w:pStyle w:val="27"/>
        <w:ind w:firstLine="640"/>
      </w:pPr>
      <w:r>
        <w:rPr>
          <w:rFonts w:hint="eastAsia"/>
        </w:rPr>
        <w:t>1.社会效益</w:t>
      </w:r>
    </w:p>
    <w:p>
      <w:pPr>
        <w:pStyle w:val="27"/>
        <w:ind w:firstLine="640"/>
      </w:pPr>
      <w:r>
        <w:rPr>
          <w:rFonts w:hint="eastAsia"/>
        </w:rPr>
        <w:t>活动室使用率（总分</w:t>
      </w:r>
      <w:r>
        <w:t>8</w:t>
      </w:r>
      <w:r>
        <w:rPr>
          <w:rFonts w:hint="eastAsia"/>
        </w:rPr>
        <w:t>分，得分</w:t>
      </w:r>
      <w:r>
        <w:t>8</w:t>
      </w:r>
      <w:r>
        <w:rPr>
          <w:rFonts w:hint="eastAsia"/>
        </w:rPr>
        <w:t>分）。根据单位提供的国有企业退休人员活动室维修工程竣工验收单、活动方案和活动签到表得出，劝业场街道办</w:t>
      </w:r>
      <w:bookmarkStart w:id="52" w:name="_GoBack"/>
      <w:r>
        <w:t>2022</w:t>
      </w:r>
      <w:bookmarkEnd w:id="52"/>
      <w:r>
        <w:t>年计划开展3场活动使用3间活动室，实际使用了3间活动室开展了3次活动，活动室使用率为100%。通过开展活动使国企退休人员晚年生活更加丰富，提升了国企退休人员幸福感。</w:t>
      </w:r>
    </w:p>
    <w:p>
      <w:pPr>
        <w:pStyle w:val="27"/>
        <w:ind w:firstLine="640"/>
      </w:pPr>
      <w:r>
        <w:rPr>
          <w:rFonts w:hint="eastAsia"/>
        </w:rPr>
        <w:t>2</w:t>
      </w:r>
      <w:r>
        <w:t>.</w:t>
      </w:r>
      <w:r>
        <w:rPr>
          <w:rFonts w:hint="eastAsia"/>
        </w:rPr>
        <w:t>可持续性影响指标</w:t>
      </w:r>
    </w:p>
    <w:p>
      <w:pPr>
        <w:pStyle w:val="27"/>
        <w:ind w:firstLine="640"/>
      </w:pPr>
      <w:r>
        <w:rPr>
          <w:rFonts w:hint="eastAsia"/>
        </w:rPr>
        <w:t>建立健全活动宣传机制（总分</w:t>
      </w:r>
      <w:r>
        <w:t>7</w:t>
      </w:r>
      <w:r>
        <w:rPr>
          <w:rFonts w:hint="eastAsia"/>
        </w:rPr>
        <w:t>分，得分</w:t>
      </w:r>
      <w:r>
        <w:t>0</w:t>
      </w:r>
      <w:r>
        <w:rPr>
          <w:rFonts w:hint="eastAsia"/>
        </w:rPr>
        <w:t>分）。良好的宣传工作有助于项目更快、更广的覆盖到想要参加活动的人群中，提升项目的效益。根据调研组实地调研得出，劝业场街道办未建立退休人员活动宣传机制，仅通过电话告知方式通知部分退休人员参加活动，未开展其他形式宣传手段，宣传手段单一，项目对象可能没有接听电话</w:t>
      </w:r>
      <w:r>
        <w:rPr>
          <w:rFonts w:hint="eastAsia"/>
          <w:lang w:eastAsia="zh-CN"/>
        </w:rPr>
        <w:t>或</w:t>
      </w:r>
      <w:r>
        <w:rPr>
          <w:rFonts w:hint="eastAsia"/>
        </w:rPr>
        <w:t>更改电话号码便错过活动，可能导致项目效益低。</w:t>
      </w:r>
    </w:p>
    <w:p>
      <w:pPr>
        <w:pStyle w:val="27"/>
        <w:ind w:firstLine="640"/>
      </w:pPr>
      <w:r>
        <w:t>3</w:t>
      </w:r>
      <w:r>
        <w:rPr>
          <w:rFonts w:hint="eastAsia"/>
        </w:rPr>
        <w:t>.服务对象满意度</w:t>
      </w:r>
    </w:p>
    <w:p>
      <w:pPr>
        <w:pStyle w:val="27"/>
        <w:ind w:firstLine="640"/>
      </w:pPr>
      <w:r>
        <w:rPr>
          <w:rFonts w:hint="eastAsia"/>
        </w:rPr>
        <w:t>国有企业退休人员满意度</w:t>
      </w:r>
      <w:r>
        <w:t>（总分7分，得分7分）。</w:t>
      </w:r>
      <w:r>
        <w:rPr>
          <w:rFonts w:hint="eastAsia"/>
        </w:rPr>
        <w:t>根据国有企业退休人员社会化管理补助资金项目</w:t>
      </w:r>
      <w:r>
        <w:t>主要实施内容，</w:t>
      </w:r>
      <w:r>
        <w:rPr>
          <w:rFonts w:hint="eastAsia"/>
        </w:rPr>
        <w:t>国有企业退休人员社会化管理补助资金项目</w:t>
      </w:r>
      <w:r>
        <w:t>实际受益对象是</w:t>
      </w:r>
      <w:r>
        <w:rPr>
          <w:rFonts w:hint="eastAsia"/>
        </w:rPr>
        <w:t>国有企业退休人员</w:t>
      </w:r>
      <w:r>
        <w:t>，</w:t>
      </w:r>
      <w:r>
        <w:rPr>
          <w:rFonts w:hint="eastAsia"/>
        </w:rPr>
        <w:t>评价组</w:t>
      </w:r>
      <w:r>
        <w:t>对15</w:t>
      </w:r>
      <w:r>
        <w:rPr>
          <w:rFonts w:hint="eastAsia"/>
        </w:rPr>
        <w:t>名国有企业退休人员满意度</w:t>
      </w:r>
      <w:r>
        <w:t>进行随机满意度调查，共发放15份问卷，实际收回有效问卷共15份，</w:t>
      </w:r>
      <w:r>
        <w:rPr>
          <w:rFonts w:hint="eastAsia"/>
        </w:rPr>
        <w:t>针对</w:t>
      </w:r>
      <w:r>
        <w:rPr>
          <w:rFonts w:hint="eastAsia" w:eastAsia="仿宋" w:cs="仿宋"/>
          <w:szCs w:val="32"/>
        </w:rPr>
        <w:t>国有企业退休人员活动场所开展的活动是否满意</w:t>
      </w:r>
      <w:r>
        <w:rPr>
          <w:rFonts w:hint="eastAsia"/>
        </w:rPr>
        <w:t>、今后类似的活动是否愿意参加、是否丰富了生活等</w:t>
      </w:r>
      <w:r>
        <w:t>3</w:t>
      </w:r>
      <w:r>
        <w:rPr>
          <w:rFonts w:hint="eastAsia"/>
        </w:rPr>
        <w:t>项问题，国有企业退休人员满意度为</w:t>
      </w:r>
      <w:r>
        <w:t>100%</w:t>
      </w:r>
      <w:r>
        <w:rPr>
          <w:rFonts w:hint="eastAsia"/>
        </w:rPr>
        <w:t>。</w:t>
      </w:r>
    </w:p>
    <w:p>
      <w:pPr>
        <w:pStyle w:val="29"/>
        <w:ind w:firstLine="640" w:firstLineChars="200"/>
      </w:pPr>
      <w:bookmarkStart w:id="33" w:name="_Toc301587570"/>
      <w:bookmarkStart w:id="34" w:name="_Toc142599176"/>
      <w:r>
        <w:rPr>
          <w:rFonts w:hint="eastAsia"/>
        </w:rPr>
        <w:t>五、存在的主要问题</w:t>
      </w:r>
      <w:bookmarkEnd w:id="33"/>
      <w:bookmarkEnd w:id="34"/>
      <w:bookmarkStart w:id="35" w:name="_Toc112551378"/>
    </w:p>
    <w:p>
      <w:pPr>
        <w:pStyle w:val="31"/>
        <w:ind w:firstLine="640"/>
        <w:rPr>
          <w:rFonts w:ascii="Times New Roman" w:hAnsi="Times New Roman"/>
        </w:rPr>
      </w:pPr>
      <w:bookmarkStart w:id="36" w:name="_Toc142599177"/>
      <w:bookmarkStart w:id="37" w:name="_Toc720882070"/>
      <w:r>
        <w:rPr>
          <w:rFonts w:hint="eastAsia" w:ascii="Times New Roman" w:hAnsi="Times New Roman"/>
        </w:rPr>
        <w:t>（一）</w:t>
      </w:r>
      <w:bookmarkEnd w:id="35"/>
      <w:r>
        <w:rPr>
          <w:rFonts w:hint="eastAsia" w:ascii="Times New Roman" w:hAnsi="Times New Roman"/>
        </w:rPr>
        <w:t>竣工验收管理制度执行有效性不足</w:t>
      </w:r>
      <w:bookmarkEnd w:id="36"/>
      <w:bookmarkEnd w:id="37"/>
    </w:p>
    <w:p>
      <w:pPr>
        <w:pStyle w:val="27"/>
        <w:ind w:firstLine="640"/>
      </w:pPr>
      <w:r>
        <w:rPr>
          <w:rFonts w:hint="eastAsia"/>
        </w:rPr>
        <w:t>依据单位工程项目控制管理制度及相关法律政策文件要求，合同内容需完备、文字表达需准确、合同签订需合法定程序。现场评价发现天津市和平区人民政府劝业场街道办事处国有企业退休人员社会化管理补助资金项目工程</w:t>
      </w:r>
      <w:r>
        <w:rPr>
          <w:rFonts w:hint="eastAsia"/>
          <w:bCs/>
        </w:rPr>
        <w:t>竣工验收单建设单位参加验收人员未签字或盖章，竣工验收</w:t>
      </w:r>
      <w:r>
        <w:rPr>
          <w:rFonts w:hint="eastAsia"/>
        </w:rPr>
        <w:t>管理制度执行有效性不足。</w:t>
      </w:r>
    </w:p>
    <w:p>
      <w:pPr>
        <w:pStyle w:val="31"/>
        <w:ind w:firstLine="640"/>
        <w:rPr>
          <w:rFonts w:ascii="Times New Roman" w:hAnsi="Times New Roman"/>
        </w:rPr>
      </w:pPr>
      <w:bookmarkStart w:id="38" w:name="_Toc1909697763"/>
      <w:bookmarkStart w:id="39" w:name="_Toc142599178"/>
      <w:r>
        <w:rPr>
          <w:rFonts w:hint="eastAsia" w:ascii="Times New Roman" w:hAnsi="Times New Roman"/>
        </w:rPr>
        <w:t>（二） 活动宣传工作有待加强</w:t>
      </w:r>
      <w:bookmarkEnd w:id="38"/>
      <w:bookmarkEnd w:id="39"/>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活动参与情况是考核项目落实的重要指标根据调研组实地调研得出，天津市人民政府劝业场街道办未建立退休人员活动宣传机制，仅通过电话告知方式通知部分退休人员参加活动，未开展其他形式宣传手段，宣传手段单一，项目服务对象可能无法了解活动开展情况，可能导致项目效益较低。</w:t>
      </w:r>
    </w:p>
    <w:p>
      <w:pPr>
        <w:pStyle w:val="31"/>
        <w:ind w:firstLine="640"/>
        <w:rPr>
          <w:rFonts w:ascii="Times New Roman" w:hAnsi="Times New Roman"/>
        </w:rPr>
      </w:pPr>
      <w:bookmarkStart w:id="40" w:name="_Toc2147198326"/>
      <w:r>
        <w:rPr>
          <w:rFonts w:hint="eastAsia" w:ascii="Times New Roman" w:hAnsi="Times New Roman"/>
        </w:rPr>
        <w:t>（三）预算执行不足，存在资金结转结余</w:t>
      </w:r>
      <w:bookmarkEnd w:id="40"/>
    </w:p>
    <w:p>
      <w:pPr>
        <w:pStyle w:val="27"/>
        <w:ind w:firstLine="640"/>
      </w:pPr>
      <w:r>
        <w:rPr>
          <w:rFonts w:hint="eastAsia"/>
        </w:rPr>
        <w:t>国有企业退休人员社会化管理补助资金项目实际到位区级资金</w:t>
      </w:r>
      <w:r>
        <w:t>10.40</w:t>
      </w:r>
      <w:r>
        <w:rPr>
          <w:rFonts w:hint="eastAsia"/>
        </w:rPr>
        <w:t>万元。根据单位财务明细账显示，截至2</w:t>
      </w:r>
      <w:r>
        <w:t>022</w:t>
      </w:r>
      <w:r>
        <w:rPr>
          <w:rFonts w:hint="eastAsia"/>
        </w:rPr>
        <w:t>年</w:t>
      </w:r>
      <w:r>
        <w:t>12</w:t>
      </w:r>
      <w:r>
        <w:rPr>
          <w:rFonts w:hint="eastAsia"/>
        </w:rPr>
        <w:t>月</w:t>
      </w:r>
      <w:r>
        <w:t>31</w:t>
      </w:r>
      <w:r>
        <w:rPr>
          <w:rFonts w:hint="eastAsia"/>
        </w:rPr>
        <w:t>日，项目实际支出区级资金</w:t>
      </w:r>
      <w:r>
        <w:t>8.41</w:t>
      </w:r>
      <w:r>
        <w:rPr>
          <w:rFonts w:hint="eastAsia"/>
        </w:rPr>
        <w:t>万元，预算执行率为</w:t>
      </w:r>
      <w:r>
        <w:t>80.87</w:t>
      </w:r>
      <w:r>
        <w:rPr>
          <w:rFonts w:hint="eastAsia"/>
        </w:rPr>
        <w:t>%，结转结余资金为</w:t>
      </w:r>
      <w:r>
        <w:t>2</w:t>
      </w:r>
      <w:r>
        <w:rPr>
          <w:rFonts w:hint="eastAsia"/>
        </w:rPr>
        <w:t>万元，资金沉淀率为</w:t>
      </w:r>
      <w:r>
        <w:t>19.23</w:t>
      </w:r>
      <w:r>
        <w:rPr>
          <w:rFonts w:hint="eastAsia"/>
        </w:rPr>
        <w:t>%。</w:t>
      </w:r>
    </w:p>
    <w:p>
      <w:pPr>
        <w:pStyle w:val="29"/>
      </w:pPr>
      <w:bookmarkStart w:id="41" w:name="_Toc142599179"/>
      <w:bookmarkStart w:id="42" w:name="_Toc1647060894"/>
      <w:r>
        <w:rPr>
          <w:rFonts w:hint="eastAsia"/>
        </w:rPr>
        <w:t>六、相关建议</w:t>
      </w:r>
      <w:bookmarkEnd w:id="41"/>
      <w:bookmarkEnd w:id="42"/>
    </w:p>
    <w:p>
      <w:pPr>
        <w:pStyle w:val="31"/>
        <w:ind w:firstLine="640"/>
        <w:rPr>
          <w:rFonts w:ascii="Times New Roman" w:hAnsi="Times New Roman"/>
        </w:rPr>
      </w:pPr>
      <w:bookmarkStart w:id="43" w:name="_Toc112551385"/>
      <w:bookmarkStart w:id="44" w:name="_Toc142599180"/>
      <w:bookmarkStart w:id="45" w:name="_Toc1088235628"/>
      <w:r>
        <w:rPr>
          <w:rFonts w:hint="eastAsia" w:ascii="Times New Roman" w:hAnsi="Times New Roman"/>
        </w:rPr>
        <w:t>（一）</w:t>
      </w:r>
      <w:bookmarkEnd w:id="43"/>
      <w:bookmarkStart w:id="46" w:name="_Toc112671335"/>
      <w:r>
        <w:rPr>
          <w:rFonts w:hint="eastAsia" w:ascii="Times New Roman" w:hAnsi="Times New Roman"/>
        </w:rPr>
        <w:t>规范竣工验收流程管理，提高竣工验收严谨性</w:t>
      </w:r>
      <w:bookmarkEnd w:id="44"/>
      <w:bookmarkEnd w:id="45"/>
      <w:bookmarkEnd w:id="46"/>
    </w:p>
    <w:p>
      <w:pPr>
        <w:pStyle w:val="27"/>
        <w:ind w:firstLine="640"/>
      </w:pPr>
      <w:r>
        <w:rPr>
          <w:rFonts w:hint="eastAsia"/>
        </w:rPr>
        <w:t>竣工验收流程规范性</w:t>
      </w:r>
      <w:r>
        <w:t>至关重要，</w:t>
      </w:r>
      <w:r>
        <w:rPr>
          <w:rFonts w:hint="eastAsia"/>
        </w:rPr>
        <w:t>建议</w:t>
      </w:r>
      <w:r>
        <w:t>各部门或单位应高度重视</w:t>
      </w:r>
      <w:r>
        <w:rPr>
          <w:rFonts w:hint="eastAsia"/>
        </w:rPr>
        <w:t>，</w:t>
      </w:r>
      <w:r>
        <w:t>加强</w:t>
      </w:r>
      <w:r>
        <w:rPr>
          <w:rFonts w:hint="eastAsia"/>
        </w:rPr>
        <w:t>竣工验收流程</w:t>
      </w:r>
      <w:r>
        <w:t>管理</w:t>
      </w:r>
      <w:r>
        <w:rPr>
          <w:rFonts w:hint="eastAsia"/>
        </w:rPr>
        <w:t>，</w:t>
      </w:r>
      <w:r>
        <w:t>严格按照</w:t>
      </w:r>
      <w:r>
        <w:rPr>
          <w:rFonts w:hint="eastAsia"/>
        </w:rPr>
        <w:t>竣工验收管理制度等</w:t>
      </w:r>
      <w:r>
        <w:t>文件的相关要求，开展</w:t>
      </w:r>
      <w:r>
        <w:rPr>
          <w:rFonts w:hint="eastAsia"/>
        </w:rPr>
        <w:t>竣工验收</w:t>
      </w:r>
      <w:r>
        <w:t>集中整治行动，</w:t>
      </w:r>
      <w:r>
        <w:rPr>
          <w:rFonts w:hint="eastAsia"/>
        </w:rPr>
        <w:t>确保项目验收合规性。对工程验收人员进行培训，确保验收人员明确标准化流程的要求和步骤，并按流程执行验收工作</w:t>
      </w:r>
      <w:r>
        <w:t>。</w:t>
      </w:r>
    </w:p>
    <w:p>
      <w:pPr>
        <w:pStyle w:val="31"/>
        <w:ind w:firstLine="640"/>
        <w:rPr>
          <w:rFonts w:ascii="Times New Roman" w:hAnsi="Times New Roman"/>
        </w:rPr>
      </w:pPr>
      <w:bookmarkStart w:id="47" w:name="_Toc142599181"/>
      <w:bookmarkStart w:id="48" w:name="_Toc2005461944"/>
      <w:r>
        <w:rPr>
          <w:rFonts w:hint="eastAsia" w:ascii="Times New Roman" w:hAnsi="Times New Roman"/>
        </w:rPr>
        <w:t>（二）开展多渠道、多形式宣传工作</w:t>
      </w:r>
      <w:bookmarkEnd w:id="47"/>
      <w:r>
        <w:rPr>
          <w:rFonts w:hint="eastAsia" w:ascii="Times New Roman" w:hAnsi="Times New Roman"/>
        </w:rPr>
        <w:t>，有效保障项目效益</w:t>
      </w:r>
      <w:bookmarkEnd w:id="48"/>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建议单位可以结合街道实际退休人员情况，开展多渠道、多形式宣传方式，如线下在社区公告栏内张贴活动开展信息，在交通主干道和人流量大的地方通过悬挂宣传横幅可以让更多人了解宣传信息。线上建立微信公众号，或者通过公众号的推广，发送群体消息并在朋友圈中转发，可以使退休老年人子女知晓活动情况告知老人达到宣传的目的。对于未能及时接听电话的退休人员进行发送短信告知活动内容、场地、时间等，充分保障宣传覆盖到所有退休人员，达到丰富国企退休人员生活，提升国企退休人员幸福感的效果。</w:t>
      </w:r>
    </w:p>
    <w:p>
      <w:pPr>
        <w:pStyle w:val="31"/>
        <w:ind w:firstLine="640"/>
        <w:rPr>
          <w:rFonts w:ascii="Times New Roman" w:hAnsi="Times New Roman" w:eastAsia="仿宋_GB2312"/>
        </w:rPr>
      </w:pPr>
      <w:bookmarkStart w:id="49" w:name="_Toc1043053143"/>
      <w:r>
        <w:rPr>
          <w:rFonts w:hint="eastAsia" w:ascii="Times New Roman" w:hAnsi="Times New Roman"/>
        </w:rPr>
        <w:t>（三）加强部门预算管理，提高预算执行水平</w:t>
      </w:r>
      <w:bookmarkEnd w:id="49"/>
    </w:p>
    <w:p>
      <w:pPr>
        <w:pStyle w:val="27"/>
        <w:spacing w:line="360" w:lineRule="auto"/>
        <w:ind w:firstLine="640"/>
      </w:pPr>
      <w:r>
        <w:rPr>
          <w:rFonts w:hint="eastAsia"/>
        </w:rPr>
        <w:t>一是建议部门提高预算编制准确性，优化预算编制测算流程，强化预算编制精准程度，预算编制时应考虑多方面因素，进行综合测算。二是建议单位在项目实施过程中，根据实际工作需要，及时调整项目工作计划，并针对调整内容形成情况说明上报上级部门审批，提高财政资金使用效益。</w:t>
      </w:r>
    </w:p>
    <w:p>
      <w:pPr>
        <w:pStyle w:val="29"/>
        <w:rPr>
          <w:lang w:eastAsia="zh-Hans"/>
        </w:rPr>
      </w:pPr>
      <w:bookmarkStart w:id="50" w:name="_Toc685163940"/>
      <w:r>
        <w:rPr>
          <w:rFonts w:hint="eastAsia"/>
          <w:lang w:eastAsia="zh-Hans"/>
        </w:rPr>
        <w:t>七、相关附件</w:t>
      </w:r>
      <w:bookmarkEnd w:id="50"/>
    </w:p>
    <w:p>
      <w:pPr>
        <w:pStyle w:val="27"/>
        <w:ind w:left="1556" w:leftChars="304" w:hanging="918" w:hangingChars="287"/>
        <w:rPr>
          <w:color w:val="000000" w:themeColor="text1"/>
          <w14:textFill>
            <w14:solidFill>
              <w14:schemeClr w14:val="tx1"/>
            </w14:solidFill>
          </w14:textFill>
        </w:rPr>
      </w:pPr>
      <w:r>
        <w:rPr>
          <w:rFonts w:hint="eastAsia"/>
          <w:color w:val="000000" w:themeColor="text1"/>
          <w14:textFill>
            <w14:solidFill>
              <w14:schemeClr w14:val="tx1"/>
            </w14:solidFill>
          </w14:textFill>
        </w:rPr>
        <w:t>附件：天津市和平区人民政府劝业场街道办事处国有企业退休人员社会化管理补助资金项目绩效评价指标体系</w:t>
      </w:r>
      <w:bookmarkStart w:id="51" w:name="_Hlk142762543"/>
      <w:r>
        <w:rPr>
          <w:rFonts w:hint="eastAsia"/>
          <w:color w:val="000000" w:themeColor="text1"/>
          <w14:textFill>
            <w14:solidFill>
              <w14:schemeClr w14:val="tx1"/>
            </w14:solidFill>
          </w14:textFill>
        </w:rPr>
        <w:t>及评分表</w:t>
      </w:r>
      <w:bookmarkEnd w:id="51"/>
    </w:p>
    <w:sectPr>
      <w:footerReference r:id="rId11" w:type="default"/>
      <w:pgSz w:w="11906" w:h="16838"/>
      <w:pgMar w:top="2268" w:right="1797" w:bottom="1701" w:left="179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pPr>
          <w:pStyle w:val="11"/>
          <w:ind w:firstLine="360"/>
          <w:jc w:val="center"/>
        </w:pPr>
        <w:r>
          <w:fldChar w:fldCharType="begin"/>
        </w:r>
        <w:r>
          <w:instrText xml:space="preserve">PAGE   \* MERGEFORMAT</w:instrText>
        </w:r>
        <w:r>
          <w:fldChar w:fldCharType="separate"/>
        </w:r>
        <w:r>
          <w:rPr>
            <w:lang w:val="zh-CN"/>
          </w:rPr>
          <w:t>2</w:t>
        </w:r>
        <w:r>
          <w:fldChar w:fldCharType="end"/>
        </w:r>
      </w:p>
    </w:sdtContent>
  </w:sdt>
  <w:p>
    <w:pPr>
      <w:ind w:firstLine="0" w:firstLineChars="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top w:val="none" w:color="auto" w:sz="0" w:space="0"/>
        <w:left w:val="none" w:color="auto" w:sz="0" w:space="0"/>
        <w:bottom w:val="none" w:color="auto" w:sz="0" w:space="1"/>
        <w:right w:val="none" w:color="auto" w:sz="0" w:space="0"/>
        <w:between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853DE5"/>
    <w:multiLevelType w:val="singleLevel"/>
    <w:tmpl w:val="C1853DE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hkZWM4YjIxYThkNmM0YzhiZDBkMGJiNDM5ZWY2ZGQifQ=="/>
  </w:docVars>
  <w:rsids>
    <w:rsidRoot w:val="009D2727"/>
    <w:rsid w:val="00011202"/>
    <w:rsid w:val="000165DF"/>
    <w:rsid w:val="00021D15"/>
    <w:rsid w:val="00022ECD"/>
    <w:rsid w:val="0003091A"/>
    <w:rsid w:val="000310D4"/>
    <w:rsid w:val="00031BC8"/>
    <w:rsid w:val="00037A86"/>
    <w:rsid w:val="0004795E"/>
    <w:rsid w:val="00051187"/>
    <w:rsid w:val="00053798"/>
    <w:rsid w:val="00054A92"/>
    <w:rsid w:val="00054BF1"/>
    <w:rsid w:val="00056AE1"/>
    <w:rsid w:val="00075F34"/>
    <w:rsid w:val="00080AAB"/>
    <w:rsid w:val="00083B78"/>
    <w:rsid w:val="000A543B"/>
    <w:rsid w:val="000B0307"/>
    <w:rsid w:val="000B0315"/>
    <w:rsid w:val="000B0C6A"/>
    <w:rsid w:val="000D476D"/>
    <w:rsid w:val="000E1F1D"/>
    <w:rsid w:val="000E4EA3"/>
    <w:rsid w:val="000E5631"/>
    <w:rsid w:val="000E722F"/>
    <w:rsid w:val="000F006F"/>
    <w:rsid w:val="00112C3C"/>
    <w:rsid w:val="00114706"/>
    <w:rsid w:val="00116670"/>
    <w:rsid w:val="0012045C"/>
    <w:rsid w:val="00135E0F"/>
    <w:rsid w:val="00141C9A"/>
    <w:rsid w:val="00147561"/>
    <w:rsid w:val="00147637"/>
    <w:rsid w:val="00156BB4"/>
    <w:rsid w:val="00157E08"/>
    <w:rsid w:val="00173E95"/>
    <w:rsid w:val="001825B2"/>
    <w:rsid w:val="00183192"/>
    <w:rsid w:val="001847F3"/>
    <w:rsid w:val="00187C3B"/>
    <w:rsid w:val="00195480"/>
    <w:rsid w:val="001A1CB2"/>
    <w:rsid w:val="001A3AC8"/>
    <w:rsid w:val="001B2C8B"/>
    <w:rsid w:val="001B5520"/>
    <w:rsid w:val="001B7C33"/>
    <w:rsid w:val="001C0516"/>
    <w:rsid w:val="001D269B"/>
    <w:rsid w:val="001D698E"/>
    <w:rsid w:val="001E3456"/>
    <w:rsid w:val="001E6293"/>
    <w:rsid w:val="001F478C"/>
    <w:rsid w:val="001F6EEB"/>
    <w:rsid w:val="0020098B"/>
    <w:rsid w:val="00203636"/>
    <w:rsid w:val="00205874"/>
    <w:rsid w:val="002127DF"/>
    <w:rsid w:val="00215486"/>
    <w:rsid w:val="0022316F"/>
    <w:rsid w:val="002253DD"/>
    <w:rsid w:val="00230CF2"/>
    <w:rsid w:val="0023179C"/>
    <w:rsid w:val="00237B0B"/>
    <w:rsid w:val="00237EE9"/>
    <w:rsid w:val="002441B7"/>
    <w:rsid w:val="0024596C"/>
    <w:rsid w:val="00250FD2"/>
    <w:rsid w:val="00251460"/>
    <w:rsid w:val="002517BD"/>
    <w:rsid w:val="00252945"/>
    <w:rsid w:val="00253F61"/>
    <w:rsid w:val="00256FA0"/>
    <w:rsid w:val="0026080E"/>
    <w:rsid w:val="00264A4D"/>
    <w:rsid w:val="00275093"/>
    <w:rsid w:val="002857E4"/>
    <w:rsid w:val="002876B7"/>
    <w:rsid w:val="002B587D"/>
    <w:rsid w:val="002B626D"/>
    <w:rsid w:val="002B7A63"/>
    <w:rsid w:val="002B7F98"/>
    <w:rsid w:val="002C2A2B"/>
    <w:rsid w:val="002D183E"/>
    <w:rsid w:val="002D3742"/>
    <w:rsid w:val="002D6463"/>
    <w:rsid w:val="002D69CC"/>
    <w:rsid w:val="002F412F"/>
    <w:rsid w:val="002F65DE"/>
    <w:rsid w:val="00333E46"/>
    <w:rsid w:val="0033483C"/>
    <w:rsid w:val="00342A33"/>
    <w:rsid w:val="0034468A"/>
    <w:rsid w:val="00344E19"/>
    <w:rsid w:val="0035277E"/>
    <w:rsid w:val="003668F4"/>
    <w:rsid w:val="003670B2"/>
    <w:rsid w:val="0037244C"/>
    <w:rsid w:val="003901C0"/>
    <w:rsid w:val="00392426"/>
    <w:rsid w:val="003A37C5"/>
    <w:rsid w:val="003A59DB"/>
    <w:rsid w:val="003B4DCC"/>
    <w:rsid w:val="003B4F78"/>
    <w:rsid w:val="003C19EC"/>
    <w:rsid w:val="003C3B42"/>
    <w:rsid w:val="003C3BD1"/>
    <w:rsid w:val="003C6EF1"/>
    <w:rsid w:val="003D793A"/>
    <w:rsid w:val="003E54A2"/>
    <w:rsid w:val="003F4412"/>
    <w:rsid w:val="00401757"/>
    <w:rsid w:val="00406346"/>
    <w:rsid w:val="004102CB"/>
    <w:rsid w:val="00412A87"/>
    <w:rsid w:val="00413727"/>
    <w:rsid w:val="00420FF9"/>
    <w:rsid w:val="00431B7B"/>
    <w:rsid w:val="00432D60"/>
    <w:rsid w:val="0043316B"/>
    <w:rsid w:val="0043426C"/>
    <w:rsid w:val="00436E35"/>
    <w:rsid w:val="00444527"/>
    <w:rsid w:val="004459F7"/>
    <w:rsid w:val="00446429"/>
    <w:rsid w:val="00450838"/>
    <w:rsid w:val="00451037"/>
    <w:rsid w:val="004532FC"/>
    <w:rsid w:val="00470B2A"/>
    <w:rsid w:val="00472681"/>
    <w:rsid w:val="00474F9E"/>
    <w:rsid w:val="00477215"/>
    <w:rsid w:val="00484104"/>
    <w:rsid w:val="0048689A"/>
    <w:rsid w:val="00494144"/>
    <w:rsid w:val="00496FCA"/>
    <w:rsid w:val="004A2CF7"/>
    <w:rsid w:val="004A5E91"/>
    <w:rsid w:val="004B0AEF"/>
    <w:rsid w:val="004B21AF"/>
    <w:rsid w:val="004B6339"/>
    <w:rsid w:val="004C0280"/>
    <w:rsid w:val="004C0A19"/>
    <w:rsid w:val="004C279E"/>
    <w:rsid w:val="004F43DA"/>
    <w:rsid w:val="004F67B7"/>
    <w:rsid w:val="004F6A9B"/>
    <w:rsid w:val="00506875"/>
    <w:rsid w:val="0051009E"/>
    <w:rsid w:val="00513BDA"/>
    <w:rsid w:val="005151BF"/>
    <w:rsid w:val="0051549B"/>
    <w:rsid w:val="00517960"/>
    <w:rsid w:val="00525874"/>
    <w:rsid w:val="0053290B"/>
    <w:rsid w:val="005348FB"/>
    <w:rsid w:val="00535E49"/>
    <w:rsid w:val="0054511D"/>
    <w:rsid w:val="00546DF3"/>
    <w:rsid w:val="00547C9F"/>
    <w:rsid w:val="0056069C"/>
    <w:rsid w:val="00567288"/>
    <w:rsid w:val="00574E3E"/>
    <w:rsid w:val="00585931"/>
    <w:rsid w:val="005875F6"/>
    <w:rsid w:val="00593FAC"/>
    <w:rsid w:val="005A2A42"/>
    <w:rsid w:val="005A5080"/>
    <w:rsid w:val="005A79A7"/>
    <w:rsid w:val="005B25DD"/>
    <w:rsid w:val="005B64D5"/>
    <w:rsid w:val="005F21A9"/>
    <w:rsid w:val="005F5453"/>
    <w:rsid w:val="00606554"/>
    <w:rsid w:val="006068CA"/>
    <w:rsid w:val="00610114"/>
    <w:rsid w:val="00620114"/>
    <w:rsid w:val="006257F8"/>
    <w:rsid w:val="00632C8E"/>
    <w:rsid w:val="00634E50"/>
    <w:rsid w:val="00637EC6"/>
    <w:rsid w:val="00640080"/>
    <w:rsid w:val="0064679E"/>
    <w:rsid w:val="00647AA7"/>
    <w:rsid w:val="00655D68"/>
    <w:rsid w:val="00660386"/>
    <w:rsid w:val="00662876"/>
    <w:rsid w:val="0066609C"/>
    <w:rsid w:val="006738F9"/>
    <w:rsid w:val="00673E09"/>
    <w:rsid w:val="0068008E"/>
    <w:rsid w:val="0068195E"/>
    <w:rsid w:val="00684701"/>
    <w:rsid w:val="00687FBF"/>
    <w:rsid w:val="0069343C"/>
    <w:rsid w:val="00694B56"/>
    <w:rsid w:val="006B2874"/>
    <w:rsid w:val="006D35A1"/>
    <w:rsid w:val="006D7C42"/>
    <w:rsid w:val="006E6CEA"/>
    <w:rsid w:val="006F11A5"/>
    <w:rsid w:val="006F40D8"/>
    <w:rsid w:val="00703EB0"/>
    <w:rsid w:val="0071290C"/>
    <w:rsid w:val="007141FA"/>
    <w:rsid w:val="007165C4"/>
    <w:rsid w:val="00721BA8"/>
    <w:rsid w:val="00722F8B"/>
    <w:rsid w:val="007326C1"/>
    <w:rsid w:val="00733231"/>
    <w:rsid w:val="007409E7"/>
    <w:rsid w:val="00754E3A"/>
    <w:rsid w:val="00761AF0"/>
    <w:rsid w:val="00766C94"/>
    <w:rsid w:val="00771652"/>
    <w:rsid w:val="0077431F"/>
    <w:rsid w:val="00782BEB"/>
    <w:rsid w:val="007840E0"/>
    <w:rsid w:val="007A52D5"/>
    <w:rsid w:val="007A7B0D"/>
    <w:rsid w:val="007C2258"/>
    <w:rsid w:val="007C48BF"/>
    <w:rsid w:val="007D24F0"/>
    <w:rsid w:val="007D26E0"/>
    <w:rsid w:val="007D2DFC"/>
    <w:rsid w:val="007D5A0C"/>
    <w:rsid w:val="007D680A"/>
    <w:rsid w:val="007E472C"/>
    <w:rsid w:val="007E71B3"/>
    <w:rsid w:val="007F3155"/>
    <w:rsid w:val="007F36A4"/>
    <w:rsid w:val="0080129B"/>
    <w:rsid w:val="00810913"/>
    <w:rsid w:val="00810E7D"/>
    <w:rsid w:val="008148EA"/>
    <w:rsid w:val="00816353"/>
    <w:rsid w:val="00821727"/>
    <w:rsid w:val="00822079"/>
    <w:rsid w:val="0082290C"/>
    <w:rsid w:val="00824B58"/>
    <w:rsid w:val="008257E3"/>
    <w:rsid w:val="00827088"/>
    <w:rsid w:val="00834BD6"/>
    <w:rsid w:val="008375BF"/>
    <w:rsid w:val="0084220D"/>
    <w:rsid w:val="0084401E"/>
    <w:rsid w:val="00850DBB"/>
    <w:rsid w:val="00862913"/>
    <w:rsid w:val="00864516"/>
    <w:rsid w:val="0086478C"/>
    <w:rsid w:val="00870F05"/>
    <w:rsid w:val="00874D6D"/>
    <w:rsid w:val="008759D1"/>
    <w:rsid w:val="0088276F"/>
    <w:rsid w:val="00885CE2"/>
    <w:rsid w:val="00886599"/>
    <w:rsid w:val="008919CA"/>
    <w:rsid w:val="00891A57"/>
    <w:rsid w:val="00892413"/>
    <w:rsid w:val="008A26D6"/>
    <w:rsid w:val="008A7612"/>
    <w:rsid w:val="008B38A0"/>
    <w:rsid w:val="008C29EA"/>
    <w:rsid w:val="008C4808"/>
    <w:rsid w:val="008D444B"/>
    <w:rsid w:val="008D5C19"/>
    <w:rsid w:val="008E57DE"/>
    <w:rsid w:val="00900C1E"/>
    <w:rsid w:val="00922F0E"/>
    <w:rsid w:val="00926A8A"/>
    <w:rsid w:val="00934206"/>
    <w:rsid w:val="00935DC4"/>
    <w:rsid w:val="00936353"/>
    <w:rsid w:val="009406F7"/>
    <w:rsid w:val="00943191"/>
    <w:rsid w:val="0095075A"/>
    <w:rsid w:val="00955717"/>
    <w:rsid w:val="00955E65"/>
    <w:rsid w:val="00961DD2"/>
    <w:rsid w:val="00971506"/>
    <w:rsid w:val="00974B8A"/>
    <w:rsid w:val="0098581F"/>
    <w:rsid w:val="00987D06"/>
    <w:rsid w:val="009917F1"/>
    <w:rsid w:val="009946DB"/>
    <w:rsid w:val="009A08DA"/>
    <w:rsid w:val="009B2641"/>
    <w:rsid w:val="009C0241"/>
    <w:rsid w:val="009C7FA7"/>
    <w:rsid w:val="009D016E"/>
    <w:rsid w:val="009D2727"/>
    <w:rsid w:val="009D2F61"/>
    <w:rsid w:val="009D4BA1"/>
    <w:rsid w:val="009D5BFE"/>
    <w:rsid w:val="009F0F5C"/>
    <w:rsid w:val="009F4259"/>
    <w:rsid w:val="00A172D0"/>
    <w:rsid w:val="00A22C8D"/>
    <w:rsid w:val="00A401A5"/>
    <w:rsid w:val="00A45305"/>
    <w:rsid w:val="00A463D7"/>
    <w:rsid w:val="00A469C1"/>
    <w:rsid w:val="00A47B33"/>
    <w:rsid w:val="00A6425F"/>
    <w:rsid w:val="00A74033"/>
    <w:rsid w:val="00A75023"/>
    <w:rsid w:val="00A838CA"/>
    <w:rsid w:val="00A92C16"/>
    <w:rsid w:val="00A93D59"/>
    <w:rsid w:val="00A95AE5"/>
    <w:rsid w:val="00AA5FC6"/>
    <w:rsid w:val="00AB0324"/>
    <w:rsid w:val="00AB4108"/>
    <w:rsid w:val="00AC5DF8"/>
    <w:rsid w:val="00AD2011"/>
    <w:rsid w:val="00AD32C3"/>
    <w:rsid w:val="00AF266D"/>
    <w:rsid w:val="00B00CDB"/>
    <w:rsid w:val="00B042F2"/>
    <w:rsid w:val="00B05AD6"/>
    <w:rsid w:val="00B06FE9"/>
    <w:rsid w:val="00B07F28"/>
    <w:rsid w:val="00B10EDB"/>
    <w:rsid w:val="00B13B52"/>
    <w:rsid w:val="00B32BB2"/>
    <w:rsid w:val="00B32E0C"/>
    <w:rsid w:val="00B440EE"/>
    <w:rsid w:val="00B44C45"/>
    <w:rsid w:val="00B5019D"/>
    <w:rsid w:val="00B66912"/>
    <w:rsid w:val="00B67B30"/>
    <w:rsid w:val="00B70E75"/>
    <w:rsid w:val="00B8604A"/>
    <w:rsid w:val="00B87BC2"/>
    <w:rsid w:val="00B936B4"/>
    <w:rsid w:val="00B95D07"/>
    <w:rsid w:val="00BA1161"/>
    <w:rsid w:val="00BA2203"/>
    <w:rsid w:val="00BB2C28"/>
    <w:rsid w:val="00BD5363"/>
    <w:rsid w:val="00BE15EA"/>
    <w:rsid w:val="00BE417D"/>
    <w:rsid w:val="00BE4366"/>
    <w:rsid w:val="00C11877"/>
    <w:rsid w:val="00C1395F"/>
    <w:rsid w:val="00C16695"/>
    <w:rsid w:val="00C20597"/>
    <w:rsid w:val="00C368AE"/>
    <w:rsid w:val="00C41B48"/>
    <w:rsid w:val="00C505EE"/>
    <w:rsid w:val="00C516CA"/>
    <w:rsid w:val="00C5171A"/>
    <w:rsid w:val="00C52CF2"/>
    <w:rsid w:val="00C5310A"/>
    <w:rsid w:val="00C5560A"/>
    <w:rsid w:val="00C55B02"/>
    <w:rsid w:val="00C579E0"/>
    <w:rsid w:val="00C7478A"/>
    <w:rsid w:val="00C765EB"/>
    <w:rsid w:val="00C777CA"/>
    <w:rsid w:val="00C81C4F"/>
    <w:rsid w:val="00C96C53"/>
    <w:rsid w:val="00CA53AE"/>
    <w:rsid w:val="00CB1E79"/>
    <w:rsid w:val="00CB240C"/>
    <w:rsid w:val="00CC1DCE"/>
    <w:rsid w:val="00CC5B8C"/>
    <w:rsid w:val="00CD0E01"/>
    <w:rsid w:val="00CD2FF5"/>
    <w:rsid w:val="00CD4D9B"/>
    <w:rsid w:val="00CE2AF5"/>
    <w:rsid w:val="00CF614E"/>
    <w:rsid w:val="00CF6DA0"/>
    <w:rsid w:val="00CF7598"/>
    <w:rsid w:val="00D02ED7"/>
    <w:rsid w:val="00D13D8F"/>
    <w:rsid w:val="00D21FE3"/>
    <w:rsid w:val="00D301A2"/>
    <w:rsid w:val="00D347F8"/>
    <w:rsid w:val="00D432DE"/>
    <w:rsid w:val="00D50745"/>
    <w:rsid w:val="00D52821"/>
    <w:rsid w:val="00D529C6"/>
    <w:rsid w:val="00D57D36"/>
    <w:rsid w:val="00D721A4"/>
    <w:rsid w:val="00D7394B"/>
    <w:rsid w:val="00D760DB"/>
    <w:rsid w:val="00D76450"/>
    <w:rsid w:val="00DA204B"/>
    <w:rsid w:val="00DA3523"/>
    <w:rsid w:val="00DA78FB"/>
    <w:rsid w:val="00DB0722"/>
    <w:rsid w:val="00DB220D"/>
    <w:rsid w:val="00DD0C66"/>
    <w:rsid w:val="00DD3040"/>
    <w:rsid w:val="00DD3275"/>
    <w:rsid w:val="00DD3A90"/>
    <w:rsid w:val="00E02185"/>
    <w:rsid w:val="00E107A1"/>
    <w:rsid w:val="00E20B99"/>
    <w:rsid w:val="00E238BE"/>
    <w:rsid w:val="00E23DC2"/>
    <w:rsid w:val="00E30C96"/>
    <w:rsid w:val="00E33AE0"/>
    <w:rsid w:val="00E41AB3"/>
    <w:rsid w:val="00E420AC"/>
    <w:rsid w:val="00E436F2"/>
    <w:rsid w:val="00E448B4"/>
    <w:rsid w:val="00E52C23"/>
    <w:rsid w:val="00E66F4C"/>
    <w:rsid w:val="00E67828"/>
    <w:rsid w:val="00E87830"/>
    <w:rsid w:val="00E94E97"/>
    <w:rsid w:val="00E95793"/>
    <w:rsid w:val="00E97DEF"/>
    <w:rsid w:val="00EA4A88"/>
    <w:rsid w:val="00EA6161"/>
    <w:rsid w:val="00EB3899"/>
    <w:rsid w:val="00EC32FA"/>
    <w:rsid w:val="00EC5DF3"/>
    <w:rsid w:val="00EC6612"/>
    <w:rsid w:val="00EC6F17"/>
    <w:rsid w:val="00ED3922"/>
    <w:rsid w:val="00ED3FA3"/>
    <w:rsid w:val="00EF70B8"/>
    <w:rsid w:val="00F05960"/>
    <w:rsid w:val="00F07B96"/>
    <w:rsid w:val="00F10261"/>
    <w:rsid w:val="00F12893"/>
    <w:rsid w:val="00F1425E"/>
    <w:rsid w:val="00F15CB2"/>
    <w:rsid w:val="00F20761"/>
    <w:rsid w:val="00F233C8"/>
    <w:rsid w:val="00F23A27"/>
    <w:rsid w:val="00F308F2"/>
    <w:rsid w:val="00F31249"/>
    <w:rsid w:val="00F335DA"/>
    <w:rsid w:val="00F46C61"/>
    <w:rsid w:val="00F52BF8"/>
    <w:rsid w:val="00F5672D"/>
    <w:rsid w:val="00F57174"/>
    <w:rsid w:val="00F57875"/>
    <w:rsid w:val="00F6171A"/>
    <w:rsid w:val="00F62F48"/>
    <w:rsid w:val="00F667D1"/>
    <w:rsid w:val="00F67AFA"/>
    <w:rsid w:val="00F77235"/>
    <w:rsid w:val="00F80975"/>
    <w:rsid w:val="00F83F05"/>
    <w:rsid w:val="00F92082"/>
    <w:rsid w:val="00F933BD"/>
    <w:rsid w:val="00FA252D"/>
    <w:rsid w:val="00FB7C22"/>
    <w:rsid w:val="00FC0619"/>
    <w:rsid w:val="00FC0E8C"/>
    <w:rsid w:val="00FD7690"/>
    <w:rsid w:val="00FE1675"/>
    <w:rsid w:val="00FF3C3B"/>
    <w:rsid w:val="101269C7"/>
    <w:rsid w:val="11027993"/>
    <w:rsid w:val="162D5124"/>
    <w:rsid w:val="1DD2622D"/>
    <w:rsid w:val="283F4204"/>
    <w:rsid w:val="30CE5475"/>
    <w:rsid w:val="37EF6096"/>
    <w:rsid w:val="5CBF5226"/>
    <w:rsid w:val="5DBF780F"/>
    <w:rsid w:val="5E0A1967"/>
    <w:rsid w:val="5FDDCD8E"/>
    <w:rsid w:val="64DC4A2F"/>
    <w:rsid w:val="6C5CBE99"/>
    <w:rsid w:val="706E4679"/>
    <w:rsid w:val="BFC744BC"/>
    <w:rsid w:val="EEBD01FE"/>
    <w:rsid w:val="F377DF3E"/>
    <w:rsid w:val="F7FFB1B1"/>
    <w:rsid w:val="FDF5F8D1"/>
    <w:rsid w:val="FFBFDE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name="heading 1"/>
    <w:lsdException w:qFormat="1" w:unhideWhenUsed="0" w:uiPriority="9" w:name="heading 2"/>
    <w:lsdException w:qFormat="1" w:unhideWhenUsed="0" w:uiPriority="9" w:name="heading 3"/>
    <w:lsdException w:qFormat="1" w:unhideWhenUsed="0" w:uiPriority="9" w:name="heading 4"/>
    <w:lsdException w:qFormat="1" w:unhideWhenUsed="0" w:uiPriority="9" w:name="heading 5"/>
    <w:lsdException w:qFormat="1" w:unhideWhenUsed="0" w:uiPriority="9" w:name="heading 6"/>
    <w:lsdException w:qFormat="1" w:unhideWhenUsed="0" w:uiPriority="9" w:name="heading 7"/>
    <w:lsdException w:qFormat="1" w:unhideWhenUsed="0" w:uiPriority="9" w:name="heading 8"/>
    <w:lsdException w:qFormat="1" w:unhideWhenUsed="0" w:uiPriority="9" w:name="heading 9"/>
    <w:lsdException w:unhideWhenUsed="0" w:uiPriority="99" w:name="index 1"/>
    <w:lsdException w:unhideWhenUsed="0" w:uiPriority="99" w:name="index 2"/>
    <w:lsdException w:unhideWhenUsed="0" w:uiPriority="99" w:name="index 3"/>
    <w:lsdException w:unhideWhenUsed="0" w:uiPriority="99" w:name="index 4"/>
    <w:lsdException w:unhideWhenUsed="0" w:uiPriority="99" w:name="index 5"/>
    <w:lsdException w:unhideWhenUsed="0" w:uiPriority="99" w:name="index 6"/>
    <w:lsdException w:unhideWhenUsed="0" w:uiPriority="99" w:name="index 7"/>
    <w:lsdException w:unhideWhenUsed="0" w:uiPriority="99" w:name="index 8"/>
    <w:lsdException w:unhideWhenUsed="0" w:uiPriority="99" w:name="index 9"/>
    <w:lsdException w:qFormat="1" w:unhideWhenUsed="0" w:uiPriority="39" w:name="toc 1"/>
    <w:lsdException w:qFormat="1" w:uiPriority="39" w:semiHidden="0" w:name="toc 2"/>
    <w:lsdException w:qFormat="1" w:uiPriority="39" w:semiHidden="0" w:name="toc 3"/>
    <w:lsdException w:unhideWhenUsed="0" w:uiPriority="39" w:name="toc 4"/>
    <w:lsdException w:unhideWhenUsed="0" w:uiPriority="39" w:name="toc 5"/>
    <w:lsdException w:unhideWhenUsed="0" w:uiPriority="39" w:name="toc 6"/>
    <w:lsdException w:unhideWhenUsed="0" w:uiPriority="39" w:name="toc 7"/>
    <w:lsdException w:unhideWhenUsed="0" w:uiPriority="39" w:name="toc 8"/>
    <w:lsdException w:unhideWhenUsed="0" w:uiPriority="39" w:name="toc 9"/>
    <w:lsdException w:unhideWhenUsed="0" w:uiPriority="99" w:name="Normal Indent"/>
    <w:lsdException w:unhideWhenUsed="0" w:uiPriority="99" w:name="footnote text"/>
    <w:lsdException w:qFormat="1" w:unhideWhenUsed="0" w:uiPriority="99" w:name="annotation text"/>
    <w:lsdException w:qFormat="1" w:unhideWhenUsed="0" w:uiPriority="99" w:name="header"/>
    <w:lsdException w:qFormat="1" w:unhideWhenUsed="0" w:uiPriority="99" w:semiHidden="0" w:name="footer"/>
    <w:lsdException w:unhideWhenUsed="0" w:uiPriority="99" w:name="index heading"/>
    <w:lsdException w:qFormat="1" w:unhideWhenUsed="0" w:uiPriority="35" w:name="caption"/>
    <w:lsdException w:unhideWhenUsed="0" w:uiPriority="99" w:name="table of figures"/>
    <w:lsdException w:unhideWhenUsed="0" w:uiPriority="99" w:name="envelope address"/>
    <w:lsdException w:unhideWhenUsed="0" w:uiPriority="99" w:name="envelope return"/>
    <w:lsdException w:unhideWhenUsed="0" w:uiPriority="99" w:name="footnote reference"/>
    <w:lsdException w:qFormat="1" w:unhideWhenUsed="0" w:uiPriority="99" w:name="annotation reference"/>
    <w:lsdException w:unhideWhenUsed="0" w:uiPriority="99" w:name="line number"/>
    <w:lsdException w:unhideWhenUsed="0" w:uiPriority="99" w:name="page number"/>
    <w:lsdException w:unhideWhenUsed="0" w:uiPriority="99" w:name="endnote reference"/>
    <w:lsdException w:unhideWhenUsed="0" w:uiPriority="99" w:name="endnote text"/>
    <w:lsdException w:unhideWhenUsed="0" w:uiPriority="99" w:name="table of authorities"/>
    <w:lsdException w:unhideWhenUsed="0" w:uiPriority="99" w:name="macro"/>
    <w:lsdException w:unhideWhenUsed="0" w:uiPriority="99" w:name="toa heading"/>
    <w:lsdException w:unhideWhenUsed="0" w:uiPriority="99" w:name="List"/>
    <w:lsdException w:unhideWhenUsed="0" w:uiPriority="99" w:name="List Bullet"/>
    <w:lsdException w:unhideWhenUsed="0" w:uiPriority="99" w:name="List Number"/>
    <w:lsdException w:unhideWhenUsed="0" w:uiPriority="99" w:name="List 2"/>
    <w:lsdException w:unhideWhenUsed="0" w:uiPriority="99" w:name="List 3"/>
    <w:lsdException w:unhideWhenUsed="0" w:uiPriority="99" w:name="List 4"/>
    <w:lsdException w:unhideWhenUsed="0" w:uiPriority="99" w:name="List 5"/>
    <w:lsdException w:unhideWhenUsed="0" w:uiPriority="99" w:name="List Bullet 2"/>
    <w:lsdException w:unhideWhenUsed="0" w:uiPriority="99" w:name="List Bullet 3"/>
    <w:lsdException w:unhideWhenUsed="0" w:uiPriority="99" w:name="List Bullet 4"/>
    <w:lsdException w:unhideWhenUsed="0" w:uiPriority="99" w:name="List Bullet 5"/>
    <w:lsdException w:unhideWhenUsed="0" w:uiPriority="99" w:name="List Number 2"/>
    <w:lsdException w:unhideWhenUsed="0" w:uiPriority="99" w:name="List Number 3"/>
    <w:lsdException w:unhideWhenUsed="0" w:uiPriority="99" w:name="List Number 4"/>
    <w:lsdException w:unhideWhenUsed="0" w:uiPriority="99" w:name="List Number 5"/>
    <w:lsdException w:qFormat="1" w:unhideWhenUsed="0" w:uiPriority="10" w:semiHidden="0" w:name="Title"/>
    <w:lsdException w:unhideWhenUsed="0" w:uiPriority="99" w:name="Closing"/>
    <w:lsdException w:unhideWhenUsed="0" w:uiPriority="99" w:name="Signature"/>
    <w:lsdException w:qFormat="1" w:uiPriority="1" w:name="Default Paragraph Font"/>
    <w:lsdException w:qFormat="1" w:unhideWhenUsed="0" w:uiPriority="99" w:semiHidden="0" w:name="Body Text"/>
    <w:lsdException w:unhideWhenUsed="0" w:uiPriority="99" w:name="Body Text Indent"/>
    <w:lsdException w:unhideWhenUsed="0" w:uiPriority="99" w:name="List Continue"/>
    <w:lsdException w:unhideWhenUsed="0" w:uiPriority="99" w:name="List Continue 2"/>
    <w:lsdException w:unhideWhenUsed="0" w:uiPriority="99" w:name="List Continue 3"/>
    <w:lsdException w:unhideWhenUsed="0" w:uiPriority="99" w:name="List Continue 4"/>
    <w:lsdException w:unhideWhenUsed="0" w:uiPriority="99" w:name="List Continue 5"/>
    <w:lsdException w:unhideWhenUsed="0" w:uiPriority="99" w:name="Message Header"/>
    <w:lsdException w:qFormat="1" w:unhideWhenUsed="0" w:uiPriority="11" w:semiHidden="0" w:name="Subtitle"/>
    <w:lsdException w:unhideWhenUsed="0" w:uiPriority="99" w:name="Salutation"/>
    <w:lsdException w:unhideWhenUsed="0" w:uiPriority="99" w:name="Date"/>
    <w:lsdException w:unhideWhenUsed="0" w:uiPriority="99" w:name="Body Text First Indent"/>
    <w:lsdException w:unhideWhenUsed="0" w:uiPriority="99" w:name="Body Text First Indent 2"/>
    <w:lsdException w:unhideWhenUsed="0" w:uiPriority="99" w:name="Note Heading"/>
    <w:lsdException w:unhideWhenUsed="0" w:uiPriority="99" w:name="Body Text 2"/>
    <w:lsdException w:unhideWhenUsed="0" w:uiPriority="99" w:name="Body Text 3"/>
    <w:lsdException w:unhideWhenUsed="0" w:uiPriority="99" w:name="Body Text Indent 2"/>
    <w:lsdException w:unhideWhenUsed="0" w:uiPriority="99" w:name="Body Text Indent 3"/>
    <w:lsdException w:unhideWhenUsed="0" w:uiPriority="99" w:name="Block Text"/>
    <w:lsdException w:qFormat="1" w:uiPriority="99" w:semiHidden="0" w:name="Hyperlink"/>
    <w:lsdException w:unhideWhenUsed="0" w:uiPriority="99" w:name="FollowedHyperlink"/>
    <w:lsdException w:qFormat="1" w:unhideWhenUsed="0" w:uiPriority="22" w:semiHidden="0" w:name="Strong"/>
    <w:lsdException w:qFormat="1" w:unhideWhenUsed="0" w:uiPriority="20" w:semiHidden="0" w:name="Emphasis"/>
    <w:lsdException w:unhideWhenUsed="0" w:uiPriority="99" w:name="Document Map"/>
    <w:lsdException w:unhideWhenUsed="0" w:uiPriority="99" w:name="Plain Text"/>
    <w:lsdException w:unhideWhenUsed="0" w:uiPriority="99" w:name="E-mail Signature"/>
    <w:lsdException w:unhideWhenUsed="0" w:uiPriority="99" w:name="Normal (Web)"/>
    <w:lsdException w:unhideWhenUsed="0" w:uiPriority="99" w:name="HTML Acronym"/>
    <w:lsdException w:unhideWhenUsed="0" w:uiPriority="99" w:name="HTML Address"/>
    <w:lsdException w:unhideWhenUsed="0" w:uiPriority="99" w:name="HTML Cite"/>
    <w:lsdException w:unhideWhenUsed="0" w:uiPriority="99" w:name="HTML Code"/>
    <w:lsdException w:uiPriority="99" w:name="HTML Definition"/>
    <w:lsdException w:uiPriority="99" w:name="HTML Keyboard"/>
    <w:lsdException w:unhideWhenUsed="0" w:uiPriority="99" w:name="HTML Preformatted"/>
    <w:lsdException w:unhideWhenUsed="0" w:uiPriority="99" w:name="HTML Sample"/>
    <w:lsdException w:unhideWhenUsed="0" w:uiPriority="99" w:name="HTML Typewriter"/>
    <w:lsdException w:unhideWhenUsed="0"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21"/>
    <w:semiHidden/>
    <w:qFormat/>
    <w:uiPriority w:val="9"/>
    <w:pPr>
      <w:keepNext/>
      <w:keepLines/>
      <w:spacing w:before="340" w:after="330" w:line="578" w:lineRule="auto"/>
      <w:ind w:firstLine="0" w:firstLineChars="0"/>
      <w:jc w:val="center"/>
      <w:outlineLvl w:val="0"/>
    </w:pPr>
    <w:rPr>
      <w:b/>
      <w:bCs/>
      <w:kern w:val="44"/>
      <w:sz w:val="44"/>
      <w:szCs w:val="44"/>
    </w:rPr>
  </w:style>
  <w:style w:type="paragraph" w:styleId="3">
    <w:name w:val="heading 2"/>
    <w:basedOn w:val="1"/>
    <w:next w:val="1"/>
    <w:link w:val="22"/>
    <w:semiHidden/>
    <w:qFormat/>
    <w:uiPriority w:val="9"/>
    <w:pPr>
      <w:keepNext/>
      <w:keepLines/>
      <w:spacing w:before="260" w:after="260"/>
      <w:ind w:firstLine="0" w:firstLineChars="0"/>
      <w:outlineLvl w:val="1"/>
    </w:pPr>
    <w:rPr>
      <w:rFonts w:asciiTheme="majorHAnsi" w:hAnsiTheme="majorHAnsi" w:cstheme="majorBidi"/>
      <w:b/>
      <w:bCs/>
      <w:sz w:val="32"/>
      <w:szCs w:val="32"/>
    </w:rPr>
  </w:style>
  <w:style w:type="paragraph" w:styleId="4">
    <w:name w:val="heading 3"/>
    <w:basedOn w:val="1"/>
    <w:next w:val="1"/>
    <w:link w:val="23"/>
    <w:semiHidden/>
    <w:qFormat/>
    <w:uiPriority w:val="9"/>
    <w:pPr>
      <w:keepNext/>
      <w:keepLines/>
      <w:spacing w:before="260" w:after="260"/>
      <w:ind w:firstLine="0" w:firstLineChars="0"/>
      <w:outlineLvl w:val="2"/>
    </w:pPr>
    <w:rPr>
      <w:b/>
      <w:bCs/>
      <w:sz w:val="30"/>
      <w:szCs w:val="32"/>
    </w:rPr>
  </w:style>
  <w:style w:type="paragraph" w:styleId="5">
    <w:name w:val="heading 4"/>
    <w:basedOn w:val="1"/>
    <w:next w:val="1"/>
    <w:link w:val="25"/>
    <w:semiHidden/>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4"/>
    <w:semiHidden/>
    <w:qFormat/>
    <w:uiPriority w:val="9"/>
    <w:pPr>
      <w:keepNext/>
      <w:keepLines/>
      <w:spacing w:before="280" w:after="290" w:line="480" w:lineRule="auto"/>
      <w:ind w:firstLine="0" w:firstLineChars="0"/>
      <w:outlineLvl w:val="4"/>
    </w:pPr>
    <w:rPr>
      <w:b/>
      <w:bCs/>
      <w:szCs w:val="28"/>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7">
    <w:name w:val="annotation text"/>
    <w:basedOn w:val="1"/>
    <w:link w:val="46"/>
    <w:semiHidden/>
    <w:qFormat/>
    <w:uiPriority w:val="99"/>
  </w:style>
  <w:style w:type="paragraph" w:styleId="8">
    <w:name w:val="Body Text"/>
    <w:basedOn w:val="1"/>
    <w:link w:val="48"/>
    <w:qFormat/>
    <w:uiPriority w:val="99"/>
    <w:pPr>
      <w:spacing w:after="120" w:line="240" w:lineRule="auto"/>
      <w:ind w:firstLine="0" w:firstLineChars="0"/>
      <w:jc w:val="both"/>
    </w:pPr>
    <w:rPr>
      <w:rFonts w:ascii="Times New Roman" w:hAnsi="Times New Roman" w:eastAsia="宋体" w:cs="Times New Roman"/>
      <w:kern w:val="0"/>
      <w:sz w:val="32"/>
      <w:szCs w:val="32"/>
    </w:rPr>
  </w:style>
  <w:style w:type="paragraph" w:styleId="9">
    <w:name w:val="toc 3"/>
    <w:basedOn w:val="1"/>
    <w:next w:val="1"/>
    <w:unhideWhenUsed/>
    <w:qFormat/>
    <w:uiPriority w:val="39"/>
    <w:pPr>
      <w:widowControl/>
      <w:tabs>
        <w:tab w:val="right" w:leader="dot" w:pos="8302"/>
      </w:tabs>
      <w:spacing w:after="100" w:line="259" w:lineRule="auto"/>
      <w:ind w:left="284" w:firstLine="0" w:firstLineChars="0"/>
    </w:pPr>
    <w:rPr>
      <w:rFonts w:ascii="仿宋_GB2312" w:eastAsia="仿宋_GB2312" w:cs="Times New Roman"/>
      <w:spacing w:val="-20"/>
      <w:sz w:val="32"/>
      <w:szCs w:val="32"/>
    </w:rPr>
  </w:style>
  <w:style w:type="paragraph" w:styleId="10">
    <w:name w:val="Balloon Text"/>
    <w:basedOn w:val="1"/>
    <w:link w:val="43"/>
    <w:semiHidden/>
    <w:qFormat/>
    <w:uiPriority w:val="99"/>
    <w:pPr>
      <w:spacing w:line="240" w:lineRule="auto"/>
    </w:pPr>
    <w:rPr>
      <w:sz w:val="18"/>
      <w:szCs w:val="18"/>
    </w:rPr>
  </w:style>
  <w:style w:type="paragraph" w:styleId="11">
    <w:name w:val="footer"/>
    <w:basedOn w:val="1"/>
    <w:link w:val="42"/>
    <w:qFormat/>
    <w:uiPriority w:val="99"/>
    <w:pPr>
      <w:tabs>
        <w:tab w:val="center" w:pos="4153"/>
        <w:tab w:val="right" w:pos="8306"/>
      </w:tabs>
      <w:snapToGrid w:val="0"/>
      <w:spacing w:line="240" w:lineRule="auto"/>
    </w:pPr>
    <w:rPr>
      <w:sz w:val="18"/>
      <w:szCs w:val="18"/>
    </w:rPr>
  </w:style>
  <w:style w:type="paragraph" w:styleId="12">
    <w:name w:val="header"/>
    <w:basedOn w:val="1"/>
    <w:link w:val="54"/>
    <w:semiHidden/>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3">
    <w:name w:val="toc 1"/>
    <w:basedOn w:val="1"/>
    <w:next w:val="1"/>
    <w:semiHidden/>
    <w:qFormat/>
    <w:uiPriority w:val="39"/>
  </w:style>
  <w:style w:type="paragraph" w:styleId="14">
    <w:name w:val="toc 2"/>
    <w:basedOn w:val="1"/>
    <w:next w:val="1"/>
    <w:unhideWhenUsed/>
    <w:qFormat/>
    <w:uiPriority w:val="39"/>
    <w:pPr>
      <w:widowControl/>
      <w:tabs>
        <w:tab w:val="right" w:leader="dot" w:pos="8302"/>
      </w:tabs>
      <w:spacing w:after="100" w:line="259" w:lineRule="auto"/>
      <w:ind w:firstLine="0" w:firstLineChars="0"/>
    </w:pPr>
    <w:rPr>
      <w:rFonts w:ascii="仿宋_GB2312" w:eastAsia="仿宋_GB2312" w:cs="Times New Roman"/>
      <w:b/>
      <w:kern w:val="0"/>
      <w:sz w:val="32"/>
      <w:szCs w:val="32"/>
    </w:rPr>
  </w:style>
  <w:style w:type="paragraph" w:styleId="15">
    <w:name w:val="annotation subject"/>
    <w:basedOn w:val="7"/>
    <w:next w:val="7"/>
    <w:link w:val="47"/>
    <w:semiHidden/>
    <w:qFormat/>
    <w:uiPriority w:val="99"/>
    <w:rPr>
      <w:b/>
      <w:bCs/>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character" w:styleId="20">
    <w:name w:val="annotation reference"/>
    <w:basedOn w:val="18"/>
    <w:semiHidden/>
    <w:qFormat/>
    <w:uiPriority w:val="99"/>
    <w:rPr>
      <w:sz w:val="21"/>
      <w:szCs w:val="21"/>
    </w:rPr>
  </w:style>
  <w:style w:type="character" w:customStyle="1" w:styleId="21">
    <w:name w:val="标题 1 字符"/>
    <w:basedOn w:val="18"/>
    <w:link w:val="2"/>
    <w:semiHidden/>
    <w:qFormat/>
    <w:uiPriority w:val="9"/>
    <w:rPr>
      <w:b/>
      <w:bCs/>
      <w:kern w:val="44"/>
      <w:sz w:val="44"/>
      <w:szCs w:val="44"/>
    </w:rPr>
  </w:style>
  <w:style w:type="character" w:customStyle="1" w:styleId="22">
    <w:name w:val="标题 2 字符"/>
    <w:basedOn w:val="18"/>
    <w:link w:val="3"/>
    <w:semiHidden/>
    <w:qFormat/>
    <w:uiPriority w:val="9"/>
    <w:rPr>
      <w:rFonts w:asciiTheme="majorHAnsi" w:hAnsiTheme="majorHAnsi" w:cstheme="majorBidi"/>
      <w:b/>
      <w:bCs/>
      <w:sz w:val="32"/>
      <w:szCs w:val="32"/>
    </w:rPr>
  </w:style>
  <w:style w:type="character" w:customStyle="1" w:styleId="23">
    <w:name w:val="标题 3 字符"/>
    <w:basedOn w:val="18"/>
    <w:link w:val="4"/>
    <w:semiHidden/>
    <w:qFormat/>
    <w:uiPriority w:val="9"/>
    <w:rPr>
      <w:b/>
      <w:bCs/>
      <w:sz w:val="30"/>
      <w:szCs w:val="32"/>
    </w:rPr>
  </w:style>
  <w:style w:type="character" w:customStyle="1" w:styleId="24">
    <w:name w:val="标题 5 字符"/>
    <w:basedOn w:val="18"/>
    <w:link w:val="6"/>
    <w:semiHidden/>
    <w:qFormat/>
    <w:uiPriority w:val="9"/>
    <w:rPr>
      <w:b/>
      <w:bCs/>
      <w:szCs w:val="28"/>
    </w:rPr>
  </w:style>
  <w:style w:type="character" w:customStyle="1" w:styleId="25">
    <w:name w:val="标题 4 字符"/>
    <w:basedOn w:val="18"/>
    <w:link w:val="5"/>
    <w:semiHidden/>
    <w:qFormat/>
    <w:uiPriority w:val="9"/>
    <w:rPr>
      <w:rFonts w:asciiTheme="majorHAnsi" w:hAnsiTheme="majorHAnsi" w:eastAsiaTheme="majorEastAsia" w:cstheme="majorBidi"/>
      <w:b/>
      <w:bCs/>
      <w:sz w:val="28"/>
      <w:szCs w:val="28"/>
    </w:rPr>
  </w:style>
  <w:style w:type="paragraph" w:customStyle="1" w:styleId="26">
    <w:name w:val="市局绩效-标题"/>
    <w:basedOn w:val="2"/>
    <w:link w:val="28"/>
    <w:qFormat/>
    <w:uiPriority w:val="0"/>
    <w:pPr>
      <w:spacing w:line="600" w:lineRule="exact"/>
    </w:pPr>
    <w:rPr>
      <w:rFonts w:ascii="方正小标宋简体" w:hAnsi="方正小标宋简体" w:eastAsia="方正小标宋简体"/>
      <w:b w:val="0"/>
    </w:rPr>
  </w:style>
  <w:style w:type="paragraph" w:customStyle="1" w:styleId="27">
    <w:name w:val="市局绩效-正文"/>
    <w:basedOn w:val="1"/>
    <w:link w:val="30"/>
    <w:qFormat/>
    <w:uiPriority w:val="0"/>
    <w:pPr>
      <w:spacing w:line="600" w:lineRule="exact"/>
      <w:jc w:val="both"/>
    </w:pPr>
    <w:rPr>
      <w:rFonts w:ascii="Times New Roman" w:hAnsi="Times New Roman" w:eastAsia="仿宋_GB2312"/>
      <w:sz w:val="32"/>
    </w:rPr>
  </w:style>
  <w:style w:type="character" w:customStyle="1" w:styleId="28">
    <w:name w:val="市局绩效-标题 字符"/>
    <w:basedOn w:val="21"/>
    <w:link w:val="26"/>
    <w:qFormat/>
    <w:uiPriority w:val="0"/>
    <w:rPr>
      <w:rFonts w:ascii="方正小标宋简体" w:hAnsi="方正小标宋简体" w:eastAsia="方正小标宋简体"/>
      <w:b w:val="0"/>
      <w:kern w:val="44"/>
      <w:sz w:val="44"/>
      <w:szCs w:val="44"/>
    </w:rPr>
  </w:style>
  <w:style w:type="paragraph" w:customStyle="1" w:styleId="29">
    <w:name w:val="市局绩效-一级标题"/>
    <w:basedOn w:val="3"/>
    <w:link w:val="32"/>
    <w:qFormat/>
    <w:uiPriority w:val="0"/>
    <w:pPr>
      <w:spacing w:before="0" w:after="0" w:line="600" w:lineRule="exact"/>
      <w:ind w:firstLine="641"/>
      <w:jc w:val="both"/>
    </w:pPr>
    <w:rPr>
      <w:rFonts w:ascii="Times New Roman" w:hAnsi="Times New Roman" w:eastAsia="黑体"/>
      <w:b w:val="0"/>
    </w:rPr>
  </w:style>
  <w:style w:type="character" w:customStyle="1" w:styleId="30">
    <w:name w:val="市局绩效-正文 字符"/>
    <w:basedOn w:val="18"/>
    <w:link w:val="27"/>
    <w:qFormat/>
    <w:uiPriority w:val="0"/>
    <w:rPr>
      <w:rFonts w:ascii="Times New Roman" w:hAnsi="Times New Roman" w:eastAsia="仿宋_GB2312"/>
      <w:sz w:val="32"/>
    </w:rPr>
  </w:style>
  <w:style w:type="paragraph" w:customStyle="1" w:styleId="31">
    <w:name w:val="市局绩效-二级标题"/>
    <w:basedOn w:val="4"/>
    <w:link w:val="33"/>
    <w:qFormat/>
    <w:uiPriority w:val="0"/>
    <w:pPr>
      <w:spacing w:before="0" w:after="0" w:line="600" w:lineRule="exact"/>
      <w:ind w:firstLine="200" w:firstLineChars="200"/>
      <w:jc w:val="both"/>
    </w:pPr>
    <w:rPr>
      <w:rFonts w:eastAsia="楷体_GB2312"/>
      <w:b w:val="0"/>
      <w:sz w:val="32"/>
    </w:rPr>
  </w:style>
  <w:style w:type="character" w:customStyle="1" w:styleId="32">
    <w:name w:val="市局绩效-一级标题 字符"/>
    <w:basedOn w:val="22"/>
    <w:link w:val="29"/>
    <w:qFormat/>
    <w:uiPriority w:val="0"/>
    <w:rPr>
      <w:rFonts w:ascii="Times New Roman" w:hAnsi="Times New Roman" w:eastAsia="黑体" w:cstheme="majorBidi"/>
      <w:b w:val="0"/>
      <w:sz w:val="32"/>
      <w:szCs w:val="32"/>
    </w:rPr>
  </w:style>
  <w:style w:type="character" w:customStyle="1" w:styleId="33">
    <w:name w:val="市局绩效-二级标题 字符"/>
    <w:basedOn w:val="23"/>
    <w:link w:val="31"/>
    <w:qFormat/>
    <w:uiPriority w:val="0"/>
    <w:rPr>
      <w:rFonts w:eastAsia="楷体_GB2312"/>
      <w:b w:val="0"/>
      <w:sz w:val="32"/>
      <w:szCs w:val="32"/>
    </w:rPr>
  </w:style>
  <w:style w:type="paragraph" w:customStyle="1" w:styleId="34">
    <w:name w:val="市局绩效-表格标题"/>
    <w:basedOn w:val="1"/>
    <w:link w:val="36"/>
    <w:qFormat/>
    <w:uiPriority w:val="0"/>
    <w:pPr>
      <w:widowControl/>
      <w:spacing w:line="240" w:lineRule="auto"/>
      <w:ind w:firstLine="0" w:firstLineChars="0"/>
      <w:jc w:val="center"/>
    </w:pPr>
    <w:rPr>
      <w:rFonts w:ascii="Times New Roman" w:hAnsi="Times New Roman" w:eastAsia="宋体" w:cs="Times New Roman"/>
      <w:bCs/>
      <w:sz w:val="24"/>
      <w:szCs w:val="24"/>
    </w:rPr>
  </w:style>
  <w:style w:type="paragraph" w:customStyle="1" w:styleId="35">
    <w:name w:val="市局绩效-表格单位"/>
    <w:basedOn w:val="1"/>
    <w:link w:val="38"/>
    <w:qFormat/>
    <w:uiPriority w:val="0"/>
    <w:pPr>
      <w:widowControl/>
      <w:spacing w:line="240" w:lineRule="auto"/>
      <w:ind w:firstLine="0" w:firstLineChars="0"/>
      <w:jc w:val="right"/>
    </w:pPr>
    <w:rPr>
      <w:rFonts w:ascii="Times New Roman" w:hAnsi="Times New Roman" w:eastAsia="宋体"/>
      <w:bCs/>
      <w:szCs w:val="18"/>
    </w:rPr>
  </w:style>
  <w:style w:type="character" w:customStyle="1" w:styleId="36">
    <w:name w:val="市局绩效-表格标题 字符"/>
    <w:basedOn w:val="18"/>
    <w:link w:val="34"/>
    <w:qFormat/>
    <w:uiPriority w:val="0"/>
    <w:rPr>
      <w:rFonts w:ascii="Times New Roman" w:hAnsi="Times New Roman" w:eastAsia="宋体" w:cs="Times New Roman"/>
      <w:bCs/>
      <w:sz w:val="24"/>
      <w:szCs w:val="24"/>
    </w:rPr>
  </w:style>
  <w:style w:type="paragraph" w:customStyle="1" w:styleId="37">
    <w:name w:val="市局绩效-表格表头"/>
    <w:basedOn w:val="27"/>
    <w:link w:val="40"/>
    <w:qFormat/>
    <w:uiPriority w:val="0"/>
    <w:pPr>
      <w:spacing w:line="240" w:lineRule="auto"/>
      <w:ind w:firstLine="0" w:firstLineChars="0"/>
      <w:jc w:val="center"/>
    </w:pPr>
    <w:rPr>
      <w:rFonts w:eastAsia="宋体"/>
      <w:b/>
      <w:sz w:val="21"/>
    </w:rPr>
  </w:style>
  <w:style w:type="character" w:customStyle="1" w:styleId="38">
    <w:name w:val="市局绩效-表格单位 字符"/>
    <w:basedOn w:val="18"/>
    <w:link w:val="35"/>
    <w:qFormat/>
    <w:uiPriority w:val="0"/>
    <w:rPr>
      <w:rFonts w:ascii="Times New Roman" w:hAnsi="Times New Roman" w:eastAsia="宋体"/>
      <w:bCs/>
      <w:szCs w:val="18"/>
    </w:rPr>
  </w:style>
  <w:style w:type="paragraph" w:customStyle="1" w:styleId="39">
    <w:name w:val="市局绩效-表格内容"/>
    <w:basedOn w:val="27"/>
    <w:link w:val="41"/>
    <w:qFormat/>
    <w:uiPriority w:val="0"/>
    <w:pPr>
      <w:spacing w:line="240" w:lineRule="auto"/>
      <w:ind w:firstLine="0" w:firstLineChars="0"/>
    </w:pPr>
    <w:rPr>
      <w:rFonts w:eastAsia="宋体"/>
      <w:sz w:val="21"/>
    </w:rPr>
  </w:style>
  <w:style w:type="character" w:customStyle="1" w:styleId="40">
    <w:name w:val="市局绩效-表格表头 字符"/>
    <w:basedOn w:val="30"/>
    <w:link w:val="37"/>
    <w:qFormat/>
    <w:uiPriority w:val="0"/>
    <w:rPr>
      <w:rFonts w:ascii="Times New Roman" w:hAnsi="Times New Roman" w:eastAsia="宋体"/>
      <w:b/>
      <w:sz w:val="32"/>
    </w:rPr>
  </w:style>
  <w:style w:type="character" w:customStyle="1" w:styleId="41">
    <w:name w:val="市局绩效-表格内容 字符"/>
    <w:basedOn w:val="30"/>
    <w:link w:val="39"/>
    <w:qFormat/>
    <w:uiPriority w:val="0"/>
    <w:rPr>
      <w:rFonts w:ascii="Times New Roman" w:hAnsi="Times New Roman" w:eastAsia="宋体"/>
      <w:sz w:val="32"/>
    </w:rPr>
  </w:style>
  <w:style w:type="character" w:customStyle="1" w:styleId="42">
    <w:name w:val="页脚 字符"/>
    <w:basedOn w:val="18"/>
    <w:link w:val="11"/>
    <w:qFormat/>
    <w:uiPriority w:val="99"/>
    <w:rPr>
      <w:sz w:val="18"/>
      <w:szCs w:val="18"/>
    </w:rPr>
  </w:style>
  <w:style w:type="character" w:customStyle="1" w:styleId="43">
    <w:name w:val="批注框文本 字符"/>
    <w:basedOn w:val="18"/>
    <w:link w:val="10"/>
    <w:semiHidden/>
    <w:qFormat/>
    <w:uiPriority w:val="99"/>
    <w:rPr>
      <w:sz w:val="18"/>
      <w:szCs w:val="18"/>
    </w:rPr>
  </w:style>
  <w:style w:type="paragraph" w:customStyle="1" w:styleId="44">
    <w:name w:val="市局绩效-注"/>
    <w:basedOn w:val="27"/>
    <w:link w:val="45"/>
    <w:qFormat/>
    <w:uiPriority w:val="0"/>
    <w:pPr>
      <w:ind w:firstLine="0" w:firstLineChars="0"/>
    </w:pPr>
    <w:rPr>
      <w:rFonts w:eastAsia="宋体"/>
      <w:bCs/>
      <w:sz w:val="21"/>
    </w:rPr>
  </w:style>
  <w:style w:type="character" w:customStyle="1" w:styleId="45">
    <w:name w:val="市局绩效-注 字符"/>
    <w:basedOn w:val="30"/>
    <w:link w:val="44"/>
    <w:qFormat/>
    <w:uiPriority w:val="0"/>
    <w:rPr>
      <w:rFonts w:ascii="Times New Roman" w:hAnsi="Times New Roman" w:eastAsia="宋体"/>
      <w:bCs/>
      <w:sz w:val="32"/>
    </w:rPr>
  </w:style>
  <w:style w:type="character" w:customStyle="1" w:styleId="46">
    <w:name w:val="批注文字 字符"/>
    <w:basedOn w:val="18"/>
    <w:link w:val="7"/>
    <w:semiHidden/>
    <w:qFormat/>
    <w:uiPriority w:val="99"/>
  </w:style>
  <w:style w:type="character" w:customStyle="1" w:styleId="47">
    <w:name w:val="批注主题 字符"/>
    <w:basedOn w:val="46"/>
    <w:link w:val="15"/>
    <w:semiHidden/>
    <w:qFormat/>
    <w:uiPriority w:val="99"/>
    <w:rPr>
      <w:b/>
      <w:bCs/>
    </w:rPr>
  </w:style>
  <w:style w:type="character" w:customStyle="1" w:styleId="48">
    <w:name w:val="正文文本 字符"/>
    <w:basedOn w:val="18"/>
    <w:link w:val="8"/>
    <w:qFormat/>
    <w:uiPriority w:val="99"/>
    <w:rPr>
      <w:rFonts w:ascii="Times New Roman" w:hAnsi="Times New Roman" w:eastAsia="宋体" w:cs="Times New Roman"/>
      <w:kern w:val="0"/>
      <w:sz w:val="32"/>
      <w:szCs w:val="32"/>
    </w:rPr>
  </w:style>
  <w:style w:type="table" w:customStyle="1" w:styleId="49">
    <w:name w:val="TableGrid"/>
    <w:qFormat/>
    <w:uiPriority w:val="0"/>
    <w:rPr>
      <w:kern w:val="2"/>
      <w:sz w:val="21"/>
      <w:szCs w:val="22"/>
    </w:rPr>
    <w:tblPr>
      <w:tblCellMar>
        <w:top w:w="0" w:type="dxa"/>
        <w:left w:w="0" w:type="dxa"/>
        <w:bottom w:w="0" w:type="dxa"/>
        <w:right w:w="0" w:type="dxa"/>
      </w:tblCellMar>
    </w:tblPr>
  </w:style>
  <w:style w:type="paragraph" w:customStyle="1" w:styleId="50">
    <w:name w:val="绩效正文"/>
    <w:basedOn w:val="1"/>
    <w:link w:val="51"/>
    <w:qFormat/>
    <w:uiPriority w:val="0"/>
    <w:pPr>
      <w:spacing w:line="480" w:lineRule="exact"/>
      <w:textAlignment w:val="baseline"/>
    </w:pPr>
    <w:rPr>
      <w:rFonts w:ascii="Times New Roman" w:hAnsi="Times New Roman" w:eastAsia="仿宋" w:cs="Times New Roman"/>
      <w:sz w:val="28"/>
      <w:szCs w:val="24"/>
    </w:rPr>
  </w:style>
  <w:style w:type="character" w:customStyle="1" w:styleId="51">
    <w:name w:val="绩效正文 字符"/>
    <w:basedOn w:val="18"/>
    <w:link w:val="50"/>
    <w:qFormat/>
    <w:uiPriority w:val="0"/>
    <w:rPr>
      <w:rFonts w:ascii="Times New Roman" w:hAnsi="Times New Roman" w:eastAsia="仿宋" w:cs="Times New Roman"/>
      <w:kern w:val="2"/>
      <w:sz w:val="28"/>
      <w:szCs w:val="24"/>
    </w:rPr>
  </w:style>
  <w:style w:type="paragraph" w:customStyle="1" w:styleId="52">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53">
    <w:name w:val="TOC 标题2"/>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54">
    <w:name w:val="页眉 字符"/>
    <w:basedOn w:val="18"/>
    <w:link w:val="1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HP</Company>
  <Pages>27</Pages>
  <Words>1927</Words>
  <Characters>10989</Characters>
  <Lines>91</Lines>
  <Paragraphs>25</Paragraphs>
  <TotalTime>4</TotalTime>
  <ScaleCrop>false</ScaleCrop>
  <LinksUpToDate>false</LinksUpToDate>
  <CharactersWithSpaces>12891</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2022-11-08T02:16:00Z</dcterms:created>
  <dc:creator>忠晔 张</dc:creator>
  <cp:lastModifiedBy>Admin</cp:lastModifiedBy>
  <cp:lastPrinted>2022-08-31T10:41:00Z</cp:lastPrinted>
  <dcterms:modified xsi:type="dcterms:W3CDTF">2023-10-09T08:02:32Z</dcterms:modified>
  <cp:revision>753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5FBB7045FB734518992F213AED159B8F</vt:lpwstr>
  </property>
  <property fmtid="{D5CDD505-2E9C-101B-9397-08002B2CF9AE}" pid="4" name="_DocHome">
    <vt:i4>-200525321</vt:i4>
  </property>
</Properties>
</file>