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Times New Roman" w:hAnsi="Times New Roman" w:eastAsia="方正小标宋简体"/>
          <w:sz w:val="52"/>
          <w:szCs w:val="52"/>
        </w:rPr>
      </w:pPr>
      <w:r>
        <w:rPr>
          <w:rFonts w:hint="eastAsia" w:ascii="Times New Roman" w:hAnsi="Times New Roman" w:eastAsia="方正小标宋简体"/>
          <w:sz w:val="52"/>
          <w:szCs w:val="52"/>
        </w:rPr>
        <w:t>部门整体</w:t>
      </w:r>
      <w:r>
        <w:rPr>
          <w:rFonts w:ascii="Times New Roman" w:hAnsi="Times New Roman" w:eastAsia="方正小标宋简体"/>
          <w:sz w:val="52"/>
          <w:szCs w:val="52"/>
        </w:rPr>
        <w:t>支出</w:t>
      </w:r>
      <w:r>
        <w:rPr>
          <w:rFonts w:hint="eastAsia" w:ascii="Times New Roman" w:hAnsi="Times New Roman" w:eastAsia="方正小标宋简体"/>
          <w:sz w:val="52"/>
          <w:szCs w:val="52"/>
        </w:rPr>
        <w:t>绩效评价</w:t>
      </w:r>
      <w:r>
        <w:rPr>
          <w:rFonts w:ascii="Times New Roman" w:hAnsi="Times New Roman" w:eastAsia="方正小标宋简体"/>
          <w:sz w:val="52"/>
          <w:szCs w:val="52"/>
        </w:rPr>
        <w:t>报告</w:t>
      </w:r>
    </w:p>
    <w:p>
      <w:pPr>
        <w:spacing w:line="800" w:lineRule="exact"/>
        <w:ind w:firstLine="0" w:firstLineChars="0"/>
        <w:jc w:val="center"/>
        <w:rPr>
          <w:rFonts w:ascii="Times New Roman" w:hAnsi="Times New Roman" w:eastAsia="方正小标宋简体"/>
          <w:sz w:val="48"/>
          <w:szCs w:val="44"/>
        </w:rPr>
      </w:pPr>
      <w:r>
        <w:rPr>
          <w:rFonts w:ascii="Times New Roman" w:hAnsi="Times New Roman" w:eastAsia="方正小标宋简体"/>
          <w:sz w:val="40"/>
          <w:szCs w:val="36"/>
        </w:rPr>
        <w:t>（</w:t>
      </w:r>
      <w:r>
        <w:rPr>
          <w:rFonts w:ascii="Times New Roman" w:hAnsi="Times New Roman" w:eastAsia="方正小标宋简体" w:cs="Times New Roman"/>
          <w:sz w:val="40"/>
          <w:szCs w:val="40"/>
        </w:rPr>
        <w:t>2022</w:t>
      </w:r>
      <w:r>
        <w:rPr>
          <w:rFonts w:ascii="Times New Roman" w:hAnsi="Times New Roman" w:eastAsia="方正小标宋简体"/>
          <w:sz w:val="40"/>
          <w:szCs w:val="36"/>
        </w:rPr>
        <w:t>年度）</w:t>
      </w: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600" w:lineRule="exact"/>
        <w:ind w:firstLine="0" w:firstLineChars="0"/>
        <w:rPr>
          <w:rFonts w:ascii="Times New Roman" w:hAnsi="Times New Roman" w:eastAsia="黑体"/>
          <w:sz w:val="32"/>
          <w:szCs w:val="32"/>
        </w:rPr>
      </w:pPr>
    </w:p>
    <w:p>
      <w:pPr>
        <w:spacing w:line="900" w:lineRule="exact"/>
        <w:ind w:firstLine="0" w:firstLineChars="0"/>
        <w:rPr>
          <w:rFonts w:ascii="Times New Roman" w:hAnsi="Times New Roman" w:eastAsia="仿宋_GB2312"/>
          <w:sz w:val="32"/>
          <w:szCs w:val="32"/>
          <w:u w:val="single"/>
        </w:rPr>
      </w:pPr>
      <w:r>
        <w:rPr>
          <w:rFonts w:hint="eastAsia" w:ascii="Times New Roman" w:hAnsi="Times New Roman" w:eastAsia="仿宋_GB2312"/>
          <w:sz w:val="32"/>
          <w:szCs w:val="32"/>
        </w:rPr>
        <w:t>部</w:t>
      </w:r>
      <w:r>
        <w:rPr>
          <w:rFonts w:ascii="Times New Roman" w:hAnsi="Times New Roman" w:eastAsia="仿宋_GB2312"/>
          <w:sz w:val="32"/>
          <w:szCs w:val="32"/>
        </w:rPr>
        <w:t xml:space="preserve"> </w:t>
      </w:r>
      <w:r>
        <w:rPr>
          <w:rFonts w:hint="eastAsia" w:ascii="Times New Roman" w:hAnsi="Times New Roman" w:eastAsia="仿宋_GB2312"/>
          <w:sz w:val="32"/>
          <w:szCs w:val="32"/>
        </w:rPr>
        <w:t>门</w:t>
      </w:r>
      <w:r>
        <w:rPr>
          <w:rFonts w:ascii="Times New Roman" w:hAnsi="Times New Roman" w:eastAsia="仿宋_GB2312"/>
          <w:sz w:val="32"/>
          <w:szCs w:val="32"/>
        </w:rPr>
        <w:t xml:space="preserve"> 名 称：</w:t>
      </w:r>
      <w:r>
        <w:rPr>
          <w:rFonts w:ascii="Times New Roman" w:hAnsi="Times New Roman" w:eastAsia="仿宋_GB2312"/>
          <w:sz w:val="32"/>
          <w:szCs w:val="32"/>
          <w:u w:val="single"/>
        </w:rPr>
        <w:t xml:space="preserve"> </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cs="Times New Roman"/>
          <w:spacing w:val="-20"/>
          <w:sz w:val="32"/>
          <w:szCs w:val="32"/>
          <w:u w:val="single"/>
        </w:rPr>
        <w:t>天津市和平区人民政府合作交流办公室</w:t>
      </w:r>
      <w:r>
        <w:rPr>
          <w:rFonts w:ascii="Times New Roman" w:hAnsi="Times New Roman" w:eastAsia="仿宋_GB2312" w:cs="Times New Roman"/>
          <w:spacing w:val="-20"/>
          <w:sz w:val="32"/>
          <w:szCs w:val="32"/>
          <w:u w:val="single"/>
        </w:rPr>
        <w:t xml:space="preserve">       </w:t>
      </w:r>
      <w:r>
        <w:rPr>
          <w:rFonts w:hint="eastAsia" w:ascii="Times New Roman" w:hAnsi="Times New Roman" w:eastAsia="仿宋_GB2312"/>
          <w:spacing w:val="-20"/>
          <w:sz w:val="32"/>
          <w:szCs w:val="32"/>
          <w:u w:val="single"/>
        </w:rPr>
        <w:t xml:space="preserve"> </w:t>
      </w:r>
    </w:p>
    <w:p>
      <w:pPr>
        <w:spacing w:line="900" w:lineRule="exact"/>
        <w:ind w:firstLine="0" w:firstLineChars="0"/>
        <w:rPr>
          <w:rFonts w:ascii="Times New Roman" w:hAnsi="Times New Roman" w:eastAsia="仿宋_GB2312"/>
          <w:sz w:val="32"/>
          <w:szCs w:val="32"/>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 xml:space="preserve">价 </w:t>
      </w:r>
      <w:r>
        <w:rPr>
          <w:rFonts w:ascii="Times New Roman" w:hAnsi="Times New Roman" w:eastAsia="仿宋_GB2312"/>
          <w:sz w:val="32"/>
          <w:szCs w:val="32"/>
        </w:rPr>
        <w:t>机 构</w:t>
      </w:r>
      <w:r>
        <w:rPr>
          <w:rFonts w:hint="eastAsia" w:ascii="Times New Roman" w:hAnsi="Times New Roman" w:eastAsia="仿宋_GB2312"/>
          <w:sz w:val="32"/>
          <w:szCs w:val="32"/>
        </w:rPr>
        <w:t>：</w:t>
      </w:r>
      <w:r>
        <w:rPr>
          <w:rFonts w:ascii="Times New Roman" w:hAnsi="Times New Roman" w:eastAsia="仿宋_GB2312"/>
          <w:sz w:val="32"/>
          <w:szCs w:val="32"/>
          <w:u w:val="single"/>
        </w:rPr>
        <w:t xml:space="preserve">         天津</w:t>
      </w:r>
      <w:r>
        <w:rPr>
          <w:rFonts w:hint="eastAsia" w:ascii="Times New Roman" w:hAnsi="Times New Roman" w:eastAsia="仿宋_GB2312"/>
          <w:sz w:val="32"/>
          <w:szCs w:val="32"/>
          <w:u w:val="single"/>
        </w:rPr>
        <w:t>安信管理咨询</w:t>
      </w:r>
      <w:r>
        <w:rPr>
          <w:rFonts w:ascii="Times New Roman" w:hAnsi="Times New Roman" w:eastAsia="仿宋_GB2312"/>
          <w:sz w:val="32"/>
          <w:szCs w:val="32"/>
          <w:u w:val="single"/>
        </w:rPr>
        <w:t>有限公司</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spacing w:line="900" w:lineRule="exact"/>
        <w:ind w:firstLine="0" w:firstLineChars="0"/>
        <w:rPr>
          <w:rFonts w:ascii="Times New Roman" w:hAnsi="Times New Roman" w:eastAsia="仿宋_GB2312"/>
          <w:sz w:val="32"/>
          <w:szCs w:val="32"/>
          <w:u w:val="single"/>
        </w:rPr>
      </w:pPr>
      <w:r>
        <w:rPr>
          <w:rFonts w:ascii="Times New Roman" w:hAnsi="Times New Roman" w:eastAsia="仿宋_GB2312"/>
          <w:sz w:val="32"/>
          <w:szCs w:val="32"/>
        </w:rPr>
        <w:t xml:space="preserve">评 </w:t>
      </w:r>
      <w:r>
        <w:rPr>
          <w:rFonts w:hint="eastAsia" w:ascii="Times New Roman" w:hAnsi="Times New Roman" w:eastAsia="仿宋_GB2312"/>
          <w:sz w:val="32"/>
          <w:szCs w:val="32"/>
        </w:rPr>
        <w:t>价</w:t>
      </w:r>
      <w:r>
        <w:rPr>
          <w:rFonts w:ascii="Times New Roman" w:hAnsi="Times New Roman" w:eastAsia="仿宋_GB2312"/>
          <w:sz w:val="32"/>
          <w:szCs w:val="32"/>
        </w:rPr>
        <w:t xml:space="preserve"> 日 期：</w:t>
      </w:r>
      <w:r>
        <w:rPr>
          <w:rFonts w:ascii="Times New Roman" w:hAnsi="Times New Roman" w:eastAsia="仿宋_GB2312"/>
          <w:sz w:val="32"/>
          <w:szCs w:val="32"/>
          <w:u w:val="single"/>
        </w:rPr>
        <w:t xml:space="preserve">          </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7</w:t>
      </w:r>
      <w:r>
        <w:rPr>
          <w:rFonts w:hint="eastAsia" w:ascii="Times New Roman" w:hAnsi="Times New Roman" w:eastAsia="仿宋_GB2312"/>
          <w:sz w:val="32"/>
          <w:szCs w:val="32"/>
          <w:u w:val="single"/>
        </w:rPr>
        <w:t>月-</w:t>
      </w:r>
      <w:r>
        <w:rPr>
          <w:rFonts w:ascii="Times New Roman" w:hAnsi="Times New Roman" w:eastAsia="仿宋_GB2312" w:cs="Times New Roman"/>
          <w:sz w:val="32"/>
          <w:szCs w:val="32"/>
          <w:u w:val="single"/>
        </w:rPr>
        <w:t>2023</w:t>
      </w:r>
      <w:r>
        <w:rPr>
          <w:rFonts w:hint="eastAsia" w:ascii="Times New Roman" w:hAnsi="Times New Roman" w:eastAsia="仿宋_GB2312"/>
          <w:sz w:val="32"/>
          <w:szCs w:val="32"/>
          <w:u w:val="single"/>
        </w:rPr>
        <w:t>年</w:t>
      </w:r>
      <w:r>
        <w:rPr>
          <w:rFonts w:ascii="Times New Roman" w:hAnsi="Times New Roman" w:eastAsia="仿宋_GB2312" w:cs="Times New Roman"/>
          <w:sz w:val="32"/>
          <w:szCs w:val="32"/>
          <w:u w:val="single"/>
        </w:rPr>
        <w:t>10</w:t>
      </w:r>
      <w:r>
        <w:rPr>
          <w:rFonts w:hint="eastAsia" w:ascii="Times New Roman" w:hAnsi="Times New Roman" w:eastAsia="仿宋_GB2312"/>
          <w:sz w:val="32"/>
          <w:szCs w:val="32"/>
          <w:u w:val="single"/>
        </w:rPr>
        <w:t>月</w:t>
      </w:r>
      <w:r>
        <w:rPr>
          <w:rFonts w:ascii="Times New Roman" w:hAnsi="Times New Roman" w:eastAsia="仿宋_GB2312"/>
          <w:sz w:val="32"/>
          <w:szCs w:val="32"/>
          <w:u w:val="single"/>
        </w:rPr>
        <w:t xml:space="preserve">      </w:t>
      </w:r>
      <w:r>
        <w:rPr>
          <w:rFonts w:hint="eastAsia" w:ascii="Times New Roman" w:hAnsi="Times New Roman" w:eastAsia="仿宋_GB2312"/>
          <w:sz w:val="32"/>
          <w:szCs w:val="32"/>
          <w:u w:val="single"/>
        </w:rPr>
        <w:t xml:space="preserve">  </w:t>
      </w:r>
      <w:r>
        <w:rPr>
          <w:rFonts w:ascii="Times New Roman" w:hAnsi="Times New Roman" w:eastAsia="仿宋_GB2312"/>
          <w:sz w:val="32"/>
          <w:szCs w:val="32"/>
          <w:u w:val="single"/>
        </w:rPr>
        <w:t xml:space="preserve">  </w:t>
      </w:r>
    </w:p>
    <w:p>
      <w:pPr>
        <w:widowControl/>
        <w:spacing w:line="240" w:lineRule="auto"/>
        <w:ind w:firstLine="0" w:firstLineChars="0"/>
        <w:rPr>
          <w:rFonts w:ascii="Times New Roman" w:hAnsi="Times New Roman" w:eastAsia="方正小标宋简体"/>
          <w:bCs/>
          <w:color w:val="000000" w:themeColor="text1"/>
          <w:kern w:val="44"/>
          <w:sz w:val="44"/>
          <w:szCs w:val="44"/>
          <w14:textFill>
            <w14:solidFill>
              <w14:schemeClr w14:val="tx1"/>
            </w14:solidFill>
          </w14:textFill>
        </w:rPr>
      </w:pPr>
      <w:r>
        <w:rPr>
          <w:rFonts w:ascii="Times New Roman" w:hAnsi="Times New Roman" w:eastAsia="方正小标宋简体"/>
          <w:bCs/>
          <w:color w:val="000000" w:themeColor="text1"/>
          <w:kern w:val="44"/>
          <w:sz w:val="44"/>
          <w:szCs w:val="44"/>
          <w14:textFill>
            <w14:solidFill>
              <w14:schemeClr w14:val="tx1"/>
            </w14:solidFill>
          </w14:textFill>
        </w:rPr>
        <w:br w:type="page"/>
      </w:r>
    </w:p>
    <w:sdt>
      <w:sdtPr>
        <w:rPr>
          <w:rFonts w:ascii="Times New Roman" w:hAnsi="Times New Roman" w:eastAsiaTheme="minorEastAsia" w:cstheme="minorBidi"/>
          <w:color w:val="auto"/>
          <w:kern w:val="2"/>
          <w:sz w:val="21"/>
          <w:szCs w:val="21"/>
          <w:lang w:val="zh-CN"/>
        </w:rPr>
        <w:id w:val="-1"/>
        <w:docPartObj>
          <w:docPartGallery w:val="Table of Contents"/>
          <w:docPartUnique/>
        </w:docPartObj>
      </w:sdtPr>
      <w:sdtEndPr>
        <w:rPr>
          <w:rFonts w:ascii="Times New Roman" w:hAnsi="Times New Roman" w:eastAsiaTheme="majorEastAsia" w:cstheme="majorBidi"/>
          <w:b/>
          <w:bCs/>
          <w:color w:val="2F5597" w:themeColor="accent1" w:themeShade="BF"/>
          <w:kern w:val="0"/>
          <w:sz w:val="32"/>
          <w:szCs w:val="32"/>
          <w:lang w:val="zh-CN"/>
        </w:rPr>
      </w:sdtEndPr>
      <w:sdtContent>
        <w:p>
          <w:pPr>
            <w:pStyle w:val="46"/>
            <w:spacing w:line="600" w:lineRule="exact"/>
            <w:ind w:firstLine="420"/>
            <w:jc w:val="center"/>
            <w:rPr>
              <w:rFonts w:ascii="Times New Roman" w:hAnsi="Times New Roman"/>
            </w:rPr>
          </w:pPr>
          <w:r>
            <w:rPr>
              <w:rFonts w:hint="eastAsia" w:ascii="Times New Roman" w:hAnsi="Times New Roman" w:eastAsia="黑体" w:cs="黑体"/>
              <w:color w:val="auto"/>
            </w:rPr>
            <w:t>目  录</w:t>
          </w:r>
          <w:r>
            <w:rPr>
              <w:rFonts w:ascii="Times New Roman" w:hAnsi="Times New Roman" w:eastAsia="黑体" w:cs="黑体"/>
              <w:color w:val="auto"/>
            </w:rPr>
            <w:fldChar w:fldCharType="begin"/>
          </w:r>
          <w:r>
            <w:rPr>
              <w:rFonts w:ascii="Times New Roman" w:hAnsi="Times New Roman" w:eastAsia="黑体" w:cs="黑体"/>
              <w:color w:val="auto"/>
            </w:rPr>
            <w:instrText xml:space="preserve"> </w:instrText>
          </w:r>
          <w:r>
            <w:rPr>
              <w:rFonts w:hint="eastAsia" w:ascii="Times New Roman" w:hAnsi="Times New Roman" w:eastAsia="黑体" w:cs="黑体"/>
              <w:color w:val="auto"/>
            </w:rPr>
            <w:instrText xml:space="preserve">TOC \o "1-3" \h \z \u</w:instrText>
          </w:r>
          <w:r>
            <w:rPr>
              <w:rFonts w:ascii="Times New Roman" w:hAnsi="Times New Roman" w:eastAsia="黑体" w:cs="黑体"/>
              <w:color w:val="auto"/>
            </w:rPr>
            <w:instrText xml:space="preserve"> </w:instrText>
          </w:r>
          <w:r>
            <w:rPr>
              <w:rFonts w:ascii="Times New Roman" w:hAnsi="Times New Roman" w:eastAsia="黑体" w:cs="黑体"/>
              <w:color w:val="auto"/>
            </w:rPr>
            <w:fldChar w:fldCharType="separate"/>
          </w:r>
        </w:p>
        <w:p>
          <w:pPr>
            <w:pStyle w:val="12"/>
            <w:spacing w:line="600" w:lineRule="exact"/>
            <w:rPr>
              <w:rFonts w:eastAsiaTheme="minorEastAsia"/>
              <w:sz w:val="21"/>
              <w:szCs w:val="22"/>
            </w:rPr>
          </w:pPr>
          <w:r>
            <w:fldChar w:fldCharType="begin"/>
          </w:r>
          <w:r>
            <w:instrText xml:space="preserve"> HYPERLINK \l "_Toc142399162" </w:instrText>
          </w:r>
          <w:r>
            <w:fldChar w:fldCharType="separate"/>
          </w:r>
          <w:r>
            <w:rPr>
              <w:rStyle w:val="17"/>
            </w:rPr>
            <w:t>一、部门概况</w:t>
          </w:r>
          <w:r>
            <w:tab/>
          </w:r>
          <w:r>
            <w:fldChar w:fldCharType="begin"/>
          </w:r>
          <w:r>
            <w:instrText xml:space="preserve"> PAGEREF _Toc142399162 \h </w:instrText>
          </w:r>
          <w:r>
            <w:fldChar w:fldCharType="separate"/>
          </w:r>
          <w:r>
            <w:t>1</w:t>
          </w:r>
          <w:r>
            <w:fldChar w:fldCharType="end"/>
          </w:r>
          <w:r>
            <w:fldChar w:fldCharType="end"/>
          </w:r>
        </w:p>
        <w:p>
          <w:pPr>
            <w:pStyle w:val="8"/>
            <w:rPr>
              <w:rFonts w:ascii="Times New Roman" w:hAnsi="Times New Roman" w:eastAsiaTheme="minorEastAsia"/>
              <w:sz w:val="21"/>
              <w:szCs w:val="22"/>
            </w:rPr>
          </w:pPr>
          <w:r>
            <w:fldChar w:fldCharType="begin"/>
          </w:r>
          <w:r>
            <w:instrText xml:space="preserve"> HYPERLINK \l "_Toc142399163" </w:instrText>
          </w:r>
          <w:r>
            <w:fldChar w:fldCharType="separate"/>
          </w:r>
          <w:r>
            <w:rPr>
              <w:rStyle w:val="17"/>
              <w:rFonts w:ascii="Times New Roman" w:hAnsi="Times New Roman"/>
            </w:rPr>
            <w:t>（一）基本情况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_Toc142399163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"_Toc142399164" </w:instrText>
          </w:r>
          <w:r>
            <w:fldChar w:fldCharType="separate"/>
          </w:r>
          <w:r>
            <w:rPr>
              <w:rStyle w:val="17"/>
              <w:rFonts w:ascii="Times New Roman" w:hAnsi="Times New Roman"/>
            </w:rPr>
            <w:t>（二）主要职责</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_Toc142399164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"_Toc142399165" </w:instrText>
          </w:r>
          <w:r>
            <w:fldChar w:fldCharType="separate"/>
          </w:r>
          <w:r>
            <w:rPr>
              <w:rStyle w:val="17"/>
              <w:rFonts w:ascii="Times New Roman" w:hAnsi="Times New Roman"/>
            </w:rPr>
            <w:t>（三）年度计划</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_Toc142399165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"_Toc142399166" </w:instrText>
          </w:r>
          <w:r>
            <w:fldChar w:fldCharType="separate"/>
          </w:r>
          <w:r>
            <w:rPr>
              <w:rStyle w:val="17"/>
              <w:rFonts w:ascii="Times New Roman" w:hAnsi="Times New Roman"/>
            </w:rPr>
            <w:t>（四）部门整体支出情况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_Toc142399166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"_Toc142399167" </w:instrText>
          </w:r>
          <w:r>
            <w:fldChar w:fldCharType="separate"/>
          </w:r>
          <w:r>
            <w:rPr>
              <w:rStyle w:val="17"/>
              <w:rFonts w:ascii="Times New Roman" w:hAnsi="Times New Roman"/>
            </w:rPr>
            <w:t>（五）部门整体绩效目标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_Toc142399167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2"/>
            <w:spacing w:line="600" w:lineRule="exact"/>
            <w:rPr>
              <w:rFonts w:eastAsiaTheme="minorEastAsia"/>
              <w:sz w:val="21"/>
              <w:szCs w:val="22"/>
            </w:rPr>
          </w:pPr>
          <w:r>
            <w:fldChar w:fldCharType="begin"/>
          </w:r>
          <w:r>
            <w:instrText xml:space="preserve"> HYPERLINK \l "_Toc142399168" </w:instrText>
          </w:r>
          <w:r>
            <w:fldChar w:fldCharType="separate"/>
          </w:r>
          <w:r>
            <w:rPr>
              <w:rStyle w:val="17"/>
            </w:rPr>
            <w:t>二、绩效评价实施过程</w:t>
          </w:r>
          <w:r>
            <w:tab/>
          </w:r>
          <w:r>
            <w:fldChar w:fldCharType="begin"/>
          </w:r>
          <w:r>
            <w:instrText xml:space="preserve"> PAGEREF _Toc142399168 \h </w:instrText>
          </w:r>
          <w:r>
            <w:fldChar w:fldCharType="separate"/>
          </w:r>
          <w:r>
            <w:t>6</w:t>
          </w:r>
          <w:r>
            <w:fldChar w:fldCharType="end"/>
          </w:r>
          <w:r>
            <w:fldChar w:fldCharType="end"/>
          </w:r>
        </w:p>
        <w:p>
          <w:pPr>
            <w:pStyle w:val="8"/>
            <w:rPr>
              <w:rFonts w:ascii="Times New Roman" w:hAnsi="Times New Roman" w:eastAsiaTheme="minorEastAsia"/>
              <w:sz w:val="21"/>
              <w:szCs w:val="22"/>
            </w:rPr>
          </w:pPr>
          <w:r>
            <w:fldChar w:fldCharType="begin"/>
          </w:r>
          <w:r>
            <w:instrText xml:space="preserve"> HYPERLINK \l "_Toc142399169" </w:instrText>
          </w:r>
          <w:r>
            <w:fldChar w:fldCharType="separate"/>
          </w:r>
          <w:r>
            <w:rPr>
              <w:rStyle w:val="17"/>
              <w:rFonts w:ascii="Times New Roman" w:hAnsi="Times New Roman" w:eastAsia="楷体_GB2312"/>
            </w:rPr>
            <w:t>（一）评价原则和方法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_Toc142399169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"_Toc142399170" </w:instrText>
          </w:r>
          <w:r>
            <w:fldChar w:fldCharType="separate"/>
          </w:r>
          <w:r>
            <w:rPr>
              <w:rStyle w:val="17"/>
              <w:rFonts w:ascii="Times New Roman" w:hAnsi="Times New Roman" w:eastAsia="楷体_GB2312"/>
            </w:rPr>
            <w:t>（二）评价依据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_Toc142399170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"_Toc142399171" </w:instrText>
          </w:r>
          <w:r>
            <w:fldChar w:fldCharType="separate"/>
          </w:r>
          <w:r>
            <w:rPr>
              <w:rStyle w:val="17"/>
              <w:rFonts w:ascii="Times New Roman" w:hAnsi="Times New Roman" w:eastAsia="楷体_GB2312"/>
            </w:rPr>
            <w:t>（三）评价目的</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_Toc142399171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"_Toc142399172" </w:instrText>
          </w:r>
          <w:r>
            <w:fldChar w:fldCharType="separate"/>
          </w:r>
          <w:r>
            <w:rPr>
              <w:rStyle w:val="17"/>
              <w:rFonts w:ascii="Times New Roman" w:hAnsi="Times New Roman" w:eastAsia="楷体_GB2312"/>
            </w:rPr>
            <w:t>（四）评价对象和范围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_Toc142399172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"_Toc142399173" </w:instrText>
          </w:r>
          <w:r>
            <w:fldChar w:fldCharType="separate"/>
          </w:r>
          <w:r>
            <w:rPr>
              <w:rStyle w:val="17"/>
              <w:rFonts w:ascii="Times New Roman" w:hAnsi="Times New Roman" w:eastAsia="楷体_GB2312"/>
            </w:rPr>
            <w:t>（五）评价思路</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_Toc142399173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"_Toc142399174" </w:instrText>
          </w:r>
          <w:r>
            <w:fldChar w:fldCharType="separate"/>
          </w:r>
          <w:r>
            <w:rPr>
              <w:rStyle w:val="17"/>
              <w:rFonts w:ascii="Times New Roman" w:hAnsi="Times New Roman" w:eastAsia="楷体_GB2312"/>
            </w:rPr>
            <w:t>（六）评价流程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_Toc142399174 \h </w:instrText>
          </w:r>
          <w:r>
            <w:rPr>
              <w:rFonts w:ascii="Times New Roman" w:hAnsi="Times New Roman"/>
            </w:rPr>
            <w:fldChar w:fldCharType="separate"/>
          </w:r>
          <w:r>
            <w:rPr>
              <w:rFonts w:ascii="Times New Roman" w:hAnsi="Times New Roman"/>
            </w:rPr>
            <w:t>13</w:t>
          </w:r>
          <w:r>
            <w:rPr>
              <w:rFonts w:ascii="Times New Roman" w:hAnsi="Times New Roman"/>
            </w:rPr>
            <w:fldChar w:fldCharType="end"/>
          </w:r>
          <w:r>
            <w:rPr>
              <w:rFonts w:ascii="Times New Roman" w:hAnsi="Times New Roman"/>
            </w:rPr>
            <w:fldChar w:fldCharType="end"/>
          </w:r>
        </w:p>
        <w:p>
          <w:pPr>
            <w:pStyle w:val="12"/>
            <w:spacing w:line="600" w:lineRule="exact"/>
            <w:rPr>
              <w:rFonts w:eastAsiaTheme="minorEastAsia"/>
              <w:sz w:val="21"/>
              <w:szCs w:val="22"/>
            </w:rPr>
          </w:pPr>
          <w:r>
            <w:fldChar w:fldCharType="begin"/>
          </w:r>
          <w:r>
            <w:instrText xml:space="preserve"> HYPERLINK \l "_Toc142399175" </w:instrText>
          </w:r>
          <w:r>
            <w:fldChar w:fldCharType="separate"/>
          </w:r>
          <w:r>
            <w:rPr>
              <w:rStyle w:val="17"/>
            </w:rPr>
            <w:t>三、绩效指标分析</w:t>
          </w:r>
          <w:r>
            <w:tab/>
          </w:r>
          <w:r>
            <w:fldChar w:fldCharType="begin"/>
          </w:r>
          <w:r>
            <w:instrText xml:space="preserve"> PAGEREF _Toc142399175 \h </w:instrText>
          </w:r>
          <w:r>
            <w:fldChar w:fldCharType="separate"/>
          </w:r>
          <w:r>
            <w:t>15</w:t>
          </w:r>
          <w:r>
            <w:fldChar w:fldCharType="end"/>
          </w:r>
          <w:r>
            <w:fldChar w:fldCharType="end"/>
          </w:r>
        </w:p>
        <w:p>
          <w:pPr>
            <w:pStyle w:val="8"/>
            <w:rPr>
              <w:rFonts w:ascii="Times New Roman" w:hAnsi="Times New Roman" w:eastAsiaTheme="minorEastAsia"/>
              <w:sz w:val="21"/>
              <w:szCs w:val="22"/>
            </w:rPr>
          </w:pPr>
          <w:r>
            <w:fldChar w:fldCharType="begin"/>
          </w:r>
          <w:r>
            <w:instrText xml:space="preserve"> HYPERLINK \l "_Toc142399176" </w:instrText>
          </w:r>
          <w:r>
            <w:fldChar w:fldCharType="separate"/>
          </w:r>
          <w:r>
            <w:rPr>
              <w:rStyle w:val="17"/>
              <w:rFonts w:ascii="Times New Roman" w:hAnsi="Times New Roman" w:eastAsia="楷体_GB2312"/>
            </w:rPr>
            <w:t>（一）绩效评价设计思路</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_Toc142399176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"_Toc142399177" </w:instrText>
          </w:r>
          <w:r>
            <w:fldChar w:fldCharType="separate"/>
          </w:r>
          <w:r>
            <w:rPr>
              <w:rStyle w:val="17"/>
              <w:rFonts w:ascii="Times New Roman" w:hAnsi="Times New Roman" w:eastAsia="楷体_GB2312"/>
            </w:rPr>
            <w:t>（二）绩效指标分析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_Toc142399177 \h </w:instrText>
          </w:r>
          <w:r>
            <w:rPr>
              <w:rFonts w:ascii="Times New Roman" w:hAnsi="Times New Roman"/>
            </w:rPr>
            <w:fldChar w:fldCharType="separate"/>
          </w:r>
          <w:r>
            <w:rPr>
              <w:rFonts w:ascii="Times New Roman" w:hAnsi="Times New Roman"/>
            </w:rPr>
            <w:t>15</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"_Toc142399178" </w:instrText>
          </w:r>
          <w:r>
            <w:fldChar w:fldCharType="separate"/>
          </w:r>
          <w:r>
            <w:rPr>
              <w:rStyle w:val="17"/>
              <w:rFonts w:ascii="Times New Roman" w:hAnsi="Times New Roman"/>
            </w:rPr>
            <w:t>（三）指标详细分析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_Toc142399178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pPr>
            <w:pStyle w:val="12"/>
            <w:spacing w:line="600" w:lineRule="exact"/>
            <w:rPr>
              <w:rFonts w:eastAsiaTheme="minorEastAsia"/>
              <w:sz w:val="21"/>
              <w:szCs w:val="22"/>
            </w:rPr>
          </w:pPr>
          <w:r>
            <w:fldChar w:fldCharType="begin"/>
          </w:r>
          <w:r>
            <w:instrText xml:space="preserve"> HYPERLINK \l "_Toc142399179" </w:instrText>
          </w:r>
          <w:r>
            <w:fldChar w:fldCharType="separate"/>
          </w:r>
          <w:r>
            <w:rPr>
              <w:rStyle w:val="17"/>
            </w:rPr>
            <w:t>四、存在问题</w:t>
          </w:r>
          <w:r>
            <w:tab/>
          </w:r>
          <w:r>
            <w:fldChar w:fldCharType="begin"/>
          </w:r>
          <w:r>
            <w:instrText xml:space="preserve"> PAGEREF _Toc142399179 \h </w:instrText>
          </w:r>
          <w:r>
            <w:fldChar w:fldCharType="separate"/>
          </w:r>
          <w:r>
            <w:t>34</w:t>
          </w:r>
          <w:r>
            <w:fldChar w:fldCharType="end"/>
          </w:r>
          <w:r>
            <w:fldChar w:fldCharType="end"/>
          </w:r>
        </w:p>
        <w:p>
          <w:pPr>
            <w:pStyle w:val="8"/>
            <w:rPr>
              <w:rFonts w:ascii="Times New Roman" w:hAnsi="Times New Roman" w:eastAsiaTheme="minorEastAsia"/>
              <w:sz w:val="21"/>
              <w:szCs w:val="22"/>
            </w:rPr>
          </w:pPr>
          <w:r>
            <w:fldChar w:fldCharType="begin"/>
          </w:r>
          <w:r>
            <w:instrText xml:space="preserve"> HYPERLINK \l "_Toc142399180" </w:instrText>
          </w:r>
          <w:r>
            <w:fldChar w:fldCharType="separate"/>
          </w:r>
          <w:r>
            <w:rPr>
              <w:rStyle w:val="17"/>
              <w:rFonts w:ascii="Times New Roman" w:hAnsi="Times New Roman"/>
            </w:rPr>
            <w:t>（一）部门绩效工作管理力度有待提高</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_Toc142399180 \h </w:instrText>
          </w:r>
          <w:r>
            <w:rPr>
              <w:rFonts w:ascii="Times New Roman" w:hAnsi="Times New Roman"/>
            </w:rPr>
            <w:fldChar w:fldCharType="separate"/>
          </w:r>
          <w:r>
            <w:rPr>
              <w:rFonts w:ascii="Times New Roman" w:hAnsi="Times New Roman"/>
            </w:rPr>
            <w:t>34</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"_Toc142399181" </w:instrText>
          </w:r>
          <w:r>
            <w:fldChar w:fldCharType="separate"/>
          </w:r>
          <w:r>
            <w:rPr>
              <w:rStyle w:val="17"/>
              <w:rFonts w:ascii="Times New Roman" w:hAnsi="Times New Roman"/>
            </w:rPr>
            <w:t>（二）部门预算调整幅度控制有待加强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_Toc142399181 \h </w:instrText>
          </w:r>
          <w:r>
            <w:rPr>
              <w:rFonts w:ascii="Times New Roman" w:hAnsi="Times New Roman"/>
            </w:rPr>
            <w:fldChar w:fldCharType="separate"/>
          </w:r>
          <w:r>
            <w:rPr>
              <w:rFonts w:ascii="Times New Roman" w:hAnsi="Times New Roman"/>
            </w:rPr>
            <w:t>35</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"_Toc142399182" </w:instrText>
          </w:r>
          <w:r>
            <w:fldChar w:fldCharType="separate"/>
          </w:r>
          <w:r>
            <w:rPr>
              <w:rStyle w:val="17"/>
              <w:rFonts w:ascii="Times New Roman" w:hAnsi="Times New Roman"/>
            </w:rPr>
            <w:t>（三）部门履职工作监管力度有待提升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_Toc142399182 \h </w:instrText>
          </w:r>
          <w:r>
            <w:rPr>
              <w:rFonts w:ascii="Times New Roman" w:hAnsi="Times New Roman"/>
            </w:rPr>
            <w:fldChar w:fldCharType="separate"/>
          </w:r>
          <w:r>
            <w:rPr>
              <w:rFonts w:ascii="Times New Roman" w:hAnsi="Times New Roman"/>
            </w:rPr>
            <w:t>35</w:t>
          </w:r>
          <w:r>
            <w:rPr>
              <w:rFonts w:ascii="Times New Roman" w:hAnsi="Times New Roman"/>
            </w:rPr>
            <w:fldChar w:fldCharType="end"/>
          </w:r>
          <w:r>
            <w:rPr>
              <w:rFonts w:ascii="Times New Roman" w:hAnsi="Times New Roman"/>
            </w:rPr>
            <w:fldChar w:fldCharType="end"/>
          </w:r>
        </w:p>
        <w:p>
          <w:pPr>
            <w:pStyle w:val="12"/>
            <w:spacing w:line="600" w:lineRule="exact"/>
            <w:rPr>
              <w:rFonts w:eastAsiaTheme="minorEastAsia"/>
              <w:sz w:val="21"/>
              <w:szCs w:val="22"/>
            </w:rPr>
          </w:pPr>
          <w:r>
            <w:fldChar w:fldCharType="begin"/>
          </w:r>
          <w:r>
            <w:instrText xml:space="preserve"> HYPERLINK \l "_Toc142399183" </w:instrText>
          </w:r>
          <w:r>
            <w:fldChar w:fldCharType="separate"/>
          </w:r>
          <w:r>
            <w:rPr>
              <w:rStyle w:val="17"/>
            </w:rPr>
            <w:t>五、相关建议</w:t>
          </w:r>
          <w:r>
            <w:tab/>
          </w:r>
          <w:r>
            <w:fldChar w:fldCharType="begin"/>
          </w:r>
          <w:r>
            <w:instrText xml:space="preserve"> PAGEREF _Toc142399183 \h </w:instrText>
          </w:r>
          <w:r>
            <w:fldChar w:fldCharType="separate"/>
          </w:r>
          <w:r>
            <w:t>36</w:t>
          </w:r>
          <w:r>
            <w:fldChar w:fldCharType="end"/>
          </w:r>
          <w:r>
            <w:fldChar w:fldCharType="end"/>
          </w:r>
        </w:p>
        <w:p>
          <w:pPr>
            <w:pStyle w:val="8"/>
            <w:rPr>
              <w:rFonts w:ascii="Times New Roman" w:hAnsi="Times New Roman" w:eastAsiaTheme="minorEastAsia"/>
              <w:sz w:val="21"/>
              <w:szCs w:val="22"/>
            </w:rPr>
          </w:pPr>
          <w:r>
            <w:fldChar w:fldCharType="begin"/>
          </w:r>
          <w:r>
            <w:instrText xml:space="preserve"> HYPERLINK \l "_Toc142399184" </w:instrText>
          </w:r>
          <w:r>
            <w:fldChar w:fldCharType="separate"/>
          </w:r>
          <w:r>
            <w:rPr>
              <w:rStyle w:val="17"/>
              <w:rFonts w:ascii="Times New Roman" w:hAnsi="Times New Roman"/>
            </w:rPr>
            <w:t>（一）加强预算绩效管理水平，深化预算绩效理解能力</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_Toc142399184 \h </w:instrText>
          </w:r>
          <w:r>
            <w:rPr>
              <w:rFonts w:ascii="Times New Roman" w:hAnsi="Times New Roman"/>
            </w:rPr>
            <w:fldChar w:fldCharType="separate"/>
          </w:r>
          <w:r>
            <w:rPr>
              <w:rFonts w:ascii="Times New Roman" w:hAnsi="Times New Roman"/>
            </w:rPr>
            <w:t>36</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"_Toc142399185" </w:instrText>
          </w:r>
          <w:r>
            <w:fldChar w:fldCharType="separate"/>
          </w:r>
          <w:r>
            <w:rPr>
              <w:rStyle w:val="17"/>
              <w:rFonts w:ascii="Times New Roman" w:hAnsi="Times New Roman"/>
            </w:rPr>
            <w:t>（二）强化部门预算管理力度，减少预算调整幅度</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_Toc142399185 \h </w:instrText>
          </w:r>
          <w:r>
            <w:rPr>
              <w:rFonts w:ascii="Times New Roman" w:hAnsi="Times New Roman"/>
            </w:rPr>
            <w:fldChar w:fldCharType="separate"/>
          </w:r>
          <w:r>
            <w:rPr>
              <w:rFonts w:ascii="Times New Roman" w:hAnsi="Times New Roman"/>
            </w:rPr>
            <w:t>37</w:t>
          </w:r>
          <w:r>
            <w:rPr>
              <w:rFonts w:ascii="Times New Roman" w:hAnsi="Times New Roman"/>
            </w:rPr>
            <w:fldChar w:fldCharType="end"/>
          </w:r>
          <w:r>
            <w:rPr>
              <w:rFonts w:ascii="Times New Roman" w:hAnsi="Times New Roman"/>
            </w:rPr>
            <w:fldChar w:fldCharType="end"/>
          </w:r>
        </w:p>
        <w:p>
          <w:pPr>
            <w:pStyle w:val="8"/>
            <w:rPr>
              <w:rFonts w:ascii="Times New Roman" w:hAnsi="Times New Roman" w:eastAsiaTheme="minorEastAsia"/>
              <w:sz w:val="21"/>
              <w:szCs w:val="22"/>
            </w:rPr>
          </w:pPr>
          <w:r>
            <w:fldChar w:fldCharType="begin"/>
          </w:r>
          <w:r>
            <w:instrText xml:space="preserve"> HYPERLINK \l "_Toc142399186" </w:instrText>
          </w:r>
          <w:r>
            <w:fldChar w:fldCharType="separate"/>
          </w:r>
          <w:r>
            <w:rPr>
              <w:rStyle w:val="17"/>
              <w:rFonts w:ascii="Times New Roman" w:hAnsi="Times New Roman"/>
            </w:rPr>
            <w:t>（三）加大部门履职工作监督力度，提升部门工作效果</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_Toc142399186 \h </w:instrText>
          </w:r>
          <w:r>
            <w:rPr>
              <w:rFonts w:ascii="Times New Roman" w:hAnsi="Times New Roman"/>
            </w:rPr>
            <w:fldChar w:fldCharType="separate"/>
          </w:r>
          <w:r>
            <w:rPr>
              <w:rFonts w:ascii="Times New Roman" w:hAnsi="Times New Roman"/>
            </w:rPr>
            <w:t>37</w:t>
          </w:r>
          <w:r>
            <w:rPr>
              <w:rFonts w:ascii="Times New Roman" w:hAnsi="Times New Roman"/>
            </w:rPr>
            <w:fldChar w:fldCharType="end"/>
          </w:r>
          <w:r>
            <w:rPr>
              <w:rFonts w:ascii="Times New Roman" w:hAnsi="Times New Roman"/>
            </w:rPr>
            <w:fldChar w:fldCharType="end"/>
          </w:r>
        </w:p>
        <w:p>
          <w:pPr>
            <w:pStyle w:val="12"/>
            <w:spacing w:line="600" w:lineRule="exact"/>
            <w:rPr>
              <w:rFonts w:eastAsiaTheme="minorEastAsia"/>
              <w:sz w:val="21"/>
              <w:szCs w:val="22"/>
            </w:rPr>
          </w:pPr>
          <w:r>
            <w:fldChar w:fldCharType="begin"/>
          </w:r>
          <w:r>
            <w:instrText xml:space="preserve"> HYPERLINK \l "_Toc142399187" </w:instrText>
          </w:r>
          <w:r>
            <w:fldChar w:fldCharType="separate"/>
          </w:r>
          <w:r>
            <w:rPr>
              <w:rStyle w:val="17"/>
            </w:rPr>
            <w:t>六、相关附件</w:t>
          </w:r>
          <w:r>
            <w:tab/>
          </w:r>
          <w:r>
            <w:fldChar w:fldCharType="begin"/>
          </w:r>
          <w:r>
            <w:instrText xml:space="preserve"> PAGEREF _Toc142399187 \h </w:instrText>
          </w:r>
          <w:r>
            <w:fldChar w:fldCharType="separate"/>
          </w:r>
          <w:r>
            <w:t>37</w:t>
          </w:r>
          <w:r>
            <w:fldChar w:fldCharType="end"/>
          </w:r>
          <w:r>
            <w:fldChar w:fldCharType="end"/>
          </w:r>
        </w:p>
        <w:p>
          <w:pPr>
            <w:pStyle w:val="46"/>
            <w:spacing w:line="600" w:lineRule="exact"/>
            <w:ind w:firstLine="420"/>
            <w:jc w:val="center"/>
            <w:rPr>
              <w:rFonts w:ascii="Times New Roman" w:hAnsi="Times New Roman"/>
            </w:rPr>
          </w:pPr>
          <w:r>
            <w:rPr>
              <w:rFonts w:ascii="Times New Roman" w:hAnsi="Times New Roman" w:eastAsia="黑体" w:cs="黑体"/>
              <w:color w:val="auto"/>
            </w:rPr>
            <w:fldChar w:fldCharType="end"/>
          </w:r>
        </w:p>
      </w:sdtContent>
    </w:sdt>
    <w:p>
      <w:pPr>
        <w:widowControl/>
        <w:spacing w:line="240" w:lineRule="auto"/>
        <w:ind w:firstLine="0" w:firstLineChars="0"/>
        <w:rPr>
          <w:rFonts w:ascii="Times New Roman" w:hAnsi="Times New Roman"/>
          <w:color w:val="000000" w:themeColor="text1"/>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pgSz w:w="11906" w:h="16838"/>
          <w:pgMar w:top="2268" w:right="1531" w:bottom="1701" w:left="1531" w:header="851" w:footer="992" w:gutter="0"/>
          <w:cols w:space="425" w:num="1"/>
          <w:docGrid w:type="lines" w:linePitch="312" w:charSpace="0"/>
        </w:sectPr>
      </w:pPr>
      <w:r>
        <w:rPr>
          <w:rFonts w:ascii="Times New Roman" w:hAnsi="Times New Roman" w:eastAsia="方正小标宋简体"/>
          <w:bCs/>
          <w:color w:val="000000" w:themeColor="text1"/>
          <w:kern w:val="44"/>
          <w:sz w:val="44"/>
          <w:szCs w:val="44"/>
          <w14:textFill>
            <w14:solidFill>
              <w14:schemeClr w14:val="tx1"/>
            </w14:solidFill>
          </w14:textFill>
        </w:rPr>
        <w:br w:type="page"/>
      </w:r>
      <w:bookmarkStart w:id="0" w:name="_Toc108288181"/>
    </w:p>
    <w:bookmarkEnd w:id="0"/>
    <w:p>
      <w:pPr>
        <w:pStyle w:val="25"/>
        <w:ind w:firstLine="640"/>
      </w:pPr>
      <w:bookmarkStart w:id="1" w:name="_Hlk91875411"/>
      <w:r>
        <w:rPr>
          <w:rFonts w:hint="eastAsia"/>
        </w:rPr>
        <w:t>为加强天津市和平区财政资金管理，强化支出责任和效率意识，建立科学、合理的财政支出绩效评价管理体系，提高和平区财政资金的使用效益，根据财政部《财政支出绩效评价管理暂行办法的通知》（财预</w:t>
      </w:r>
      <w:r>
        <w:rPr>
          <w:rFonts w:hint="eastAsia" w:eastAsia="仿宋"/>
        </w:rPr>
        <w:t>〔</w:t>
      </w:r>
      <w:r>
        <w:rPr>
          <w:rFonts w:hint="eastAsia"/>
        </w:rPr>
        <w:t>2011</w:t>
      </w:r>
      <w:r>
        <w:rPr>
          <w:rFonts w:hint="eastAsia" w:eastAsia="仿宋"/>
        </w:rPr>
        <w:t>〕</w:t>
      </w:r>
      <w:r>
        <w:rPr>
          <w:rFonts w:hint="eastAsia"/>
        </w:rPr>
        <w:t>285号）、天津市财政局关于印发《天津市市级部门（单位）整体支出绩效目标管理办法（试行）》的通知（津财预〔2015〕102号）等文件精神，天津安信管理咨询有限公司受天津市和平区财政局委托，对天津市和平区人民政府合作交流办公室20</w:t>
      </w:r>
      <w:r>
        <w:t>22</w:t>
      </w:r>
      <w:r>
        <w:rPr>
          <w:rFonts w:hint="eastAsia"/>
        </w:rPr>
        <w:t>年度部门整体支出绩效进行评价。</w:t>
      </w:r>
    </w:p>
    <w:p>
      <w:pPr>
        <w:pStyle w:val="25"/>
        <w:ind w:firstLine="640"/>
        <w:rPr>
          <w:rFonts w:hint="eastAsia" w:eastAsia="仿宋_GB2312"/>
          <w:lang w:eastAsia="zh-CN"/>
        </w:rPr>
      </w:pPr>
      <w:r>
        <w:rPr>
          <w:rFonts w:hint="eastAsia"/>
        </w:rPr>
        <w:t>本次评价遵循“科学规范、公平公正、分类管理、绩效相关”原则，运用科学合理的绩效评价指标、评价标准和评价方法，对天津市和平区人民政府合作交流办公室20</w:t>
      </w:r>
      <w:r>
        <w:t>22</w:t>
      </w:r>
      <w:r>
        <w:rPr>
          <w:rFonts w:hint="eastAsia"/>
        </w:rPr>
        <w:t>年度部门整体支出进行了客观公正的分析。经综合评价，该部门绩效评价得分为</w:t>
      </w:r>
      <w:r>
        <w:t>87.12</w:t>
      </w:r>
      <w:r>
        <w:rPr>
          <w:rFonts w:hint="eastAsia"/>
        </w:rPr>
        <w:t>分</w:t>
      </w:r>
      <w:r>
        <w:rPr>
          <w:rFonts w:hint="eastAsia"/>
          <w:lang w:eastAsia="zh-CN"/>
        </w:rPr>
        <w:t>，</w:t>
      </w:r>
      <w:r>
        <w:rPr>
          <w:rFonts w:ascii="Times New Roman" w:hAnsi="Times New Roman"/>
          <w:color w:val="auto"/>
          <w:highlight w:val="none"/>
        </w:rPr>
        <w:t>评价等级为“</w:t>
      </w:r>
      <w:r>
        <w:rPr>
          <w:rFonts w:hint="eastAsia" w:ascii="Times New Roman" w:hAnsi="Times New Roman"/>
          <w:color w:val="auto"/>
          <w:highlight w:val="none"/>
        </w:rPr>
        <w:t>良</w:t>
      </w:r>
      <w:r>
        <w:rPr>
          <w:rFonts w:ascii="Times New Roman" w:hAnsi="Times New Roman"/>
          <w:color w:val="auto"/>
          <w:highlight w:val="none"/>
        </w:rPr>
        <w:t>”，有关情况如下。</w:t>
      </w:r>
      <w:bookmarkStart w:id="68" w:name="_GoBack"/>
      <w:bookmarkEnd w:id="68"/>
    </w:p>
    <w:bookmarkEnd w:id="1"/>
    <w:p>
      <w:pPr>
        <w:pStyle w:val="27"/>
      </w:pPr>
      <w:bookmarkStart w:id="2" w:name="_Toc142399162"/>
      <w:r>
        <w:rPr>
          <w:rFonts w:hint="eastAsia"/>
        </w:rPr>
        <w:t>一、部门概况</w:t>
      </w:r>
      <w:bookmarkEnd w:id="2"/>
    </w:p>
    <w:p>
      <w:pPr>
        <w:pStyle w:val="29"/>
        <w:ind w:firstLine="640"/>
        <w:rPr>
          <w:rFonts w:ascii="Times New Roman" w:hAnsi="Times New Roman"/>
        </w:rPr>
      </w:pPr>
      <w:bookmarkStart w:id="3" w:name="_Toc142399163"/>
      <w:r>
        <w:rPr>
          <w:rFonts w:hint="eastAsia" w:ascii="Times New Roman" w:hAnsi="Times New Roman"/>
        </w:rPr>
        <w:t>（一）基本情况</w:t>
      </w:r>
      <w:bookmarkEnd w:id="3"/>
    </w:p>
    <w:p>
      <w:pPr>
        <w:pStyle w:val="25"/>
        <w:ind w:firstLine="640"/>
      </w:pPr>
      <w:r>
        <w:rPr>
          <w:rFonts w:hint="eastAsia"/>
        </w:rPr>
        <w:t>天津市和平区人民政府合作交流办公室（以下简称“区政府合作交流办”）是区政府工作部门，部门设置下列内设机构：综合协调科、外事管理科、对口合作科。</w:t>
      </w:r>
    </w:p>
    <w:p>
      <w:pPr>
        <w:pStyle w:val="25"/>
        <w:ind w:firstLine="640"/>
        <w:rPr>
          <w:bCs/>
        </w:rPr>
      </w:pPr>
      <w:r>
        <w:rPr>
          <w:rFonts w:hint="eastAsia"/>
        </w:rPr>
        <w:t>区政府合作交流办为和平区财政全额拨款的行政单位，截至202</w:t>
      </w:r>
      <w:r>
        <w:t>2</w:t>
      </w:r>
      <w:r>
        <w:rPr>
          <w:rFonts w:hint="eastAsia"/>
        </w:rPr>
        <w:t>年末，部门行政编制1</w:t>
      </w:r>
      <w:r>
        <w:t>2</w:t>
      </w:r>
      <w:r>
        <w:rPr>
          <w:rFonts w:hint="eastAsia"/>
        </w:rPr>
        <w:t>名。设主任1名，副主任2名，科级领导职数3正。实有在职人数</w:t>
      </w:r>
      <w:r>
        <w:t>11</w:t>
      </w:r>
      <w:r>
        <w:rPr>
          <w:rFonts w:hint="eastAsia"/>
        </w:rPr>
        <w:t>名。</w:t>
      </w:r>
    </w:p>
    <w:p>
      <w:pPr>
        <w:pStyle w:val="29"/>
        <w:ind w:firstLine="640"/>
        <w:rPr>
          <w:rFonts w:ascii="Times New Roman" w:hAnsi="Times New Roman"/>
        </w:rPr>
      </w:pPr>
      <w:bookmarkStart w:id="4" w:name="_Toc142399164"/>
      <w:r>
        <w:rPr>
          <w:rFonts w:hint="eastAsia" w:ascii="Times New Roman" w:hAnsi="Times New Roman"/>
        </w:rPr>
        <w:t>（二）主要职责</w:t>
      </w:r>
      <w:bookmarkEnd w:id="4"/>
    </w:p>
    <w:p>
      <w:pPr>
        <w:pStyle w:val="25"/>
        <w:ind w:firstLine="640"/>
        <w:rPr>
          <w:bCs/>
        </w:rPr>
      </w:pPr>
      <w:r>
        <w:rPr>
          <w:rFonts w:hint="eastAsia"/>
          <w:bCs/>
        </w:rPr>
        <w:t>1.贯彻执行国家和市有关合作交流工作的方针政策和法律法规，研究制订合作交流工作发展规划和年度计划，并组织实施。</w:t>
      </w:r>
    </w:p>
    <w:p>
      <w:pPr>
        <w:pStyle w:val="25"/>
        <w:ind w:firstLine="640"/>
        <w:rPr>
          <w:bCs/>
        </w:rPr>
      </w:pPr>
      <w:r>
        <w:rPr>
          <w:rFonts w:hint="eastAsia"/>
          <w:bCs/>
        </w:rPr>
        <w:t>2.综合协调、组织推动东西部扶贫协作和对口支援、对口合作工作，安排对口支援资金。组织动员社会力量，负责双方跨地区联合重点项目的协调和保障。</w:t>
      </w:r>
    </w:p>
    <w:p>
      <w:pPr>
        <w:pStyle w:val="25"/>
        <w:ind w:firstLine="640"/>
        <w:rPr>
          <w:bCs/>
        </w:rPr>
      </w:pPr>
      <w:r>
        <w:rPr>
          <w:rFonts w:hint="eastAsia"/>
          <w:bCs/>
        </w:rPr>
        <w:t>3.负责区政府代表团出访外地的组织、联络、协调、后勤保障等工作。负责东西部扶贫协作和对口支援、对口合作地区政府代表团来区的协调联络。推动落实与外地政府间签署的有关会议纪要和协议。</w:t>
      </w:r>
    </w:p>
    <w:p>
      <w:pPr>
        <w:pStyle w:val="25"/>
        <w:ind w:firstLine="640"/>
        <w:rPr>
          <w:bCs/>
        </w:rPr>
      </w:pPr>
      <w:r>
        <w:rPr>
          <w:rFonts w:hint="eastAsia"/>
          <w:bCs/>
        </w:rPr>
        <w:t>4.负责联系本市驻外办事机构、外省市各级政府驻津办事机构、各类商协会，做好有关协调联络工作。</w:t>
      </w:r>
    </w:p>
    <w:p>
      <w:pPr>
        <w:pStyle w:val="25"/>
        <w:ind w:firstLine="640"/>
        <w:rPr>
          <w:bCs/>
        </w:rPr>
      </w:pPr>
      <w:r>
        <w:rPr>
          <w:rFonts w:hint="eastAsia"/>
          <w:bCs/>
        </w:rPr>
        <w:t>5.审核、办理因公临时出国（境）和邀请外国人员来访的有关事宜。负责科技（含以下）因公临时出国（境）护照、赴港澳通行证收缴和管理工作。负责与外国地方政府间交流工作。</w:t>
      </w:r>
    </w:p>
    <w:p>
      <w:pPr>
        <w:pStyle w:val="25"/>
        <w:ind w:firstLine="640"/>
        <w:rPr>
          <w:bCs/>
        </w:rPr>
      </w:pPr>
      <w:r>
        <w:rPr>
          <w:rFonts w:hint="eastAsia"/>
          <w:bCs/>
        </w:rPr>
        <w:t>6.承办本领域安全生产管理职责。</w:t>
      </w:r>
    </w:p>
    <w:p>
      <w:pPr>
        <w:pStyle w:val="25"/>
        <w:ind w:firstLine="640"/>
        <w:rPr>
          <w:bCs/>
        </w:rPr>
      </w:pPr>
      <w:r>
        <w:rPr>
          <w:bCs/>
        </w:rPr>
        <w:t>7.</w:t>
      </w:r>
      <w:r>
        <w:rPr>
          <w:rFonts w:hint="eastAsia"/>
          <w:bCs/>
        </w:rPr>
        <w:t>负责本单位人才队伍建设。</w:t>
      </w:r>
    </w:p>
    <w:p>
      <w:pPr>
        <w:pStyle w:val="25"/>
        <w:ind w:firstLine="640"/>
        <w:rPr>
          <w:bCs/>
        </w:rPr>
      </w:pPr>
      <w:r>
        <w:rPr>
          <w:bCs/>
        </w:rPr>
        <w:t>8.</w:t>
      </w:r>
      <w:r>
        <w:rPr>
          <w:rFonts w:hint="eastAsia"/>
          <w:bCs/>
        </w:rPr>
        <w:t>负责本单位招商引资工作。</w:t>
      </w:r>
    </w:p>
    <w:p>
      <w:pPr>
        <w:pStyle w:val="25"/>
        <w:ind w:firstLine="640"/>
        <w:rPr>
          <w:bCs/>
        </w:rPr>
      </w:pPr>
      <w:r>
        <w:rPr>
          <w:rFonts w:hint="eastAsia"/>
          <w:bCs/>
        </w:rPr>
        <w:t>9</w:t>
      </w:r>
      <w:r>
        <w:rPr>
          <w:bCs/>
        </w:rPr>
        <w:t>.</w:t>
      </w:r>
      <w:r>
        <w:rPr>
          <w:rFonts w:hint="eastAsia"/>
          <w:bCs/>
        </w:rPr>
        <w:t>承办区委、区政府交办的其他事项。</w:t>
      </w:r>
    </w:p>
    <w:p>
      <w:pPr>
        <w:pStyle w:val="25"/>
        <w:ind w:firstLine="640"/>
        <w:rPr>
          <w:bCs/>
        </w:rPr>
      </w:pPr>
      <w:r>
        <w:rPr>
          <w:rFonts w:hint="eastAsia"/>
          <w:bCs/>
        </w:rPr>
        <w:t>1</w:t>
      </w:r>
      <w:r>
        <w:rPr>
          <w:bCs/>
        </w:rPr>
        <w:t>0.</w:t>
      </w:r>
      <w:r>
        <w:rPr>
          <w:rFonts w:hint="eastAsia"/>
          <w:bCs/>
        </w:rPr>
        <w:t>有关职责分工。与区政府政务服务办公室有关职责分工。区政府合作交流办及时将涉及本部门行政审批的法律、法规和规定的更新情况告知区政府政务服务办公室，对上级部门下发的涉及行政审批相关事项的文件及时转送区政府服务办公室，积极协调涉及上级主管部门的行政审批事项的办理。区政府政务服务办公室及时向区政府合作交流办通报行政审批事项办理情况，便于职能部门对办结的审批事项后续监管。</w:t>
      </w:r>
    </w:p>
    <w:p>
      <w:pPr>
        <w:pStyle w:val="29"/>
        <w:ind w:firstLine="640"/>
        <w:rPr>
          <w:rFonts w:ascii="Times New Roman" w:hAnsi="Times New Roman"/>
        </w:rPr>
      </w:pPr>
      <w:bookmarkStart w:id="5" w:name="_Toc142399165"/>
      <w:r>
        <w:rPr>
          <w:rFonts w:hint="eastAsia" w:ascii="Times New Roman" w:hAnsi="Times New Roman"/>
        </w:rPr>
        <w:t>（三）年度计划</w:t>
      </w:r>
      <w:bookmarkEnd w:id="5"/>
    </w:p>
    <w:p>
      <w:pPr>
        <w:pStyle w:val="25"/>
        <w:ind w:firstLine="640"/>
      </w:pPr>
      <w:r>
        <w:rPr>
          <w:rFonts w:hint="eastAsia"/>
        </w:rPr>
        <w:t>区合作交流办以习近平新时代中国特色社会主义思想为引领，为全面贯彻党的十九大和十九届二中、三中、四中、五中、六中全会精神，进一步营造担当作为的工作氛围和责任意识，切实抓好各项工作，不断创新思路，形成具有本单位特色的工作新局面。本部门2</w:t>
      </w:r>
      <w:r>
        <w:t>022</w:t>
      </w:r>
      <w:r>
        <w:rPr>
          <w:rFonts w:hint="eastAsia"/>
        </w:rPr>
        <w:t>年度工作计划如下：</w:t>
      </w:r>
    </w:p>
    <w:p>
      <w:pPr>
        <w:pStyle w:val="25"/>
        <w:ind w:firstLine="640"/>
      </w:pPr>
      <w:r>
        <w:t>1.</w:t>
      </w:r>
      <w:r>
        <w:rPr>
          <w:rFonts w:hint="eastAsia"/>
        </w:rPr>
        <w:t>建立健全东西部协作和支援工作体系。增加助力结对地区打造乡村振兴示范村专项工作组，完善领导小组统筹、领导小组办公室组织协调、1</w:t>
      </w:r>
      <w:r>
        <w:t>2</w:t>
      </w:r>
      <w:r>
        <w:rPr>
          <w:rFonts w:hint="eastAsia"/>
        </w:rPr>
        <w:t>个专项工作组分工落实的组织机制，进一步规范东西部协作和支援合作工作运行，提高工作制度化科学化规范化水平。</w:t>
      </w:r>
    </w:p>
    <w:p>
      <w:pPr>
        <w:pStyle w:val="25"/>
        <w:ind w:firstLine="640"/>
      </w:pPr>
      <w:r>
        <w:rPr>
          <w:rFonts w:hint="eastAsia"/>
        </w:rPr>
        <w:t>2</w:t>
      </w:r>
      <w:r>
        <w:t>.</w:t>
      </w:r>
      <w:r>
        <w:rPr>
          <w:rFonts w:hint="eastAsia"/>
        </w:rPr>
        <w:t>聚焦“两保持、三加强”重点，增强结对县发展内力。一是保持财政支持力度不减，积极谋划财政资金项目，安排财政资金的5</w:t>
      </w:r>
      <w:r>
        <w:t>0%</w:t>
      </w:r>
      <w:r>
        <w:rPr>
          <w:rFonts w:hint="eastAsia"/>
        </w:rPr>
        <w:t>用于产业开发项目，</w:t>
      </w:r>
      <w:r>
        <w:t>30</w:t>
      </w:r>
      <w:r>
        <w:rPr>
          <w:rFonts w:hint="eastAsia"/>
        </w:rPr>
        <w:t>%用于示范村、共建产业园建设，加大财政资金向产业合作、劳务协作、消费帮扶、科技帮扶等方向倾斜力度，充分发挥资金绩效作用。二是保持干部人才支持力度不变，紧盯结对县人才需求，继续选派党政干部及教育、卫生等方面专技人才赴结对县开展挂职和柔性帮扶，加大东西部人才交流力度。三是加强产业合作力度，发挥产业合作专项资金撬动作用，进一步健全完善产业合作专项扶持机制。四是加强劳务协作力度，支持</w:t>
      </w:r>
      <w:r>
        <w:t>3</w:t>
      </w:r>
      <w:r>
        <w:rPr>
          <w:rFonts w:hint="eastAsia"/>
        </w:rPr>
        <w:t>个公共实训基地建设，提高劳务组织化程度，推动劳务协作精准对接。五是加强消费帮扶力度，推动各级机关、国有企业事业单位及全社会采购结对地区产品；举办农副产品产销对接活动，宣传结对地区产品；推动天津市消费帮扶服务平台的使用。</w:t>
      </w:r>
    </w:p>
    <w:p>
      <w:pPr>
        <w:pStyle w:val="25"/>
        <w:ind w:firstLine="640"/>
      </w:pPr>
      <w:r>
        <w:rPr>
          <w:rFonts w:hint="eastAsia"/>
        </w:rPr>
        <w:t>3</w:t>
      </w:r>
      <w:r>
        <w:t>.</w:t>
      </w:r>
      <w:r>
        <w:rPr>
          <w:rFonts w:hint="eastAsia"/>
        </w:rPr>
        <w:t>助力乡村振兴示范村、现代农业产业园建设。持续推进1</w:t>
      </w:r>
      <w:r>
        <w:t>0</w:t>
      </w:r>
      <w:r>
        <w:rPr>
          <w:rFonts w:hint="eastAsia"/>
        </w:rPr>
        <w:t>个示范村在产业开发、基础设施、劳动就业、消费帮扶、民生改善等项目落实；持续推进3个共建园区在引进企业改善环境、优化服务、完善机制等方面工作。</w:t>
      </w:r>
    </w:p>
    <w:p>
      <w:pPr>
        <w:pStyle w:val="25"/>
        <w:ind w:firstLine="640"/>
      </w:pPr>
      <w:r>
        <w:rPr>
          <w:rFonts w:hint="eastAsia"/>
        </w:rPr>
        <w:t>4</w:t>
      </w:r>
      <w:r>
        <w:t>.</w:t>
      </w:r>
      <w:r>
        <w:rPr>
          <w:rFonts w:hint="eastAsia"/>
        </w:rPr>
        <w:t>充分发挥社会主体作用，深化各领域交流交往交融。开展6个街道、6个社区、3个社会组织与1</w:t>
      </w:r>
      <w:r>
        <w:t>0</w:t>
      </w:r>
      <w:r>
        <w:rPr>
          <w:rFonts w:hint="eastAsia"/>
        </w:rPr>
        <w:t>个示范村结对帮扶，高质量组织实施交往交流交融项目。</w:t>
      </w:r>
    </w:p>
    <w:p>
      <w:pPr>
        <w:pStyle w:val="25"/>
        <w:ind w:firstLine="640"/>
      </w:pPr>
      <w:r>
        <w:rPr>
          <w:rFonts w:hint="eastAsia"/>
        </w:rPr>
        <w:t>5</w:t>
      </w:r>
      <w:r>
        <w:t>.</w:t>
      </w:r>
      <w:r>
        <w:rPr>
          <w:rFonts w:hint="eastAsia"/>
        </w:rPr>
        <w:t>深入贯彻落实习近平外交思想，旗帜鲜明讲政治。</w:t>
      </w:r>
    </w:p>
    <w:p>
      <w:pPr>
        <w:pStyle w:val="25"/>
        <w:ind w:firstLine="640"/>
      </w:pPr>
      <w:r>
        <w:rPr>
          <w:rFonts w:hint="eastAsia"/>
        </w:rPr>
        <w:t>6</w:t>
      </w:r>
      <w:r>
        <w:t>.</w:t>
      </w:r>
      <w:r>
        <w:rPr>
          <w:rFonts w:hint="eastAsia"/>
        </w:rPr>
        <w:t>广泛开展交流交往，服务经济社会发展。围绕推进“一带一路”建设、推动京津冀协同发展，扩大和平区对外开放水平。</w:t>
      </w:r>
    </w:p>
    <w:p>
      <w:pPr>
        <w:pStyle w:val="25"/>
        <w:ind w:firstLine="640"/>
      </w:pPr>
      <w:r>
        <w:rPr>
          <w:rFonts w:hint="eastAsia"/>
        </w:rPr>
        <w:t>7</w:t>
      </w:r>
      <w:r>
        <w:t>.</w:t>
      </w:r>
      <w:r>
        <w:rPr>
          <w:rFonts w:hint="eastAsia"/>
        </w:rPr>
        <w:t>发挥外事优势，开展外事外交活动。统筹做好和平区承担的国家外交、政党外交、民间外交等任务。</w:t>
      </w:r>
    </w:p>
    <w:p>
      <w:pPr>
        <w:pStyle w:val="25"/>
        <w:ind w:firstLine="640"/>
      </w:pPr>
      <w:r>
        <w:rPr>
          <w:rFonts w:hint="eastAsia"/>
        </w:rPr>
        <w:t>8</w:t>
      </w:r>
      <w:r>
        <w:t>.</w:t>
      </w:r>
      <w:r>
        <w:rPr>
          <w:rFonts w:hint="eastAsia"/>
        </w:rPr>
        <w:t>持续强化疫情防控涉外工作，做好外籍人士来华审批工作、入境人员接驳转运和医学隔离观察工作及外籍港澳人士疫苗接种工作。</w:t>
      </w:r>
    </w:p>
    <w:p>
      <w:pPr>
        <w:pStyle w:val="29"/>
        <w:ind w:firstLine="640"/>
        <w:rPr>
          <w:rFonts w:ascii="Times New Roman" w:hAnsi="Times New Roman"/>
        </w:rPr>
      </w:pPr>
      <w:bookmarkStart w:id="6" w:name="_Toc142399166"/>
      <w:r>
        <w:rPr>
          <w:rFonts w:hint="eastAsia" w:ascii="Times New Roman" w:hAnsi="Times New Roman"/>
        </w:rPr>
        <w:t>（四）部门整体支出情况</w:t>
      </w:r>
      <w:bookmarkEnd w:id="6"/>
    </w:p>
    <w:p>
      <w:pPr>
        <w:pStyle w:val="32"/>
      </w:pPr>
      <w:r>
        <w:rPr>
          <w:rFonts w:hint="eastAsia"/>
        </w:rPr>
        <w:t>表1.</w:t>
      </w:r>
      <w:r>
        <w:t>4</w:t>
      </w:r>
      <w:r>
        <w:rPr>
          <w:rFonts w:hint="eastAsia"/>
        </w:rPr>
        <w:t>.</w:t>
      </w:r>
      <w:r>
        <w:t xml:space="preserve">1 </w:t>
      </w:r>
      <w:r>
        <w:rPr>
          <w:rFonts w:hint="eastAsia"/>
        </w:rPr>
        <w:t>部门预算支出情况表</w:t>
      </w:r>
    </w:p>
    <w:p>
      <w:pPr>
        <w:pStyle w:val="33"/>
      </w:pPr>
      <w:r>
        <w:rPr>
          <w:rFonts w:hint="eastAsia"/>
        </w:rPr>
        <w:t>单位：万元</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1"/>
        <w:gridCol w:w="1313"/>
        <w:gridCol w:w="1313"/>
        <w:gridCol w:w="1167"/>
        <w:gridCol w:w="1168"/>
        <w:gridCol w:w="1306"/>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5" w:hRule="atLeast"/>
          <w:tblHeader/>
        </w:trPr>
        <w:tc>
          <w:tcPr>
            <w:tcW w:w="505" w:type="pct"/>
            <w:shd w:val="clear" w:color="auto" w:fill="auto"/>
            <w:vAlign w:val="center"/>
          </w:tcPr>
          <w:p>
            <w:pPr>
              <w:pStyle w:val="35"/>
            </w:pPr>
            <w:r>
              <w:rPr>
                <w:rFonts w:hint="eastAsia"/>
              </w:rPr>
              <w:t>支出类型</w:t>
            </w:r>
          </w:p>
        </w:tc>
        <w:tc>
          <w:tcPr>
            <w:tcW w:w="770" w:type="pct"/>
            <w:vAlign w:val="center"/>
          </w:tcPr>
          <w:p>
            <w:pPr>
              <w:pStyle w:val="35"/>
            </w:pPr>
            <w:r>
              <w:rPr>
                <w:rFonts w:hint="eastAsia" w:cs="宋体"/>
                <w:kern w:val="0"/>
              </w:rPr>
              <w:t>年初预算</w:t>
            </w:r>
          </w:p>
        </w:tc>
        <w:tc>
          <w:tcPr>
            <w:tcW w:w="770" w:type="pct"/>
            <w:vAlign w:val="center"/>
          </w:tcPr>
          <w:p>
            <w:pPr>
              <w:pStyle w:val="35"/>
            </w:pPr>
            <w:r>
              <w:rPr>
                <w:rFonts w:hint="eastAsia" w:cs="宋体"/>
                <w:kern w:val="0"/>
              </w:rPr>
              <w:t>调整预算</w:t>
            </w:r>
          </w:p>
        </w:tc>
        <w:tc>
          <w:tcPr>
            <w:tcW w:w="684" w:type="pct"/>
            <w:vAlign w:val="center"/>
          </w:tcPr>
          <w:p>
            <w:pPr>
              <w:pStyle w:val="35"/>
            </w:pPr>
            <w:r>
              <w:rPr>
                <w:rFonts w:hint="eastAsia"/>
              </w:rPr>
              <w:t>上年结余</w:t>
            </w:r>
          </w:p>
        </w:tc>
        <w:tc>
          <w:tcPr>
            <w:tcW w:w="685" w:type="pct"/>
            <w:vAlign w:val="center"/>
          </w:tcPr>
          <w:p>
            <w:pPr>
              <w:pStyle w:val="35"/>
              <w:rPr>
                <w:rFonts w:cs="宋体"/>
                <w:kern w:val="0"/>
              </w:rPr>
            </w:pPr>
            <w:r>
              <w:rPr>
                <w:rFonts w:hint="eastAsia" w:cs="宋体"/>
                <w:kern w:val="0"/>
              </w:rPr>
              <w:t>收入合计</w:t>
            </w:r>
          </w:p>
        </w:tc>
        <w:tc>
          <w:tcPr>
            <w:tcW w:w="766" w:type="pct"/>
            <w:vAlign w:val="center"/>
          </w:tcPr>
          <w:p>
            <w:pPr>
              <w:pStyle w:val="35"/>
              <w:rPr>
                <w:rFonts w:cs="宋体"/>
                <w:kern w:val="0"/>
              </w:rPr>
            </w:pPr>
            <w:r>
              <w:rPr>
                <w:rFonts w:hint="eastAsia" w:cs="宋体"/>
                <w:kern w:val="0"/>
              </w:rPr>
              <w:t>支出合计</w:t>
            </w:r>
          </w:p>
        </w:tc>
        <w:tc>
          <w:tcPr>
            <w:tcW w:w="820" w:type="pct"/>
            <w:shd w:val="clear" w:color="auto" w:fill="auto"/>
            <w:vAlign w:val="center"/>
          </w:tcPr>
          <w:p>
            <w:pPr>
              <w:pStyle w:val="35"/>
              <w:rPr>
                <w:rFonts w:cs="宋体"/>
                <w:kern w:val="0"/>
              </w:rPr>
            </w:pPr>
            <w:r>
              <w:rPr>
                <w:rFonts w:hint="eastAsia" w:cs="宋体"/>
                <w:kern w:val="0"/>
              </w:rPr>
              <w:t>执行率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505" w:type="pct"/>
            <w:shd w:val="clear" w:color="auto" w:fill="auto"/>
            <w:vAlign w:val="center"/>
          </w:tcPr>
          <w:p>
            <w:pPr>
              <w:pStyle w:val="37"/>
            </w:pPr>
            <w:r>
              <w:rPr>
                <w:rFonts w:hint="eastAsia"/>
              </w:rPr>
              <w:t>基本支出</w:t>
            </w:r>
          </w:p>
        </w:tc>
        <w:tc>
          <w:tcPr>
            <w:tcW w:w="770" w:type="pct"/>
            <w:vAlign w:val="center"/>
          </w:tcPr>
          <w:p>
            <w:pPr>
              <w:pStyle w:val="37"/>
            </w:pPr>
            <w:r>
              <w:t>280</w:t>
            </w:r>
          </w:p>
        </w:tc>
        <w:tc>
          <w:tcPr>
            <w:tcW w:w="770" w:type="pct"/>
            <w:vAlign w:val="center"/>
          </w:tcPr>
          <w:p>
            <w:pPr>
              <w:pStyle w:val="37"/>
            </w:pPr>
            <w:r>
              <w:rPr>
                <w:rFonts w:hint="eastAsia"/>
              </w:rPr>
              <w:t>3</w:t>
            </w:r>
            <w:r>
              <w:t>45.33</w:t>
            </w:r>
          </w:p>
        </w:tc>
        <w:tc>
          <w:tcPr>
            <w:tcW w:w="684" w:type="pct"/>
            <w:vAlign w:val="center"/>
          </w:tcPr>
          <w:p>
            <w:pPr>
              <w:pStyle w:val="37"/>
            </w:pPr>
            <w:r>
              <w:rPr>
                <w:rFonts w:hint="eastAsia"/>
              </w:rPr>
              <w:t>0</w:t>
            </w:r>
            <w:r>
              <w:t>.15</w:t>
            </w:r>
          </w:p>
        </w:tc>
        <w:tc>
          <w:tcPr>
            <w:tcW w:w="685" w:type="pct"/>
            <w:vAlign w:val="center"/>
          </w:tcPr>
          <w:p>
            <w:pPr>
              <w:pStyle w:val="37"/>
            </w:pPr>
            <w:r>
              <w:rPr>
                <w:rFonts w:hint="eastAsia"/>
              </w:rPr>
              <w:t>3</w:t>
            </w:r>
            <w:r>
              <w:t>45.48</w:t>
            </w:r>
          </w:p>
        </w:tc>
        <w:tc>
          <w:tcPr>
            <w:tcW w:w="766" w:type="pct"/>
            <w:vAlign w:val="center"/>
          </w:tcPr>
          <w:p>
            <w:pPr>
              <w:pStyle w:val="37"/>
            </w:pPr>
            <w:r>
              <w:rPr>
                <w:rFonts w:hint="eastAsia"/>
              </w:rPr>
              <w:t>3</w:t>
            </w:r>
            <w:r>
              <w:t>45.33</w:t>
            </w:r>
          </w:p>
        </w:tc>
        <w:tc>
          <w:tcPr>
            <w:tcW w:w="820" w:type="pct"/>
            <w:shd w:val="clear" w:color="auto" w:fill="auto"/>
            <w:vAlign w:val="center"/>
          </w:tcPr>
          <w:p>
            <w:pPr>
              <w:pStyle w:val="37"/>
            </w:pPr>
            <w:r>
              <w:t>99.96%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505" w:type="pct"/>
            <w:shd w:val="clear" w:color="auto" w:fill="auto"/>
            <w:vAlign w:val="center"/>
          </w:tcPr>
          <w:p>
            <w:pPr>
              <w:pStyle w:val="37"/>
            </w:pPr>
            <w:r>
              <w:rPr>
                <w:rFonts w:hint="eastAsia"/>
              </w:rPr>
              <w:t>项目支出</w:t>
            </w:r>
          </w:p>
        </w:tc>
        <w:tc>
          <w:tcPr>
            <w:tcW w:w="770" w:type="pct"/>
            <w:vAlign w:val="center"/>
          </w:tcPr>
          <w:p>
            <w:pPr>
              <w:pStyle w:val="37"/>
            </w:pPr>
            <w:r>
              <w:rPr>
                <w:rFonts w:hint="eastAsia"/>
              </w:rPr>
              <w:t>6</w:t>
            </w:r>
            <w:r>
              <w:t>8.3</w:t>
            </w:r>
          </w:p>
        </w:tc>
        <w:tc>
          <w:tcPr>
            <w:tcW w:w="770" w:type="pct"/>
            <w:vAlign w:val="center"/>
          </w:tcPr>
          <w:p>
            <w:pPr>
              <w:pStyle w:val="37"/>
            </w:pPr>
            <w:r>
              <w:t>1020.87</w:t>
            </w:r>
          </w:p>
        </w:tc>
        <w:tc>
          <w:tcPr>
            <w:tcW w:w="684" w:type="pct"/>
            <w:vAlign w:val="center"/>
          </w:tcPr>
          <w:p>
            <w:pPr>
              <w:pStyle w:val="37"/>
            </w:pPr>
            <w:r>
              <w:rPr>
                <w:rFonts w:hint="eastAsia"/>
              </w:rPr>
              <w:t>0</w:t>
            </w:r>
          </w:p>
        </w:tc>
        <w:tc>
          <w:tcPr>
            <w:tcW w:w="685" w:type="pct"/>
            <w:vAlign w:val="center"/>
          </w:tcPr>
          <w:p>
            <w:pPr>
              <w:pStyle w:val="37"/>
            </w:pPr>
            <w:r>
              <w:rPr>
                <w:rFonts w:hint="eastAsia"/>
              </w:rPr>
              <w:t>1</w:t>
            </w:r>
            <w:r>
              <w:t>020.87</w:t>
            </w:r>
          </w:p>
        </w:tc>
        <w:tc>
          <w:tcPr>
            <w:tcW w:w="766" w:type="pct"/>
            <w:vAlign w:val="center"/>
          </w:tcPr>
          <w:p>
            <w:pPr>
              <w:pStyle w:val="37"/>
            </w:pPr>
            <w:r>
              <w:rPr>
                <w:rFonts w:hint="eastAsia"/>
              </w:rPr>
              <w:t>1</w:t>
            </w:r>
            <w:r>
              <w:t>020.87</w:t>
            </w:r>
          </w:p>
        </w:tc>
        <w:tc>
          <w:tcPr>
            <w:tcW w:w="820" w:type="pct"/>
            <w:shd w:val="clear" w:color="auto" w:fill="auto"/>
            <w:vAlign w:val="center"/>
          </w:tcPr>
          <w:p>
            <w:pPr>
              <w:pStyle w:val="37"/>
            </w:pPr>
            <w:r>
              <w:rPr>
                <w:rFonts w:hint="eastAsia"/>
              </w:rPr>
              <w:t>1</w:t>
            </w:r>
            <w: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505" w:type="pct"/>
            <w:shd w:val="clear" w:color="auto" w:fill="auto"/>
            <w:vAlign w:val="center"/>
          </w:tcPr>
          <w:p>
            <w:pPr>
              <w:pStyle w:val="35"/>
            </w:pPr>
            <w:r>
              <w:rPr>
                <w:rFonts w:hint="eastAsia"/>
              </w:rPr>
              <w:t>合计</w:t>
            </w:r>
          </w:p>
        </w:tc>
        <w:tc>
          <w:tcPr>
            <w:tcW w:w="770" w:type="pct"/>
            <w:vAlign w:val="center"/>
          </w:tcPr>
          <w:p>
            <w:pPr>
              <w:pStyle w:val="35"/>
              <w:rPr>
                <w:rFonts w:cs="Times New Roman"/>
              </w:rPr>
            </w:pPr>
            <w:r>
              <w:rPr>
                <w:rFonts w:hint="eastAsia" w:cs="Times New Roman"/>
              </w:rPr>
              <w:t>3</w:t>
            </w:r>
            <w:r>
              <w:rPr>
                <w:rFonts w:cs="Times New Roman"/>
              </w:rPr>
              <w:t>48.3</w:t>
            </w:r>
          </w:p>
        </w:tc>
        <w:tc>
          <w:tcPr>
            <w:tcW w:w="770" w:type="pct"/>
            <w:vAlign w:val="center"/>
          </w:tcPr>
          <w:p>
            <w:pPr>
              <w:pStyle w:val="35"/>
              <w:rPr>
                <w:rFonts w:cs="Times New Roman"/>
              </w:rPr>
            </w:pPr>
            <w:r>
              <w:rPr>
                <w:rFonts w:hint="eastAsia" w:cs="Times New Roman"/>
              </w:rPr>
              <w:t>1</w:t>
            </w:r>
            <w:r>
              <w:rPr>
                <w:rFonts w:cs="Times New Roman"/>
              </w:rPr>
              <w:t>366.2</w:t>
            </w:r>
          </w:p>
        </w:tc>
        <w:tc>
          <w:tcPr>
            <w:tcW w:w="684" w:type="pct"/>
            <w:vAlign w:val="center"/>
          </w:tcPr>
          <w:p>
            <w:pPr>
              <w:pStyle w:val="35"/>
              <w:rPr>
                <w:rFonts w:cs="Times New Roman"/>
              </w:rPr>
            </w:pPr>
            <w:r>
              <w:rPr>
                <w:rFonts w:hint="eastAsia" w:cs="Times New Roman"/>
              </w:rPr>
              <w:t>0</w:t>
            </w:r>
            <w:r>
              <w:rPr>
                <w:rFonts w:cs="Times New Roman"/>
              </w:rPr>
              <w:t>.15</w:t>
            </w:r>
          </w:p>
        </w:tc>
        <w:tc>
          <w:tcPr>
            <w:tcW w:w="685" w:type="pct"/>
            <w:vAlign w:val="center"/>
          </w:tcPr>
          <w:p>
            <w:pPr>
              <w:pStyle w:val="35"/>
              <w:rPr>
                <w:rFonts w:cs="Times New Roman"/>
              </w:rPr>
            </w:pPr>
            <w:r>
              <w:rPr>
                <w:rFonts w:hint="eastAsia" w:cs="Times New Roman"/>
              </w:rPr>
              <w:t>1</w:t>
            </w:r>
            <w:r>
              <w:rPr>
                <w:rFonts w:cs="Times New Roman"/>
              </w:rPr>
              <w:t>366.35</w:t>
            </w:r>
          </w:p>
        </w:tc>
        <w:tc>
          <w:tcPr>
            <w:tcW w:w="766" w:type="pct"/>
            <w:vAlign w:val="center"/>
          </w:tcPr>
          <w:p>
            <w:pPr>
              <w:pStyle w:val="35"/>
              <w:rPr>
                <w:rFonts w:cs="Times New Roman"/>
              </w:rPr>
            </w:pPr>
            <w:r>
              <w:rPr>
                <w:rFonts w:hint="eastAsia" w:cs="Times New Roman"/>
              </w:rPr>
              <w:t>1</w:t>
            </w:r>
            <w:r>
              <w:rPr>
                <w:rFonts w:cs="Times New Roman"/>
              </w:rPr>
              <w:t>366.2</w:t>
            </w:r>
          </w:p>
        </w:tc>
        <w:tc>
          <w:tcPr>
            <w:tcW w:w="820" w:type="pct"/>
            <w:shd w:val="clear" w:color="auto" w:fill="auto"/>
            <w:vAlign w:val="center"/>
          </w:tcPr>
          <w:p>
            <w:pPr>
              <w:pStyle w:val="35"/>
              <w:rPr>
                <w:rFonts w:cs="Times New Roman"/>
              </w:rPr>
            </w:pPr>
            <w:r>
              <w:rPr>
                <w:rFonts w:cs="Times New Roman"/>
              </w:rPr>
              <w:t>99.99%</w:t>
            </w:r>
          </w:p>
        </w:tc>
      </w:tr>
    </w:tbl>
    <w:p>
      <w:pPr>
        <w:pStyle w:val="29"/>
        <w:ind w:firstLine="640"/>
        <w:rPr>
          <w:rFonts w:ascii="Times New Roman" w:hAnsi="Times New Roman"/>
        </w:rPr>
      </w:pPr>
      <w:bookmarkStart w:id="7" w:name="_Toc142399167"/>
      <w:r>
        <w:rPr>
          <w:rFonts w:hint="eastAsia" w:ascii="Times New Roman" w:hAnsi="Times New Roman"/>
        </w:rPr>
        <w:t>（五）部门整体绩效目标</w:t>
      </w:r>
      <w:bookmarkEnd w:id="7"/>
    </w:p>
    <w:p>
      <w:pPr>
        <w:pStyle w:val="25"/>
        <w:ind w:firstLine="640"/>
        <w:rPr>
          <w:bCs/>
        </w:rPr>
      </w:pPr>
      <w:r>
        <w:rPr>
          <w:rFonts w:hint="eastAsia"/>
          <w:bCs/>
        </w:rPr>
        <w:t>区政府合作交流办</w:t>
      </w:r>
      <w:r>
        <w:rPr>
          <w:bCs/>
        </w:rPr>
        <w:t>2022</w:t>
      </w:r>
      <w:r>
        <w:rPr>
          <w:rFonts w:hint="eastAsia"/>
          <w:bCs/>
        </w:rPr>
        <w:t>年度部门整体支出绩效目标如下：</w:t>
      </w:r>
    </w:p>
    <w:p>
      <w:pPr>
        <w:pStyle w:val="25"/>
        <w:ind w:firstLine="640"/>
      </w:pPr>
      <w:r>
        <w:rPr>
          <w:rFonts w:hint="eastAsia"/>
        </w:rPr>
        <w:t>目标</w:t>
      </w:r>
      <w:r>
        <w:t>1</w:t>
      </w:r>
      <w:r>
        <w:rPr>
          <w:rFonts w:hint="eastAsia"/>
        </w:rPr>
        <w:t>：通过聘用编外人员等项目，达到协助完成单位内部工作，维持单位正常运行。</w:t>
      </w:r>
    </w:p>
    <w:p>
      <w:pPr>
        <w:pStyle w:val="25"/>
        <w:ind w:firstLine="640"/>
      </w:pPr>
      <w:r>
        <w:rPr>
          <w:rFonts w:hint="eastAsia"/>
        </w:rPr>
        <w:t>目标2：通过全区组织领导、人才支援、资金支持、社会帮扶、产业合作、劳务协作、交流交往交融、残疾人帮扶、总结宣传等方面协作工作，达到脱贫攻坚目标。</w:t>
      </w:r>
    </w:p>
    <w:p>
      <w:pPr>
        <w:pStyle w:val="27"/>
      </w:pPr>
      <w:bookmarkStart w:id="8" w:name="_Toc142399168"/>
      <w:r>
        <w:rPr>
          <w:rFonts w:hint="eastAsia"/>
        </w:rPr>
        <w:t>二、绩效评价实施过程</w:t>
      </w:r>
      <w:bookmarkEnd w:id="8"/>
    </w:p>
    <w:p>
      <w:pPr>
        <w:pStyle w:val="48"/>
        <w:ind w:firstLine="640"/>
        <w:outlineLvl w:val="2"/>
        <w:rPr>
          <w:rFonts w:ascii="Times New Roman" w:hAnsi="Times New Roman" w:eastAsia="楷体_GB2312"/>
          <w:b w:val="0"/>
          <w:sz w:val="32"/>
          <w:szCs w:val="48"/>
        </w:rPr>
      </w:pPr>
      <w:bookmarkStart w:id="9" w:name="_Toc53326850"/>
      <w:bookmarkStart w:id="10" w:name="_Toc91375832"/>
      <w:bookmarkStart w:id="11" w:name="_Toc91375445"/>
      <w:bookmarkStart w:id="12" w:name="_Toc142399169"/>
      <w:bookmarkStart w:id="13" w:name="_Toc53326851"/>
      <w:r>
        <w:rPr>
          <w:rFonts w:hint="eastAsia" w:ascii="Times New Roman" w:hAnsi="Times New Roman" w:eastAsia="楷体_GB2312"/>
          <w:b w:val="0"/>
          <w:sz w:val="32"/>
          <w:szCs w:val="48"/>
        </w:rPr>
        <w:t>（一）评价原则和方法</w:t>
      </w:r>
      <w:bookmarkEnd w:id="9"/>
      <w:bookmarkEnd w:id="10"/>
      <w:bookmarkEnd w:id="11"/>
      <w:bookmarkEnd w:id="12"/>
    </w:p>
    <w:p>
      <w:pPr>
        <w:pStyle w:val="50"/>
      </w:pPr>
      <w:r>
        <w:rPr>
          <w:rFonts w:hint="eastAsia"/>
        </w:rPr>
        <w:t>本次评价主要运用指标分析方法结合比较法、专家咨询法、文献法和社会调查法进行评价。坚持定量指标优先、定量指标与定性指标相结合的方式，同时通过文献法进行资料搜索以及多因素分析来支撑评价内容的逻辑紧密性与客观性。</w:t>
      </w:r>
    </w:p>
    <w:p>
      <w:pPr>
        <w:pStyle w:val="50"/>
      </w:pPr>
      <w:r>
        <w:rPr>
          <w:rFonts w:hint="eastAsia"/>
        </w:rPr>
        <w:t>1.指标分析法</w:t>
      </w:r>
    </w:p>
    <w:p>
      <w:pPr>
        <w:pStyle w:val="50"/>
      </w:pPr>
      <w:r>
        <w:rPr>
          <w:rFonts w:hint="eastAsia"/>
        </w:rPr>
        <w:t>通过指标分析法，反映对预算单位年度工作计划、项目的制定、执行和实现效果的判断结果，重点分析预算单位年度工作计划、项目设立的科学性和严谨性，年度工作计划和项目时效的严肃性，资金分配的合理性和规范性，资金使用审核和监管机制的健全性，年度工作计划和项目实施的产出和效果的充分性。</w:t>
      </w:r>
    </w:p>
    <w:p>
      <w:pPr>
        <w:pStyle w:val="50"/>
      </w:pPr>
      <w:r>
        <w:rPr>
          <w:rFonts w:hint="eastAsia"/>
        </w:rPr>
        <w:t>2.比较法</w:t>
      </w:r>
    </w:p>
    <w:p>
      <w:pPr>
        <w:pStyle w:val="50"/>
      </w:pPr>
      <w:r>
        <w:rPr>
          <w:rFonts w:hint="eastAsia"/>
        </w:rPr>
        <w:t>通过对预算单位绩效目标与预算单位履职效果、历史数据与当期数据情况、不同部门同类支出的比较，综合分析绩效目标实现程度。</w:t>
      </w:r>
    </w:p>
    <w:p>
      <w:pPr>
        <w:pStyle w:val="50"/>
      </w:pPr>
      <w:r>
        <w:rPr>
          <w:rFonts w:hint="eastAsia"/>
        </w:rPr>
        <w:t>3.专家咨询法</w:t>
      </w:r>
    </w:p>
    <w:p>
      <w:pPr>
        <w:pStyle w:val="50"/>
      </w:pPr>
      <w:r>
        <w:rPr>
          <w:rFonts w:hint="eastAsia"/>
        </w:rPr>
        <w:t>预算单位整体财政支出绩效评价工作中将引入财政专家和绩效专家。财政专家重点从单位预算管理角度提出专业建议，绩效专家则依据绩效评价原理，重点把握绩效评价方案中的思路合理性、评价指标体系设计的科学性等。引入专家的参与以确保绩效评价实施方案和绩效评价结论报告的全面性和科学性。</w:t>
      </w:r>
    </w:p>
    <w:p>
      <w:pPr>
        <w:pStyle w:val="50"/>
      </w:pPr>
      <w:r>
        <w:rPr>
          <w:rFonts w:hint="eastAsia"/>
        </w:rPr>
        <w:t>4.文献法</w:t>
      </w:r>
    </w:p>
    <w:p>
      <w:pPr>
        <w:pStyle w:val="50"/>
      </w:pPr>
      <w:r>
        <w:rPr>
          <w:rFonts w:hint="eastAsia"/>
        </w:rPr>
        <w:t>通过收集相关文献，对文献的研究形成对预算单位整体财政支出的产出和效果的科学认识，以达到客观评价的目的。</w:t>
      </w:r>
    </w:p>
    <w:p>
      <w:pPr>
        <w:pStyle w:val="50"/>
      </w:pPr>
      <w:r>
        <w:rPr>
          <w:rFonts w:hint="eastAsia"/>
        </w:rPr>
        <w:t>5.社会调查法</w:t>
      </w:r>
    </w:p>
    <w:p>
      <w:pPr>
        <w:pStyle w:val="50"/>
        <w:rPr>
          <w:szCs w:val="28"/>
        </w:rPr>
      </w:pPr>
      <w:r>
        <w:rPr>
          <w:rFonts w:hint="eastAsia"/>
        </w:rPr>
        <w:t>通过向公众开展问卷调查、实地访谈取得公众对预算单位财政支出效果的评判，评价绩效目标的实现程度。对于无法直接用评价指标考量其支出效益的，可以选择通过社会调查方式进行评价。</w:t>
      </w:r>
    </w:p>
    <w:p>
      <w:pPr>
        <w:pStyle w:val="48"/>
        <w:ind w:firstLine="640"/>
        <w:outlineLvl w:val="2"/>
        <w:rPr>
          <w:rFonts w:ascii="Times New Roman" w:hAnsi="Times New Roman" w:eastAsia="楷体_GB2312"/>
          <w:b w:val="0"/>
          <w:sz w:val="32"/>
          <w:szCs w:val="48"/>
        </w:rPr>
      </w:pPr>
      <w:bookmarkStart w:id="14" w:name="_Toc91375446"/>
      <w:bookmarkStart w:id="15" w:name="_Toc91375833"/>
      <w:bookmarkStart w:id="16" w:name="_Toc142399170"/>
      <w:r>
        <w:rPr>
          <w:rFonts w:hint="eastAsia" w:ascii="Times New Roman" w:hAnsi="Times New Roman" w:eastAsia="楷体_GB2312"/>
          <w:b w:val="0"/>
          <w:sz w:val="32"/>
          <w:szCs w:val="48"/>
        </w:rPr>
        <w:t>（二）评价依据</w:t>
      </w:r>
      <w:bookmarkEnd w:id="13"/>
      <w:bookmarkEnd w:id="14"/>
      <w:bookmarkEnd w:id="15"/>
      <w:bookmarkEnd w:id="16"/>
    </w:p>
    <w:p>
      <w:pPr>
        <w:pStyle w:val="50"/>
      </w:pPr>
      <w:r>
        <w:rPr>
          <w:rFonts w:hint="eastAsia"/>
        </w:rPr>
        <w:t>绩效评价的主要依据包括：国家、天津市相关法律、法规、规章制度和规范性文件，各级政府制定的国民经济与社会发展规划和方针政策，预算管理制度、资金管理办法及相关资料，预算部门（单位）职能职责、中长期发展规划及年度工作计划，相关行业政策、行业标准及专业技术规范，预算部门（单位）申请预算时提出的绩效目标及其他相关材料，财政部门预算评审报告、预算批复文件等，财政部门和预算部门（单位）年度预算执行情况，中期财政规划、年度预算报告、年度决算报告等。</w:t>
      </w:r>
    </w:p>
    <w:p>
      <w:pPr>
        <w:pStyle w:val="50"/>
        <w:rPr>
          <w:szCs w:val="28"/>
        </w:rPr>
      </w:pPr>
      <w:r>
        <w:rPr>
          <w:rFonts w:hint="eastAsia"/>
        </w:rPr>
        <w:t>本次部门整体支出绩效评价的主要依据与绩效评价相关的政策文件、资金及职能相关的政策文件，具体如下：</w:t>
      </w:r>
    </w:p>
    <w:p>
      <w:pPr>
        <w:pStyle w:val="50"/>
      </w:pPr>
      <w:r>
        <w:rPr>
          <w:rFonts w:hint="eastAsia"/>
        </w:rPr>
        <w:t>绩效评价相关政策文件：</w:t>
      </w:r>
    </w:p>
    <w:p>
      <w:pPr>
        <w:pStyle w:val="50"/>
      </w:pPr>
      <w:r>
        <w:rPr>
          <w:rFonts w:hint="eastAsia"/>
        </w:rPr>
        <w:t xml:space="preserve">1.《中共中央国务院关于全面实施预算绩效管理的意见》（中发〔2018〕 34号） </w:t>
      </w:r>
    </w:p>
    <w:p>
      <w:pPr>
        <w:pStyle w:val="50"/>
      </w:pPr>
      <w:r>
        <w:rPr>
          <w:rFonts w:hint="eastAsia"/>
        </w:rPr>
        <w:t>2.财政部关于贯彻落实《中共中央国务院关于全面实施预算绩效管理的意见》的通知（财预〔2018〕167号）</w:t>
      </w:r>
    </w:p>
    <w:p>
      <w:pPr>
        <w:pStyle w:val="50"/>
      </w:pPr>
      <w:r>
        <w:rPr>
          <w:rFonts w:hint="eastAsia"/>
        </w:rPr>
        <w:t>3.财政部关于印发《预算绩效评价共性指标体系框架》的通知（财预〔2013〕53号）</w:t>
      </w:r>
    </w:p>
    <w:p>
      <w:pPr>
        <w:pStyle w:val="50"/>
      </w:pPr>
      <w:r>
        <w:rPr>
          <w:rFonts w:hint="eastAsia"/>
        </w:rPr>
        <w:t>4.财政部关于印发《财政支出绩效评价管理暂行办法的通知》（财预〔2011〕285号）</w:t>
      </w:r>
    </w:p>
    <w:p>
      <w:pPr>
        <w:pStyle w:val="50"/>
      </w:pPr>
      <w:r>
        <w:rPr>
          <w:rFonts w:hint="eastAsia"/>
        </w:rPr>
        <w:t>5.预算支出绩效评价管理办法（征求意见稿）</w:t>
      </w:r>
    </w:p>
    <w:p>
      <w:pPr>
        <w:pStyle w:val="50"/>
      </w:pPr>
      <w:r>
        <w:rPr>
          <w:rFonts w:hint="eastAsia"/>
        </w:rPr>
        <w:t>6.《中共和平区委</w:t>
      </w:r>
      <w:r>
        <w:t xml:space="preserve"> </w:t>
      </w:r>
      <w:r>
        <w:rPr>
          <w:rFonts w:hint="eastAsia"/>
        </w:rPr>
        <w:t>和平区人民政府印发</w:t>
      </w:r>
      <w:r>
        <w:rPr>
          <w:rFonts w:hint="eastAsia"/>
          <w:lang w:eastAsia="zh-CN"/>
        </w:rPr>
        <w:t>〈</w:t>
      </w:r>
      <w:r>
        <w:rPr>
          <w:rFonts w:hint="eastAsia"/>
        </w:rPr>
        <w:t>关于全面推进预算绩效管理的实施方案</w:t>
      </w:r>
      <w:r>
        <w:rPr>
          <w:rFonts w:hint="eastAsia"/>
          <w:lang w:eastAsia="zh-CN"/>
        </w:rPr>
        <w:t>〉</w:t>
      </w:r>
      <w:r>
        <w:rPr>
          <w:rFonts w:hint="eastAsia"/>
        </w:rPr>
        <w:t>的通知》（津和党发〔201</w:t>
      </w:r>
      <w:r>
        <w:t>9</w:t>
      </w:r>
      <w:r>
        <w:rPr>
          <w:rFonts w:hint="eastAsia"/>
        </w:rPr>
        <w:t>〕2</w:t>
      </w:r>
      <w:r>
        <w:t>3</w:t>
      </w:r>
      <w:r>
        <w:rPr>
          <w:rFonts w:hint="eastAsia"/>
        </w:rPr>
        <w:t>号）</w:t>
      </w:r>
    </w:p>
    <w:p>
      <w:pPr>
        <w:pStyle w:val="50"/>
      </w:pPr>
      <w:r>
        <w:rPr>
          <w:rFonts w:hint="eastAsia"/>
        </w:rPr>
        <w:t>7.和平区财政局关于印发《和平区预算绩效管理办法》的通知（津和财〔20</w:t>
      </w:r>
      <w:r>
        <w:t>20</w:t>
      </w:r>
      <w:r>
        <w:rPr>
          <w:rFonts w:hint="eastAsia"/>
        </w:rPr>
        <w:t>〕</w:t>
      </w:r>
      <w:r>
        <w:t>6</w:t>
      </w:r>
      <w:r>
        <w:rPr>
          <w:rFonts w:hint="eastAsia"/>
        </w:rPr>
        <w:t>1号）</w:t>
      </w:r>
    </w:p>
    <w:p>
      <w:pPr>
        <w:pStyle w:val="50"/>
      </w:pPr>
      <w:r>
        <w:t>8</w:t>
      </w:r>
      <w:r>
        <w:rPr>
          <w:rFonts w:hint="eastAsia"/>
        </w:rPr>
        <w:t>.关于印发《天津市财政部门绩效评价工作规程》的通知（津财督〔2012〕8号）</w:t>
      </w:r>
    </w:p>
    <w:p>
      <w:pPr>
        <w:pStyle w:val="50"/>
      </w:pPr>
      <w:r>
        <w:t>9</w:t>
      </w:r>
      <w:r>
        <w:rPr>
          <w:rFonts w:hint="eastAsia"/>
        </w:rPr>
        <w:t>.转发市财政局拟定的天津市财政支出绩效评价管理办法的通知（津政办发〔2012〕2号）</w:t>
      </w:r>
    </w:p>
    <w:p>
      <w:pPr>
        <w:pStyle w:val="50"/>
      </w:pPr>
      <w:r>
        <w:rPr>
          <w:rFonts w:hint="eastAsia"/>
        </w:rPr>
        <w:t>绩效评价主要依据文件或资料：</w:t>
      </w:r>
    </w:p>
    <w:p>
      <w:pPr>
        <w:pStyle w:val="50"/>
      </w:pPr>
      <w:r>
        <w:rPr>
          <w:rFonts w:hint="eastAsia"/>
        </w:rPr>
        <w:t>1.部门三定方案</w:t>
      </w:r>
    </w:p>
    <w:p>
      <w:pPr>
        <w:pStyle w:val="50"/>
      </w:pPr>
      <w:r>
        <w:rPr>
          <w:rFonts w:hint="eastAsia"/>
        </w:rPr>
        <w:t>2</w:t>
      </w:r>
      <w:r>
        <w:t>.部门</w:t>
      </w:r>
      <w:r>
        <w:rPr>
          <w:rFonts w:hint="eastAsia"/>
        </w:rPr>
        <w:t>整体工作计划及工作总结</w:t>
      </w:r>
    </w:p>
    <w:p>
      <w:pPr>
        <w:pStyle w:val="50"/>
      </w:pPr>
      <w:r>
        <w:t>3.</w:t>
      </w:r>
      <w:r>
        <w:rPr>
          <w:rFonts w:hint="eastAsia"/>
        </w:rPr>
        <w:t>部门年初预算批复及相关“三重一大”会议纪要</w:t>
      </w:r>
    </w:p>
    <w:p>
      <w:pPr>
        <w:pStyle w:val="50"/>
      </w:pPr>
      <w:r>
        <w:rPr>
          <w:rFonts w:hint="eastAsia"/>
        </w:rPr>
        <w:t>4</w:t>
      </w:r>
      <w:r>
        <w:t>.</w:t>
      </w:r>
      <w:r>
        <w:rPr>
          <w:rFonts w:hint="eastAsia"/>
        </w:rPr>
        <w:t>部门调整预算批复及调整预算表</w:t>
      </w:r>
    </w:p>
    <w:p>
      <w:pPr>
        <w:pStyle w:val="50"/>
      </w:pPr>
      <w:r>
        <w:t>5.</w:t>
      </w:r>
      <w:r>
        <w:rPr>
          <w:rFonts w:hint="eastAsia"/>
        </w:rPr>
        <w:t>2</w:t>
      </w:r>
      <w:r>
        <w:t>022</w:t>
      </w:r>
      <w:r>
        <w:rPr>
          <w:rFonts w:hint="eastAsia"/>
        </w:rPr>
        <w:t>年度部门整体绩效目标申报表、绩效自评表、绩效自评报告</w:t>
      </w:r>
    </w:p>
    <w:p>
      <w:pPr>
        <w:pStyle w:val="50"/>
      </w:pPr>
      <w:r>
        <w:t>6.2022</w:t>
      </w:r>
      <w:r>
        <w:rPr>
          <w:rFonts w:hint="eastAsia"/>
        </w:rPr>
        <w:t>年度部门项目支出绩效目标申报表、绩效自评表、绩效监控表、绩效自评报告</w:t>
      </w:r>
    </w:p>
    <w:p>
      <w:pPr>
        <w:pStyle w:val="50"/>
      </w:pPr>
      <w:r>
        <w:t>7.</w:t>
      </w:r>
      <w:r>
        <w:rPr>
          <w:rFonts w:hint="eastAsia"/>
        </w:rPr>
        <w:t>部门决算套表</w:t>
      </w:r>
    </w:p>
    <w:p>
      <w:pPr>
        <w:pStyle w:val="50"/>
      </w:pPr>
      <w:r>
        <w:rPr>
          <w:rFonts w:hint="eastAsia"/>
        </w:rPr>
        <w:t>8</w:t>
      </w:r>
      <w:r>
        <w:t>.</w:t>
      </w:r>
      <w:r>
        <w:rPr>
          <w:rFonts w:hint="eastAsia"/>
        </w:rPr>
        <w:t>部门内控手册及内控制度管理办法</w:t>
      </w:r>
    </w:p>
    <w:p>
      <w:pPr>
        <w:pStyle w:val="50"/>
      </w:pPr>
      <w:r>
        <w:rPr>
          <w:rFonts w:hint="eastAsia"/>
        </w:rPr>
        <w:t>9</w:t>
      </w:r>
      <w:r>
        <w:t>.</w:t>
      </w:r>
      <w:r>
        <w:rPr>
          <w:rFonts w:hint="eastAsia"/>
        </w:rPr>
        <w:t>部门2</w:t>
      </w:r>
      <w:r>
        <w:t>022</w:t>
      </w:r>
      <w:r>
        <w:rPr>
          <w:rFonts w:hint="eastAsia"/>
        </w:rPr>
        <w:t>年度重点项目相关资料</w:t>
      </w:r>
    </w:p>
    <w:p>
      <w:pPr>
        <w:pStyle w:val="48"/>
        <w:ind w:firstLine="640"/>
        <w:jc w:val="both"/>
        <w:outlineLvl w:val="2"/>
        <w:rPr>
          <w:rFonts w:ascii="Times New Roman" w:hAnsi="Times New Roman" w:eastAsia="楷体_GB2312"/>
          <w:b w:val="0"/>
          <w:sz w:val="32"/>
          <w:szCs w:val="48"/>
        </w:rPr>
      </w:pPr>
      <w:bookmarkStart w:id="17" w:name="_Toc142399171"/>
      <w:bookmarkStart w:id="18" w:name="_Toc53326852"/>
      <w:bookmarkStart w:id="19" w:name="_Toc91375834"/>
      <w:bookmarkStart w:id="20" w:name="_Toc91375447"/>
      <w:r>
        <w:rPr>
          <w:rFonts w:hint="eastAsia" w:ascii="Times New Roman" w:hAnsi="Times New Roman" w:eastAsia="楷体_GB2312"/>
          <w:b w:val="0"/>
          <w:sz w:val="32"/>
          <w:szCs w:val="48"/>
        </w:rPr>
        <w:t>（三）评价目的</w:t>
      </w:r>
      <w:bookmarkEnd w:id="17"/>
      <w:bookmarkEnd w:id="18"/>
      <w:bookmarkEnd w:id="19"/>
      <w:bookmarkEnd w:id="20"/>
    </w:p>
    <w:p>
      <w:pPr>
        <w:pStyle w:val="50"/>
        <w:rPr>
          <w:lang w:val="zh-CN"/>
        </w:rPr>
      </w:pPr>
      <w:r>
        <w:rPr>
          <w:rFonts w:hint="eastAsia"/>
          <w:lang w:val="zh-CN"/>
        </w:rPr>
        <w:t>分析</w:t>
      </w:r>
      <w:r>
        <w:rPr>
          <w:rFonts w:hint="eastAsia"/>
          <w:bCs/>
        </w:rPr>
        <w:t>区政府合作交流办整体</w:t>
      </w:r>
      <w:r>
        <w:rPr>
          <w:rFonts w:hint="eastAsia"/>
          <w:lang w:val="zh-CN"/>
        </w:rPr>
        <w:t>目标计划完成与履职情况，总结经验做法，找出资金使用和管理的薄弱环节，提出改进意见，提高财政资金的使用效率。同时重点关注：</w:t>
      </w:r>
    </w:p>
    <w:p>
      <w:pPr>
        <w:pStyle w:val="50"/>
        <w:rPr>
          <w:lang w:val="zh-CN"/>
        </w:rPr>
      </w:pPr>
      <w:r>
        <w:rPr>
          <w:rFonts w:hint="eastAsia"/>
          <w:lang w:val="zh-CN"/>
        </w:rPr>
        <w:t>第一，关注整体支出中经常性业务活动的预算变动情况，通过资金数据的采集，对变动原因进行了解和分析，判断预算变动的合理性。</w:t>
      </w:r>
    </w:p>
    <w:p>
      <w:pPr>
        <w:pStyle w:val="50"/>
        <w:rPr>
          <w:lang w:val="zh-CN"/>
        </w:rPr>
      </w:pPr>
      <w:r>
        <w:rPr>
          <w:rFonts w:hint="eastAsia"/>
          <w:lang w:val="zh-CN"/>
        </w:rPr>
        <w:t>第二，关注整体支出规范性，通过整理相关政策、文献及其他相关标准，结合实际支出使用情况，评价资金使用的规范性；同时关注是否建立健全部门资金使用的相关制度。</w:t>
      </w:r>
    </w:p>
    <w:p>
      <w:pPr>
        <w:pStyle w:val="50"/>
        <w:rPr>
          <w:szCs w:val="28"/>
        </w:rPr>
      </w:pPr>
      <w:r>
        <w:rPr>
          <w:rFonts w:hint="eastAsia"/>
          <w:lang w:val="zh-CN"/>
        </w:rPr>
        <w:t>第三，关注履职和产出的实现，评价小组围绕重点职责的履行情况，以及职能的实现程度，主要从工作的整体效果、各项目标的实现程度、社会各界的满意程度等方面来评价</w:t>
      </w:r>
      <w:r>
        <w:rPr>
          <w:rFonts w:hint="eastAsia"/>
          <w:bCs/>
        </w:rPr>
        <w:t>区政府合作交流办</w:t>
      </w:r>
      <w:r>
        <w:rPr>
          <w:rFonts w:hint="eastAsia"/>
          <w:lang w:val="zh-CN"/>
        </w:rPr>
        <w:t>整体职能的履行情况。</w:t>
      </w:r>
    </w:p>
    <w:p>
      <w:pPr>
        <w:pStyle w:val="48"/>
        <w:ind w:firstLine="640"/>
        <w:outlineLvl w:val="2"/>
        <w:rPr>
          <w:rFonts w:ascii="Times New Roman" w:hAnsi="Times New Roman" w:eastAsia="楷体_GB2312"/>
          <w:b w:val="0"/>
          <w:sz w:val="32"/>
          <w:szCs w:val="48"/>
        </w:rPr>
      </w:pPr>
      <w:bookmarkStart w:id="21" w:name="_Toc91375448"/>
      <w:bookmarkStart w:id="22" w:name="_Toc91375835"/>
      <w:bookmarkStart w:id="23" w:name="_Toc142399172"/>
      <w:bookmarkStart w:id="24" w:name="_Toc53326853"/>
      <w:r>
        <w:rPr>
          <w:rFonts w:hint="eastAsia" w:ascii="Times New Roman" w:hAnsi="Times New Roman" w:eastAsia="楷体_GB2312"/>
          <w:b w:val="0"/>
          <w:sz w:val="32"/>
          <w:szCs w:val="48"/>
        </w:rPr>
        <w:t>（四）评价对象和范围</w:t>
      </w:r>
      <w:bookmarkEnd w:id="21"/>
      <w:bookmarkEnd w:id="22"/>
      <w:bookmarkEnd w:id="23"/>
      <w:bookmarkEnd w:id="24"/>
    </w:p>
    <w:p>
      <w:pPr>
        <w:pStyle w:val="50"/>
      </w:pPr>
      <w:r>
        <w:rPr>
          <w:rFonts w:hint="eastAsia"/>
        </w:rPr>
        <w:t>本次评价对象为</w:t>
      </w:r>
      <w:r>
        <w:rPr>
          <w:rFonts w:hint="eastAsia"/>
          <w:bCs/>
        </w:rPr>
        <w:t>区政府合作交流办</w:t>
      </w:r>
      <w:r>
        <w:rPr>
          <w:rFonts w:hint="eastAsia"/>
        </w:rPr>
        <w:t>部门整体支出。绩效评价范围为纳入部门预算管理的资金，从支出类型看包括基本支出和项目支出。</w:t>
      </w:r>
    </w:p>
    <w:p>
      <w:pPr>
        <w:pStyle w:val="50"/>
        <w:rPr>
          <w:szCs w:val="28"/>
        </w:rPr>
      </w:pPr>
      <w:r>
        <w:rPr>
          <w:rFonts w:hint="eastAsia"/>
        </w:rPr>
        <w:t>本次评价的评价时段为20</w:t>
      </w:r>
      <w:r>
        <w:t>22</w:t>
      </w:r>
      <w:r>
        <w:rPr>
          <w:rFonts w:hint="eastAsia"/>
        </w:rPr>
        <w:t>年度。</w:t>
      </w:r>
    </w:p>
    <w:p>
      <w:pPr>
        <w:pStyle w:val="48"/>
        <w:ind w:firstLine="640"/>
        <w:jc w:val="both"/>
        <w:outlineLvl w:val="2"/>
        <w:rPr>
          <w:rFonts w:ascii="Times New Roman" w:hAnsi="Times New Roman" w:eastAsia="楷体_GB2312"/>
          <w:b w:val="0"/>
          <w:sz w:val="32"/>
          <w:szCs w:val="48"/>
        </w:rPr>
      </w:pPr>
      <w:bookmarkStart w:id="25" w:name="_Toc91375836"/>
      <w:bookmarkStart w:id="26" w:name="_Toc142399173"/>
      <w:bookmarkStart w:id="27" w:name="_Toc53326854"/>
      <w:bookmarkStart w:id="28" w:name="_Toc91375449"/>
      <w:r>
        <w:rPr>
          <w:rFonts w:hint="eastAsia" w:ascii="Times New Roman" w:hAnsi="Times New Roman" w:eastAsia="楷体_GB2312"/>
          <w:b w:val="0"/>
          <w:sz w:val="32"/>
          <w:szCs w:val="48"/>
        </w:rPr>
        <w:t>（五）评价思路</w:t>
      </w:r>
      <w:bookmarkEnd w:id="25"/>
      <w:bookmarkEnd w:id="26"/>
      <w:bookmarkEnd w:id="27"/>
      <w:bookmarkEnd w:id="28"/>
    </w:p>
    <w:p>
      <w:pPr>
        <w:pStyle w:val="50"/>
      </w:pPr>
      <w:bookmarkStart w:id="29" w:name="_Toc53326855"/>
      <w:r>
        <w:rPr>
          <w:rFonts w:hint="eastAsia"/>
        </w:rPr>
        <w:t>1.评价内容及重点</w:t>
      </w:r>
      <w:bookmarkEnd w:id="29"/>
    </w:p>
    <w:p>
      <w:pPr>
        <w:pStyle w:val="50"/>
      </w:pPr>
      <w:r>
        <w:rPr>
          <w:rFonts w:hint="eastAsia"/>
        </w:rPr>
        <w:t>整体财政支出绩效评价的实施，从财政资金的预算和执行的角度，考察工作目标、履职、内部管理、运行效率之间的关系。评价重点在以下几个方面：</w:t>
      </w:r>
    </w:p>
    <w:p>
      <w:pPr>
        <w:pStyle w:val="50"/>
      </w:pPr>
      <w:r>
        <w:rPr>
          <w:rFonts w:hint="eastAsia"/>
        </w:rPr>
        <w:t>（1）预算单位职能---工作目标---项目安排---预算的匹配关系</w:t>
      </w:r>
    </w:p>
    <w:p>
      <w:pPr>
        <w:pStyle w:val="50"/>
      </w:pPr>
      <w:r>
        <w:rPr>
          <w:rFonts w:hint="eastAsia"/>
        </w:rPr>
        <w:t>整体财政支出绩效评价以单位职能和主要职责内容为切入点，评价分析</w:t>
      </w:r>
      <w:r>
        <w:rPr>
          <w:rFonts w:hint="eastAsia"/>
          <w:bCs/>
        </w:rPr>
        <w:t>区政府合作交流办</w:t>
      </w:r>
      <w:r>
        <w:rPr>
          <w:rFonts w:hint="eastAsia"/>
        </w:rPr>
        <w:t>的职能、总体目标、年度工作计划及任务、项目安排及预算之间的关联性和匹配性。</w:t>
      </w:r>
    </w:p>
    <w:p>
      <w:pPr>
        <w:pStyle w:val="50"/>
      </w:pPr>
      <w:r>
        <w:rPr>
          <w:rFonts w:hint="eastAsia"/>
        </w:rPr>
        <w:t>（2）预算单位制度保障情况</w:t>
      </w:r>
    </w:p>
    <w:p>
      <w:pPr>
        <w:pStyle w:val="50"/>
      </w:pPr>
      <w:r>
        <w:rPr>
          <w:rFonts w:hint="eastAsia"/>
        </w:rPr>
        <w:t>预算单位制度是运行及职能实现的主要依据，开展整体财政支出绩效评价，要对部门的制度保障条件进行考察分析，分析内部控制管理制度是否完善，是否将运行的各个环节规范化，为部门的有效运行提供制度保障。</w:t>
      </w:r>
    </w:p>
    <w:p>
      <w:pPr>
        <w:pStyle w:val="50"/>
      </w:pPr>
      <w:r>
        <w:rPr>
          <w:rFonts w:hint="eastAsia"/>
        </w:rPr>
        <w:t>（3）预算单位履职的有效性</w:t>
      </w:r>
    </w:p>
    <w:p>
      <w:pPr>
        <w:pStyle w:val="50"/>
      </w:pPr>
      <w:r>
        <w:rPr>
          <w:rFonts w:hint="eastAsia"/>
        </w:rPr>
        <w:t>整体财政支出绩效评价要围绕职能履行的有效性，主要评价部门是否履职到位、履职目标是否实现、工作计划是否完成。</w:t>
      </w:r>
    </w:p>
    <w:p>
      <w:pPr>
        <w:pStyle w:val="50"/>
      </w:pPr>
      <w:r>
        <w:rPr>
          <w:rFonts w:hint="eastAsia"/>
        </w:rPr>
        <w:t>（4）预算单位资源配置有效性</w:t>
      </w:r>
    </w:p>
    <w:p>
      <w:pPr>
        <w:pStyle w:val="50"/>
      </w:pPr>
      <w:r>
        <w:rPr>
          <w:rFonts w:hint="eastAsia"/>
        </w:rPr>
        <w:t>部门的运行以该单位人、财、物为主要资源，为人民提供公共产品和服务，以实现部门的职能。在绩效评价时，需要评估资源配置的数量和结构是否合理，能否有效保障工作计划的完成，确保职能的有效履行。</w:t>
      </w:r>
    </w:p>
    <w:p>
      <w:pPr>
        <w:pStyle w:val="50"/>
      </w:pPr>
      <w:bookmarkStart w:id="30" w:name="_Toc53326856"/>
      <w:r>
        <w:rPr>
          <w:rFonts w:hint="eastAsia"/>
        </w:rPr>
        <w:t>2.评价实施路径</w:t>
      </w:r>
      <w:bookmarkEnd w:id="30"/>
    </w:p>
    <w:p>
      <w:pPr>
        <w:pStyle w:val="50"/>
      </w:pPr>
      <w:r>
        <w:rPr>
          <w:rFonts w:hint="eastAsia"/>
        </w:rPr>
        <w:t>整体财政支出绩效评价实施路径从整体定位出发，明确部门整体绩效目标，分析履职情况，评估长效机制建设的健全性。</w:t>
      </w:r>
    </w:p>
    <w:p>
      <w:pPr>
        <w:pStyle w:val="50"/>
      </w:pPr>
      <w:r>
        <w:rPr>
          <w:rFonts w:hint="eastAsia"/>
        </w:rPr>
        <w:t>（1）明确部门职责及重点工作</w:t>
      </w:r>
    </w:p>
    <w:p>
      <w:pPr>
        <w:pStyle w:val="50"/>
      </w:pPr>
      <w:r>
        <w:rPr>
          <w:rFonts w:hint="eastAsia"/>
        </w:rPr>
        <w:t>以部门职能和主要职责为基础，结合战略目标及中长期发展规划、年度工作计划及预算安排等情况，通过和</w:t>
      </w:r>
      <w:r>
        <w:rPr>
          <w:rFonts w:hint="eastAsia"/>
          <w:bCs/>
        </w:rPr>
        <w:t>区政府合作交流办</w:t>
      </w:r>
      <w:r>
        <w:rPr>
          <w:rFonts w:hint="eastAsia"/>
        </w:rPr>
        <w:t>沟通，分析</w:t>
      </w:r>
      <w:r>
        <w:rPr>
          <w:rFonts w:hint="eastAsia"/>
          <w:lang w:val="zh-CN"/>
        </w:rPr>
        <w:t>该部门</w:t>
      </w:r>
      <w:r>
        <w:rPr>
          <w:rFonts w:hint="eastAsia"/>
        </w:rPr>
        <w:t>的主要职责和年度重点工作任务，搜集相关的管理办法、内部控制管理制度和预算资金安排情况等内容。在此基础上，对职能、职责进行重要性排序，对与重要职能、职责紧密相关的工作重点进行分析。</w:t>
      </w:r>
    </w:p>
    <w:p>
      <w:pPr>
        <w:pStyle w:val="50"/>
      </w:pPr>
      <w:r>
        <w:rPr>
          <w:rFonts w:hint="eastAsia"/>
        </w:rPr>
        <w:t>（2）明确部门绩效目标</w:t>
      </w:r>
    </w:p>
    <w:p>
      <w:pPr>
        <w:pStyle w:val="50"/>
      </w:pPr>
      <w:r>
        <w:rPr>
          <w:rFonts w:hint="eastAsia"/>
        </w:rPr>
        <w:t>部门整体财政支出绩效目标的设定基于本级政府的总体目标与规划的分解，按照“政府目标与规划---部门职能---部门战略目标---年度目标---年度工作计划及任务”的思路，经过梳理、分析、整理，形成部门的年度整体财政支出绩效目标。</w:t>
      </w:r>
    </w:p>
    <w:p>
      <w:pPr>
        <w:pStyle w:val="50"/>
      </w:pPr>
      <w:r>
        <w:rPr>
          <w:rFonts w:hint="eastAsia"/>
        </w:rPr>
        <w:t>（3）分析部门履职绩效</w:t>
      </w:r>
    </w:p>
    <w:p>
      <w:pPr>
        <w:pStyle w:val="50"/>
      </w:pPr>
      <w:r>
        <w:rPr>
          <w:rFonts w:hint="eastAsia"/>
        </w:rPr>
        <w:t>按照履职的相关材料和实地调研情况，从年度重点工作履行、工作目标实现、服务对象满意度、社会效益、经济效益、生态效益、部门长效管理、人员建设等方面进行分析。</w:t>
      </w:r>
    </w:p>
    <w:p>
      <w:pPr>
        <w:pStyle w:val="50"/>
      </w:pPr>
      <w:r>
        <w:rPr>
          <w:rFonts w:hint="eastAsia"/>
        </w:rPr>
        <w:t>收集、整理、总结职能定位和年度工作计划，同时梳理项目预算与基本预算，明确预算与职能的匹配度，客观反映</w:t>
      </w:r>
      <w:r>
        <w:rPr>
          <w:rFonts w:hint="eastAsia"/>
          <w:bCs/>
        </w:rPr>
        <w:t>区政府合作交流办</w:t>
      </w:r>
      <w:r>
        <w:rPr>
          <w:rFonts w:hint="eastAsia"/>
        </w:rPr>
        <w:t>的年度履职情况和达到的产出及效果，对预算安排、完成的工作和履职程度之间的关系进行分析。</w:t>
      </w:r>
    </w:p>
    <w:p>
      <w:pPr>
        <w:pStyle w:val="50"/>
      </w:pPr>
      <w:r>
        <w:rPr>
          <w:rFonts w:hint="eastAsia"/>
        </w:rPr>
        <w:t>整体财政支出绩效评价的基础和出发点由当前年度工作计划、与之配套的预算资金的明细（政府经济分类、功能科目）构成，对应近三年相关工作的延续性和变化原因，分析评价当前年度职能履行程度和目标实现情况。</w:t>
      </w:r>
    </w:p>
    <w:p>
      <w:pPr>
        <w:pStyle w:val="48"/>
        <w:ind w:firstLine="640"/>
        <w:jc w:val="both"/>
        <w:outlineLvl w:val="2"/>
        <w:rPr>
          <w:rFonts w:ascii="Times New Roman" w:hAnsi="Times New Roman" w:eastAsia="楷体_GB2312"/>
          <w:b w:val="0"/>
          <w:sz w:val="32"/>
          <w:szCs w:val="48"/>
        </w:rPr>
      </w:pPr>
      <w:bookmarkStart w:id="31" w:name="_Toc91375837"/>
      <w:bookmarkStart w:id="32" w:name="_Toc53326857"/>
      <w:bookmarkStart w:id="33" w:name="_Toc91375450"/>
      <w:bookmarkStart w:id="34" w:name="_Toc142399174"/>
      <w:r>
        <w:rPr>
          <w:rFonts w:hint="eastAsia" w:ascii="Times New Roman" w:hAnsi="Times New Roman" w:eastAsia="楷体_GB2312"/>
          <w:b w:val="0"/>
          <w:sz w:val="32"/>
          <w:szCs w:val="48"/>
        </w:rPr>
        <w:t>（六）评价流程</w:t>
      </w:r>
      <w:bookmarkEnd w:id="31"/>
      <w:bookmarkEnd w:id="32"/>
      <w:bookmarkEnd w:id="33"/>
      <w:bookmarkEnd w:id="34"/>
    </w:p>
    <w:p>
      <w:pPr>
        <w:pStyle w:val="50"/>
      </w:pPr>
      <w:r>
        <w:rPr>
          <w:rFonts w:hint="eastAsia"/>
        </w:rPr>
        <w:t>评价流程分内部工作部署、评价启动、单位对接、提交方案、资料收集、现场调研、提交报告七个实施阶段，具体如下：</w:t>
      </w:r>
    </w:p>
    <w:p>
      <w:pPr>
        <w:pStyle w:val="50"/>
      </w:pPr>
      <w:bookmarkStart w:id="35" w:name="_Toc53326858"/>
      <w:r>
        <w:rPr>
          <w:rFonts w:hint="eastAsia"/>
        </w:rPr>
        <w:t>1.</w:t>
      </w:r>
      <w:bookmarkEnd w:id="35"/>
      <w:r>
        <w:rPr>
          <w:rFonts w:hint="eastAsia"/>
        </w:rPr>
        <w:t>内部工作部署</w:t>
      </w:r>
    </w:p>
    <w:p>
      <w:pPr>
        <w:pStyle w:val="50"/>
      </w:pPr>
      <w:r>
        <w:rPr>
          <w:rFonts w:hint="eastAsia"/>
        </w:rPr>
        <w:t>为指导</w:t>
      </w:r>
      <w:r>
        <w:rPr>
          <w:rFonts w:hint="eastAsia"/>
          <w:bCs/>
        </w:rPr>
        <w:t>区政府合作交流办</w:t>
      </w:r>
      <w:r>
        <w:rPr>
          <w:rFonts w:hint="eastAsia"/>
        </w:rPr>
        <w:t>配合做好本次评价工作，天津安信管理咨询有限公司对项目团队人员进行培训，主要包括项目开展要求、流程、重点关注内容等。</w:t>
      </w:r>
    </w:p>
    <w:p>
      <w:pPr>
        <w:pStyle w:val="50"/>
      </w:pPr>
      <w:bookmarkStart w:id="36" w:name="_Toc53326859"/>
      <w:r>
        <w:rPr>
          <w:rFonts w:hint="eastAsia"/>
        </w:rPr>
        <w:t>2.评价启动</w:t>
      </w:r>
      <w:bookmarkEnd w:id="36"/>
    </w:p>
    <w:p>
      <w:pPr>
        <w:pStyle w:val="50"/>
      </w:pPr>
      <w:r>
        <w:rPr>
          <w:rFonts w:hint="eastAsia"/>
        </w:rPr>
        <w:t>在和平区财政局安排下，</w:t>
      </w:r>
      <w:r>
        <w:rPr>
          <w:rFonts w:hint="eastAsia"/>
          <w:bCs/>
        </w:rPr>
        <w:t>区政府合作交流办</w:t>
      </w:r>
      <w:r>
        <w:rPr>
          <w:rFonts w:hint="eastAsia"/>
        </w:rPr>
        <w:t>及其他被评价单位召开绩效评价启动会，布置绩效评价工作内容及各阶段工作时间节点要求。</w:t>
      </w:r>
    </w:p>
    <w:p>
      <w:pPr>
        <w:pStyle w:val="50"/>
      </w:pPr>
      <w:bookmarkStart w:id="37" w:name="_Toc53326860"/>
      <w:r>
        <w:rPr>
          <w:rFonts w:hint="eastAsia"/>
        </w:rPr>
        <w:t>3.单位对接</w:t>
      </w:r>
      <w:bookmarkEnd w:id="37"/>
    </w:p>
    <w:p>
      <w:pPr>
        <w:pStyle w:val="50"/>
      </w:pPr>
      <w:r>
        <w:rPr>
          <w:rFonts w:hint="eastAsia"/>
        </w:rPr>
        <w:t>与</w:t>
      </w:r>
      <w:r>
        <w:rPr>
          <w:rFonts w:hint="eastAsia"/>
          <w:bCs/>
        </w:rPr>
        <w:t>区政府合作交流办</w:t>
      </w:r>
      <w:r>
        <w:rPr>
          <w:rFonts w:hint="eastAsia"/>
        </w:rPr>
        <w:t>进行对接，了解部门职能、20</w:t>
      </w:r>
      <w:r>
        <w:t>22</w:t>
      </w:r>
      <w:r>
        <w:rPr>
          <w:rFonts w:hint="eastAsia"/>
        </w:rPr>
        <w:t>年部门预算及决算情况、重点项目及部门整体绩效目标、部门管理制度、部门相关合同、立项文件等依据情况。</w:t>
      </w:r>
    </w:p>
    <w:p>
      <w:pPr>
        <w:pStyle w:val="50"/>
      </w:pPr>
      <w:bookmarkStart w:id="38" w:name="_Toc53326861"/>
      <w:r>
        <w:rPr>
          <w:rFonts w:hint="eastAsia"/>
        </w:rPr>
        <w:t>4.提交方案</w:t>
      </w:r>
      <w:bookmarkEnd w:id="38"/>
    </w:p>
    <w:p>
      <w:pPr>
        <w:pStyle w:val="50"/>
      </w:pPr>
      <w:r>
        <w:rPr>
          <w:rFonts w:hint="eastAsia"/>
        </w:rPr>
        <w:t>根据单位对接的结果，了解相关部门情况，撰写工作实施方案，确认后续绩效评价工作安排及内容。</w:t>
      </w:r>
    </w:p>
    <w:p>
      <w:pPr>
        <w:pStyle w:val="50"/>
      </w:pPr>
      <w:bookmarkStart w:id="39" w:name="_Toc53326862"/>
      <w:r>
        <w:rPr>
          <w:rFonts w:hint="eastAsia"/>
        </w:rPr>
        <w:t>5.资料收集</w:t>
      </w:r>
      <w:bookmarkEnd w:id="39"/>
    </w:p>
    <w:p>
      <w:pPr>
        <w:pStyle w:val="50"/>
      </w:pPr>
      <w:r>
        <w:rPr>
          <w:rFonts w:hint="eastAsia"/>
        </w:rPr>
        <w:t>根据绩效评价实施方案及指标体系内容，向</w:t>
      </w:r>
      <w:r>
        <w:rPr>
          <w:rFonts w:hint="eastAsia"/>
          <w:bCs/>
        </w:rPr>
        <w:t>区政府合作交流办</w:t>
      </w:r>
      <w:r>
        <w:rPr>
          <w:rFonts w:hint="eastAsia"/>
        </w:rPr>
        <w:t>提供相关资料收集清单，包括基础数据、相关制度及政策文件、202</w:t>
      </w:r>
      <w:r>
        <w:t>2</w:t>
      </w:r>
      <w:r>
        <w:rPr>
          <w:rFonts w:hint="eastAsia"/>
        </w:rPr>
        <w:t>年部门预算及决算情况、重点项目工作情况等。</w:t>
      </w:r>
    </w:p>
    <w:p>
      <w:pPr>
        <w:pStyle w:val="50"/>
      </w:pPr>
      <w:bookmarkStart w:id="40" w:name="_Toc53326863"/>
      <w:r>
        <w:rPr>
          <w:rFonts w:hint="eastAsia"/>
        </w:rPr>
        <w:t>6.现场调研</w:t>
      </w:r>
      <w:bookmarkEnd w:id="40"/>
    </w:p>
    <w:p>
      <w:pPr>
        <w:pStyle w:val="50"/>
      </w:pPr>
      <w:r>
        <w:rPr>
          <w:rFonts w:hint="eastAsia"/>
        </w:rPr>
        <w:t>为进一步验证材料真实性，并对相关访谈、问卷问题进行调研，向</w:t>
      </w:r>
      <w:r>
        <w:rPr>
          <w:rFonts w:hint="eastAsia"/>
          <w:bCs/>
        </w:rPr>
        <w:t>区政府合作交流办</w:t>
      </w:r>
      <w:r>
        <w:rPr>
          <w:rFonts w:hint="eastAsia"/>
        </w:rPr>
        <w:t>现场进行实地核查，并对相关访谈内容进行现场座谈，形成访谈记录。</w:t>
      </w:r>
    </w:p>
    <w:p>
      <w:pPr>
        <w:pStyle w:val="50"/>
      </w:pPr>
      <w:bookmarkStart w:id="41" w:name="_Toc53326864"/>
      <w:r>
        <w:rPr>
          <w:rFonts w:hint="eastAsia"/>
        </w:rPr>
        <w:t>7.提交报告</w:t>
      </w:r>
      <w:bookmarkEnd w:id="41"/>
    </w:p>
    <w:p>
      <w:pPr>
        <w:pStyle w:val="50"/>
      </w:pPr>
      <w:r>
        <w:rPr>
          <w:rFonts w:hint="eastAsia"/>
        </w:rPr>
        <w:t>（1）撰写报告初稿</w:t>
      </w:r>
    </w:p>
    <w:p>
      <w:pPr>
        <w:pStyle w:val="50"/>
      </w:pPr>
      <w:r>
        <w:rPr>
          <w:rFonts w:hint="eastAsia"/>
        </w:rPr>
        <w:t>根据综合评价结果，撰写评价分析报告，报告撰写的内容包括部门基本情况概述、现场评价总体情况、评价指标分析、绩效实施效果和存在问题、具体改进措施及建议等。</w:t>
      </w:r>
    </w:p>
    <w:p>
      <w:pPr>
        <w:pStyle w:val="50"/>
      </w:pPr>
      <w:r>
        <w:rPr>
          <w:rFonts w:hint="eastAsia"/>
        </w:rPr>
        <w:t>（2）提交正式报告</w:t>
      </w:r>
    </w:p>
    <w:p>
      <w:pPr>
        <w:pStyle w:val="25"/>
        <w:ind w:firstLine="640"/>
      </w:pPr>
      <w:r>
        <w:rPr>
          <w:rFonts w:hint="eastAsia"/>
        </w:rPr>
        <w:t>和平区财政局组织对《</w:t>
      </w:r>
      <w:r>
        <w:t>2022</w:t>
      </w:r>
      <w:r>
        <w:rPr>
          <w:rFonts w:hint="eastAsia"/>
        </w:rPr>
        <w:t>年</w:t>
      </w:r>
      <w:r>
        <w:rPr>
          <w:rFonts w:hint="eastAsia"/>
          <w:lang w:val="zh-CN"/>
        </w:rPr>
        <w:t>天津市和平区人民政府合作交流办公室</w:t>
      </w:r>
      <w:r>
        <w:rPr>
          <w:rFonts w:hint="eastAsia"/>
        </w:rPr>
        <w:t>部门整体支出绩效评价报告》进行终审。天津安信管理咨询有限公司根据终审情况修订报告并提交正式报告。</w:t>
      </w:r>
    </w:p>
    <w:p>
      <w:pPr>
        <w:pStyle w:val="27"/>
      </w:pPr>
      <w:bookmarkStart w:id="42" w:name="_Toc142399175"/>
      <w:r>
        <w:rPr>
          <w:rFonts w:hint="eastAsia"/>
        </w:rPr>
        <w:t>三、绩效指标分析</w:t>
      </w:r>
      <w:bookmarkEnd w:id="42"/>
    </w:p>
    <w:p>
      <w:pPr>
        <w:pStyle w:val="48"/>
        <w:ind w:firstLine="640"/>
        <w:jc w:val="both"/>
        <w:outlineLvl w:val="2"/>
        <w:rPr>
          <w:rFonts w:ascii="Times New Roman" w:hAnsi="Times New Roman" w:eastAsia="楷体_GB2312"/>
          <w:b w:val="0"/>
          <w:sz w:val="32"/>
          <w:szCs w:val="48"/>
        </w:rPr>
      </w:pPr>
      <w:bookmarkStart w:id="43" w:name="_Toc91375452"/>
      <w:bookmarkStart w:id="44" w:name="_Toc91375839"/>
      <w:bookmarkStart w:id="45" w:name="_Toc142399176"/>
      <w:bookmarkStart w:id="46" w:name="_Toc53326866"/>
      <w:r>
        <w:rPr>
          <w:rFonts w:hint="eastAsia" w:ascii="Times New Roman" w:hAnsi="Times New Roman" w:eastAsia="楷体_GB2312"/>
          <w:b w:val="0"/>
          <w:sz w:val="32"/>
          <w:szCs w:val="48"/>
        </w:rPr>
        <w:t>（一）绩效评价设计思路</w:t>
      </w:r>
      <w:bookmarkEnd w:id="43"/>
      <w:bookmarkEnd w:id="44"/>
      <w:bookmarkEnd w:id="45"/>
      <w:bookmarkEnd w:id="46"/>
    </w:p>
    <w:p>
      <w:pPr>
        <w:pStyle w:val="50"/>
      </w:pPr>
      <w:r>
        <w:rPr>
          <w:rFonts w:hint="eastAsia"/>
        </w:rPr>
        <w:t>在评价指标设计时，从部门职能和内部管理运行角度出发，设计单位管理指标，指标按层次划分，由一级指标、二级指标和三级指标构成，对应设置三级指标标准值及权重，明确评价指标打分标准及对应计算方式。考察单位整体规划、年度工作计划和绩效目标等情况，考察单位预算管理、财务管理、采购管理、合同管理、资产管理、人员管理、重点工作管理情况、从单位利用财政资金角度出发，设计产出和效果指标，考察单位提供公共产品和服务的目标实现程度与单位履职活动对社会产生的影响。</w:t>
      </w:r>
    </w:p>
    <w:p>
      <w:pPr>
        <w:pStyle w:val="48"/>
        <w:ind w:firstLine="640"/>
        <w:jc w:val="both"/>
        <w:outlineLvl w:val="2"/>
        <w:rPr>
          <w:rFonts w:ascii="Times New Roman" w:hAnsi="Times New Roman" w:eastAsia="楷体_GB2312"/>
          <w:b w:val="0"/>
          <w:sz w:val="32"/>
          <w:szCs w:val="48"/>
        </w:rPr>
      </w:pPr>
      <w:bookmarkStart w:id="47" w:name="_Toc142399177"/>
      <w:bookmarkStart w:id="48" w:name="_Toc91375840"/>
      <w:bookmarkStart w:id="49" w:name="_Toc91375453"/>
      <w:bookmarkStart w:id="50" w:name="_Toc53326867"/>
      <w:r>
        <w:rPr>
          <w:rFonts w:hint="eastAsia" w:ascii="Times New Roman" w:hAnsi="Times New Roman" w:eastAsia="楷体_GB2312"/>
          <w:b w:val="0"/>
          <w:sz w:val="32"/>
          <w:szCs w:val="48"/>
        </w:rPr>
        <w:t>（二）绩效指标分析</w:t>
      </w:r>
      <w:bookmarkEnd w:id="47"/>
      <w:bookmarkEnd w:id="48"/>
      <w:bookmarkEnd w:id="49"/>
      <w:bookmarkEnd w:id="50"/>
    </w:p>
    <w:p>
      <w:pPr>
        <w:pStyle w:val="25"/>
        <w:ind w:firstLine="640"/>
      </w:pPr>
      <w:r>
        <w:rPr>
          <w:rFonts w:hint="eastAsia"/>
        </w:rPr>
        <w:t>根据财政部《财政支出绩效评价管理暂行办法的通知》（财预〔2011〕285号）、天津市财政局关于印发《天津市市级部门（单位）整体支出绩效目标管理办法（试行）》的通知（津财预〔2015〕102号）等文件要求，经综合分析与评价，</w:t>
      </w:r>
      <w:r>
        <w:rPr>
          <w:rFonts w:hint="eastAsia"/>
          <w:bCs/>
        </w:rPr>
        <w:t>区政府合作交流办</w:t>
      </w:r>
      <w:r>
        <w:rPr>
          <w:rFonts w:hint="eastAsia"/>
        </w:rPr>
        <w:t>20</w:t>
      </w:r>
      <w:r>
        <w:t>22</w:t>
      </w:r>
      <w:r>
        <w:rPr>
          <w:rFonts w:hint="eastAsia"/>
        </w:rPr>
        <w:t>年度部门整体支出绩效评价综合评分为</w:t>
      </w:r>
      <w:r>
        <w:t>87.12</w:t>
      </w:r>
      <w:r>
        <w:rPr>
          <w:rFonts w:hint="eastAsia"/>
        </w:rPr>
        <w:t>分，其中：部门决策方面得分</w:t>
      </w:r>
      <w:r>
        <w:t>11.7</w:t>
      </w:r>
      <w:r>
        <w:rPr>
          <w:rFonts w:hint="eastAsia"/>
        </w:rPr>
        <w:t>分，得分率</w:t>
      </w:r>
      <w:r>
        <w:t>78</w:t>
      </w:r>
      <w:r>
        <w:rPr>
          <w:rFonts w:hint="eastAsia"/>
        </w:rPr>
        <w:t>%；管理效率方面得分</w:t>
      </w:r>
      <w:r>
        <w:t>19.42</w:t>
      </w:r>
      <w:r>
        <w:rPr>
          <w:rFonts w:hint="eastAsia"/>
        </w:rPr>
        <w:t>分，得分率</w:t>
      </w:r>
      <w:r>
        <w:t>77.68</w:t>
      </w:r>
      <w:r>
        <w:rPr>
          <w:rFonts w:hint="eastAsia"/>
        </w:rPr>
        <w:t>%；履职产出方面得分</w:t>
      </w:r>
      <w:r>
        <w:t>32.5</w:t>
      </w:r>
      <w:r>
        <w:rPr>
          <w:rFonts w:hint="eastAsia"/>
        </w:rPr>
        <w:t>分，得分率</w:t>
      </w:r>
      <w:r>
        <w:t>95.59</w:t>
      </w:r>
      <w:r>
        <w:rPr>
          <w:rFonts w:hint="eastAsia"/>
        </w:rPr>
        <w:t>%</w:t>
      </w:r>
      <w:r>
        <w:rPr>
          <w:rFonts w:hint="eastAsia"/>
          <w:lang w:eastAsia="zh-CN"/>
        </w:rPr>
        <w:t>；</w:t>
      </w:r>
      <w:r>
        <w:rPr>
          <w:rFonts w:hint="eastAsia"/>
        </w:rPr>
        <w:t>履职效益方面得分</w:t>
      </w:r>
      <w:r>
        <w:t>17.5</w:t>
      </w:r>
      <w:r>
        <w:rPr>
          <w:rFonts w:hint="eastAsia"/>
        </w:rPr>
        <w:t>分，得分率</w:t>
      </w:r>
      <w:r>
        <w:t>87.5</w:t>
      </w:r>
      <w:r>
        <w:rPr>
          <w:rFonts w:hint="eastAsia"/>
        </w:rPr>
        <w:t>%</w:t>
      </w:r>
      <w:r>
        <w:rPr>
          <w:rFonts w:hint="eastAsia"/>
          <w:lang w:eastAsia="zh-CN"/>
        </w:rPr>
        <w:t>；</w:t>
      </w:r>
      <w:r>
        <w:rPr>
          <w:rFonts w:hint="eastAsia"/>
        </w:rPr>
        <w:t>履职满意度方面得分</w:t>
      </w:r>
      <w:r>
        <w:t>6</w:t>
      </w:r>
      <w:r>
        <w:rPr>
          <w:rFonts w:hint="eastAsia"/>
        </w:rPr>
        <w:t>分，得分率</w:t>
      </w:r>
      <w:r>
        <w:t>100</w:t>
      </w:r>
      <w:r>
        <w:rPr>
          <w:rFonts w:hint="eastAsia"/>
        </w:rPr>
        <w:t>%。二级指标得分率如下表所示。</w:t>
      </w:r>
    </w:p>
    <w:p>
      <w:pPr>
        <w:pStyle w:val="32"/>
      </w:pPr>
      <w:r>
        <w:rPr>
          <w:rFonts w:hint="eastAsia"/>
        </w:rPr>
        <w:t>表3.</w:t>
      </w:r>
      <w:r>
        <w:t>2</w:t>
      </w:r>
      <w:r>
        <w:rPr>
          <w:rFonts w:hint="eastAsia"/>
        </w:rPr>
        <w:t>.</w:t>
      </w:r>
      <w:r>
        <w:t xml:space="preserve">1 </w:t>
      </w:r>
      <w:r>
        <w:rPr>
          <w:rFonts w:hint="eastAsia"/>
        </w:rPr>
        <w:t>二级指标得分率表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6"/>
        <w:gridCol w:w="2676"/>
        <w:gridCol w:w="1027"/>
        <w:gridCol w:w="1405"/>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182" w:type="pct"/>
            <w:shd w:val="clear" w:color="auto" w:fill="auto"/>
            <w:vAlign w:val="center"/>
          </w:tcPr>
          <w:p>
            <w:pPr>
              <w:pStyle w:val="35"/>
            </w:pPr>
            <w:r>
              <w:rPr>
                <w:rFonts w:hint="eastAsia"/>
              </w:rPr>
              <w:t>一级指标</w:t>
            </w:r>
          </w:p>
        </w:tc>
        <w:tc>
          <w:tcPr>
            <w:tcW w:w="1569" w:type="pct"/>
            <w:shd w:val="clear" w:color="auto" w:fill="auto"/>
            <w:vAlign w:val="center"/>
          </w:tcPr>
          <w:p>
            <w:pPr>
              <w:pStyle w:val="35"/>
            </w:pPr>
            <w:r>
              <w:rPr>
                <w:rFonts w:hint="eastAsia"/>
              </w:rPr>
              <w:t>二级指标</w:t>
            </w:r>
          </w:p>
        </w:tc>
        <w:tc>
          <w:tcPr>
            <w:tcW w:w="602" w:type="pct"/>
            <w:shd w:val="clear" w:color="auto" w:fill="auto"/>
            <w:vAlign w:val="center"/>
          </w:tcPr>
          <w:p>
            <w:pPr>
              <w:pStyle w:val="35"/>
            </w:pPr>
            <w:r>
              <w:rPr>
                <w:rFonts w:hint="eastAsia"/>
              </w:rPr>
              <w:t>分值</w:t>
            </w:r>
          </w:p>
        </w:tc>
        <w:tc>
          <w:tcPr>
            <w:tcW w:w="824" w:type="pct"/>
            <w:shd w:val="clear" w:color="auto" w:fill="auto"/>
            <w:vAlign w:val="center"/>
          </w:tcPr>
          <w:p>
            <w:pPr>
              <w:pStyle w:val="35"/>
            </w:pPr>
            <w:r>
              <w:rPr>
                <w:rFonts w:hint="eastAsia"/>
              </w:rPr>
              <w:t>得分</w:t>
            </w:r>
          </w:p>
        </w:tc>
        <w:tc>
          <w:tcPr>
            <w:tcW w:w="823" w:type="pct"/>
            <w:vAlign w:val="center"/>
          </w:tcPr>
          <w:p>
            <w:pPr>
              <w:pStyle w:val="35"/>
            </w:pPr>
            <w:r>
              <w:rPr>
                <w:rFonts w:hint="eastAsia"/>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restart"/>
            <w:shd w:val="clear" w:color="auto" w:fill="auto"/>
            <w:vAlign w:val="center"/>
          </w:tcPr>
          <w:p>
            <w:pPr>
              <w:pStyle w:val="37"/>
            </w:pPr>
            <w:r>
              <w:rPr>
                <w:rFonts w:hint="eastAsia"/>
              </w:rPr>
              <w:t>部门决策</w:t>
            </w:r>
            <w:r>
              <w:br w:type="textWrapping"/>
            </w:r>
            <w:r>
              <w:rPr>
                <w:rFonts w:hint="eastAsia"/>
              </w:rPr>
              <w:t>（15分）</w:t>
            </w:r>
          </w:p>
        </w:tc>
        <w:tc>
          <w:tcPr>
            <w:tcW w:w="1569" w:type="pct"/>
            <w:shd w:val="clear" w:color="auto" w:fill="auto"/>
            <w:vAlign w:val="center"/>
          </w:tcPr>
          <w:p>
            <w:pPr>
              <w:pStyle w:val="37"/>
            </w:pPr>
            <w:r>
              <w:rPr>
                <w:rFonts w:hint="eastAsia"/>
              </w:rPr>
              <w:t>绩效目标</w:t>
            </w:r>
          </w:p>
        </w:tc>
        <w:tc>
          <w:tcPr>
            <w:tcW w:w="602" w:type="pct"/>
            <w:shd w:val="clear" w:color="auto" w:fill="auto"/>
            <w:vAlign w:val="center"/>
          </w:tcPr>
          <w:p>
            <w:pPr>
              <w:pStyle w:val="37"/>
            </w:pPr>
            <w:r>
              <w:rPr>
                <w:rFonts w:hint="eastAsia"/>
              </w:rPr>
              <w:t>4</w:t>
            </w:r>
          </w:p>
        </w:tc>
        <w:tc>
          <w:tcPr>
            <w:tcW w:w="824" w:type="pct"/>
            <w:shd w:val="clear" w:color="auto" w:fill="auto"/>
            <w:noWrap/>
            <w:vAlign w:val="center"/>
          </w:tcPr>
          <w:p>
            <w:pPr>
              <w:pStyle w:val="37"/>
              <w:rPr>
                <w:sz w:val="24"/>
                <w:szCs w:val="24"/>
              </w:rPr>
            </w:pPr>
            <w:r>
              <w:rPr>
                <w:rFonts w:hint="eastAsia"/>
                <w:sz w:val="24"/>
                <w:szCs w:val="24"/>
              </w:rPr>
              <w:t>0</w:t>
            </w:r>
            <w:r>
              <w:rPr>
                <w:sz w:val="24"/>
                <w:szCs w:val="24"/>
              </w:rPr>
              <w:t>.7</w:t>
            </w:r>
          </w:p>
        </w:tc>
        <w:tc>
          <w:tcPr>
            <w:tcW w:w="823" w:type="pct"/>
            <w:vAlign w:val="center"/>
          </w:tcPr>
          <w:p>
            <w:pPr>
              <w:pStyle w:val="37"/>
              <w:rPr>
                <w:sz w:val="24"/>
                <w:szCs w:val="24"/>
              </w:rPr>
            </w:pPr>
            <w:r>
              <w:rPr>
                <w:rFonts w:hint="eastAsia"/>
                <w:sz w:val="24"/>
                <w:szCs w:val="24"/>
              </w:rPr>
              <w:t>1</w:t>
            </w:r>
            <w:r>
              <w:rPr>
                <w:sz w:val="24"/>
                <w:szCs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vAlign w:val="center"/>
          </w:tcPr>
          <w:p>
            <w:pPr>
              <w:pStyle w:val="37"/>
            </w:pPr>
          </w:p>
        </w:tc>
        <w:tc>
          <w:tcPr>
            <w:tcW w:w="1569" w:type="pct"/>
            <w:shd w:val="clear" w:color="auto" w:fill="auto"/>
            <w:vAlign w:val="center"/>
          </w:tcPr>
          <w:p>
            <w:pPr>
              <w:pStyle w:val="37"/>
            </w:pPr>
            <w:r>
              <w:rPr>
                <w:rFonts w:hint="eastAsia"/>
              </w:rPr>
              <w:t>决策依据</w:t>
            </w:r>
          </w:p>
        </w:tc>
        <w:tc>
          <w:tcPr>
            <w:tcW w:w="602" w:type="pct"/>
            <w:shd w:val="clear" w:color="auto" w:fill="auto"/>
            <w:vAlign w:val="center"/>
          </w:tcPr>
          <w:p>
            <w:pPr>
              <w:pStyle w:val="37"/>
            </w:pPr>
            <w:r>
              <w:rPr>
                <w:rFonts w:hint="eastAsia"/>
              </w:rPr>
              <w:t>3</w:t>
            </w:r>
          </w:p>
        </w:tc>
        <w:tc>
          <w:tcPr>
            <w:tcW w:w="824" w:type="pct"/>
            <w:shd w:val="clear" w:color="auto" w:fill="auto"/>
            <w:noWrap/>
            <w:vAlign w:val="center"/>
          </w:tcPr>
          <w:p>
            <w:pPr>
              <w:pStyle w:val="37"/>
              <w:rPr>
                <w:sz w:val="24"/>
                <w:szCs w:val="24"/>
              </w:rPr>
            </w:pPr>
            <w:r>
              <w:rPr>
                <w:rFonts w:hint="eastAsia"/>
                <w:sz w:val="24"/>
                <w:szCs w:val="24"/>
              </w:rPr>
              <w:t>3</w:t>
            </w:r>
          </w:p>
        </w:tc>
        <w:tc>
          <w:tcPr>
            <w:tcW w:w="823" w:type="pct"/>
            <w:vAlign w:val="center"/>
          </w:tcPr>
          <w:p>
            <w:pPr>
              <w:pStyle w:val="37"/>
              <w:rPr>
                <w:sz w:val="24"/>
                <w:szCs w:val="24"/>
              </w:rPr>
            </w:pPr>
            <w:r>
              <w:rPr>
                <w:rFonts w:hint="eastAsia"/>
                <w:sz w:val="24"/>
                <w:szCs w:val="24"/>
              </w:rPr>
              <w:t>1</w:t>
            </w:r>
            <w:r>
              <w:rPr>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vAlign w:val="center"/>
          </w:tcPr>
          <w:p>
            <w:pPr>
              <w:pStyle w:val="37"/>
            </w:pPr>
          </w:p>
        </w:tc>
        <w:tc>
          <w:tcPr>
            <w:tcW w:w="1569" w:type="pct"/>
            <w:shd w:val="clear" w:color="auto" w:fill="auto"/>
            <w:vAlign w:val="center"/>
          </w:tcPr>
          <w:p>
            <w:pPr>
              <w:pStyle w:val="37"/>
            </w:pPr>
            <w:r>
              <w:rPr>
                <w:rFonts w:hint="eastAsia"/>
              </w:rPr>
              <w:t>预算分配</w:t>
            </w:r>
          </w:p>
        </w:tc>
        <w:tc>
          <w:tcPr>
            <w:tcW w:w="602" w:type="pct"/>
            <w:shd w:val="clear" w:color="auto" w:fill="auto"/>
            <w:vAlign w:val="center"/>
          </w:tcPr>
          <w:p>
            <w:pPr>
              <w:pStyle w:val="37"/>
            </w:pPr>
            <w:r>
              <w:rPr>
                <w:rFonts w:hint="eastAsia"/>
              </w:rPr>
              <w:t>8</w:t>
            </w:r>
          </w:p>
        </w:tc>
        <w:tc>
          <w:tcPr>
            <w:tcW w:w="824" w:type="pct"/>
            <w:shd w:val="clear" w:color="auto" w:fill="auto"/>
            <w:noWrap/>
            <w:vAlign w:val="center"/>
          </w:tcPr>
          <w:p>
            <w:pPr>
              <w:pStyle w:val="37"/>
              <w:rPr>
                <w:sz w:val="24"/>
                <w:szCs w:val="24"/>
              </w:rPr>
            </w:pPr>
            <w:r>
              <w:rPr>
                <w:rFonts w:hint="eastAsia"/>
                <w:sz w:val="24"/>
                <w:szCs w:val="24"/>
              </w:rPr>
              <w:t>8</w:t>
            </w:r>
          </w:p>
        </w:tc>
        <w:tc>
          <w:tcPr>
            <w:tcW w:w="823" w:type="pct"/>
            <w:vAlign w:val="center"/>
          </w:tcPr>
          <w:p>
            <w:pPr>
              <w:pStyle w:val="37"/>
              <w:rPr>
                <w:sz w:val="24"/>
                <w:szCs w:val="24"/>
              </w:rPr>
            </w:pPr>
            <w:r>
              <w:rPr>
                <w:rFonts w:hint="eastAsia"/>
                <w:sz w:val="24"/>
                <w:szCs w:val="24"/>
              </w:rPr>
              <w:t>1</w:t>
            </w:r>
            <w:r>
              <w:rPr>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restart"/>
            <w:shd w:val="clear" w:color="auto" w:fill="auto"/>
            <w:vAlign w:val="center"/>
          </w:tcPr>
          <w:p>
            <w:pPr>
              <w:pStyle w:val="37"/>
            </w:pPr>
            <w:r>
              <w:rPr>
                <w:rFonts w:hint="eastAsia"/>
              </w:rPr>
              <w:t>管理效率</w:t>
            </w:r>
            <w:r>
              <w:br w:type="textWrapping"/>
            </w:r>
            <w:r>
              <w:rPr>
                <w:rFonts w:hint="eastAsia"/>
              </w:rPr>
              <w:t>（25分）</w:t>
            </w:r>
          </w:p>
        </w:tc>
        <w:tc>
          <w:tcPr>
            <w:tcW w:w="1569" w:type="pct"/>
            <w:shd w:val="clear" w:color="auto" w:fill="auto"/>
            <w:vAlign w:val="center"/>
          </w:tcPr>
          <w:p>
            <w:pPr>
              <w:pStyle w:val="37"/>
            </w:pPr>
            <w:r>
              <w:rPr>
                <w:rFonts w:hint="eastAsia"/>
              </w:rPr>
              <w:t>预算执行</w:t>
            </w:r>
          </w:p>
        </w:tc>
        <w:tc>
          <w:tcPr>
            <w:tcW w:w="602" w:type="pct"/>
            <w:shd w:val="clear" w:color="auto" w:fill="auto"/>
            <w:vAlign w:val="center"/>
          </w:tcPr>
          <w:p>
            <w:pPr>
              <w:pStyle w:val="37"/>
            </w:pPr>
            <w:r>
              <w:rPr>
                <w:rFonts w:hint="eastAsia"/>
              </w:rPr>
              <w:t>8</w:t>
            </w:r>
          </w:p>
        </w:tc>
        <w:tc>
          <w:tcPr>
            <w:tcW w:w="824" w:type="pct"/>
            <w:shd w:val="clear" w:color="auto" w:fill="auto"/>
            <w:noWrap/>
            <w:vAlign w:val="center"/>
          </w:tcPr>
          <w:p>
            <w:pPr>
              <w:pStyle w:val="37"/>
              <w:rPr>
                <w:sz w:val="24"/>
                <w:szCs w:val="24"/>
              </w:rPr>
            </w:pPr>
            <w:r>
              <w:rPr>
                <w:rFonts w:hint="eastAsia"/>
                <w:sz w:val="24"/>
                <w:szCs w:val="24"/>
              </w:rPr>
              <w:t>5</w:t>
            </w:r>
            <w:r>
              <w:rPr>
                <w:sz w:val="24"/>
                <w:szCs w:val="24"/>
              </w:rPr>
              <w:t>.92</w:t>
            </w:r>
          </w:p>
        </w:tc>
        <w:tc>
          <w:tcPr>
            <w:tcW w:w="823" w:type="pct"/>
            <w:vAlign w:val="center"/>
          </w:tcPr>
          <w:p>
            <w:pPr>
              <w:pStyle w:val="37"/>
              <w:rPr>
                <w:sz w:val="24"/>
                <w:szCs w:val="24"/>
              </w:rPr>
            </w:pPr>
            <w:r>
              <w:rPr>
                <w:rFonts w:hint="eastAsia"/>
                <w:sz w:val="24"/>
                <w:szCs w:val="24"/>
              </w:rPr>
              <w:t>7</w:t>
            </w:r>
            <w:r>
              <w:rPr>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vAlign w:val="center"/>
          </w:tcPr>
          <w:p>
            <w:pPr>
              <w:pStyle w:val="37"/>
            </w:pPr>
          </w:p>
        </w:tc>
        <w:tc>
          <w:tcPr>
            <w:tcW w:w="1569" w:type="pct"/>
            <w:shd w:val="clear" w:color="auto" w:fill="auto"/>
            <w:vAlign w:val="center"/>
          </w:tcPr>
          <w:p>
            <w:pPr>
              <w:pStyle w:val="37"/>
            </w:pPr>
            <w:r>
              <w:rPr>
                <w:rFonts w:hint="eastAsia"/>
              </w:rPr>
              <w:t>预算管理</w:t>
            </w:r>
          </w:p>
        </w:tc>
        <w:tc>
          <w:tcPr>
            <w:tcW w:w="602" w:type="pct"/>
            <w:shd w:val="clear" w:color="auto" w:fill="auto"/>
            <w:vAlign w:val="center"/>
          </w:tcPr>
          <w:p>
            <w:pPr>
              <w:pStyle w:val="37"/>
            </w:pPr>
            <w:r>
              <w:rPr>
                <w:rFonts w:hint="eastAsia"/>
              </w:rPr>
              <w:t>8</w:t>
            </w:r>
          </w:p>
        </w:tc>
        <w:tc>
          <w:tcPr>
            <w:tcW w:w="824" w:type="pct"/>
            <w:shd w:val="clear" w:color="auto" w:fill="auto"/>
            <w:noWrap/>
            <w:vAlign w:val="center"/>
          </w:tcPr>
          <w:p>
            <w:pPr>
              <w:pStyle w:val="37"/>
              <w:rPr>
                <w:sz w:val="24"/>
                <w:szCs w:val="24"/>
              </w:rPr>
            </w:pPr>
            <w:r>
              <w:rPr>
                <w:rFonts w:hint="eastAsia"/>
                <w:sz w:val="24"/>
                <w:szCs w:val="24"/>
              </w:rPr>
              <w:t>6</w:t>
            </w:r>
            <w:r>
              <w:rPr>
                <w:sz w:val="24"/>
                <w:szCs w:val="24"/>
              </w:rPr>
              <w:t>.5</w:t>
            </w:r>
          </w:p>
        </w:tc>
        <w:tc>
          <w:tcPr>
            <w:tcW w:w="823" w:type="pct"/>
            <w:vAlign w:val="center"/>
          </w:tcPr>
          <w:p>
            <w:pPr>
              <w:pStyle w:val="37"/>
              <w:rPr>
                <w:sz w:val="24"/>
                <w:szCs w:val="24"/>
              </w:rPr>
            </w:pPr>
            <w:r>
              <w:rPr>
                <w:rFonts w:hint="eastAsia"/>
                <w:sz w:val="24"/>
                <w:szCs w:val="24"/>
              </w:rPr>
              <w:t>8</w:t>
            </w:r>
            <w:r>
              <w:rPr>
                <w:sz w:val="24"/>
                <w:szCs w:val="24"/>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vAlign w:val="center"/>
          </w:tcPr>
          <w:p>
            <w:pPr>
              <w:pStyle w:val="37"/>
            </w:pPr>
          </w:p>
        </w:tc>
        <w:tc>
          <w:tcPr>
            <w:tcW w:w="1569" w:type="pct"/>
            <w:shd w:val="clear" w:color="auto" w:fill="auto"/>
            <w:vAlign w:val="center"/>
          </w:tcPr>
          <w:p>
            <w:pPr>
              <w:pStyle w:val="37"/>
            </w:pPr>
            <w:r>
              <w:rPr>
                <w:rFonts w:hint="eastAsia"/>
              </w:rPr>
              <w:t>绩效管理</w:t>
            </w:r>
          </w:p>
        </w:tc>
        <w:tc>
          <w:tcPr>
            <w:tcW w:w="602" w:type="pct"/>
            <w:shd w:val="clear" w:color="auto" w:fill="auto"/>
            <w:vAlign w:val="center"/>
          </w:tcPr>
          <w:p>
            <w:pPr>
              <w:pStyle w:val="37"/>
            </w:pPr>
            <w:r>
              <w:rPr>
                <w:rFonts w:hint="eastAsia"/>
              </w:rPr>
              <w:t>4</w:t>
            </w:r>
          </w:p>
        </w:tc>
        <w:tc>
          <w:tcPr>
            <w:tcW w:w="824" w:type="pct"/>
            <w:shd w:val="clear" w:color="auto" w:fill="auto"/>
            <w:noWrap/>
            <w:vAlign w:val="center"/>
          </w:tcPr>
          <w:p>
            <w:pPr>
              <w:pStyle w:val="37"/>
              <w:rPr>
                <w:sz w:val="24"/>
                <w:szCs w:val="24"/>
              </w:rPr>
            </w:pPr>
            <w:r>
              <w:rPr>
                <w:rFonts w:hint="eastAsia"/>
                <w:sz w:val="24"/>
                <w:szCs w:val="24"/>
              </w:rPr>
              <w:t>2</w:t>
            </w:r>
          </w:p>
        </w:tc>
        <w:tc>
          <w:tcPr>
            <w:tcW w:w="823" w:type="pct"/>
            <w:vAlign w:val="center"/>
          </w:tcPr>
          <w:p>
            <w:pPr>
              <w:pStyle w:val="37"/>
              <w:rPr>
                <w:sz w:val="24"/>
                <w:szCs w:val="24"/>
              </w:rPr>
            </w:pPr>
            <w:r>
              <w:rPr>
                <w:rFonts w:hint="eastAsia"/>
                <w:sz w:val="24"/>
                <w:szCs w:val="24"/>
              </w:rPr>
              <w:t>5</w:t>
            </w:r>
            <w:r>
              <w:rPr>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vAlign w:val="center"/>
          </w:tcPr>
          <w:p>
            <w:pPr>
              <w:pStyle w:val="37"/>
            </w:pPr>
          </w:p>
        </w:tc>
        <w:tc>
          <w:tcPr>
            <w:tcW w:w="1569" w:type="pct"/>
            <w:shd w:val="clear" w:color="auto" w:fill="auto"/>
            <w:vAlign w:val="center"/>
          </w:tcPr>
          <w:p>
            <w:pPr>
              <w:pStyle w:val="37"/>
            </w:pPr>
            <w:r>
              <w:rPr>
                <w:rFonts w:hint="eastAsia"/>
              </w:rPr>
              <w:t>资产管理</w:t>
            </w:r>
          </w:p>
        </w:tc>
        <w:tc>
          <w:tcPr>
            <w:tcW w:w="602" w:type="pct"/>
            <w:shd w:val="clear" w:color="auto" w:fill="auto"/>
            <w:vAlign w:val="center"/>
          </w:tcPr>
          <w:p>
            <w:pPr>
              <w:pStyle w:val="37"/>
            </w:pPr>
            <w:r>
              <w:rPr>
                <w:rFonts w:hint="eastAsia"/>
              </w:rPr>
              <w:t>5</w:t>
            </w:r>
          </w:p>
        </w:tc>
        <w:tc>
          <w:tcPr>
            <w:tcW w:w="824" w:type="pct"/>
            <w:shd w:val="clear" w:color="auto" w:fill="auto"/>
            <w:noWrap/>
            <w:vAlign w:val="center"/>
          </w:tcPr>
          <w:p>
            <w:pPr>
              <w:pStyle w:val="37"/>
              <w:rPr>
                <w:sz w:val="24"/>
                <w:szCs w:val="24"/>
              </w:rPr>
            </w:pPr>
            <w:r>
              <w:rPr>
                <w:rFonts w:hint="eastAsia"/>
                <w:sz w:val="24"/>
                <w:szCs w:val="24"/>
              </w:rPr>
              <w:t>5</w:t>
            </w:r>
          </w:p>
        </w:tc>
        <w:tc>
          <w:tcPr>
            <w:tcW w:w="823" w:type="pct"/>
            <w:vAlign w:val="center"/>
          </w:tcPr>
          <w:p>
            <w:pPr>
              <w:pStyle w:val="37"/>
              <w:rPr>
                <w:sz w:val="24"/>
                <w:szCs w:val="24"/>
              </w:rPr>
            </w:pPr>
            <w:r>
              <w:rPr>
                <w:rFonts w:hint="eastAsia"/>
                <w:sz w:val="24"/>
                <w:szCs w:val="24"/>
              </w:rPr>
              <w:t>1</w:t>
            </w:r>
            <w:r>
              <w:rPr>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restart"/>
            <w:shd w:val="clear" w:color="auto" w:fill="auto"/>
            <w:vAlign w:val="center"/>
          </w:tcPr>
          <w:p>
            <w:pPr>
              <w:pStyle w:val="37"/>
            </w:pPr>
            <w:r>
              <w:rPr>
                <w:rFonts w:hint="eastAsia"/>
              </w:rPr>
              <w:t>履职产出</w:t>
            </w:r>
            <w:r>
              <w:br w:type="textWrapping"/>
            </w:r>
            <w:r>
              <w:rPr>
                <w:rFonts w:hint="eastAsia"/>
              </w:rPr>
              <w:t>（34分）</w:t>
            </w:r>
          </w:p>
        </w:tc>
        <w:tc>
          <w:tcPr>
            <w:tcW w:w="1569" w:type="pct"/>
            <w:shd w:val="clear" w:color="auto" w:fill="auto"/>
            <w:vAlign w:val="center"/>
          </w:tcPr>
          <w:p>
            <w:pPr>
              <w:pStyle w:val="37"/>
            </w:pPr>
            <w:r>
              <w:rPr>
                <w:rFonts w:hint="eastAsia"/>
              </w:rPr>
              <w:t>产出数量</w:t>
            </w:r>
          </w:p>
        </w:tc>
        <w:tc>
          <w:tcPr>
            <w:tcW w:w="602" w:type="pct"/>
            <w:shd w:val="clear" w:color="auto" w:fill="auto"/>
            <w:vAlign w:val="center"/>
          </w:tcPr>
          <w:p>
            <w:pPr>
              <w:pStyle w:val="37"/>
            </w:pPr>
            <w:r>
              <w:t>12</w:t>
            </w:r>
          </w:p>
        </w:tc>
        <w:tc>
          <w:tcPr>
            <w:tcW w:w="824" w:type="pct"/>
            <w:shd w:val="clear" w:color="auto" w:fill="auto"/>
            <w:noWrap/>
            <w:vAlign w:val="center"/>
          </w:tcPr>
          <w:p>
            <w:pPr>
              <w:pStyle w:val="37"/>
              <w:rPr>
                <w:sz w:val="24"/>
                <w:szCs w:val="24"/>
              </w:rPr>
            </w:pPr>
            <w:r>
              <w:rPr>
                <w:rFonts w:hint="eastAsia"/>
                <w:sz w:val="24"/>
                <w:szCs w:val="24"/>
              </w:rPr>
              <w:t>1</w:t>
            </w:r>
            <w:r>
              <w:rPr>
                <w:sz w:val="24"/>
                <w:szCs w:val="24"/>
              </w:rPr>
              <w:t>0.5</w:t>
            </w:r>
          </w:p>
        </w:tc>
        <w:tc>
          <w:tcPr>
            <w:tcW w:w="823" w:type="pct"/>
            <w:vAlign w:val="center"/>
          </w:tcPr>
          <w:p>
            <w:pPr>
              <w:pStyle w:val="37"/>
              <w:rPr>
                <w:sz w:val="24"/>
                <w:szCs w:val="24"/>
              </w:rPr>
            </w:pPr>
            <w:r>
              <w:rPr>
                <w:rFonts w:hint="eastAsia"/>
                <w:sz w:val="24"/>
                <w:szCs w:val="24"/>
              </w:rPr>
              <w:t>8</w:t>
            </w:r>
            <w:r>
              <w:rPr>
                <w:sz w:val="24"/>
                <w:szCs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vAlign w:val="center"/>
          </w:tcPr>
          <w:p>
            <w:pPr>
              <w:pStyle w:val="37"/>
            </w:pPr>
          </w:p>
        </w:tc>
        <w:tc>
          <w:tcPr>
            <w:tcW w:w="1569" w:type="pct"/>
            <w:shd w:val="clear" w:color="auto" w:fill="auto"/>
            <w:vAlign w:val="center"/>
          </w:tcPr>
          <w:p>
            <w:pPr>
              <w:pStyle w:val="37"/>
            </w:pPr>
            <w:r>
              <w:rPr>
                <w:rFonts w:hint="eastAsia"/>
              </w:rPr>
              <w:t>产出质量</w:t>
            </w:r>
          </w:p>
        </w:tc>
        <w:tc>
          <w:tcPr>
            <w:tcW w:w="602" w:type="pct"/>
            <w:shd w:val="clear" w:color="auto" w:fill="auto"/>
            <w:vAlign w:val="center"/>
          </w:tcPr>
          <w:p>
            <w:pPr>
              <w:pStyle w:val="37"/>
            </w:pPr>
            <w:r>
              <w:t>12</w:t>
            </w:r>
          </w:p>
        </w:tc>
        <w:tc>
          <w:tcPr>
            <w:tcW w:w="824" w:type="pct"/>
            <w:shd w:val="clear" w:color="auto" w:fill="auto"/>
            <w:noWrap/>
            <w:vAlign w:val="center"/>
          </w:tcPr>
          <w:p>
            <w:pPr>
              <w:pStyle w:val="37"/>
              <w:rPr>
                <w:sz w:val="24"/>
                <w:szCs w:val="24"/>
              </w:rPr>
            </w:pPr>
            <w:r>
              <w:rPr>
                <w:rFonts w:hint="eastAsia"/>
                <w:sz w:val="24"/>
                <w:szCs w:val="24"/>
              </w:rPr>
              <w:t>1</w:t>
            </w:r>
            <w:r>
              <w:rPr>
                <w:sz w:val="24"/>
                <w:szCs w:val="24"/>
              </w:rPr>
              <w:t>2</w:t>
            </w:r>
          </w:p>
        </w:tc>
        <w:tc>
          <w:tcPr>
            <w:tcW w:w="823" w:type="pct"/>
            <w:vAlign w:val="center"/>
          </w:tcPr>
          <w:p>
            <w:pPr>
              <w:pStyle w:val="37"/>
              <w:rPr>
                <w:sz w:val="24"/>
                <w:szCs w:val="24"/>
              </w:rPr>
            </w:pPr>
            <w:r>
              <w:rPr>
                <w:rFonts w:hint="eastAsia"/>
                <w:sz w:val="24"/>
                <w:szCs w:val="24"/>
              </w:rPr>
              <w:t>1</w:t>
            </w:r>
            <w:r>
              <w:rPr>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vAlign w:val="center"/>
          </w:tcPr>
          <w:p>
            <w:pPr>
              <w:pStyle w:val="37"/>
            </w:pPr>
          </w:p>
        </w:tc>
        <w:tc>
          <w:tcPr>
            <w:tcW w:w="1569" w:type="pct"/>
            <w:shd w:val="clear" w:color="auto" w:fill="auto"/>
            <w:vAlign w:val="center"/>
          </w:tcPr>
          <w:p>
            <w:pPr>
              <w:pStyle w:val="37"/>
            </w:pPr>
            <w:r>
              <w:rPr>
                <w:rFonts w:hint="eastAsia"/>
              </w:rPr>
              <w:t>产出进度</w:t>
            </w:r>
          </w:p>
        </w:tc>
        <w:tc>
          <w:tcPr>
            <w:tcW w:w="602" w:type="pct"/>
            <w:shd w:val="clear" w:color="auto" w:fill="auto"/>
            <w:vAlign w:val="center"/>
          </w:tcPr>
          <w:p>
            <w:pPr>
              <w:pStyle w:val="37"/>
            </w:pPr>
            <w:r>
              <w:rPr>
                <w:rFonts w:hint="eastAsia"/>
              </w:rPr>
              <w:t>4</w:t>
            </w:r>
          </w:p>
        </w:tc>
        <w:tc>
          <w:tcPr>
            <w:tcW w:w="824" w:type="pct"/>
            <w:shd w:val="clear" w:color="auto" w:fill="auto"/>
            <w:noWrap/>
            <w:vAlign w:val="center"/>
          </w:tcPr>
          <w:p>
            <w:pPr>
              <w:pStyle w:val="37"/>
              <w:rPr>
                <w:sz w:val="24"/>
                <w:szCs w:val="24"/>
              </w:rPr>
            </w:pPr>
            <w:r>
              <w:rPr>
                <w:rFonts w:hint="eastAsia"/>
                <w:sz w:val="24"/>
                <w:szCs w:val="24"/>
              </w:rPr>
              <w:t>4</w:t>
            </w:r>
          </w:p>
        </w:tc>
        <w:tc>
          <w:tcPr>
            <w:tcW w:w="823" w:type="pct"/>
            <w:vAlign w:val="center"/>
          </w:tcPr>
          <w:p>
            <w:pPr>
              <w:pStyle w:val="37"/>
              <w:rPr>
                <w:sz w:val="24"/>
                <w:szCs w:val="24"/>
              </w:rPr>
            </w:pPr>
            <w:r>
              <w:rPr>
                <w:rFonts w:hint="eastAsia"/>
                <w:sz w:val="24"/>
                <w:szCs w:val="24"/>
              </w:rPr>
              <w:t>1</w:t>
            </w:r>
            <w:r>
              <w:rPr>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vAlign w:val="center"/>
          </w:tcPr>
          <w:p>
            <w:pPr>
              <w:pStyle w:val="37"/>
            </w:pPr>
          </w:p>
        </w:tc>
        <w:tc>
          <w:tcPr>
            <w:tcW w:w="1569" w:type="pct"/>
            <w:shd w:val="clear" w:color="auto" w:fill="auto"/>
            <w:vAlign w:val="center"/>
          </w:tcPr>
          <w:p>
            <w:pPr>
              <w:pStyle w:val="37"/>
            </w:pPr>
            <w:r>
              <w:rPr>
                <w:rFonts w:hint="eastAsia"/>
              </w:rPr>
              <w:t>产出成本</w:t>
            </w:r>
          </w:p>
        </w:tc>
        <w:tc>
          <w:tcPr>
            <w:tcW w:w="602" w:type="pct"/>
            <w:shd w:val="clear" w:color="auto" w:fill="auto"/>
            <w:vAlign w:val="center"/>
          </w:tcPr>
          <w:p>
            <w:pPr>
              <w:pStyle w:val="37"/>
            </w:pPr>
            <w:r>
              <w:rPr>
                <w:rFonts w:hint="eastAsia"/>
              </w:rPr>
              <w:t>6</w:t>
            </w:r>
          </w:p>
        </w:tc>
        <w:tc>
          <w:tcPr>
            <w:tcW w:w="824" w:type="pct"/>
            <w:shd w:val="clear" w:color="auto" w:fill="auto"/>
            <w:noWrap/>
            <w:vAlign w:val="center"/>
          </w:tcPr>
          <w:p>
            <w:pPr>
              <w:pStyle w:val="37"/>
              <w:rPr>
                <w:sz w:val="24"/>
                <w:szCs w:val="24"/>
              </w:rPr>
            </w:pPr>
            <w:r>
              <w:rPr>
                <w:rFonts w:hint="eastAsia"/>
                <w:sz w:val="24"/>
                <w:szCs w:val="24"/>
              </w:rPr>
              <w:t>6</w:t>
            </w:r>
          </w:p>
        </w:tc>
        <w:tc>
          <w:tcPr>
            <w:tcW w:w="823" w:type="pct"/>
            <w:vAlign w:val="center"/>
          </w:tcPr>
          <w:p>
            <w:pPr>
              <w:pStyle w:val="37"/>
              <w:rPr>
                <w:sz w:val="24"/>
                <w:szCs w:val="24"/>
              </w:rPr>
            </w:pPr>
            <w:r>
              <w:rPr>
                <w:rFonts w:hint="eastAsia"/>
                <w:sz w:val="24"/>
                <w:szCs w:val="24"/>
              </w:rPr>
              <w:t>1</w:t>
            </w:r>
            <w:r>
              <w:rPr>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restart"/>
            <w:shd w:val="clear" w:color="auto" w:fill="auto"/>
            <w:vAlign w:val="center"/>
          </w:tcPr>
          <w:p>
            <w:pPr>
              <w:pStyle w:val="37"/>
            </w:pPr>
            <w:r>
              <w:rPr>
                <w:rFonts w:hint="eastAsia"/>
              </w:rPr>
              <w:t>履职效益</w:t>
            </w:r>
            <w:r>
              <w:rPr>
                <w:rFonts w:hint="eastAsia"/>
              </w:rPr>
              <w:br w:type="textWrapping"/>
            </w:r>
            <w:r>
              <w:rPr>
                <w:rFonts w:hint="eastAsia"/>
              </w:rPr>
              <w:t>（20分）</w:t>
            </w:r>
          </w:p>
        </w:tc>
        <w:tc>
          <w:tcPr>
            <w:tcW w:w="1569" w:type="pct"/>
            <w:shd w:val="clear" w:color="auto" w:fill="auto"/>
            <w:vAlign w:val="center"/>
          </w:tcPr>
          <w:p>
            <w:pPr>
              <w:pStyle w:val="37"/>
            </w:pPr>
            <w:r>
              <w:rPr>
                <w:rFonts w:hint="eastAsia"/>
              </w:rPr>
              <w:t>经济效益</w:t>
            </w:r>
          </w:p>
        </w:tc>
        <w:tc>
          <w:tcPr>
            <w:tcW w:w="602" w:type="pct"/>
            <w:shd w:val="clear" w:color="auto" w:fill="auto"/>
            <w:vAlign w:val="center"/>
          </w:tcPr>
          <w:p>
            <w:pPr>
              <w:pStyle w:val="37"/>
            </w:pPr>
            <w:r>
              <w:t>5</w:t>
            </w:r>
          </w:p>
        </w:tc>
        <w:tc>
          <w:tcPr>
            <w:tcW w:w="824" w:type="pct"/>
            <w:shd w:val="clear" w:color="auto" w:fill="auto"/>
            <w:noWrap/>
            <w:vAlign w:val="center"/>
          </w:tcPr>
          <w:p>
            <w:pPr>
              <w:pStyle w:val="37"/>
              <w:rPr>
                <w:sz w:val="24"/>
                <w:szCs w:val="24"/>
              </w:rPr>
            </w:pPr>
            <w:r>
              <w:rPr>
                <w:rFonts w:hint="eastAsia"/>
                <w:sz w:val="24"/>
                <w:szCs w:val="24"/>
              </w:rPr>
              <w:t>5</w:t>
            </w:r>
          </w:p>
        </w:tc>
        <w:tc>
          <w:tcPr>
            <w:tcW w:w="823" w:type="pct"/>
            <w:vAlign w:val="center"/>
          </w:tcPr>
          <w:p>
            <w:pPr>
              <w:pStyle w:val="37"/>
              <w:rPr>
                <w:sz w:val="24"/>
                <w:szCs w:val="24"/>
              </w:rPr>
            </w:pPr>
            <w:r>
              <w:rPr>
                <w:rFonts w:hint="eastAsia"/>
                <w:sz w:val="24"/>
                <w:szCs w:val="24"/>
              </w:rPr>
              <w:t>1</w:t>
            </w:r>
            <w:r>
              <w:rPr>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vMerge w:val="continue"/>
            <w:shd w:val="clear" w:color="auto" w:fill="auto"/>
            <w:vAlign w:val="center"/>
          </w:tcPr>
          <w:p>
            <w:pPr>
              <w:pStyle w:val="37"/>
            </w:pPr>
          </w:p>
        </w:tc>
        <w:tc>
          <w:tcPr>
            <w:tcW w:w="1569" w:type="pct"/>
            <w:shd w:val="clear" w:color="auto" w:fill="auto"/>
            <w:vAlign w:val="center"/>
          </w:tcPr>
          <w:p>
            <w:pPr>
              <w:pStyle w:val="37"/>
            </w:pPr>
            <w:r>
              <w:rPr>
                <w:rFonts w:hint="eastAsia"/>
              </w:rPr>
              <w:t>社会效益</w:t>
            </w:r>
          </w:p>
        </w:tc>
        <w:tc>
          <w:tcPr>
            <w:tcW w:w="602" w:type="pct"/>
            <w:shd w:val="clear" w:color="auto" w:fill="auto"/>
            <w:vAlign w:val="center"/>
          </w:tcPr>
          <w:p>
            <w:pPr>
              <w:pStyle w:val="37"/>
            </w:pPr>
            <w:r>
              <w:rPr>
                <w:rFonts w:hint="eastAsia"/>
              </w:rPr>
              <w:t>1</w:t>
            </w:r>
            <w:r>
              <w:t>5</w:t>
            </w:r>
          </w:p>
        </w:tc>
        <w:tc>
          <w:tcPr>
            <w:tcW w:w="824" w:type="pct"/>
            <w:shd w:val="clear" w:color="auto" w:fill="auto"/>
            <w:noWrap/>
            <w:vAlign w:val="center"/>
          </w:tcPr>
          <w:p>
            <w:pPr>
              <w:pStyle w:val="37"/>
              <w:rPr>
                <w:sz w:val="24"/>
                <w:szCs w:val="24"/>
              </w:rPr>
            </w:pPr>
            <w:r>
              <w:rPr>
                <w:rFonts w:hint="eastAsia"/>
                <w:sz w:val="24"/>
                <w:szCs w:val="24"/>
              </w:rPr>
              <w:t>1</w:t>
            </w:r>
            <w:r>
              <w:rPr>
                <w:sz w:val="24"/>
                <w:szCs w:val="24"/>
              </w:rPr>
              <w:t>2.5</w:t>
            </w:r>
          </w:p>
        </w:tc>
        <w:tc>
          <w:tcPr>
            <w:tcW w:w="823" w:type="pct"/>
            <w:vAlign w:val="center"/>
          </w:tcPr>
          <w:p>
            <w:pPr>
              <w:pStyle w:val="37"/>
              <w:rPr>
                <w:sz w:val="24"/>
                <w:szCs w:val="24"/>
              </w:rPr>
            </w:pPr>
            <w:r>
              <w:rPr>
                <w:rFonts w:hint="eastAsia"/>
                <w:sz w:val="24"/>
                <w:szCs w:val="24"/>
              </w:rPr>
              <w:t>8</w:t>
            </w:r>
            <w:r>
              <w:rPr>
                <w:sz w:val="24"/>
                <w:szCs w:val="24"/>
              </w:rPr>
              <w:t>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82" w:type="pct"/>
            <w:shd w:val="clear" w:color="auto" w:fill="auto"/>
            <w:vAlign w:val="center"/>
          </w:tcPr>
          <w:p>
            <w:pPr>
              <w:pStyle w:val="37"/>
            </w:pPr>
            <w:r>
              <w:rPr>
                <w:rFonts w:hint="eastAsia"/>
              </w:rPr>
              <w:t>履职满意度</w:t>
            </w:r>
            <w:r>
              <w:br w:type="textWrapping"/>
            </w:r>
            <w:r>
              <w:rPr>
                <w:rFonts w:hint="eastAsia"/>
                <w:lang w:eastAsia="zh-CN"/>
              </w:rPr>
              <w:t>（</w:t>
            </w:r>
            <w:r>
              <w:rPr>
                <w:rFonts w:hint="eastAsia"/>
              </w:rPr>
              <w:t>6分）</w:t>
            </w:r>
          </w:p>
        </w:tc>
        <w:tc>
          <w:tcPr>
            <w:tcW w:w="1569" w:type="pct"/>
            <w:shd w:val="clear" w:color="auto" w:fill="auto"/>
            <w:vAlign w:val="center"/>
          </w:tcPr>
          <w:p>
            <w:pPr>
              <w:pStyle w:val="37"/>
            </w:pPr>
            <w:r>
              <w:rPr>
                <w:rFonts w:hint="eastAsia"/>
              </w:rPr>
              <w:t>服务对象满意度</w:t>
            </w:r>
          </w:p>
        </w:tc>
        <w:tc>
          <w:tcPr>
            <w:tcW w:w="602" w:type="pct"/>
            <w:shd w:val="clear" w:color="auto" w:fill="auto"/>
            <w:vAlign w:val="center"/>
          </w:tcPr>
          <w:p>
            <w:pPr>
              <w:pStyle w:val="37"/>
            </w:pPr>
            <w:r>
              <w:rPr>
                <w:rFonts w:hint="eastAsia"/>
              </w:rPr>
              <w:t>6</w:t>
            </w:r>
          </w:p>
        </w:tc>
        <w:tc>
          <w:tcPr>
            <w:tcW w:w="824" w:type="pct"/>
            <w:shd w:val="clear" w:color="auto" w:fill="auto"/>
            <w:noWrap/>
            <w:vAlign w:val="center"/>
          </w:tcPr>
          <w:p>
            <w:pPr>
              <w:pStyle w:val="37"/>
              <w:rPr>
                <w:sz w:val="24"/>
                <w:szCs w:val="24"/>
              </w:rPr>
            </w:pPr>
            <w:r>
              <w:rPr>
                <w:rFonts w:hint="eastAsia"/>
                <w:sz w:val="24"/>
                <w:szCs w:val="24"/>
              </w:rPr>
              <w:t>6</w:t>
            </w:r>
          </w:p>
        </w:tc>
        <w:tc>
          <w:tcPr>
            <w:tcW w:w="823" w:type="pct"/>
            <w:vAlign w:val="center"/>
          </w:tcPr>
          <w:p>
            <w:pPr>
              <w:pStyle w:val="37"/>
              <w:rPr>
                <w:sz w:val="24"/>
                <w:szCs w:val="24"/>
              </w:rPr>
            </w:pPr>
            <w:r>
              <w:rPr>
                <w:rFonts w:hint="eastAsia"/>
                <w:sz w:val="24"/>
                <w:szCs w:val="24"/>
              </w:rPr>
              <w:t>1</w:t>
            </w:r>
            <w:r>
              <w:rPr>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51" w:type="pct"/>
            <w:gridSpan w:val="2"/>
            <w:shd w:val="clear" w:color="auto" w:fill="auto"/>
            <w:vAlign w:val="center"/>
          </w:tcPr>
          <w:p>
            <w:pPr>
              <w:pStyle w:val="37"/>
              <w:rPr>
                <w:b/>
                <w:bCs/>
              </w:rPr>
            </w:pPr>
            <w:r>
              <w:rPr>
                <w:rFonts w:hint="eastAsia"/>
                <w:b/>
                <w:bCs/>
              </w:rPr>
              <w:t>合计</w:t>
            </w:r>
          </w:p>
        </w:tc>
        <w:tc>
          <w:tcPr>
            <w:tcW w:w="602" w:type="pct"/>
            <w:shd w:val="clear" w:color="auto" w:fill="auto"/>
            <w:vAlign w:val="center"/>
          </w:tcPr>
          <w:p>
            <w:pPr>
              <w:pStyle w:val="37"/>
              <w:rPr>
                <w:b/>
                <w:bCs/>
              </w:rPr>
            </w:pPr>
            <w:r>
              <w:rPr>
                <w:rFonts w:hint="eastAsia"/>
                <w:b/>
                <w:bCs/>
              </w:rPr>
              <w:t>100</w:t>
            </w:r>
          </w:p>
        </w:tc>
        <w:tc>
          <w:tcPr>
            <w:tcW w:w="824" w:type="pct"/>
            <w:shd w:val="clear" w:color="auto" w:fill="auto"/>
            <w:noWrap/>
            <w:vAlign w:val="center"/>
          </w:tcPr>
          <w:p>
            <w:pPr>
              <w:pStyle w:val="37"/>
              <w:rPr>
                <w:b/>
                <w:bCs/>
                <w:sz w:val="24"/>
                <w:szCs w:val="24"/>
              </w:rPr>
            </w:pPr>
            <w:r>
              <w:rPr>
                <w:b/>
                <w:bCs/>
                <w:sz w:val="24"/>
                <w:szCs w:val="24"/>
              </w:rPr>
              <w:t>87.12</w:t>
            </w:r>
          </w:p>
        </w:tc>
        <w:tc>
          <w:tcPr>
            <w:tcW w:w="823" w:type="pct"/>
            <w:vAlign w:val="center"/>
          </w:tcPr>
          <w:p>
            <w:pPr>
              <w:pStyle w:val="37"/>
              <w:rPr>
                <w:b/>
                <w:bCs/>
                <w:sz w:val="24"/>
                <w:szCs w:val="24"/>
              </w:rPr>
            </w:pPr>
            <w:r>
              <w:rPr>
                <w:rFonts w:hint="eastAsia"/>
                <w:b/>
                <w:bCs/>
                <w:sz w:val="24"/>
                <w:szCs w:val="24"/>
              </w:rPr>
              <w:t>8</w:t>
            </w:r>
            <w:r>
              <w:rPr>
                <w:b/>
                <w:bCs/>
                <w:sz w:val="24"/>
                <w:szCs w:val="24"/>
              </w:rPr>
              <w:t>7.12%</w:t>
            </w:r>
          </w:p>
        </w:tc>
      </w:tr>
    </w:tbl>
    <w:p>
      <w:pPr>
        <w:pStyle w:val="25"/>
        <w:ind w:firstLine="640"/>
      </w:pPr>
      <w:r>
        <w:rPr>
          <w:rFonts w:hint="eastAsia"/>
        </w:rPr>
        <w:t>根据上述结果，</w:t>
      </w:r>
      <w:r>
        <w:rPr>
          <w:rFonts w:hint="eastAsia"/>
          <w:bCs/>
        </w:rPr>
        <w:t>区政府合作交流办</w:t>
      </w:r>
      <w:r>
        <w:rPr>
          <w:rFonts w:hint="eastAsia"/>
        </w:rPr>
        <w:t>整体部门支出绩效情况良好，但部门决策、管理效率、履职产出及效益等方面仍有改进空间。</w:t>
      </w:r>
    </w:p>
    <w:p>
      <w:pPr>
        <w:pStyle w:val="29"/>
        <w:ind w:firstLine="640"/>
        <w:rPr>
          <w:rFonts w:ascii="Times New Roman" w:hAnsi="Times New Roman"/>
        </w:rPr>
      </w:pPr>
      <w:bookmarkStart w:id="51" w:name="_Toc91375454"/>
      <w:bookmarkStart w:id="52" w:name="_Toc91375841"/>
      <w:bookmarkStart w:id="53" w:name="_Toc142399178"/>
      <w:bookmarkStart w:id="54" w:name="_Toc53326868"/>
      <w:r>
        <w:rPr>
          <w:rFonts w:hint="eastAsia" w:ascii="Times New Roman" w:hAnsi="Times New Roman"/>
        </w:rPr>
        <w:t>（三）指标详细分析</w:t>
      </w:r>
      <w:bookmarkEnd w:id="51"/>
      <w:bookmarkEnd w:id="52"/>
      <w:bookmarkEnd w:id="53"/>
      <w:bookmarkEnd w:id="54"/>
    </w:p>
    <w:p>
      <w:pPr>
        <w:pStyle w:val="25"/>
        <w:ind w:firstLine="640"/>
      </w:pPr>
      <w:r>
        <w:rPr>
          <w:rFonts w:hint="eastAsia"/>
        </w:rPr>
        <w:t>1</w:t>
      </w:r>
      <w:r>
        <w:t>.</w:t>
      </w:r>
      <w:r>
        <w:rPr>
          <w:rFonts w:hint="eastAsia"/>
        </w:rPr>
        <w:t>部门决策</w:t>
      </w:r>
    </w:p>
    <w:p>
      <w:pPr>
        <w:pStyle w:val="25"/>
        <w:ind w:firstLine="640"/>
      </w:pPr>
      <w:r>
        <w:rPr>
          <w:rFonts w:hint="eastAsia"/>
        </w:rPr>
        <w:t>（1）绩效目标</w:t>
      </w:r>
    </w:p>
    <w:p>
      <w:pPr>
        <w:pStyle w:val="25"/>
        <w:ind w:firstLine="640"/>
      </w:pPr>
      <w:r>
        <w:rPr>
          <w:rFonts w:hint="eastAsia"/>
        </w:rPr>
        <w:t>①绩效目标与部门职责的相符性、年度任务对应性：分值1分，得分</w:t>
      </w:r>
      <w:r>
        <w:t>0.5</w:t>
      </w:r>
      <w:r>
        <w:rPr>
          <w:rFonts w:hint="eastAsia"/>
        </w:rPr>
        <w:t>分，得分率</w:t>
      </w:r>
      <w:r>
        <w:t>50</w:t>
      </w:r>
      <w:r>
        <w:rPr>
          <w:rFonts w:hint="eastAsia"/>
        </w:rPr>
        <w:t>%。依据2</w:t>
      </w:r>
      <w:r>
        <w:t>022</w:t>
      </w:r>
      <w:r>
        <w:rPr>
          <w:rFonts w:hint="eastAsia"/>
        </w:rPr>
        <w:t>年度部门整体绩效目标、部门职责、部门年度工作计划进行评分，主要针对部门整体支出绩效目标年度主要任务是否符合国家法律法规、国民经济、社会发展总体规划及部门职责，部门整体支出绩效目标年度总体绩效目标制定内容是否与年度主要任务内容相匹配等方面进行评价。评价结果分析显示，区政府合作交流办整体支出绩效目标、年度主要任务符合国家法律法规、国民经济、社会发展总体规划及部门职责，但部门年度主要任务共设置</w:t>
      </w:r>
      <w:r>
        <w:t>4条，年度绩效</w:t>
      </w:r>
      <w:r>
        <w:rPr>
          <w:rFonts w:hint="eastAsia"/>
        </w:rPr>
        <w:t>目标</w:t>
      </w:r>
      <w:r>
        <w:t>设置3条，年度总体绩效目标制定内容与年度主要任务内容不匹配。</w:t>
      </w:r>
      <w:r>
        <w:rPr>
          <w:rFonts w:hint="eastAsia"/>
        </w:rPr>
        <w:t>按照评分标准要求，扣减</w:t>
      </w:r>
      <w:r>
        <w:t>0.5</w:t>
      </w:r>
      <w:r>
        <w:rPr>
          <w:rFonts w:hint="eastAsia"/>
        </w:rPr>
        <w:t>分，得</w:t>
      </w:r>
      <w:r>
        <w:t>0.5</w:t>
      </w:r>
      <w:r>
        <w:rPr>
          <w:rFonts w:hint="eastAsia"/>
        </w:rPr>
        <w:t>分。</w:t>
      </w:r>
    </w:p>
    <w:p>
      <w:pPr>
        <w:pStyle w:val="25"/>
        <w:ind w:firstLine="640"/>
      </w:pPr>
      <w:r>
        <w:rPr>
          <w:rFonts w:hint="eastAsia"/>
        </w:rPr>
        <w:t>②绩效指标清晰量化程度：分值1分，得分</w:t>
      </w:r>
      <w:r>
        <w:t>0.2</w:t>
      </w:r>
      <w:r>
        <w:rPr>
          <w:rFonts w:hint="eastAsia"/>
        </w:rPr>
        <w:t>分，得分率</w:t>
      </w:r>
      <w:r>
        <w:t>20</w:t>
      </w:r>
      <w:r>
        <w:rPr>
          <w:rFonts w:hint="eastAsia"/>
        </w:rPr>
        <w:t>%。依据2</w:t>
      </w:r>
      <w:r>
        <w:t>022</w:t>
      </w:r>
      <w:r>
        <w:rPr>
          <w:rFonts w:hint="eastAsia"/>
        </w:rPr>
        <w:t>年度部门整体绩效目标进行评分，主要针对部门整体支出绩效目标年度绩效指标是否通过清晰、可衡量的指标值予以体现等方面进行评价。评价结果分析显示，部门制定的年度绩效指标存在指标内容不细化、不清晰的问题，一是数量指标缺少“人才支援、劳务协作、产业合作”等工作方面的指标；二是质量指标缺少编外人员、物业补贴、综合业务费方面的指标制定；三是时效指标“日常工作完成率”不可衡量日常工作是否完成及时；四是“预算执行率”不属于成本指标，不能清晰反映部门成本控制情况。按照评分标准要求，扣减</w:t>
      </w:r>
      <w:r>
        <w:t>0.8</w:t>
      </w:r>
      <w:r>
        <w:rPr>
          <w:rFonts w:hint="eastAsia"/>
        </w:rPr>
        <w:t>分，得</w:t>
      </w:r>
      <w:r>
        <w:t>0.2</w:t>
      </w:r>
      <w:r>
        <w:rPr>
          <w:rFonts w:hint="eastAsia"/>
        </w:rPr>
        <w:t>分。</w:t>
      </w:r>
    </w:p>
    <w:p>
      <w:pPr>
        <w:pStyle w:val="25"/>
        <w:ind w:firstLine="640"/>
      </w:pPr>
      <w:r>
        <w:rPr>
          <w:rFonts w:hint="eastAsia"/>
        </w:rPr>
        <w:t>③绩效目标与预算资金匹配性：分值</w:t>
      </w:r>
      <w:r>
        <w:t>2</w:t>
      </w:r>
      <w:r>
        <w:rPr>
          <w:rFonts w:hint="eastAsia"/>
        </w:rPr>
        <w:t>分，得分</w:t>
      </w:r>
      <w:r>
        <w:t>0</w:t>
      </w:r>
      <w:r>
        <w:rPr>
          <w:rFonts w:hint="eastAsia"/>
        </w:rPr>
        <w:t>分，得分率</w:t>
      </w:r>
      <w:r>
        <w:t>0</w:t>
      </w:r>
      <w:r>
        <w:rPr>
          <w:rFonts w:hint="eastAsia"/>
        </w:rPr>
        <w:t>%。依据2</w:t>
      </w:r>
      <w:r>
        <w:t>022</w:t>
      </w:r>
      <w:r>
        <w:rPr>
          <w:rFonts w:hint="eastAsia"/>
        </w:rPr>
        <w:t>年度部门整体绩效目标、部门预算批复文件、部门决算数据进行评分，主要针对部门整体支出绩效目标表中的填报资金是否与人大批复的部门预算相匹配，部门整体支出绩效目标中的资金是否满足部门整体工作任务的完成等方面进行评价。评价结果分析显示，部门整体支出绩效目标表中的预算金额为</w:t>
      </w:r>
      <w:r>
        <w:t>347.98万元，其中：基本支出279.72万元，项目支出68.26万元，但年初预算批复中预算金额为348.3万元，基本支出280万元，项目支出68.3万元，与人大批复的部门预算不匹配；根据部门预决算数据，部门2022年度预算调整后金额为1366.2万元，支出预算数为1366.2万元，部门整体支出绩效目标中的资金不满足部门整体工作任务的完成。</w:t>
      </w:r>
      <w:r>
        <w:rPr>
          <w:rFonts w:hint="eastAsia"/>
        </w:rPr>
        <w:t>按照评分标准要求，扣减</w:t>
      </w:r>
      <w:r>
        <w:t>2</w:t>
      </w:r>
      <w:r>
        <w:rPr>
          <w:rFonts w:hint="eastAsia"/>
        </w:rPr>
        <w:t>分，得</w:t>
      </w:r>
      <w:r>
        <w:t>0</w:t>
      </w:r>
      <w:r>
        <w:rPr>
          <w:rFonts w:hint="eastAsia"/>
        </w:rPr>
        <w:t>分。</w:t>
      </w:r>
    </w:p>
    <w:p>
      <w:pPr>
        <w:pStyle w:val="25"/>
        <w:ind w:firstLine="640"/>
      </w:pPr>
      <w:r>
        <w:rPr>
          <w:rFonts w:hint="eastAsia"/>
        </w:rPr>
        <w:t>（2）决策依据</w:t>
      </w:r>
    </w:p>
    <w:p>
      <w:pPr>
        <w:pStyle w:val="25"/>
        <w:ind w:firstLine="640"/>
      </w:pPr>
      <w:r>
        <w:rPr>
          <w:rFonts w:hint="eastAsia"/>
        </w:rPr>
        <w:t>①部门年度工作计划科学性：分值</w:t>
      </w:r>
      <w:r>
        <w:t>1</w:t>
      </w:r>
      <w:r>
        <w:rPr>
          <w:rFonts w:hint="eastAsia"/>
        </w:rPr>
        <w:t>分，得分</w:t>
      </w:r>
      <w:r>
        <w:t>1</w:t>
      </w:r>
      <w:r>
        <w:rPr>
          <w:rFonts w:hint="eastAsia"/>
        </w:rPr>
        <w:t>分，得分率</w:t>
      </w:r>
      <w:r>
        <w:t>100</w:t>
      </w:r>
      <w:r>
        <w:rPr>
          <w:rFonts w:hint="eastAsia"/>
        </w:rPr>
        <w:t>%。依据部门年度工作计划进行评分，主要针对部门工作计划中制定的各项内容是否符合国家法律法规、国民经济发展规划和相关政策，是否属于部门履职所需，与部门职责范围相符进行评价。评价结果分析显示，区政府合作交流办</w:t>
      </w:r>
      <w:r>
        <w:t>2022年度工作计划涵盖了“东西部协作和支援合作”与“外事工作”二大方面，部门工作计划制定符合国家法律法规、国民经济发展规划和相关政策，每项工作计划分为若干项工作要点，对应具体部门职责，属于部门履职所需。</w:t>
      </w:r>
      <w:r>
        <w:rPr>
          <w:rFonts w:hint="eastAsia"/>
        </w:rPr>
        <w:t>按照评分标准要求，得</w:t>
      </w:r>
      <w:r>
        <w:t>1</w:t>
      </w:r>
      <w:r>
        <w:rPr>
          <w:rFonts w:hint="eastAsia"/>
        </w:rPr>
        <w:t>分。</w:t>
      </w:r>
    </w:p>
    <w:p>
      <w:pPr>
        <w:pStyle w:val="25"/>
        <w:ind w:firstLine="640"/>
      </w:pPr>
      <w:r>
        <w:rPr>
          <w:rFonts w:hint="eastAsia"/>
        </w:rPr>
        <w:t>②重大支出政策的合理性规范性：分值</w:t>
      </w:r>
      <w:r>
        <w:t>2</w:t>
      </w:r>
      <w:r>
        <w:rPr>
          <w:rFonts w:hint="eastAsia"/>
        </w:rPr>
        <w:t>分，得分</w:t>
      </w:r>
      <w:r>
        <w:t>2</w:t>
      </w:r>
      <w:r>
        <w:rPr>
          <w:rFonts w:hint="eastAsia"/>
        </w:rPr>
        <w:t>分，得分率</w:t>
      </w:r>
      <w:r>
        <w:t>100</w:t>
      </w:r>
      <w:r>
        <w:rPr>
          <w:rFonts w:hint="eastAsia"/>
        </w:rPr>
        <w:t>%。依据部门申请财政资金的重大政策和项目的文件依据进行评分，主要针对部门申请财政资金的重大政策和项目的文件依据是否存在补助、奖励、使用方向与部门内外部政策存在重叠交叉，是否符合社会现实需求，是否存在严重滞后情况等方面进行评价。评价结果分析显示，区政府合作交流办参照《和平区东西部协作和支援合作工作领导工作规则</w:t>
      </w:r>
      <w:r>
        <w:rPr>
          <w:rFonts w:hint="eastAsia"/>
          <w:lang w:eastAsia="zh-CN"/>
        </w:rPr>
        <w:t>》《</w:t>
      </w:r>
      <w:r>
        <w:rPr>
          <w:rFonts w:hint="eastAsia"/>
        </w:rPr>
        <w:t>和平区高质量推进东西部协作和支援合作</w:t>
      </w:r>
      <w:r>
        <w:t>2022年实施方案》等相关文件申请财政资金，符合社会现实需求，奖励、补助资金使用方向与部门内外部政策不存在重叠交叉，不存在滞后情况。</w:t>
      </w:r>
      <w:r>
        <w:rPr>
          <w:rFonts w:hint="eastAsia"/>
        </w:rPr>
        <w:t>按照评分标准要求，得</w:t>
      </w:r>
      <w:r>
        <w:t>2</w:t>
      </w:r>
      <w:r>
        <w:rPr>
          <w:rFonts w:hint="eastAsia"/>
        </w:rPr>
        <w:t>分。</w:t>
      </w:r>
    </w:p>
    <w:p>
      <w:pPr>
        <w:pStyle w:val="25"/>
        <w:ind w:firstLine="640"/>
      </w:pPr>
      <w:r>
        <w:rPr>
          <w:rFonts w:hint="eastAsia"/>
        </w:rPr>
        <w:t>（3）预算分配</w:t>
      </w:r>
    </w:p>
    <w:p>
      <w:pPr>
        <w:pStyle w:val="25"/>
        <w:ind w:firstLine="640"/>
      </w:pPr>
      <w:r>
        <w:rPr>
          <w:rFonts w:hint="eastAsia"/>
        </w:rPr>
        <w:t>①决策程序规范性：分值</w:t>
      </w:r>
      <w:r>
        <w:t>2</w:t>
      </w:r>
      <w:r>
        <w:rPr>
          <w:rFonts w:hint="eastAsia"/>
        </w:rPr>
        <w:t>分，得分</w:t>
      </w:r>
      <w:r>
        <w:t>2</w:t>
      </w:r>
      <w:r>
        <w:rPr>
          <w:rFonts w:hint="eastAsia"/>
        </w:rPr>
        <w:t>分，得分率</w:t>
      </w:r>
      <w:r>
        <w:t>100</w:t>
      </w:r>
      <w:r>
        <w:rPr>
          <w:rFonts w:hint="eastAsia"/>
        </w:rPr>
        <w:t>%。依据相关会议纪要、审批文件等资料进行评分，主要针对是否按照财政部门规定的程序进行预算编报，预算编报、分配方案是否经“三重一大”程序决策等方面进行评价。评价结果分析显示，区政府合作交流办根据天津市和平区财政局要求完成基础数据的填报工作，并在预算编审全过程中根据要求对基础数据进行更新和复核，各科室资金需求经本科室科长审核，审核后由财务部门编制预算草案，上报会议审议，审议通过后的预算报告上报天津市和平区财政局预算科审批，财务部门根据财政局下达的第二次预算控制数编制第二次预算，行文上报天津市和平区财政局预算科审批，收到财政局预算批复执行预算，预算编报、分配方案经过“三重一大”程序决策，符合财政部门规定的预算编报程序，部门能够提供出相应的会议纪要、重大经济事项支出审批单、请款事项呈办单等相关决策文件，资料完整齐全，决策程序明确规范。按照评分标准要求，得2分。</w:t>
      </w:r>
    </w:p>
    <w:p>
      <w:pPr>
        <w:pStyle w:val="25"/>
        <w:ind w:firstLine="640"/>
      </w:pPr>
      <w:r>
        <w:rPr>
          <w:rFonts w:hint="eastAsia"/>
        </w:rPr>
        <w:t>②测算程序合理性：分值</w:t>
      </w:r>
      <w:r>
        <w:t>6</w:t>
      </w:r>
      <w:r>
        <w:rPr>
          <w:rFonts w:hint="eastAsia"/>
        </w:rPr>
        <w:t>分，得分</w:t>
      </w:r>
      <w:r>
        <w:t>6</w:t>
      </w:r>
      <w:r>
        <w:rPr>
          <w:rFonts w:hint="eastAsia"/>
        </w:rPr>
        <w:t>分，得分率</w:t>
      </w:r>
      <w:r>
        <w:t>100</w:t>
      </w:r>
      <w:r>
        <w:rPr>
          <w:rFonts w:hint="eastAsia"/>
        </w:rPr>
        <w:t>%。依据部门预算资金测算明细、测算依据进行评分，主要针对部门预算编制过程中的资金测算程序是否明确规范，数据是否合理准确，项目支出测算细化程度等方面进行评价。评价结果分析显示，</w:t>
      </w:r>
      <w:r>
        <w:t>2022年度</w:t>
      </w:r>
      <w:r>
        <w:rPr>
          <w:rFonts w:hint="eastAsia"/>
        </w:rPr>
        <w:t>区政府合作交流办</w:t>
      </w:r>
      <w:r>
        <w:t>基本支出按照在编人员数量、级别和工资标准，定员、定额编制人员经费预算，按照规定的预算定额标准编制公用经费预算，项目支出按照各项目政策标准、各项目年度工作计划和客观需求编制，部门预算根据事权划分准确核定本级财政支出，部门自行制定的支出标准符合上级管理部门的标准和社会事实支出水平，不存在重复测算政策规定内相同内容，各项预算测算数据均有相关合同、测算明细表、项目经费申请表、政策文件提供，且已经过“三重一大”会议审议，测算程序合理。</w:t>
      </w:r>
      <w:r>
        <w:rPr>
          <w:rFonts w:hint="eastAsia"/>
        </w:rPr>
        <w:t>按照评分标准要求，得</w:t>
      </w:r>
      <w:r>
        <w:t>6</w:t>
      </w:r>
      <w:r>
        <w:rPr>
          <w:rFonts w:hint="eastAsia"/>
        </w:rPr>
        <w:t>分。</w:t>
      </w:r>
    </w:p>
    <w:p>
      <w:pPr>
        <w:pStyle w:val="25"/>
        <w:ind w:firstLine="640"/>
      </w:pPr>
      <w:r>
        <w:rPr>
          <w:rFonts w:hint="eastAsia"/>
        </w:rPr>
        <w:t>2.管理效率</w:t>
      </w:r>
    </w:p>
    <w:p>
      <w:pPr>
        <w:pStyle w:val="25"/>
        <w:ind w:firstLine="640"/>
      </w:pPr>
      <w:r>
        <w:rPr>
          <w:rFonts w:hint="eastAsia"/>
        </w:rPr>
        <w:t>（1）预算执行</w:t>
      </w:r>
    </w:p>
    <w:p>
      <w:pPr>
        <w:pStyle w:val="25"/>
        <w:ind w:firstLine="640"/>
      </w:pPr>
      <w:r>
        <w:rPr>
          <w:rFonts w:hint="eastAsia"/>
        </w:rPr>
        <w:t>①在职人员控制率：分值</w:t>
      </w:r>
      <w:r>
        <w:t>1</w:t>
      </w:r>
      <w:r>
        <w:rPr>
          <w:rFonts w:hint="eastAsia"/>
        </w:rPr>
        <w:t>分，得分</w:t>
      </w:r>
      <w:r>
        <w:t>0.92</w:t>
      </w:r>
      <w:r>
        <w:rPr>
          <w:rFonts w:hint="eastAsia"/>
        </w:rPr>
        <w:t>分，得分率</w:t>
      </w:r>
      <w:r>
        <w:t>92</w:t>
      </w:r>
      <w:r>
        <w:rPr>
          <w:rFonts w:hint="eastAsia"/>
        </w:rPr>
        <w:t>%。根据部门三定方案等资料，区政府合作交流办编制数为</w:t>
      </w:r>
      <w:r>
        <w:t>12</w:t>
      </w:r>
      <w:r>
        <w:rPr>
          <w:rFonts w:hint="eastAsia"/>
        </w:rPr>
        <w:t>名，截至</w:t>
      </w:r>
      <w:r>
        <w:t>2022年末实有在职在编人员11人，在职人员控制率为91.67%。</w:t>
      </w:r>
      <w:r>
        <w:rPr>
          <w:rFonts w:hint="eastAsia"/>
        </w:rPr>
        <w:t>按照评分标准要求，扣减0</w:t>
      </w:r>
      <w:r>
        <w:t>.08</w:t>
      </w:r>
      <w:r>
        <w:rPr>
          <w:rFonts w:hint="eastAsia"/>
        </w:rPr>
        <w:t>分，得</w:t>
      </w:r>
      <w:r>
        <w:t>0.92</w:t>
      </w:r>
      <w:r>
        <w:rPr>
          <w:rFonts w:hint="eastAsia"/>
        </w:rPr>
        <w:t>分。</w:t>
      </w:r>
    </w:p>
    <w:p>
      <w:pPr>
        <w:pStyle w:val="25"/>
        <w:ind w:firstLine="640"/>
      </w:pPr>
      <w:r>
        <w:rPr>
          <w:rFonts w:hint="eastAsia"/>
        </w:rPr>
        <w:t>②预算执行率：分值</w:t>
      </w:r>
      <w:r>
        <w:t>2</w:t>
      </w:r>
      <w:r>
        <w:rPr>
          <w:rFonts w:hint="eastAsia"/>
        </w:rPr>
        <w:t>分，得分</w:t>
      </w:r>
      <w:r>
        <w:t>2</w:t>
      </w:r>
      <w:r>
        <w:rPr>
          <w:rFonts w:hint="eastAsia"/>
        </w:rPr>
        <w:t>分，得分率</w:t>
      </w:r>
      <w:r>
        <w:t>100</w:t>
      </w:r>
      <w:r>
        <w:rPr>
          <w:rFonts w:hint="eastAsia"/>
        </w:rPr>
        <w:t>%。根据部门预决算数据，区政府合作交流办</w:t>
      </w:r>
      <w:r>
        <w:t>2022年度调整后部门预算金额为1366.35万元，实际支出金额为1366.2万元，预算执行率为99.99%。</w:t>
      </w:r>
      <w:r>
        <w:rPr>
          <w:rFonts w:hint="eastAsia" w:cs="Times New Roman"/>
        </w:rPr>
        <w:t>按照评分标准要求，得</w:t>
      </w:r>
      <w:r>
        <w:rPr>
          <w:rFonts w:cs="Times New Roman"/>
        </w:rPr>
        <w:t>2</w:t>
      </w:r>
      <w:r>
        <w:rPr>
          <w:rFonts w:hint="eastAsia" w:cs="Times New Roman"/>
        </w:rPr>
        <w:t>分。</w:t>
      </w:r>
    </w:p>
    <w:p>
      <w:pPr>
        <w:pStyle w:val="25"/>
        <w:ind w:firstLine="640"/>
      </w:pPr>
      <w:r>
        <w:rPr>
          <w:rFonts w:hint="eastAsia"/>
        </w:rPr>
        <w:t>③预算调整率：分值</w:t>
      </w:r>
      <w:r>
        <w:t>2</w:t>
      </w:r>
      <w:r>
        <w:rPr>
          <w:rFonts w:hint="eastAsia"/>
        </w:rPr>
        <w:t>分，得分</w:t>
      </w:r>
      <w:r>
        <w:t>0</w:t>
      </w:r>
      <w:r>
        <w:rPr>
          <w:rFonts w:hint="eastAsia"/>
        </w:rPr>
        <w:t>分，得分率</w:t>
      </w:r>
      <w:r>
        <w:t>0</w:t>
      </w:r>
      <w:r>
        <w:rPr>
          <w:rFonts w:hint="eastAsia"/>
        </w:rPr>
        <w:t>%。根据部门预决算数据，区政府合作交流办</w:t>
      </w:r>
      <w:r>
        <w:t>2022年度部门年初预算批复数为348.3万元，调整预算数为1017.9万元，预算调整率为292.25%。</w:t>
      </w:r>
      <w:r>
        <w:rPr>
          <w:rFonts w:hint="eastAsia" w:cs="Times New Roman"/>
        </w:rPr>
        <w:t>按照评分标准要求，扣减2分，得</w:t>
      </w:r>
      <w:r>
        <w:rPr>
          <w:rFonts w:cs="Times New Roman"/>
        </w:rPr>
        <w:t>0</w:t>
      </w:r>
      <w:r>
        <w:rPr>
          <w:rFonts w:hint="eastAsia" w:cs="Times New Roman"/>
        </w:rPr>
        <w:t>分。</w:t>
      </w:r>
    </w:p>
    <w:p>
      <w:pPr>
        <w:pStyle w:val="25"/>
        <w:ind w:firstLine="640"/>
      </w:pPr>
      <w:r>
        <w:rPr>
          <w:rFonts w:hint="eastAsia"/>
        </w:rPr>
        <w:t>④公用经费控制率：分值</w:t>
      </w:r>
      <w:r>
        <w:t>2</w:t>
      </w:r>
      <w:r>
        <w:rPr>
          <w:rFonts w:hint="eastAsia"/>
        </w:rPr>
        <w:t>分，得分</w:t>
      </w:r>
      <w:r>
        <w:t>2</w:t>
      </w:r>
      <w:r>
        <w:rPr>
          <w:rFonts w:hint="eastAsia"/>
        </w:rPr>
        <w:t>分，得分率</w:t>
      </w:r>
      <w:r>
        <w:t>100</w:t>
      </w:r>
      <w:r>
        <w:rPr>
          <w:rFonts w:hint="eastAsia"/>
        </w:rPr>
        <w:t>%。根据预决算数据，区政府合作交流办</w:t>
      </w:r>
      <w:r>
        <w:t>2022年度部门预算安排公用经费总额为22.76万元，实际支出公用经费总额为14.52万元，公用经费控制率为63.8%。</w:t>
      </w:r>
      <w:r>
        <w:rPr>
          <w:rFonts w:hint="eastAsia" w:cs="Times New Roman"/>
        </w:rPr>
        <w:t>按照评分标准要求，得</w:t>
      </w:r>
      <w:r>
        <w:rPr>
          <w:rFonts w:cs="Times New Roman"/>
        </w:rPr>
        <w:t>2</w:t>
      </w:r>
      <w:r>
        <w:rPr>
          <w:rFonts w:hint="eastAsia" w:cs="Times New Roman"/>
        </w:rPr>
        <w:t>分。</w:t>
      </w:r>
    </w:p>
    <w:p>
      <w:pPr>
        <w:pStyle w:val="25"/>
        <w:ind w:firstLine="640"/>
      </w:pPr>
      <w:r>
        <w:rPr>
          <w:rFonts w:hint="eastAsia"/>
        </w:rPr>
        <w:t>⑤“三公”经费控制率：分值</w:t>
      </w:r>
      <w:r>
        <w:t>1</w:t>
      </w:r>
      <w:r>
        <w:rPr>
          <w:rFonts w:hint="eastAsia"/>
        </w:rPr>
        <w:t>分，得分</w:t>
      </w:r>
      <w:r>
        <w:t>1</w:t>
      </w:r>
      <w:r>
        <w:rPr>
          <w:rFonts w:hint="eastAsia"/>
        </w:rPr>
        <w:t>分，得分率</w:t>
      </w:r>
      <w:r>
        <w:t>100</w:t>
      </w:r>
      <w:r>
        <w:rPr>
          <w:rFonts w:hint="eastAsia"/>
        </w:rPr>
        <w:t>%。根据部门预决算数据，区政府合作交流办</w:t>
      </w:r>
      <w:r>
        <w:t>2022年度部门预算安排“三公”经费10.2万元，实际支出“三公”经费1.88万元，“三公”经费控制率为18.43%。</w:t>
      </w:r>
      <w:r>
        <w:rPr>
          <w:rFonts w:hint="eastAsia" w:cs="Times New Roman"/>
        </w:rPr>
        <w:t>按照评分标准要求，得</w:t>
      </w:r>
      <w:r>
        <w:rPr>
          <w:rFonts w:cs="Times New Roman"/>
        </w:rPr>
        <w:t>1</w:t>
      </w:r>
      <w:r>
        <w:rPr>
          <w:rFonts w:hint="eastAsia" w:cs="Times New Roman"/>
        </w:rPr>
        <w:t>分。</w:t>
      </w:r>
    </w:p>
    <w:p>
      <w:pPr>
        <w:pStyle w:val="25"/>
        <w:ind w:firstLine="640"/>
      </w:pPr>
      <w:r>
        <w:rPr>
          <w:rFonts w:hint="eastAsia"/>
        </w:rPr>
        <w:t>（2）预算管理</w:t>
      </w:r>
    </w:p>
    <w:p>
      <w:pPr>
        <w:pStyle w:val="25"/>
        <w:ind w:firstLine="640"/>
      </w:pPr>
      <w:r>
        <w:rPr>
          <w:rFonts w:hint="eastAsia"/>
        </w:rPr>
        <w:t>①资金使用合规性：分值</w:t>
      </w:r>
      <w:r>
        <w:t>1</w:t>
      </w:r>
      <w:r>
        <w:rPr>
          <w:rFonts w:hint="eastAsia"/>
        </w:rPr>
        <w:t>分，得分</w:t>
      </w:r>
      <w:r>
        <w:t>1</w:t>
      </w:r>
      <w:r>
        <w:rPr>
          <w:rFonts w:hint="eastAsia"/>
        </w:rPr>
        <w:t>分，得分率</w:t>
      </w:r>
      <w:r>
        <w:t>100</w:t>
      </w:r>
      <w:r>
        <w:rPr>
          <w:rFonts w:hint="eastAsia"/>
        </w:rPr>
        <w:t>%。依据财务管理制度进行评分，主要针对部门资金使用</w:t>
      </w:r>
      <w:r>
        <w:t>是否符合相关的财务管理制度</w:t>
      </w:r>
      <w:r>
        <w:rPr>
          <w:rFonts w:hint="eastAsia"/>
        </w:rPr>
        <w:t>和专项资金管理办法</w:t>
      </w:r>
      <w:r>
        <w:t>的规定，</w:t>
      </w:r>
      <w:r>
        <w:rPr>
          <w:rFonts w:hint="eastAsia"/>
        </w:rPr>
        <w:t>资金拨付是否有完整的审批程序和手续，部门预算是否经过部门决策机构审议通过，资金拨付</w:t>
      </w:r>
      <w:r>
        <w:t>是否符合</w:t>
      </w:r>
      <w:r>
        <w:rPr>
          <w:rFonts w:hint="eastAsia"/>
        </w:rPr>
        <w:t>预算批复规定用途等方面进行评价。评价结果分析显示，根据区政府合作交流办提供的凭证及用款审批单完整，财务记账符合国家财经法规和财务管理制度规定，各项资金拨付有完整的审批程序和手续，各项支出有完整的请款申请及资金审批单据，公务卡支出有完整的报销凭证，支出范围和结算符合公务卡使用规定，部门预算资金支出符合预算批复规定用途，部门</w:t>
      </w:r>
      <w:r>
        <w:t>2022年度预算和项目资金的重大开支均经过“三重一大”会议集体决策，且有重大支出审批单、请款事项呈办单和相关会议纪要提供，部门资金不存在截留、挤占、挪用、虚列支出等情况，部门资金使用规范。</w:t>
      </w:r>
      <w:r>
        <w:rPr>
          <w:rFonts w:hint="eastAsia"/>
        </w:rPr>
        <w:t>按照评分标准要求，得1分。</w:t>
      </w:r>
    </w:p>
    <w:p>
      <w:pPr>
        <w:pStyle w:val="25"/>
        <w:ind w:firstLine="640"/>
      </w:pPr>
      <w:r>
        <w:rPr>
          <w:rFonts w:hint="eastAsia"/>
        </w:rPr>
        <w:t>②预决算公开情况：分值</w:t>
      </w:r>
      <w:r>
        <w:t>1</w:t>
      </w:r>
      <w:r>
        <w:rPr>
          <w:rFonts w:hint="eastAsia"/>
        </w:rPr>
        <w:t>分，得分</w:t>
      </w:r>
      <w:r>
        <w:t>1</w:t>
      </w:r>
      <w:r>
        <w:rPr>
          <w:rFonts w:hint="eastAsia"/>
        </w:rPr>
        <w:t>分，得分率</w:t>
      </w:r>
      <w:r>
        <w:t>100</w:t>
      </w:r>
      <w:r>
        <w:rPr>
          <w:rFonts w:hint="eastAsia"/>
        </w:rPr>
        <w:t>%。依据部门预决算公开情况进行评分，主要针对部门是否按照政府信息公开有关规定公开相关预决算信息等方面进行评价。评价结果分析显示，根据天津市和平区财政局统一安排，部门预算决算已按有关规定按时公开，公开内容包含部门概况、预决算情况说明、名称解释、预决算套表，内容完整真实，</w:t>
      </w:r>
      <w:r>
        <w:t>符合《预算法》要求及政府信息公开有关规定</w:t>
      </w:r>
      <w:r>
        <w:rPr>
          <w:rFonts w:hint="eastAsia"/>
        </w:rPr>
        <w:t>。按照评分标准要求，得</w:t>
      </w:r>
      <w:r>
        <w:t>1</w:t>
      </w:r>
      <w:r>
        <w:rPr>
          <w:rFonts w:hint="eastAsia"/>
        </w:rPr>
        <w:t>分。</w:t>
      </w:r>
    </w:p>
    <w:p>
      <w:pPr>
        <w:pStyle w:val="25"/>
        <w:ind w:firstLine="640"/>
      </w:pPr>
      <w:r>
        <w:rPr>
          <w:rFonts w:hint="eastAsia"/>
        </w:rPr>
        <w:t>③管理制度健全性：分值</w:t>
      </w:r>
      <w:r>
        <w:t>6</w:t>
      </w:r>
      <w:r>
        <w:rPr>
          <w:rFonts w:hint="eastAsia"/>
        </w:rPr>
        <w:t>分，得分</w:t>
      </w:r>
      <w:r>
        <w:t>4.5</w:t>
      </w:r>
      <w:r>
        <w:rPr>
          <w:rFonts w:hint="eastAsia"/>
        </w:rPr>
        <w:t>分，得分率</w:t>
      </w:r>
      <w:r>
        <w:t>75</w:t>
      </w:r>
      <w:r>
        <w:rPr>
          <w:rFonts w:hint="eastAsia"/>
        </w:rPr>
        <w:t>%。依据管理制度进行评分，主要针对预算资金管理办法、绩效跟踪管理办法、资产管理办法等各项制度是否健全，部门内部财务管理制度和会计核算制度是否完整、合规，管理制度执行是否有效等方面进行评价。评价结果分析显示，区政府合作交流办具有预算管理制度、采购管理制度、资产管理制度、合同管理制度、财务管理制度等，财务管理制度和会计核算制度完整、合规，且各项管理制度执行有效，但部门未制定相关绩效跟踪管理制度或办法，不利于发挥绩效管理对预算编制执行的引导约束和控制作用，部门管理制度有待完善。按照评分标准要求，扣减</w:t>
      </w:r>
      <w:r>
        <w:t>1</w:t>
      </w:r>
      <w:r>
        <w:rPr>
          <w:rFonts w:hint="eastAsia"/>
        </w:rPr>
        <w:t>.5</w:t>
      </w:r>
      <w:r>
        <w:t>分，得4.5分。</w:t>
      </w:r>
    </w:p>
    <w:p>
      <w:pPr>
        <w:pStyle w:val="25"/>
        <w:ind w:firstLine="640"/>
      </w:pPr>
      <w:r>
        <w:rPr>
          <w:rFonts w:hint="eastAsia"/>
        </w:rPr>
        <w:t>（</w:t>
      </w:r>
      <w:r>
        <w:t>3</w:t>
      </w:r>
      <w:r>
        <w:rPr>
          <w:rFonts w:hint="eastAsia"/>
        </w:rPr>
        <w:t>）绩效管理</w:t>
      </w:r>
    </w:p>
    <w:p>
      <w:pPr>
        <w:pStyle w:val="25"/>
        <w:ind w:firstLine="640"/>
      </w:pPr>
      <w:r>
        <w:rPr>
          <w:rFonts w:hint="eastAsia"/>
        </w:rPr>
        <w:t>①绩效管理机构和制度建设情况：分值</w:t>
      </w:r>
      <w:r>
        <w:t>1</w:t>
      </w:r>
      <w:r>
        <w:rPr>
          <w:rFonts w:hint="eastAsia"/>
        </w:rPr>
        <w:t>分，得分</w:t>
      </w:r>
      <w:r>
        <w:t>0</w:t>
      </w:r>
      <w:r>
        <w:rPr>
          <w:rFonts w:hint="eastAsia"/>
        </w:rPr>
        <w:t>分，得分率</w:t>
      </w:r>
      <w:r>
        <w:t>0</w:t>
      </w:r>
      <w:r>
        <w:rPr>
          <w:rFonts w:hint="eastAsia"/>
        </w:rPr>
        <w:t>%。依据部门绩效管理机构和制度建设情况进行评分，主要针对部门是否成立绩效管理领导小组、是否指定相关处室和专人负责绩效管理工作，是否建立全过程预算绩效管理相关制度等方面进行评价。评价结果分析显示，截至本次绩效评价基准日，部门尚未成立绩效管理领导小组，未建立全过程预算绩效管理相关制度。按照评分标准要求，扣减</w:t>
      </w:r>
      <w:r>
        <w:t>1分，得0分。</w:t>
      </w:r>
    </w:p>
    <w:p>
      <w:pPr>
        <w:pStyle w:val="25"/>
        <w:ind w:firstLine="640"/>
      </w:pPr>
      <w:r>
        <w:rPr>
          <w:rFonts w:hint="eastAsia"/>
        </w:rPr>
        <w:t>②绩效指标体系健全性：分值</w:t>
      </w:r>
      <w:r>
        <w:t>1</w:t>
      </w:r>
      <w:r>
        <w:rPr>
          <w:rFonts w:hint="eastAsia"/>
        </w:rPr>
        <w:t>分，得分</w:t>
      </w:r>
      <w:r>
        <w:t>0</w:t>
      </w:r>
      <w:r>
        <w:rPr>
          <w:rFonts w:hint="eastAsia"/>
        </w:rPr>
        <w:t>分，得分率</w:t>
      </w:r>
      <w:r>
        <w:t>0</w:t>
      </w:r>
      <w:r>
        <w:rPr>
          <w:rFonts w:hint="eastAsia"/>
        </w:rPr>
        <w:t>%。依据部门绩效管理指标库建设的完善程度进行评分，主要针对部门是否建立完善的指标体系，是否依据已建立的指标体系开展绩效目标编报工作等方面进行评价。评价结果分析显示，截至本次绩效评价基准日，部门尚未建立本部门绩效管理指标库，绩效目标编报工作主要依托历史数据及当年工作任务。按照评分标准要求，扣减</w:t>
      </w:r>
      <w:r>
        <w:t>1分，得0分。</w:t>
      </w:r>
    </w:p>
    <w:p>
      <w:pPr>
        <w:pStyle w:val="25"/>
        <w:ind w:firstLine="640"/>
      </w:pPr>
      <w:r>
        <w:rPr>
          <w:rFonts w:hint="eastAsia"/>
        </w:rPr>
        <w:t>③绩效目标工作开展情况：分值</w:t>
      </w:r>
      <w:r>
        <w:t>1</w:t>
      </w:r>
      <w:r>
        <w:rPr>
          <w:rFonts w:hint="eastAsia"/>
        </w:rPr>
        <w:t>分，得分</w:t>
      </w:r>
      <w:r>
        <w:t>1</w:t>
      </w:r>
      <w:r>
        <w:rPr>
          <w:rFonts w:hint="eastAsia"/>
        </w:rPr>
        <w:t>分，得分率</w:t>
      </w:r>
      <w:r>
        <w:t>100</w:t>
      </w:r>
      <w:r>
        <w:rPr>
          <w:rFonts w:hint="eastAsia"/>
        </w:rPr>
        <w:t>%。依据部门公开的2</w:t>
      </w:r>
      <w:r>
        <w:t>022</w:t>
      </w:r>
      <w:r>
        <w:rPr>
          <w:rFonts w:hint="eastAsia"/>
        </w:rPr>
        <w:t>年度绩效目标表进行评分，主要针对部门是否在规定时间内完成部门整体绩效目标和项目绩效目标的编报工作并及时公开等方面进行评价。评价结果分析显示，区政府合作交流办</w:t>
      </w:r>
      <w:r>
        <w:t>2022年度按照天津市和平区财政局要求在规定时间内完成部门整体绩效目标和项目绩效目标的编报工作，并于2022年1月19日在天津市和平区政务网（http://www.tjhp.gov.cn/）财政预决算专栏对2022年度部门整体绩效目标和项目绩效目标向社会进行公开。</w:t>
      </w:r>
      <w:r>
        <w:rPr>
          <w:rFonts w:hint="eastAsia"/>
        </w:rPr>
        <w:t>按照评分标准要求，</w:t>
      </w:r>
      <w:r>
        <w:t>得1分。</w:t>
      </w:r>
    </w:p>
    <w:p>
      <w:pPr>
        <w:pStyle w:val="25"/>
        <w:ind w:firstLine="640"/>
      </w:pPr>
      <w:r>
        <w:rPr>
          <w:rFonts w:hint="eastAsia"/>
        </w:rPr>
        <w:t>④绩效评价工作开展情况：分值</w:t>
      </w:r>
      <w:r>
        <w:t>1</w:t>
      </w:r>
      <w:r>
        <w:rPr>
          <w:rFonts w:hint="eastAsia"/>
        </w:rPr>
        <w:t>分，得分</w:t>
      </w:r>
      <w:r>
        <w:t>1</w:t>
      </w:r>
      <w:r>
        <w:rPr>
          <w:rFonts w:hint="eastAsia"/>
        </w:rPr>
        <w:t>分，得分率</w:t>
      </w:r>
      <w:r>
        <w:t>100</w:t>
      </w:r>
      <w:r>
        <w:rPr>
          <w:rFonts w:hint="eastAsia"/>
        </w:rPr>
        <w:t>%。依据2</w:t>
      </w:r>
      <w:r>
        <w:t>022</w:t>
      </w:r>
      <w:r>
        <w:rPr>
          <w:rFonts w:hint="eastAsia"/>
        </w:rPr>
        <w:t>年度部门整体支出绩效自评表、部门整体支出绩效自评报告、项目支出绩效自评表、项目支出绩效自评报告进行评分，主要针对部门是否按规定及时完成绩效自评工作等方面进行评价。评价结果分析显示，区政府合作交流办</w:t>
      </w:r>
      <w:r>
        <w:t>2022年度按照天津市和平区财政局的要求，按时开展部门整体支出绩效自评工作和项目支出绩效自评工作，完成了部门整体绩效自评表、项目支出绩效自评表的编报工作，部门能够提供出相应的自评工作材料，内容完整，填写较为规范。</w:t>
      </w:r>
      <w:r>
        <w:rPr>
          <w:rFonts w:hint="eastAsia"/>
        </w:rPr>
        <w:t>按照评分标准要求，</w:t>
      </w:r>
      <w:r>
        <w:t>得1分。</w:t>
      </w:r>
    </w:p>
    <w:p>
      <w:pPr>
        <w:pStyle w:val="25"/>
        <w:ind w:firstLine="640"/>
      </w:pPr>
      <w:r>
        <w:rPr>
          <w:rFonts w:hint="eastAsia"/>
        </w:rPr>
        <w:t>（</w:t>
      </w:r>
      <w:r>
        <w:t>4</w:t>
      </w:r>
      <w:r>
        <w:rPr>
          <w:rFonts w:hint="eastAsia"/>
        </w:rPr>
        <w:t>）资产管理</w:t>
      </w:r>
    </w:p>
    <w:p>
      <w:pPr>
        <w:pStyle w:val="25"/>
        <w:ind w:firstLine="640"/>
      </w:pPr>
      <w:r>
        <w:rPr>
          <w:rFonts w:hint="eastAsia"/>
        </w:rPr>
        <w:t>①资产管理规范性：分值</w:t>
      </w:r>
      <w:r>
        <w:t>2</w:t>
      </w:r>
      <w:r>
        <w:rPr>
          <w:rFonts w:hint="eastAsia"/>
        </w:rPr>
        <w:t>分，得分</w:t>
      </w:r>
      <w:r>
        <w:t>2</w:t>
      </w:r>
      <w:r>
        <w:rPr>
          <w:rFonts w:hint="eastAsia"/>
        </w:rPr>
        <w:t>分，得分率</w:t>
      </w:r>
      <w:r>
        <w:t>100</w:t>
      </w:r>
      <w:r>
        <w:rPr>
          <w:rFonts w:hint="eastAsia"/>
        </w:rPr>
        <w:t>%。依据部门2</w:t>
      </w:r>
      <w:r>
        <w:t>022</w:t>
      </w:r>
      <w:r>
        <w:rPr>
          <w:rFonts w:hint="eastAsia"/>
        </w:rPr>
        <w:t>年度区政府合作交流办行政事业性国有资产分析报告、资产年报、</w:t>
      </w:r>
      <w:r>
        <w:t>行政事业单位国有</w:t>
      </w:r>
      <w:r>
        <w:rPr>
          <w:rFonts w:hint="eastAsia"/>
        </w:rPr>
        <w:t>资产处置申报表、核准处置资产清单等相关资料进行评分，主要针对资产保存是否完整，是否定期对固定资产进行清查，资产配置是否合理，资产使用和处置是否规范，是否做到账实相符等方面进行评价。评价结果分析显示，区政府合作交流办</w:t>
      </w:r>
      <w:r>
        <w:t>2022年度资产保存完整，未发生资产损失和丢失，不存在超标准配置资产，资产使用与资产配置均符合规范，资产处置及资产调拨有完整的审批手续，资产管理规范。</w:t>
      </w:r>
      <w:r>
        <w:rPr>
          <w:rFonts w:hint="eastAsia"/>
        </w:rPr>
        <w:t>按照评分标准要求，得</w:t>
      </w:r>
      <w:r>
        <w:t>2</w:t>
      </w:r>
      <w:r>
        <w:rPr>
          <w:rFonts w:hint="eastAsia"/>
        </w:rPr>
        <w:t>分。</w:t>
      </w:r>
    </w:p>
    <w:p>
      <w:pPr>
        <w:pStyle w:val="25"/>
        <w:ind w:firstLine="640"/>
      </w:pPr>
      <w:r>
        <w:rPr>
          <w:rFonts w:hint="eastAsia"/>
        </w:rPr>
        <w:t>②固定资产利用率：分值</w:t>
      </w:r>
      <w:r>
        <w:t>3</w:t>
      </w:r>
      <w:r>
        <w:rPr>
          <w:rFonts w:hint="eastAsia"/>
        </w:rPr>
        <w:t>分，得分</w:t>
      </w:r>
      <w:r>
        <w:t>3</w:t>
      </w:r>
      <w:r>
        <w:rPr>
          <w:rFonts w:hint="eastAsia"/>
        </w:rPr>
        <w:t>分，得分率</w:t>
      </w:r>
      <w:r>
        <w:t>100</w:t>
      </w:r>
      <w:r>
        <w:rPr>
          <w:rFonts w:hint="eastAsia"/>
        </w:rPr>
        <w:t>%。依据2</w:t>
      </w:r>
      <w:r>
        <w:t>022</w:t>
      </w:r>
      <w:r>
        <w:rPr>
          <w:rFonts w:hint="eastAsia"/>
        </w:rPr>
        <w:t>年度资产年报、资产明细账等相关资料进行评分，主要针对部门</w:t>
      </w:r>
      <w:r>
        <w:t>实际在用固定资产总额与所有固定资产总额的比率</w:t>
      </w:r>
      <w:r>
        <w:rPr>
          <w:rFonts w:hint="eastAsia"/>
        </w:rPr>
        <w:t>情况进行评价。评价结果分析显示，根据评价组实地调研，区政府合作交流办</w:t>
      </w:r>
      <w:r>
        <w:t>2022年度固定资产总额为56.29 万元，资产全部在用，无闲置资产与待处理资产，固定资产利用率为100%。</w:t>
      </w:r>
      <w:r>
        <w:rPr>
          <w:rFonts w:hint="eastAsia"/>
        </w:rPr>
        <w:t>按照评分标准要求，得</w:t>
      </w:r>
      <w:r>
        <w:t>3</w:t>
      </w:r>
      <w:r>
        <w:rPr>
          <w:rFonts w:hint="eastAsia"/>
        </w:rPr>
        <w:t>分。</w:t>
      </w:r>
    </w:p>
    <w:p>
      <w:pPr>
        <w:pStyle w:val="25"/>
        <w:ind w:firstLine="640"/>
      </w:pPr>
      <w:r>
        <w:rPr>
          <w:rFonts w:hint="eastAsia"/>
        </w:rPr>
        <w:t>3</w:t>
      </w:r>
      <w:r>
        <w:t>.</w:t>
      </w:r>
      <w:r>
        <w:rPr>
          <w:rFonts w:hint="eastAsia"/>
        </w:rPr>
        <w:t>履职产出</w:t>
      </w:r>
    </w:p>
    <w:p>
      <w:pPr>
        <w:pStyle w:val="25"/>
        <w:ind w:firstLine="640"/>
      </w:pPr>
      <w:r>
        <w:rPr>
          <w:rFonts w:hint="eastAsia"/>
        </w:rPr>
        <w:t>（</w:t>
      </w:r>
      <w:r>
        <w:t>1</w:t>
      </w:r>
      <w:r>
        <w:rPr>
          <w:rFonts w:hint="eastAsia"/>
        </w:rPr>
        <w:t>）产出数量</w:t>
      </w:r>
    </w:p>
    <w:p>
      <w:pPr>
        <w:pStyle w:val="25"/>
        <w:ind w:firstLine="640"/>
      </w:pPr>
      <w:r>
        <w:rPr>
          <w:rFonts w:hint="eastAsia"/>
        </w:rPr>
        <w:t>①东西部扶贫协作管理工作完成情况：分值</w:t>
      </w:r>
      <w:r>
        <w:t>6</w:t>
      </w:r>
      <w:r>
        <w:rPr>
          <w:rFonts w:hint="eastAsia"/>
        </w:rPr>
        <w:t>分，得分</w:t>
      </w:r>
      <w:r>
        <w:t>4.5</w:t>
      </w:r>
      <w:r>
        <w:rPr>
          <w:rFonts w:hint="eastAsia"/>
        </w:rPr>
        <w:t>分，得分率</w:t>
      </w:r>
      <w:r>
        <w:t>75</w:t>
      </w:r>
      <w:r>
        <w:rPr>
          <w:rFonts w:hint="eastAsia"/>
        </w:rPr>
        <w:t>%。本指标通过部门实际完成的东西部扶贫协作管理工作任务内容与年度工作计划中东西部扶贫协作管理工作内容对比，反映东西部扶贫协作管理工作任务的完成情况。依据当年部门年度工作计划、年度工作总结、财务相关数据等资料，主要针对东西部协作和支援工作体系建设、接待对结县交流人员工作、赴对口地区交流工作、结对地区产品消费帮扶工作等方面进行评价。</w:t>
      </w:r>
      <w:r>
        <w:t>评价分析结果如下：</w:t>
      </w:r>
    </w:p>
    <w:p>
      <w:pPr>
        <w:pStyle w:val="25"/>
        <w:ind w:firstLine="640"/>
      </w:pPr>
      <w:r>
        <w:rPr>
          <w:rFonts w:hint="eastAsia"/>
        </w:rPr>
        <w:t>2</w:t>
      </w:r>
      <w:r>
        <w:t>022</w:t>
      </w:r>
      <w:r>
        <w:rPr>
          <w:rFonts w:hint="eastAsia"/>
        </w:rPr>
        <w:t>年度区政府合作交流办制定并印发了《和平区东西部协作和支援合作工作领导工作规则》，出台了一系列政策文件，完成了《和平区高质量推进东西部协作和支援合作</w:t>
      </w:r>
      <w:r>
        <w:t>2022年实施方案》及11个专项方案，明确了各专项工作组牵头单位责任清单，细化了94条任务指标，整体东西部协作和支援工作体系建设完成良好</w:t>
      </w:r>
      <w:r>
        <w:rPr>
          <w:rFonts w:hint="eastAsia"/>
        </w:rPr>
        <w:t>；</w:t>
      </w:r>
      <w:r>
        <w:t>当年区政府合作交流办开展了“东西部协作经费专项”与“东西部协作财政援助资金专项”，全年完成了接待甘肃结对县交流人员4批次，赴对口地区交流2次，完成1个消费帮扶馆建设，同时完善了“天津市消费帮扶服务平台”建设，</w:t>
      </w:r>
      <w:r>
        <w:rPr>
          <w:rFonts w:hint="eastAsia"/>
        </w:rPr>
        <w:t>各项工作基本达到预期目标，</w:t>
      </w:r>
      <w:r>
        <w:t>但接待对结县交流人员工作</w:t>
      </w:r>
      <w:r>
        <w:rPr>
          <w:rFonts w:hint="eastAsia"/>
        </w:rPr>
        <w:t>因受疫情影响，部分活动未开展，与年初目标产生偏离。按照评分标准要求，扣减</w:t>
      </w:r>
      <w:r>
        <w:t>1.5分</w:t>
      </w:r>
      <w:r>
        <w:rPr>
          <w:rFonts w:hint="eastAsia"/>
        </w:rPr>
        <w:t>，得4</w:t>
      </w:r>
      <w:r>
        <w:t>.5</w:t>
      </w:r>
      <w:r>
        <w:rPr>
          <w:rFonts w:hint="eastAsia"/>
        </w:rPr>
        <w:t>分</w:t>
      </w:r>
      <w:r>
        <w:t>。</w:t>
      </w:r>
    </w:p>
    <w:p>
      <w:pPr>
        <w:pStyle w:val="25"/>
        <w:ind w:firstLine="640"/>
      </w:pPr>
      <w:r>
        <w:rPr>
          <w:rFonts w:hint="eastAsia"/>
        </w:rPr>
        <w:t>②外事综合管理工作完成情况：分值</w:t>
      </w:r>
      <w:r>
        <w:t>6</w:t>
      </w:r>
      <w:r>
        <w:rPr>
          <w:rFonts w:hint="eastAsia"/>
        </w:rPr>
        <w:t>分，得分</w:t>
      </w:r>
      <w:r>
        <w:t>6</w:t>
      </w:r>
      <w:r>
        <w:rPr>
          <w:rFonts w:hint="eastAsia"/>
        </w:rPr>
        <w:t>分，得分率</w:t>
      </w:r>
      <w:r>
        <w:t>100</w:t>
      </w:r>
      <w:r>
        <w:rPr>
          <w:rFonts w:hint="eastAsia"/>
        </w:rPr>
        <w:t>%。本指标通过部门实际完成的外事综合管理工作任务内容与年度工作计划中外事综合管理工作内容对比，反映外事综合管理工作任务的完成情况。依据部门年度工作计划、年度工作总结、财务相关数据等资料，主要针对外事交流活动、助力企业邀请外国人来华工作、涉外疫情防控工作等方面进行评价。</w:t>
      </w:r>
      <w:r>
        <w:t>评价分析结果如下：</w:t>
      </w:r>
    </w:p>
    <w:p>
      <w:pPr>
        <w:pStyle w:val="25"/>
        <w:ind w:firstLine="640"/>
      </w:pPr>
      <w:r>
        <w:rPr>
          <w:rFonts w:hint="eastAsia"/>
        </w:rPr>
        <w:t>区政府合作交流办当年完成了“身边的国际社会”感知天津活动、讲好和平故事等对外交流活动，对外交流活动工作已达预期目标；</w:t>
      </w:r>
      <w:r>
        <w:t>2022年度区政府合作交流办已按照《关于现阶段邀请外国人员来津管理工作流程》和《企业申请员工入境有关程序》办理相关审批手续，全年共办结企业邀请外国人来华11家12次37人，助力企业邀请外国人来华工作已达预期目标；2022年度区政府合作交流办已完成非内地人员首剂接种900余人次，承接入境隔离航班23班，转运入境隔离人员3474人，承接境内转运任务6608批次，已完成涉外疫情防控工作预期目标。</w:t>
      </w:r>
      <w:r>
        <w:rPr>
          <w:rFonts w:hint="eastAsia"/>
        </w:rPr>
        <w:t>按照评分标准要求，得6分</w:t>
      </w:r>
      <w:r>
        <w:t>。</w:t>
      </w:r>
    </w:p>
    <w:p>
      <w:pPr>
        <w:pStyle w:val="25"/>
        <w:ind w:firstLine="640"/>
      </w:pPr>
      <w:r>
        <w:rPr>
          <w:rFonts w:hint="eastAsia"/>
        </w:rPr>
        <w:t>（</w:t>
      </w:r>
      <w:r>
        <w:t>2</w:t>
      </w:r>
      <w:r>
        <w:rPr>
          <w:rFonts w:hint="eastAsia"/>
        </w:rPr>
        <w:t>）产出质量</w:t>
      </w:r>
    </w:p>
    <w:p>
      <w:pPr>
        <w:pStyle w:val="25"/>
        <w:ind w:firstLine="640"/>
      </w:pPr>
      <w:r>
        <w:rPr>
          <w:rFonts w:hint="eastAsia"/>
        </w:rPr>
        <w:t>①东西部扶贫协作管理工作完成质量情况：分值</w:t>
      </w:r>
      <w:r>
        <w:t>6</w:t>
      </w:r>
      <w:r>
        <w:rPr>
          <w:rFonts w:hint="eastAsia"/>
        </w:rPr>
        <w:t>分，得分</w:t>
      </w:r>
      <w:r>
        <w:t>6</w:t>
      </w:r>
      <w:r>
        <w:rPr>
          <w:rFonts w:hint="eastAsia"/>
        </w:rPr>
        <w:t>分，得分率</w:t>
      </w:r>
      <w:r>
        <w:t>100</w:t>
      </w:r>
      <w:r>
        <w:rPr>
          <w:rFonts w:hint="eastAsia"/>
        </w:rPr>
        <w:t>%。本指标通过部门（单位）实际完成的东西部扶贫协作管理工作任务内容的质量与年度工作计划、相关工作要求的对比，反映东西部扶贫协作管理工作任务完成的质量情况。依据部门年度工作计划、年度工作总结、财务相关数据等资料进行评价，</w:t>
      </w:r>
      <w:r>
        <w:t>评价分析结果如下：</w:t>
      </w:r>
    </w:p>
    <w:p>
      <w:pPr>
        <w:pStyle w:val="25"/>
        <w:ind w:firstLine="640"/>
      </w:pPr>
      <w:r>
        <w:rPr>
          <w:rFonts w:hint="eastAsia"/>
        </w:rPr>
        <w:t>区政府合作交流办东西部协作和支援工作体系建设符合当年实际人事变动及工作需求，符合中央和市委部署的东西部协作和支援合作工作要求；已完成的接待对结县交流人员工作严格按照相关政策文件要求执行；当年赴对口地区交流工作涉及人才支援、产业支持、就业帮扶、教育帮扶、健康卫生帮扶、法治教育与法律服务帮扶等方面，帮扶涉及面覆盖率高；依据当年东西部协作和支援合作工作方案，</w:t>
      </w:r>
      <w:r>
        <w:t>2022年度消费帮扶完成2.61亿元，完成任务指标426.7%，社会力量捐款捐物完成任务指标129.21%。</w:t>
      </w:r>
      <w:r>
        <w:rPr>
          <w:rFonts w:hint="eastAsia"/>
        </w:rPr>
        <w:t>按照评分标准要求，得6分</w:t>
      </w:r>
      <w:r>
        <w:t>。</w:t>
      </w:r>
    </w:p>
    <w:p>
      <w:pPr>
        <w:pStyle w:val="25"/>
        <w:ind w:firstLine="640"/>
      </w:pPr>
      <w:r>
        <w:rPr>
          <w:rFonts w:hint="eastAsia"/>
        </w:rPr>
        <w:t>②外事综合管理工作完成质量情况：分值</w:t>
      </w:r>
      <w:r>
        <w:t>6</w:t>
      </w:r>
      <w:r>
        <w:rPr>
          <w:rFonts w:hint="eastAsia"/>
        </w:rPr>
        <w:t>分，得分</w:t>
      </w:r>
      <w:r>
        <w:t>6</w:t>
      </w:r>
      <w:r>
        <w:rPr>
          <w:rFonts w:hint="eastAsia"/>
        </w:rPr>
        <w:t>分，得分率</w:t>
      </w:r>
      <w:r>
        <w:t>100</w:t>
      </w:r>
      <w:r>
        <w:rPr>
          <w:rFonts w:hint="eastAsia"/>
        </w:rPr>
        <w:t>%。本指标通过部门实际完成的外事综合管理工作任务内容的质量与年度工作计划、相关工作要求的对比，反映外事综合管理工作任务完成的质量情况。依据部门当年年度工作计划、年度工作总结、财务相关数据等资料进行评价，</w:t>
      </w:r>
      <w:r>
        <w:t>评价分析结果如下：</w:t>
      </w:r>
    </w:p>
    <w:p>
      <w:pPr>
        <w:pStyle w:val="25"/>
        <w:ind w:firstLine="640"/>
      </w:pPr>
      <w:r>
        <w:rPr>
          <w:rFonts w:hint="eastAsia"/>
        </w:rPr>
        <w:t>区政府合作交流办当年对外交流活动开展工作符合中央和市、区委外事工作委员会的各项部署要求，各项外事交流活动圆满完成；当年完成办结的企业邀请外国人来华工作相关办理审批手续与《关于现阶段邀请外国人员来津管理工作流程》和《企业申请员工入境有关程序》要求一致，各节点单据齐全，办结规范；当年涉外疫情防控工作符合区委、区政府部署要求，隔离转运车辆、接驳队员管理、消杀制度等疫情防控措施已保障到位；已完成外籍及港澳人士新冠病毒疫苗接种工作，非内地人员首剂接种覆盖全面。按照评分标准要求，得6分</w:t>
      </w:r>
      <w:r>
        <w:t>。</w:t>
      </w:r>
    </w:p>
    <w:p>
      <w:pPr>
        <w:pStyle w:val="25"/>
        <w:ind w:firstLine="640"/>
      </w:pPr>
      <w:r>
        <w:rPr>
          <w:rFonts w:hint="eastAsia"/>
        </w:rPr>
        <w:t>（</w:t>
      </w:r>
      <w:r>
        <w:t>3</w:t>
      </w:r>
      <w:r>
        <w:rPr>
          <w:rFonts w:hint="eastAsia"/>
        </w:rPr>
        <w:t>）产出进度</w:t>
      </w:r>
    </w:p>
    <w:p>
      <w:pPr>
        <w:pStyle w:val="25"/>
        <w:ind w:firstLine="640"/>
      </w:pPr>
      <w:r>
        <w:rPr>
          <w:rFonts w:hint="eastAsia"/>
        </w:rPr>
        <w:t>①东西部扶贫协作管理工作完成及时情况：分值</w:t>
      </w:r>
      <w:r>
        <w:t>2</w:t>
      </w:r>
      <w:r>
        <w:rPr>
          <w:rFonts w:hint="eastAsia"/>
        </w:rPr>
        <w:t>分，得分</w:t>
      </w:r>
      <w:r>
        <w:t>2</w:t>
      </w:r>
      <w:r>
        <w:rPr>
          <w:rFonts w:hint="eastAsia"/>
        </w:rPr>
        <w:t>分，得分率</w:t>
      </w:r>
      <w:r>
        <w:t>100</w:t>
      </w:r>
      <w:r>
        <w:rPr>
          <w:rFonts w:hint="eastAsia"/>
        </w:rPr>
        <w:t>%。本指标通过部门实际完成时间与计划完成时间或规定完成时间比对，反映东西部扶贫协作管理工作完成的及时程度。依据部门提供的当年东西部协作和支援合作实施方案、当年工作总结、相关项目立项文件等相关材料，东西部协作和支援工作体系建设、接待对结县交流人员工作、赴对口地区交流工作、结对地区产品消费帮扶工作均按计划执行完毕，东西部扶贫协作管理工作整体完成及时率为</w:t>
      </w:r>
      <w:r>
        <w:t>100%。</w:t>
      </w:r>
      <w:r>
        <w:rPr>
          <w:rFonts w:hint="eastAsia"/>
        </w:rPr>
        <w:t>按照评分标准要求，得</w:t>
      </w:r>
      <w:r>
        <w:t>2</w:t>
      </w:r>
      <w:r>
        <w:rPr>
          <w:rFonts w:hint="eastAsia"/>
        </w:rPr>
        <w:t>分</w:t>
      </w:r>
      <w:r>
        <w:t>。</w:t>
      </w:r>
    </w:p>
    <w:p>
      <w:pPr>
        <w:pStyle w:val="25"/>
        <w:ind w:firstLine="640"/>
      </w:pPr>
      <w:r>
        <w:rPr>
          <w:rFonts w:hint="eastAsia"/>
        </w:rPr>
        <w:t>②外事综合管理工作完成及时情况：分值2分，得分</w:t>
      </w:r>
      <w:r>
        <w:t>2</w:t>
      </w:r>
      <w:r>
        <w:rPr>
          <w:rFonts w:hint="eastAsia"/>
        </w:rPr>
        <w:t>分，得分率</w:t>
      </w:r>
      <w:r>
        <w:t>100</w:t>
      </w:r>
      <w:r>
        <w:rPr>
          <w:rFonts w:hint="eastAsia"/>
        </w:rPr>
        <w:t>%。本指标通过部门实际完成时间与计划完成时间或规定完成时间比对，反映外事综合管理工作完成的及时程度。依据部门提供的外事交流活动实施方案、当年工作总结、相关项目立项文件等相关材料，对外交流活动、助力企业邀请外国人来华工作、涉外疫情防控工作均按计划执行完毕，外事综合管理工作整体完成及时率为</w:t>
      </w:r>
      <w:r>
        <w:t>100%。</w:t>
      </w:r>
      <w:r>
        <w:rPr>
          <w:rFonts w:hint="eastAsia"/>
        </w:rPr>
        <w:t>按照评分标准要求，得</w:t>
      </w:r>
      <w:r>
        <w:t>2</w:t>
      </w:r>
      <w:r>
        <w:rPr>
          <w:rFonts w:hint="eastAsia"/>
        </w:rPr>
        <w:t>分</w:t>
      </w:r>
      <w:r>
        <w:t>。</w:t>
      </w:r>
    </w:p>
    <w:p>
      <w:pPr>
        <w:pStyle w:val="25"/>
        <w:ind w:firstLine="640"/>
      </w:pPr>
      <w:r>
        <w:rPr>
          <w:rFonts w:hint="eastAsia"/>
        </w:rPr>
        <w:t>（</w:t>
      </w:r>
      <w:r>
        <w:t>4</w:t>
      </w:r>
      <w:r>
        <w:rPr>
          <w:rFonts w:hint="eastAsia"/>
        </w:rPr>
        <w:t>）产出成本</w:t>
      </w:r>
    </w:p>
    <w:p>
      <w:pPr>
        <w:pStyle w:val="25"/>
        <w:ind w:firstLine="640"/>
      </w:pPr>
      <w:r>
        <w:rPr>
          <w:rFonts w:hint="eastAsia"/>
        </w:rPr>
        <w:t>①成本控制措施有效性：分值</w:t>
      </w:r>
      <w:r>
        <w:t>3</w:t>
      </w:r>
      <w:r>
        <w:rPr>
          <w:rFonts w:hint="eastAsia"/>
        </w:rPr>
        <w:t>分，得分</w:t>
      </w:r>
      <w:r>
        <w:t>3</w:t>
      </w:r>
      <w:r>
        <w:rPr>
          <w:rFonts w:hint="eastAsia"/>
        </w:rPr>
        <w:t>分，得分率</w:t>
      </w:r>
      <w:r>
        <w:t>100</w:t>
      </w:r>
      <w:r>
        <w:rPr>
          <w:rFonts w:hint="eastAsia"/>
        </w:rPr>
        <w:t>%。依据部门成本控制措施制定情况进行评分，主要针对部门对日常工作经费成本控制措施的保障情况进行评价。评价结果分析显示，区政府合作交流办已制定厉行节约措施，包括精准编制支出预算、压减一般性支出、压减办公成本、压减“三公”经费支出等，保障了日常工作经费成本控制情况，当年部门公用经费支出比上年减少</w:t>
      </w:r>
      <w:r>
        <w:t>31.71%，“三公”经费支出比上年减少81.18%，成本控制措施有效。</w:t>
      </w:r>
      <w:r>
        <w:rPr>
          <w:rFonts w:hint="eastAsia"/>
        </w:rPr>
        <w:t>按照评分标准要求，得</w:t>
      </w:r>
      <w:r>
        <w:t>3</w:t>
      </w:r>
      <w:r>
        <w:rPr>
          <w:rFonts w:hint="eastAsia"/>
        </w:rPr>
        <w:t>分</w:t>
      </w:r>
      <w:r>
        <w:t>。</w:t>
      </w:r>
    </w:p>
    <w:p>
      <w:pPr>
        <w:pStyle w:val="25"/>
        <w:ind w:firstLine="640"/>
      </w:pPr>
      <w:r>
        <w:rPr>
          <w:rFonts w:hint="eastAsia"/>
        </w:rPr>
        <w:t>②成本控制措施执行情况：分值</w:t>
      </w:r>
      <w:r>
        <w:t>3</w:t>
      </w:r>
      <w:r>
        <w:rPr>
          <w:rFonts w:hint="eastAsia"/>
        </w:rPr>
        <w:t>分，得分</w:t>
      </w:r>
      <w:r>
        <w:t>3</w:t>
      </w:r>
      <w:r>
        <w:rPr>
          <w:rFonts w:hint="eastAsia"/>
        </w:rPr>
        <w:t>分，得分率</w:t>
      </w:r>
      <w:r>
        <w:t>100</w:t>
      </w:r>
      <w:r>
        <w:rPr>
          <w:rFonts w:hint="eastAsia"/>
        </w:rPr>
        <w:t>%。依据部门成本控制措施执行情况进行评分，主要针对部门对日常工作经费成本控制措施的执行情况进行评价。评价结果分析显示，区政府合作交流办按照《天津市和平区人民政府合作交流办公室财务管理制度》执行，秉持勤俭节约原则，减少不必要开支。通过对比同类型的其他单位，区政府合作交流办收支处于正常水平，当年部门公用经费控制率为</w:t>
      </w:r>
      <w:r>
        <w:t>63.8%，“三公”经费控制率为18.43%，成本控制措施执行情况良好。</w:t>
      </w:r>
      <w:r>
        <w:rPr>
          <w:rFonts w:hint="eastAsia"/>
        </w:rPr>
        <w:t>按照评分标准要求，得</w:t>
      </w:r>
      <w:r>
        <w:t>3</w:t>
      </w:r>
      <w:r>
        <w:rPr>
          <w:rFonts w:hint="eastAsia"/>
        </w:rPr>
        <w:t>分</w:t>
      </w:r>
      <w:r>
        <w:t>。</w:t>
      </w:r>
    </w:p>
    <w:p>
      <w:pPr>
        <w:pStyle w:val="25"/>
        <w:ind w:firstLine="640"/>
      </w:pPr>
      <w:r>
        <w:rPr>
          <w:rFonts w:hint="eastAsia"/>
        </w:rPr>
        <w:t>4.履职效益</w:t>
      </w:r>
    </w:p>
    <w:p>
      <w:pPr>
        <w:pStyle w:val="25"/>
        <w:ind w:firstLine="640"/>
      </w:pPr>
      <w:r>
        <w:rPr>
          <w:rFonts w:hint="eastAsia"/>
        </w:rPr>
        <w:t>（1）经济效益</w:t>
      </w:r>
    </w:p>
    <w:p>
      <w:pPr>
        <w:pStyle w:val="25"/>
        <w:ind w:firstLine="640"/>
      </w:pPr>
      <w:r>
        <w:rPr>
          <w:rFonts w:hint="eastAsia"/>
        </w:rPr>
        <w:t>消费帮扶金额同期增长情况：分值</w:t>
      </w:r>
      <w:r>
        <w:t>5</w:t>
      </w:r>
      <w:r>
        <w:rPr>
          <w:rFonts w:hint="eastAsia"/>
        </w:rPr>
        <w:t>分，得分</w:t>
      </w:r>
      <w:r>
        <w:t>5</w:t>
      </w:r>
      <w:r>
        <w:rPr>
          <w:rFonts w:hint="eastAsia"/>
        </w:rPr>
        <w:t>分，得分率</w:t>
      </w:r>
      <w:r>
        <w:t>100</w:t>
      </w:r>
      <w:r>
        <w:rPr>
          <w:rFonts w:hint="eastAsia"/>
        </w:rPr>
        <w:t>%。本指标通过部门当年实际消费帮扶金额数与往年同期消费帮扶金额对比，反映东西部扶贫协作管理工作对帮扶地区经济的拉动情况。</w:t>
      </w:r>
      <w:r>
        <w:rPr>
          <w:rFonts w:hint="eastAsia" w:cs="仿宋_GB2312"/>
        </w:rPr>
        <w:t>评价结果分析显示，</w:t>
      </w:r>
      <w:r>
        <w:t>2022年度区政府合作交流办完成消费帮扶资金2.61亿元，完成任务指标426.7%，上年同期完成消费帮扶金额2.23亿元，完成任务指标365%，消费帮扶金额同期增长率为17.04%，任务指标完成增长61.7%，有效拉动帮扶地区经济发展水平。</w:t>
      </w:r>
      <w:r>
        <w:rPr>
          <w:rFonts w:hint="eastAsia" w:cs="仿宋_GB2312"/>
        </w:rPr>
        <w:t>按照评分标准要求，得</w:t>
      </w:r>
      <w:r>
        <w:rPr>
          <w:rFonts w:cs="仿宋_GB2312"/>
        </w:rPr>
        <w:t>5</w:t>
      </w:r>
      <w:r>
        <w:rPr>
          <w:rFonts w:hint="eastAsia" w:cs="仿宋_GB2312"/>
        </w:rPr>
        <w:t>分。</w:t>
      </w:r>
    </w:p>
    <w:p>
      <w:pPr>
        <w:pStyle w:val="25"/>
        <w:ind w:firstLine="640"/>
      </w:pPr>
      <w:r>
        <w:rPr>
          <w:rFonts w:hint="eastAsia"/>
        </w:rPr>
        <w:t>（2）社会效益</w:t>
      </w:r>
    </w:p>
    <w:p>
      <w:pPr>
        <w:pStyle w:val="25"/>
        <w:ind w:firstLine="640"/>
      </w:pPr>
      <w:r>
        <w:rPr>
          <w:rFonts w:hint="eastAsia"/>
        </w:rPr>
        <w:t>①就业帮扶人数增长情况：分值</w:t>
      </w:r>
      <w:r>
        <w:t>5</w:t>
      </w:r>
      <w:r>
        <w:rPr>
          <w:rFonts w:hint="eastAsia"/>
        </w:rPr>
        <w:t>分，得分</w:t>
      </w:r>
      <w:r>
        <w:t>5</w:t>
      </w:r>
      <w:r>
        <w:rPr>
          <w:rFonts w:hint="eastAsia"/>
        </w:rPr>
        <w:t>分，得分率</w:t>
      </w:r>
      <w:r>
        <w:t>100</w:t>
      </w:r>
      <w:r>
        <w:rPr>
          <w:rFonts w:hint="eastAsia"/>
        </w:rPr>
        <w:t>%。本指标通过部门当年实际就业帮扶人数与往年同期对比，反映东西部扶贫协作管理工作对帮扶地区就业的拉动情况。</w:t>
      </w:r>
      <w:r>
        <w:rPr>
          <w:rFonts w:hint="eastAsia" w:cs="仿宋_GB2312"/>
        </w:rPr>
        <w:t>评价结果分析显示，</w:t>
      </w:r>
      <w:r>
        <w:rPr>
          <w:rFonts w:cs="仿宋_GB2312"/>
        </w:rPr>
        <w:t>2022年度区政府合作交流办完成农村劳动力转移就业5946人，其中脱贫人口5645人，同时援建帮扶车间118个，吸纳农村劳动力就业2722人，其中脱贫人口1945人。上年同期帮助农村劳动力就业6350人，其中脱贫人口5717人。就业帮扶人数同期增长36.5%，脱贫人口数量同期增长32.76%，有效拉动帮扶地区就业情况，有效推动帮扶地区共同富裕。</w:t>
      </w:r>
      <w:r>
        <w:rPr>
          <w:rFonts w:hint="eastAsia" w:cs="仿宋_GB2312"/>
        </w:rPr>
        <w:t>按照评分标准要求，得</w:t>
      </w:r>
      <w:r>
        <w:rPr>
          <w:rFonts w:cs="仿宋_GB2312"/>
        </w:rPr>
        <w:t>5</w:t>
      </w:r>
      <w:r>
        <w:rPr>
          <w:rFonts w:hint="eastAsia" w:cs="仿宋_GB2312"/>
        </w:rPr>
        <w:t>分。</w:t>
      </w:r>
    </w:p>
    <w:p>
      <w:pPr>
        <w:pStyle w:val="25"/>
        <w:ind w:firstLine="640"/>
        <w:rPr>
          <w:rFonts w:cs="仿宋_GB2312"/>
        </w:rPr>
      </w:pPr>
      <w:r>
        <w:rPr>
          <w:rFonts w:hint="eastAsia"/>
        </w:rPr>
        <w:t>②人才支援人数增长情况：分值</w:t>
      </w:r>
      <w:r>
        <w:t>5</w:t>
      </w:r>
      <w:r>
        <w:rPr>
          <w:rFonts w:hint="eastAsia"/>
        </w:rPr>
        <w:t>分，得分2</w:t>
      </w:r>
      <w:r>
        <w:t>.5</w:t>
      </w:r>
      <w:r>
        <w:rPr>
          <w:rFonts w:hint="eastAsia"/>
        </w:rPr>
        <w:t>分，得分率</w:t>
      </w:r>
      <w:r>
        <w:t>50</w:t>
      </w:r>
      <w:r>
        <w:rPr>
          <w:rFonts w:hint="eastAsia"/>
        </w:rPr>
        <w:t>%。本指标通过部门当年实际人才支援人数与往年同期对比，反映东西部扶贫协作管理工作对帮扶地区人才的支援情况。</w:t>
      </w:r>
      <w:r>
        <w:rPr>
          <w:rFonts w:hint="eastAsia" w:cs="仿宋_GB2312"/>
        </w:rPr>
        <w:t>评价结果分析显示，</w:t>
      </w:r>
      <w:r>
        <w:rPr>
          <w:rFonts w:cs="仿宋_GB2312"/>
        </w:rPr>
        <w:t>2022年度区政府合作交流办援派党政干部15名，完成任务指标100%，援派专业技术人才53名，完成任务指标63%。上年同期援派党政干部9名，完成任务指标100%，援派专业技术人才90名，完成任务指标107%。党政干部人才支援人数增长66.67%，但专业技术人才支援人数未完成2022年度任务指标，且较上年同期支援人数下降41.11%。</w:t>
      </w:r>
      <w:r>
        <w:rPr>
          <w:rFonts w:hint="eastAsia" w:cs="仿宋_GB2312"/>
        </w:rPr>
        <w:t>按照评分标准要求，扣减2</w:t>
      </w:r>
      <w:r>
        <w:rPr>
          <w:rFonts w:cs="仿宋_GB2312"/>
        </w:rPr>
        <w:t>.5</w:t>
      </w:r>
      <w:r>
        <w:rPr>
          <w:rFonts w:hint="eastAsia" w:cs="仿宋_GB2312"/>
        </w:rPr>
        <w:t>分，得2</w:t>
      </w:r>
      <w:r>
        <w:rPr>
          <w:rFonts w:cs="仿宋_GB2312"/>
        </w:rPr>
        <w:t>.5</w:t>
      </w:r>
      <w:r>
        <w:rPr>
          <w:rFonts w:hint="eastAsia" w:cs="仿宋_GB2312"/>
        </w:rPr>
        <w:t>分。</w:t>
      </w:r>
    </w:p>
    <w:p>
      <w:pPr>
        <w:pStyle w:val="25"/>
        <w:ind w:firstLine="640"/>
      </w:pPr>
      <w:r>
        <w:rPr>
          <w:rFonts w:hint="eastAsia"/>
        </w:rPr>
        <w:t>③企业邀请外国人来华工作办结情况：分值</w:t>
      </w:r>
      <w:r>
        <w:t>5</w:t>
      </w:r>
      <w:r>
        <w:rPr>
          <w:rFonts w:hint="eastAsia"/>
        </w:rPr>
        <w:t>分，得分</w:t>
      </w:r>
      <w:r>
        <w:t>5</w:t>
      </w:r>
      <w:r>
        <w:rPr>
          <w:rFonts w:hint="eastAsia"/>
        </w:rPr>
        <w:t>分，得分率</w:t>
      </w:r>
      <w:r>
        <w:t>100</w:t>
      </w:r>
      <w:r>
        <w:rPr>
          <w:rFonts w:hint="eastAsia"/>
        </w:rPr>
        <w:t>%。本指标通过部门当年实际完成企业邀请外国人来华工作办结数与需办结数对比，反映外事综合管理工作水平的提升情况。</w:t>
      </w:r>
      <w:r>
        <w:rPr>
          <w:rFonts w:hint="eastAsia" w:cs="仿宋_GB2312"/>
        </w:rPr>
        <w:t>评价结果分析显示，</w:t>
      </w:r>
      <w:r>
        <w:rPr>
          <w:rFonts w:cs="仿宋_GB2312"/>
        </w:rPr>
        <w:t>2022年度区政府合作交流办共办结企业邀请外国人来华11家12次37人，依据部门提供相关资料，当年申请办理企业数量共11家涉及37人，当年已全部</w:t>
      </w:r>
      <w:r>
        <w:rPr>
          <w:rFonts w:hint="eastAsia" w:cs="仿宋_GB2312"/>
          <w:lang w:eastAsia="zh-CN"/>
        </w:rPr>
        <w:t>办结</w:t>
      </w:r>
      <w:r>
        <w:rPr>
          <w:rFonts w:cs="仿宋_GB2312"/>
        </w:rPr>
        <w:t>，企业邀请外国人来华工作办结率达100%</w:t>
      </w:r>
      <w:r>
        <w:rPr>
          <w:rFonts w:hint="eastAsia" w:cs="仿宋_GB2312"/>
        </w:rPr>
        <w:t>，有效提升外事综合管理工作水平。按照评分标准要求，得</w:t>
      </w:r>
      <w:r>
        <w:rPr>
          <w:rFonts w:cs="仿宋_GB2312"/>
        </w:rPr>
        <w:t>5</w:t>
      </w:r>
      <w:r>
        <w:rPr>
          <w:rFonts w:hint="eastAsia" w:cs="仿宋_GB2312"/>
        </w:rPr>
        <w:t>分。</w:t>
      </w:r>
    </w:p>
    <w:p>
      <w:pPr>
        <w:pStyle w:val="25"/>
        <w:ind w:firstLine="640"/>
      </w:pPr>
      <w:r>
        <w:rPr>
          <w:rFonts w:hint="eastAsia"/>
        </w:rPr>
        <w:t>5</w:t>
      </w:r>
      <w:r>
        <w:t>.</w:t>
      </w:r>
      <w:r>
        <w:rPr>
          <w:rFonts w:hint="eastAsia"/>
        </w:rPr>
        <w:t>履职满意度</w:t>
      </w:r>
    </w:p>
    <w:p>
      <w:pPr>
        <w:pStyle w:val="25"/>
        <w:ind w:firstLine="640"/>
      </w:pPr>
      <w:r>
        <w:rPr>
          <w:rFonts w:hint="eastAsia"/>
        </w:rPr>
        <w:t>服务对象满意度</w:t>
      </w:r>
    </w:p>
    <w:p>
      <w:pPr>
        <w:pStyle w:val="25"/>
        <w:ind w:firstLine="640"/>
      </w:pPr>
      <w:r>
        <w:rPr>
          <w:rFonts w:hint="eastAsia"/>
        </w:rPr>
        <w:t>绩效公众评议满意度：分值</w:t>
      </w:r>
      <w:r>
        <w:t>6</w:t>
      </w:r>
      <w:r>
        <w:rPr>
          <w:rFonts w:hint="eastAsia"/>
        </w:rPr>
        <w:t>分，得分</w:t>
      </w:r>
      <w:r>
        <w:t>6</w:t>
      </w:r>
      <w:r>
        <w:rPr>
          <w:rFonts w:hint="eastAsia"/>
        </w:rPr>
        <w:t>分，得分率</w:t>
      </w:r>
      <w:r>
        <w:t>100</w:t>
      </w:r>
      <w:r>
        <w:rPr>
          <w:rFonts w:hint="eastAsia"/>
        </w:rPr>
        <w:t>%。</w:t>
      </w:r>
      <w:r>
        <w:t>本次满意度调查人群为</w:t>
      </w:r>
      <w:r>
        <w:rPr>
          <w:rFonts w:hint="eastAsia"/>
        </w:rPr>
        <w:t>帮扶单位及外事接待人员，</w:t>
      </w:r>
      <w:r>
        <w:t>评价组对该人群进行随机满意度调查，</w:t>
      </w:r>
      <w:r>
        <w:rPr>
          <w:rFonts w:hint="eastAsia"/>
        </w:rPr>
        <w:t>帮扶单位及外事接待人员满意度调查共</w:t>
      </w:r>
      <w:r>
        <w:t>10人次，主要针对政策力度、帮扶效果、外事服务等方面，涉及满意度问题5项，根据调查结果显示满意度为100%。按照评分标准要求，得6分。</w:t>
      </w:r>
    </w:p>
    <w:p>
      <w:pPr>
        <w:pStyle w:val="27"/>
      </w:pPr>
      <w:bookmarkStart w:id="55" w:name="_Toc142399179"/>
      <w:r>
        <w:rPr>
          <w:rFonts w:hint="eastAsia"/>
        </w:rPr>
        <w:t>四、存在问题</w:t>
      </w:r>
      <w:bookmarkEnd w:id="55"/>
    </w:p>
    <w:p>
      <w:pPr>
        <w:pStyle w:val="29"/>
        <w:ind w:firstLine="640"/>
        <w:rPr>
          <w:rFonts w:ascii="Times New Roman" w:hAnsi="Times New Roman"/>
        </w:rPr>
      </w:pPr>
      <w:bookmarkStart w:id="56" w:name="_Toc120143633"/>
      <w:bookmarkStart w:id="57" w:name="_Toc142399180"/>
      <w:r>
        <w:rPr>
          <w:rFonts w:hint="eastAsia" w:ascii="Times New Roman" w:hAnsi="Times New Roman"/>
        </w:rPr>
        <w:t>（一）</w:t>
      </w:r>
      <w:bookmarkEnd w:id="56"/>
      <w:r>
        <w:rPr>
          <w:rFonts w:hint="eastAsia" w:ascii="Times New Roman" w:hAnsi="Times New Roman"/>
        </w:rPr>
        <w:t>部门绩效工作管理力度有待提高</w:t>
      </w:r>
      <w:bookmarkEnd w:id="57"/>
    </w:p>
    <w:p>
      <w:pPr>
        <w:pStyle w:val="25"/>
        <w:ind w:firstLine="640"/>
      </w:pPr>
      <w:r>
        <w:rPr>
          <w:rFonts w:hint="eastAsia"/>
        </w:rPr>
        <w:t>一是部门制定的整体支出绩效目标存在指标内容不全面、设置不清晰的问题。如数量指标缺少“人才支援、劳务协作、产业合作”等工作方面的指标；质量指标缺少编外人员、物业补贴、综合业务费方面的指标制定；时效指标“日常工作完成率”不可衡量日常工作是否完成及时；“预算执行率”不属于成本指标，不能清晰反映部门成本控制情况。二是部门</w:t>
      </w:r>
      <w:r>
        <w:t>年度总体绩效目标制定内容与年度主要任务内容不匹配</w:t>
      </w:r>
      <w:r>
        <w:rPr>
          <w:rFonts w:hint="eastAsia"/>
        </w:rPr>
        <w:t>。年度主要任务共设置</w:t>
      </w:r>
      <w:r>
        <w:t>4条，</w:t>
      </w:r>
      <w:r>
        <w:rPr>
          <w:rFonts w:hint="eastAsia"/>
        </w:rPr>
        <w:t>但</w:t>
      </w:r>
      <w:r>
        <w:t>年度绩效</w:t>
      </w:r>
      <w:r>
        <w:rPr>
          <w:rFonts w:hint="eastAsia"/>
        </w:rPr>
        <w:t>目标</w:t>
      </w:r>
      <w:r>
        <w:t>设置3条</w:t>
      </w:r>
      <w:r>
        <w:rPr>
          <w:rFonts w:hint="eastAsia"/>
        </w:rPr>
        <w:t>。三是部门绩效管理机构和制度建设不完善。《和平区预算绩效管理办法》（津和财〔</w:t>
      </w:r>
      <w:r>
        <w:t>2020〕61号）文件第</w:t>
      </w:r>
      <w:r>
        <w:rPr>
          <w:rFonts w:hint="eastAsia"/>
        </w:rPr>
        <w:t>六</w:t>
      </w:r>
      <w:r>
        <w:t>条</w:t>
      </w:r>
      <w:r>
        <w:rPr>
          <w:rFonts w:hint="eastAsia"/>
          <w:lang w:val="en-US" w:eastAsia="zh-CN"/>
        </w:rPr>
        <w:t>明确规定</w:t>
      </w:r>
      <w:r>
        <w:t>“</w:t>
      </w:r>
      <w:r>
        <w:rPr>
          <w:rFonts w:hint="eastAsia"/>
        </w:rPr>
        <w:t>区级预算单位职责：研究制定本部门预算绩效管理具体办法、操作细则、业务规范等</w:t>
      </w:r>
      <w:r>
        <w:t>”</w:t>
      </w:r>
      <w:r>
        <w:rPr>
          <w:rFonts w:hint="eastAsia"/>
        </w:rPr>
        <w:t>，</w:t>
      </w:r>
      <w:r>
        <w:rPr>
          <w:rFonts w:hint="eastAsia"/>
          <w:lang w:val="en-US" w:eastAsia="zh-CN"/>
        </w:rPr>
        <w:t>但</w:t>
      </w:r>
      <w:r>
        <w:rPr>
          <w:rFonts w:hint="eastAsia"/>
        </w:rPr>
        <w:t>部门未成立绩效管理领导小组，未建立全过程预算绩效管理相关制度及绩效指标库，</w:t>
      </w:r>
      <w:r>
        <w:rPr>
          <w:rFonts w:hint="eastAsia"/>
          <w:bCs/>
        </w:rPr>
        <w:t>并且未对部门预算指标和绩效目标的实现情况进行定期的分析总结，对于绩效目标偏离情况暂未制定相关矫正管理办法，绩效实施跟踪工作落实情况有待加强，</w:t>
      </w:r>
      <w:r>
        <w:rPr>
          <w:rFonts w:hint="eastAsia"/>
        </w:rPr>
        <w:t>不利于发挥绩效管理对预算编制执行的引导约束和控制作用。四是部门绩效目标和预算资金不匹配。部门整体支出绩效目标表中的预算金额为</w:t>
      </w:r>
      <w:r>
        <w:t>347.98万元</w:t>
      </w:r>
      <w:r>
        <w:rPr>
          <w:rFonts w:hint="eastAsia"/>
        </w:rPr>
        <w:t>，但年初预算批复中预算金额为</w:t>
      </w:r>
      <w:r>
        <w:t>348.3万元</w:t>
      </w:r>
      <w:r>
        <w:rPr>
          <w:rFonts w:hint="eastAsia"/>
        </w:rPr>
        <w:t>，且依据部门</w:t>
      </w:r>
      <w:r>
        <w:t>2022年度</w:t>
      </w:r>
      <w:r>
        <w:rPr>
          <w:rFonts w:hint="eastAsia"/>
        </w:rPr>
        <w:t>决算数据，其</w:t>
      </w:r>
      <w:r>
        <w:t>预算调整后金额</w:t>
      </w:r>
      <w:r>
        <w:rPr>
          <w:rFonts w:hint="eastAsia"/>
        </w:rPr>
        <w:t>与全年支出金额均</w:t>
      </w:r>
      <w:r>
        <w:t>为1366.2万元</w:t>
      </w:r>
      <w:r>
        <w:rPr>
          <w:rFonts w:hint="eastAsia"/>
        </w:rPr>
        <w:t>，部门整体支出绩效目标中的资金不满足部门整体工作任务的完成。</w:t>
      </w:r>
    </w:p>
    <w:p>
      <w:pPr>
        <w:pStyle w:val="29"/>
        <w:ind w:firstLine="640"/>
        <w:rPr>
          <w:rFonts w:ascii="Times New Roman" w:hAnsi="Times New Roman"/>
        </w:rPr>
      </w:pPr>
      <w:bookmarkStart w:id="58" w:name="_Toc142399181"/>
      <w:r>
        <w:rPr>
          <w:rFonts w:hint="eastAsia" w:ascii="Times New Roman" w:hAnsi="Times New Roman"/>
        </w:rPr>
        <w:t>（二）部门预算调整幅度控制有待加强</w:t>
      </w:r>
      <w:bookmarkEnd w:id="58"/>
    </w:p>
    <w:p>
      <w:pPr>
        <w:pStyle w:val="25"/>
        <w:ind w:firstLine="640"/>
      </w:pPr>
      <w:r>
        <w:rPr>
          <w:rFonts w:hint="eastAsia"/>
        </w:rPr>
        <w:t>根据部门预决算数据，区政府合作交流办</w:t>
      </w:r>
      <w:r>
        <w:t>2022年度部门年初预算批复数为348.3万元，调整预算数为1017.9万元，预算调整率为292.25%</w:t>
      </w:r>
      <w:r>
        <w:rPr>
          <w:rFonts w:hint="eastAsia"/>
        </w:rPr>
        <w:t>，预算调整幅度过高，与年初预算金额偏离较大。</w:t>
      </w:r>
    </w:p>
    <w:p>
      <w:pPr>
        <w:pStyle w:val="29"/>
        <w:ind w:firstLine="640"/>
        <w:rPr>
          <w:rFonts w:ascii="Times New Roman" w:hAnsi="Times New Roman"/>
        </w:rPr>
      </w:pPr>
      <w:bookmarkStart w:id="59" w:name="_Toc120143750"/>
      <w:bookmarkStart w:id="60" w:name="_Toc142399182"/>
      <w:r>
        <w:rPr>
          <w:rFonts w:hint="eastAsia" w:ascii="Times New Roman" w:hAnsi="Times New Roman"/>
        </w:rPr>
        <w:t>（三）</w:t>
      </w:r>
      <w:bookmarkEnd w:id="59"/>
      <w:r>
        <w:rPr>
          <w:rFonts w:hint="eastAsia" w:ascii="Times New Roman" w:hAnsi="Times New Roman"/>
        </w:rPr>
        <w:t>部门履职工作监管力度有待提升</w:t>
      </w:r>
      <w:bookmarkEnd w:id="60"/>
    </w:p>
    <w:p>
      <w:pPr>
        <w:pStyle w:val="50"/>
      </w:pPr>
      <w:r>
        <w:rPr>
          <w:rFonts w:hint="eastAsia"/>
        </w:rPr>
        <w:t>依据区政府合作交流办2</w:t>
      </w:r>
      <w:r>
        <w:t>022</w:t>
      </w:r>
      <w:r>
        <w:rPr>
          <w:rFonts w:hint="eastAsia"/>
        </w:rPr>
        <w:t>年度工作计划、工作总结、部门专项资料及</w:t>
      </w:r>
      <w:r>
        <w:t>财务相关数据</w:t>
      </w:r>
      <w:r>
        <w:rPr>
          <w:rFonts w:hint="eastAsia"/>
        </w:rPr>
        <w:t>，结合现场评价发现，部门履职工作管理力度不足，具体如下：</w:t>
      </w:r>
    </w:p>
    <w:p>
      <w:pPr>
        <w:pStyle w:val="50"/>
      </w:pPr>
      <w:r>
        <w:rPr>
          <w:rFonts w:hint="eastAsia"/>
        </w:rPr>
        <w:t>一是部门接待对结县交流人员工作因受疫情影响，部分活动未开展，导致实际完成情况偏离预期目标，且部门未针对偏离原因及时制定相关改进措施</w:t>
      </w:r>
      <w:r>
        <w:t>。</w:t>
      </w:r>
      <w:r>
        <w:rPr>
          <w:rFonts w:hint="eastAsia"/>
        </w:rPr>
        <w:t>二是</w:t>
      </w:r>
      <w:r>
        <w:t>2022年度区政府合作交流办援派专业技术人才53名，完成任务指标63%。上年同期援派专业技术人才90名，完成任务指标107%。专业技术人才支援人数未完成</w:t>
      </w:r>
      <w:r>
        <w:rPr>
          <w:rFonts w:hint="eastAsia"/>
        </w:rPr>
        <w:t>当</w:t>
      </w:r>
      <w:r>
        <w:t>任务，且较上年同期支援人数下降41.11%</w:t>
      </w:r>
      <w:r>
        <w:rPr>
          <w:rFonts w:hint="eastAsia"/>
        </w:rPr>
        <w:t>，结对地区人才支援工作效益有待提升</w:t>
      </w:r>
      <w:r>
        <w:t>。</w:t>
      </w:r>
    </w:p>
    <w:p>
      <w:pPr>
        <w:pStyle w:val="27"/>
        <w:ind w:firstLine="420"/>
      </w:pPr>
      <w:bookmarkStart w:id="61" w:name="_Toc142399183"/>
      <w:r>
        <w:rPr>
          <w:rFonts w:hint="eastAsia"/>
        </w:rPr>
        <w:t>五、相关建议</w:t>
      </w:r>
      <w:bookmarkEnd w:id="61"/>
    </w:p>
    <w:p>
      <w:pPr>
        <w:pStyle w:val="29"/>
        <w:spacing w:line="360" w:lineRule="auto"/>
        <w:ind w:firstLine="640"/>
        <w:rPr>
          <w:rFonts w:ascii="Times New Roman" w:hAnsi="Times New Roman"/>
        </w:rPr>
      </w:pPr>
      <w:bookmarkStart w:id="62" w:name="_Toc142399184"/>
      <w:bookmarkStart w:id="63" w:name="_Toc120148356"/>
      <w:r>
        <w:rPr>
          <w:rFonts w:hint="eastAsia" w:ascii="Times New Roman" w:hAnsi="Times New Roman"/>
        </w:rPr>
        <w:t>（一）加强预算绩效管理水平，深化预算绩效理解能力</w:t>
      </w:r>
      <w:bookmarkEnd w:id="62"/>
      <w:bookmarkEnd w:id="63"/>
    </w:p>
    <w:p>
      <w:pPr>
        <w:pStyle w:val="25"/>
        <w:spacing w:line="360" w:lineRule="auto"/>
        <w:ind w:firstLine="640"/>
      </w:pPr>
      <w:r>
        <w:rPr>
          <w:rFonts w:hint="eastAsia"/>
        </w:rPr>
        <w:t>一是建议部门严格按照《天津市预算部门整体支出绩效管理办法》（试行）等文件要求制定部门整体支出绩效目标，提高绩效目标编制的规范性、完整性、明确性、合理性，清晰反映部门使用财政资金履行职责的预期产出和效果，重点围绕部门履职、年度工作计划细化年度主要工作任务与年度绩效目标。二是建议部门在设置年度绩效目标、绩效指标时要具有适当性，对于绩效指标的表述要清晰规范，指标值的设置要围绕相关政策依据和部门年度工作计划，要符合行业标准，有一定可行性。同时部门在设置年度绩效目标、绩效指标时要具有合理性，指标值要可衡量，细化指标时要覆盖全面，指标间要相互对应，规范合理的设置年度绩效目标和绩效指标。三是建议部门加强绩效目标与预算资金匹配程度，填报绩效目标时要与人大预算批复相符，且覆盖包含当年部门主要工作任务内容。四是建议部门建立绩效管理制度体系，明确各项绩效管理工作中绩效领导小组及各业务部门职责，完善绩效指标库建设。五是建议部门加强绩效培训力度，提高绩效工作的重视程度，强化对绩效基本概念的理解，</w:t>
      </w:r>
      <w:r>
        <w:rPr>
          <w:rFonts w:hint="eastAsia"/>
          <w:lang w:eastAsia="zh-CN"/>
        </w:rPr>
        <w:t>进而</w:t>
      </w:r>
      <w:r>
        <w:rPr>
          <w:rFonts w:hint="eastAsia"/>
        </w:rPr>
        <w:t>提高整体绩效工作质量，以充分发挥绩效目标对预算执行的引导约束和控制作用。</w:t>
      </w:r>
    </w:p>
    <w:p>
      <w:pPr>
        <w:pStyle w:val="29"/>
        <w:ind w:firstLine="640"/>
        <w:rPr>
          <w:rFonts w:ascii="Times New Roman" w:hAnsi="Times New Roman"/>
        </w:rPr>
      </w:pPr>
      <w:bookmarkStart w:id="64" w:name="_Toc120143638"/>
      <w:bookmarkStart w:id="65" w:name="_Toc142399185"/>
      <w:r>
        <w:rPr>
          <w:rFonts w:hint="eastAsia" w:ascii="Times New Roman" w:hAnsi="Times New Roman"/>
        </w:rPr>
        <w:t>（二）强化部门预算管理力度</w:t>
      </w:r>
      <w:bookmarkEnd w:id="64"/>
      <w:r>
        <w:rPr>
          <w:rFonts w:hint="eastAsia" w:ascii="Times New Roman" w:hAnsi="Times New Roman"/>
        </w:rPr>
        <w:t>，减少预算调整幅度</w:t>
      </w:r>
      <w:bookmarkEnd w:id="65"/>
    </w:p>
    <w:p>
      <w:pPr>
        <w:pStyle w:val="25"/>
        <w:ind w:firstLine="640"/>
        <w:rPr>
          <w:bCs/>
        </w:rPr>
      </w:pPr>
      <w:r>
        <w:rPr>
          <w:rFonts w:hint="eastAsia"/>
        </w:rPr>
        <w:t>一是建议部门提高预算编制准确性，优化预算编制测算流程，强化预算编制精准程度，预算编制时应考虑人员变动、机构改革、项目变更等多方面因素，进行综合测算，降低部门预算调整浮动。二是建议部门编制预算时以历史数据为依据并结合当年实际情况开展预算编制工作，针对以前年度预算调整大的项目，做好相关部门沟通工作，细化其预算测算数据，保障年初预算数据的准确性。</w:t>
      </w:r>
    </w:p>
    <w:p>
      <w:pPr>
        <w:pStyle w:val="29"/>
        <w:ind w:firstLine="640"/>
        <w:rPr>
          <w:rFonts w:ascii="Times New Roman" w:hAnsi="Times New Roman"/>
        </w:rPr>
      </w:pPr>
      <w:bookmarkStart w:id="66" w:name="_Toc142399186"/>
      <w:r>
        <w:rPr>
          <w:rFonts w:hint="eastAsia" w:ascii="Times New Roman" w:hAnsi="Times New Roman"/>
        </w:rPr>
        <w:t>（三）加大部门履职工作监督力度，提升部门工作效果</w:t>
      </w:r>
      <w:bookmarkEnd w:id="66"/>
    </w:p>
    <w:p>
      <w:pPr>
        <w:pStyle w:val="50"/>
      </w:pPr>
      <w:r>
        <w:rPr>
          <w:rFonts w:hint="eastAsia"/>
        </w:rPr>
        <w:t>一是建议部门加强主要工作任务实施进度监督力度，对部门当年重点履职工作实施动态运行监管机制，掌控履职工作完成进度，定期将部门履职工作的完成情况与年度主要工作任务、主要任务目标比对，对内容有偏差的工作，及时制定解决方案，以保障相关工作顺利完成，利于部门履职工作提质增效。二是建议部门强化对帮扶地区人才支援力度，结合往年历史数据，对专业技术人才援派人数制定具体任务指标，保持技术人才支持力度不变，紧盯结对县人才需求，同时加大专业技能培训力度，强化专业技术人才储备力量，进一步提升人才支援力度，健全完善人才帮扶机制。</w:t>
      </w:r>
    </w:p>
    <w:p>
      <w:pPr>
        <w:pStyle w:val="27"/>
      </w:pPr>
      <w:bookmarkStart w:id="67" w:name="_Toc142399187"/>
      <w:r>
        <w:rPr>
          <w:rFonts w:hint="eastAsia"/>
        </w:rPr>
        <w:t>六、相关附件</w:t>
      </w:r>
      <w:bookmarkEnd w:id="67"/>
    </w:p>
    <w:p>
      <w:pPr>
        <w:pStyle w:val="25"/>
        <w:ind w:left="1558" w:leftChars="305" w:hanging="918" w:hangingChars="287"/>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r>
        <w:rPr>
          <w:color w:val="000000" w:themeColor="text1"/>
          <w14:textFill>
            <w14:solidFill>
              <w14:schemeClr w14:val="tx1"/>
            </w14:solidFill>
          </w14:textFill>
        </w:rPr>
        <w:t>2022年</w:t>
      </w:r>
      <w:r>
        <w:rPr>
          <w:rFonts w:hint="eastAsia"/>
          <w:color w:val="000000" w:themeColor="text1"/>
          <w14:textFill>
            <w14:solidFill>
              <w14:schemeClr w14:val="tx1"/>
            </w14:solidFill>
          </w14:textFill>
        </w:rPr>
        <w:t>区政府合作交流办</w:t>
      </w:r>
      <w:r>
        <w:rPr>
          <w:color w:val="000000" w:themeColor="text1"/>
          <w14:textFill>
            <w14:solidFill>
              <w14:schemeClr w14:val="tx1"/>
            </w14:solidFill>
          </w14:textFill>
        </w:rPr>
        <w:t>部门整体支出绩效评价指标体系及评分表</w:t>
      </w:r>
    </w:p>
    <w:sectPr>
      <w:footerReference r:id="rId11" w:type="default"/>
      <w:pgSz w:w="11906" w:h="16838"/>
      <w:pgMar w:top="2268" w:right="1797" w:bottom="1701" w:left="1797"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p>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3198681"/>
    </w:sdtPr>
    <w:sdtEndPr>
      <w:rPr>
        <w:rFonts w:ascii="Times New Roman" w:hAnsi="Times New Roman"/>
        <w:sz w:val="28"/>
      </w:rPr>
    </w:sdtEndPr>
    <w:sdtContent>
      <w:p>
        <w:pPr>
          <w:pStyle w:val="10"/>
          <w:ind w:firstLine="360"/>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 MERGEFORMAT</w:instrText>
        </w:r>
        <w:r>
          <w:rPr>
            <w:rFonts w:ascii="Times New Roman" w:hAnsi="Times New Roman"/>
            <w:sz w:val="28"/>
          </w:rPr>
          <w:fldChar w:fldCharType="separate"/>
        </w:r>
        <w:r>
          <w:rPr>
            <w:rFonts w:ascii="Times New Roman" w:hAnsi="Times New Roman"/>
            <w:sz w:val="28"/>
            <w:lang w:val="zh-CN"/>
          </w:rPr>
          <w:t>36</w:t>
        </w:r>
        <w:r>
          <w:rPr>
            <w:rFonts w:ascii="Times New Roman" w:hAnsi="Times New Roman"/>
            <w:sz w:val="28"/>
          </w:rPr>
          <w:fldChar w:fldCharType="end"/>
        </w:r>
      </w:p>
    </w:sdtContent>
  </w:sdt>
  <w:p>
    <w:pPr>
      <w:ind w:firstLine="4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hkZWM4YjIxYThkNmM0YzhiZDBkMGJiNDM5ZWY2ZGQifQ=="/>
  </w:docVars>
  <w:rsids>
    <w:rsidRoot w:val="00661057"/>
    <w:rsid w:val="00004A67"/>
    <w:rsid w:val="00006E9C"/>
    <w:rsid w:val="00010865"/>
    <w:rsid w:val="00015C05"/>
    <w:rsid w:val="00015F35"/>
    <w:rsid w:val="0001661E"/>
    <w:rsid w:val="000178E6"/>
    <w:rsid w:val="00017921"/>
    <w:rsid w:val="00021949"/>
    <w:rsid w:val="000222D6"/>
    <w:rsid w:val="00022ADC"/>
    <w:rsid w:val="00024910"/>
    <w:rsid w:val="00024AFD"/>
    <w:rsid w:val="00024B97"/>
    <w:rsid w:val="00026496"/>
    <w:rsid w:val="000315D7"/>
    <w:rsid w:val="000320CF"/>
    <w:rsid w:val="00041A50"/>
    <w:rsid w:val="00042B23"/>
    <w:rsid w:val="00044C67"/>
    <w:rsid w:val="000538A5"/>
    <w:rsid w:val="00053EC5"/>
    <w:rsid w:val="00055086"/>
    <w:rsid w:val="0005724E"/>
    <w:rsid w:val="00057654"/>
    <w:rsid w:val="000663DD"/>
    <w:rsid w:val="00072C64"/>
    <w:rsid w:val="0007429F"/>
    <w:rsid w:val="000746D9"/>
    <w:rsid w:val="000751CF"/>
    <w:rsid w:val="00075CE7"/>
    <w:rsid w:val="0008170C"/>
    <w:rsid w:val="00090B22"/>
    <w:rsid w:val="0009124A"/>
    <w:rsid w:val="00091776"/>
    <w:rsid w:val="00094773"/>
    <w:rsid w:val="000962AF"/>
    <w:rsid w:val="000966C1"/>
    <w:rsid w:val="00097145"/>
    <w:rsid w:val="000A2EC8"/>
    <w:rsid w:val="000B12D4"/>
    <w:rsid w:val="000B3B96"/>
    <w:rsid w:val="000B528D"/>
    <w:rsid w:val="000B57FD"/>
    <w:rsid w:val="000B765C"/>
    <w:rsid w:val="000C161F"/>
    <w:rsid w:val="000C33B0"/>
    <w:rsid w:val="000C677C"/>
    <w:rsid w:val="000D0CBC"/>
    <w:rsid w:val="000D1853"/>
    <w:rsid w:val="000D1B8A"/>
    <w:rsid w:val="000D2D9C"/>
    <w:rsid w:val="000D4798"/>
    <w:rsid w:val="000D59C4"/>
    <w:rsid w:val="000E09D3"/>
    <w:rsid w:val="000E1645"/>
    <w:rsid w:val="000E1F7E"/>
    <w:rsid w:val="000E4250"/>
    <w:rsid w:val="000E4513"/>
    <w:rsid w:val="000E60B5"/>
    <w:rsid w:val="000F0EB9"/>
    <w:rsid w:val="000F5749"/>
    <w:rsid w:val="000F57C3"/>
    <w:rsid w:val="00100141"/>
    <w:rsid w:val="00100C50"/>
    <w:rsid w:val="00104DC9"/>
    <w:rsid w:val="0010563C"/>
    <w:rsid w:val="001068F3"/>
    <w:rsid w:val="001144A3"/>
    <w:rsid w:val="0011779D"/>
    <w:rsid w:val="00117C0A"/>
    <w:rsid w:val="00122E23"/>
    <w:rsid w:val="0012628B"/>
    <w:rsid w:val="00130430"/>
    <w:rsid w:val="00131F1E"/>
    <w:rsid w:val="00133A6C"/>
    <w:rsid w:val="00134AB5"/>
    <w:rsid w:val="001364FD"/>
    <w:rsid w:val="00136EDD"/>
    <w:rsid w:val="00141D2F"/>
    <w:rsid w:val="0014294F"/>
    <w:rsid w:val="00142FBC"/>
    <w:rsid w:val="00144229"/>
    <w:rsid w:val="00150419"/>
    <w:rsid w:val="00156000"/>
    <w:rsid w:val="00162746"/>
    <w:rsid w:val="001704F7"/>
    <w:rsid w:val="00170747"/>
    <w:rsid w:val="00170B37"/>
    <w:rsid w:val="0017117B"/>
    <w:rsid w:val="001718D4"/>
    <w:rsid w:val="00175429"/>
    <w:rsid w:val="0017581B"/>
    <w:rsid w:val="0017673E"/>
    <w:rsid w:val="00184BDA"/>
    <w:rsid w:val="00185478"/>
    <w:rsid w:val="001871E9"/>
    <w:rsid w:val="0019129E"/>
    <w:rsid w:val="00191749"/>
    <w:rsid w:val="001934FE"/>
    <w:rsid w:val="0019481C"/>
    <w:rsid w:val="00195141"/>
    <w:rsid w:val="00195E1D"/>
    <w:rsid w:val="001A2DD7"/>
    <w:rsid w:val="001A5397"/>
    <w:rsid w:val="001A5D0F"/>
    <w:rsid w:val="001B10C7"/>
    <w:rsid w:val="001B2B18"/>
    <w:rsid w:val="001B3104"/>
    <w:rsid w:val="001B493A"/>
    <w:rsid w:val="001C26A0"/>
    <w:rsid w:val="001C2DD8"/>
    <w:rsid w:val="001C455A"/>
    <w:rsid w:val="001C68F0"/>
    <w:rsid w:val="001D0C4F"/>
    <w:rsid w:val="001D1E66"/>
    <w:rsid w:val="001D2721"/>
    <w:rsid w:val="001D2A79"/>
    <w:rsid w:val="001D44BC"/>
    <w:rsid w:val="001D4D25"/>
    <w:rsid w:val="001D598D"/>
    <w:rsid w:val="001E056B"/>
    <w:rsid w:val="001E541D"/>
    <w:rsid w:val="001E6F03"/>
    <w:rsid w:val="001E7A97"/>
    <w:rsid w:val="001F1A56"/>
    <w:rsid w:val="001F6C07"/>
    <w:rsid w:val="001F7331"/>
    <w:rsid w:val="00201088"/>
    <w:rsid w:val="00201EAB"/>
    <w:rsid w:val="00202699"/>
    <w:rsid w:val="00206ED6"/>
    <w:rsid w:val="00210693"/>
    <w:rsid w:val="00210763"/>
    <w:rsid w:val="0021251A"/>
    <w:rsid w:val="00213586"/>
    <w:rsid w:val="002139E7"/>
    <w:rsid w:val="002171D3"/>
    <w:rsid w:val="00222BCB"/>
    <w:rsid w:val="00223431"/>
    <w:rsid w:val="00231B10"/>
    <w:rsid w:val="00231BC3"/>
    <w:rsid w:val="00232D7E"/>
    <w:rsid w:val="002362E6"/>
    <w:rsid w:val="002438DB"/>
    <w:rsid w:val="002468F0"/>
    <w:rsid w:val="00247DAE"/>
    <w:rsid w:val="0025214F"/>
    <w:rsid w:val="00252F45"/>
    <w:rsid w:val="00254126"/>
    <w:rsid w:val="00255788"/>
    <w:rsid w:val="00256F67"/>
    <w:rsid w:val="00257AE1"/>
    <w:rsid w:val="002606BD"/>
    <w:rsid w:val="00260A99"/>
    <w:rsid w:val="0026106D"/>
    <w:rsid w:val="00264F7B"/>
    <w:rsid w:val="002651F7"/>
    <w:rsid w:val="00265D4E"/>
    <w:rsid w:val="00265DF8"/>
    <w:rsid w:val="00266FF1"/>
    <w:rsid w:val="002670BF"/>
    <w:rsid w:val="002678A4"/>
    <w:rsid w:val="002679D6"/>
    <w:rsid w:val="0027222E"/>
    <w:rsid w:val="00274568"/>
    <w:rsid w:val="002753AA"/>
    <w:rsid w:val="0028146C"/>
    <w:rsid w:val="002815AF"/>
    <w:rsid w:val="00282482"/>
    <w:rsid w:val="002843A1"/>
    <w:rsid w:val="00285E85"/>
    <w:rsid w:val="002870FB"/>
    <w:rsid w:val="002904FA"/>
    <w:rsid w:val="00290EF5"/>
    <w:rsid w:val="00292AFB"/>
    <w:rsid w:val="00292F18"/>
    <w:rsid w:val="00295449"/>
    <w:rsid w:val="002964EE"/>
    <w:rsid w:val="00297E04"/>
    <w:rsid w:val="002A3D27"/>
    <w:rsid w:val="002A425C"/>
    <w:rsid w:val="002B6873"/>
    <w:rsid w:val="002B690F"/>
    <w:rsid w:val="002B6E5F"/>
    <w:rsid w:val="002C14B9"/>
    <w:rsid w:val="002C23B2"/>
    <w:rsid w:val="002C2ECC"/>
    <w:rsid w:val="002D1B07"/>
    <w:rsid w:val="002D2099"/>
    <w:rsid w:val="002D56E7"/>
    <w:rsid w:val="002D741B"/>
    <w:rsid w:val="002E0206"/>
    <w:rsid w:val="002E0D16"/>
    <w:rsid w:val="002E1690"/>
    <w:rsid w:val="002E2330"/>
    <w:rsid w:val="002E25A1"/>
    <w:rsid w:val="002E3C4E"/>
    <w:rsid w:val="002F077A"/>
    <w:rsid w:val="002F0964"/>
    <w:rsid w:val="002F0B11"/>
    <w:rsid w:val="002F2542"/>
    <w:rsid w:val="002F31E3"/>
    <w:rsid w:val="002F3548"/>
    <w:rsid w:val="002F56B0"/>
    <w:rsid w:val="002F7F02"/>
    <w:rsid w:val="002F7F21"/>
    <w:rsid w:val="003026FA"/>
    <w:rsid w:val="003029A1"/>
    <w:rsid w:val="003032A9"/>
    <w:rsid w:val="0030362F"/>
    <w:rsid w:val="00303D5F"/>
    <w:rsid w:val="00304E75"/>
    <w:rsid w:val="00305364"/>
    <w:rsid w:val="00307E6B"/>
    <w:rsid w:val="00310651"/>
    <w:rsid w:val="00311E2E"/>
    <w:rsid w:val="00312834"/>
    <w:rsid w:val="003131EE"/>
    <w:rsid w:val="00317CC1"/>
    <w:rsid w:val="00321829"/>
    <w:rsid w:val="00325B50"/>
    <w:rsid w:val="0033052A"/>
    <w:rsid w:val="00334070"/>
    <w:rsid w:val="00335C30"/>
    <w:rsid w:val="0033624F"/>
    <w:rsid w:val="0033678E"/>
    <w:rsid w:val="00340B8E"/>
    <w:rsid w:val="00342B09"/>
    <w:rsid w:val="003502BF"/>
    <w:rsid w:val="00352E18"/>
    <w:rsid w:val="003574C0"/>
    <w:rsid w:val="003576FA"/>
    <w:rsid w:val="003606F4"/>
    <w:rsid w:val="00360BB1"/>
    <w:rsid w:val="003652D2"/>
    <w:rsid w:val="00372170"/>
    <w:rsid w:val="003731F3"/>
    <w:rsid w:val="0037372D"/>
    <w:rsid w:val="00375379"/>
    <w:rsid w:val="0038049A"/>
    <w:rsid w:val="0038053D"/>
    <w:rsid w:val="00380E46"/>
    <w:rsid w:val="00381F5C"/>
    <w:rsid w:val="003823FF"/>
    <w:rsid w:val="00383D0D"/>
    <w:rsid w:val="003854CE"/>
    <w:rsid w:val="00386038"/>
    <w:rsid w:val="00386369"/>
    <w:rsid w:val="00387A3F"/>
    <w:rsid w:val="00390507"/>
    <w:rsid w:val="0039201B"/>
    <w:rsid w:val="003920E7"/>
    <w:rsid w:val="00392E10"/>
    <w:rsid w:val="0039592B"/>
    <w:rsid w:val="00395D8F"/>
    <w:rsid w:val="0039624D"/>
    <w:rsid w:val="00396581"/>
    <w:rsid w:val="0039718C"/>
    <w:rsid w:val="00397820"/>
    <w:rsid w:val="003A26A5"/>
    <w:rsid w:val="003A2940"/>
    <w:rsid w:val="003A2F91"/>
    <w:rsid w:val="003A30C9"/>
    <w:rsid w:val="003B0F5E"/>
    <w:rsid w:val="003B4F6C"/>
    <w:rsid w:val="003B503D"/>
    <w:rsid w:val="003B6AA3"/>
    <w:rsid w:val="003C1FB1"/>
    <w:rsid w:val="003C3423"/>
    <w:rsid w:val="003C769B"/>
    <w:rsid w:val="003D42E6"/>
    <w:rsid w:val="003D5E93"/>
    <w:rsid w:val="003E1CAB"/>
    <w:rsid w:val="003E344E"/>
    <w:rsid w:val="003E4099"/>
    <w:rsid w:val="003E5D8A"/>
    <w:rsid w:val="003E7C97"/>
    <w:rsid w:val="003F12E1"/>
    <w:rsid w:val="003F4146"/>
    <w:rsid w:val="003F4C3B"/>
    <w:rsid w:val="003F5B63"/>
    <w:rsid w:val="003F61ED"/>
    <w:rsid w:val="003F689F"/>
    <w:rsid w:val="00401FD1"/>
    <w:rsid w:val="00406503"/>
    <w:rsid w:val="00407BC4"/>
    <w:rsid w:val="00407F2A"/>
    <w:rsid w:val="004132DE"/>
    <w:rsid w:val="00413869"/>
    <w:rsid w:val="004138CE"/>
    <w:rsid w:val="00414534"/>
    <w:rsid w:val="0041506B"/>
    <w:rsid w:val="004154DA"/>
    <w:rsid w:val="00415833"/>
    <w:rsid w:val="0041682D"/>
    <w:rsid w:val="004174C2"/>
    <w:rsid w:val="0042393D"/>
    <w:rsid w:val="00424805"/>
    <w:rsid w:val="00426BD6"/>
    <w:rsid w:val="00432E5A"/>
    <w:rsid w:val="0043312F"/>
    <w:rsid w:val="00434DE2"/>
    <w:rsid w:val="00440EAF"/>
    <w:rsid w:val="004429F6"/>
    <w:rsid w:val="00442C96"/>
    <w:rsid w:val="00442CD3"/>
    <w:rsid w:val="0044405A"/>
    <w:rsid w:val="0044422D"/>
    <w:rsid w:val="0044685E"/>
    <w:rsid w:val="00447D6F"/>
    <w:rsid w:val="00450EBD"/>
    <w:rsid w:val="0045478A"/>
    <w:rsid w:val="00455862"/>
    <w:rsid w:val="00455F34"/>
    <w:rsid w:val="00456DBF"/>
    <w:rsid w:val="00456FEE"/>
    <w:rsid w:val="00457F7B"/>
    <w:rsid w:val="00461B2F"/>
    <w:rsid w:val="00461FC1"/>
    <w:rsid w:val="00462928"/>
    <w:rsid w:val="0046745A"/>
    <w:rsid w:val="00467BED"/>
    <w:rsid w:val="0047179F"/>
    <w:rsid w:val="00472ABD"/>
    <w:rsid w:val="004746B7"/>
    <w:rsid w:val="00476742"/>
    <w:rsid w:val="00476AB9"/>
    <w:rsid w:val="00481085"/>
    <w:rsid w:val="004862D6"/>
    <w:rsid w:val="00487573"/>
    <w:rsid w:val="0048792B"/>
    <w:rsid w:val="00490486"/>
    <w:rsid w:val="00494C9A"/>
    <w:rsid w:val="00495679"/>
    <w:rsid w:val="0049571F"/>
    <w:rsid w:val="004A1CF2"/>
    <w:rsid w:val="004A5987"/>
    <w:rsid w:val="004A6BE4"/>
    <w:rsid w:val="004B400C"/>
    <w:rsid w:val="004B7658"/>
    <w:rsid w:val="004C0450"/>
    <w:rsid w:val="004C0765"/>
    <w:rsid w:val="004C1741"/>
    <w:rsid w:val="004C366C"/>
    <w:rsid w:val="004C4A72"/>
    <w:rsid w:val="004C5E4A"/>
    <w:rsid w:val="004C5FAC"/>
    <w:rsid w:val="004C6AAA"/>
    <w:rsid w:val="004D05C8"/>
    <w:rsid w:val="004D10A8"/>
    <w:rsid w:val="004D2EF5"/>
    <w:rsid w:val="004D3BC4"/>
    <w:rsid w:val="004D64B9"/>
    <w:rsid w:val="004E0D4E"/>
    <w:rsid w:val="004E51AA"/>
    <w:rsid w:val="004E5269"/>
    <w:rsid w:val="004E6385"/>
    <w:rsid w:val="004E71EA"/>
    <w:rsid w:val="004F14D6"/>
    <w:rsid w:val="004F1C6C"/>
    <w:rsid w:val="004F3468"/>
    <w:rsid w:val="004F5646"/>
    <w:rsid w:val="004F6FC2"/>
    <w:rsid w:val="004F704F"/>
    <w:rsid w:val="004F7B1D"/>
    <w:rsid w:val="0050020C"/>
    <w:rsid w:val="00500272"/>
    <w:rsid w:val="00502AEC"/>
    <w:rsid w:val="00502AF9"/>
    <w:rsid w:val="00502E5D"/>
    <w:rsid w:val="0050309A"/>
    <w:rsid w:val="0050469C"/>
    <w:rsid w:val="00505A5A"/>
    <w:rsid w:val="00506277"/>
    <w:rsid w:val="00506A62"/>
    <w:rsid w:val="00506B80"/>
    <w:rsid w:val="00507119"/>
    <w:rsid w:val="00507CA5"/>
    <w:rsid w:val="00511FCA"/>
    <w:rsid w:val="005128A1"/>
    <w:rsid w:val="00513E56"/>
    <w:rsid w:val="00514FCA"/>
    <w:rsid w:val="005161C1"/>
    <w:rsid w:val="005166EE"/>
    <w:rsid w:val="00516FEF"/>
    <w:rsid w:val="00517695"/>
    <w:rsid w:val="0052077C"/>
    <w:rsid w:val="00521CFA"/>
    <w:rsid w:val="005227CB"/>
    <w:rsid w:val="0052280F"/>
    <w:rsid w:val="005252C6"/>
    <w:rsid w:val="0052613B"/>
    <w:rsid w:val="005301DF"/>
    <w:rsid w:val="00530F6F"/>
    <w:rsid w:val="0053130C"/>
    <w:rsid w:val="00532532"/>
    <w:rsid w:val="00533C5A"/>
    <w:rsid w:val="005375FD"/>
    <w:rsid w:val="00541337"/>
    <w:rsid w:val="005418D0"/>
    <w:rsid w:val="00543B05"/>
    <w:rsid w:val="0054791A"/>
    <w:rsid w:val="005518B6"/>
    <w:rsid w:val="005520F1"/>
    <w:rsid w:val="0055302F"/>
    <w:rsid w:val="00556598"/>
    <w:rsid w:val="0055698B"/>
    <w:rsid w:val="0056322D"/>
    <w:rsid w:val="00563B61"/>
    <w:rsid w:val="005662C9"/>
    <w:rsid w:val="005669E8"/>
    <w:rsid w:val="00567CCB"/>
    <w:rsid w:val="00570BD1"/>
    <w:rsid w:val="0057266F"/>
    <w:rsid w:val="00573B4A"/>
    <w:rsid w:val="00575954"/>
    <w:rsid w:val="0057610C"/>
    <w:rsid w:val="00577671"/>
    <w:rsid w:val="005808DE"/>
    <w:rsid w:val="005814F0"/>
    <w:rsid w:val="005824ED"/>
    <w:rsid w:val="0058648D"/>
    <w:rsid w:val="005870FE"/>
    <w:rsid w:val="00590B7F"/>
    <w:rsid w:val="005951DB"/>
    <w:rsid w:val="00595F1A"/>
    <w:rsid w:val="005978EB"/>
    <w:rsid w:val="005A02D6"/>
    <w:rsid w:val="005A2A50"/>
    <w:rsid w:val="005A7556"/>
    <w:rsid w:val="005C4163"/>
    <w:rsid w:val="005C4F23"/>
    <w:rsid w:val="005C5F21"/>
    <w:rsid w:val="005C66DA"/>
    <w:rsid w:val="005D1C02"/>
    <w:rsid w:val="005D2B39"/>
    <w:rsid w:val="005D538A"/>
    <w:rsid w:val="005D73C9"/>
    <w:rsid w:val="005E0A86"/>
    <w:rsid w:val="005E1C99"/>
    <w:rsid w:val="005E3B63"/>
    <w:rsid w:val="005E698C"/>
    <w:rsid w:val="005F02BE"/>
    <w:rsid w:val="005F18F7"/>
    <w:rsid w:val="005F72E1"/>
    <w:rsid w:val="00601702"/>
    <w:rsid w:val="0060374B"/>
    <w:rsid w:val="006122FE"/>
    <w:rsid w:val="006207A7"/>
    <w:rsid w:val="006209FD"/>
    <w:rsid w:val="006229E8"/>
    <w:rsid w:val="006237F5"/>
    <w:rsid w:val="006238FC"/>
    <w:rsid w:val="006274A6"/>
    <w:rsid w:val="00630C68"/>
    <w:rsid w:val="00635391"/>
    <w:rsid w:val="00642B6B"/>
    <w:rsid w:val="00644F88"/>
    <w:rsid w:val="006509C0"/>
    <w:rsid w:val="00650A24"/>
    <w:rsid w:val="0065242F"/>
    <w:rsid w:val="006555B4"/>
    <w:rsid w:val="00657D73"/>
    <w:rsid w:val="00657DC0"/>
    <w:rsid w:val="00661057"/>
    <w:rsid w:val="0066490F"/>
    <w:rsid w:val="0066557D"/>
    <w:rsid w:val="00665A76"/>
    <w:rsid w:val="00677282"/>
    <w:rsid w:val="0068007F"/>
    <w:rsid w:val="00680FC8"/>
    <w:rsid w:val="00681216"/>
    <w:rsid w:val="00685D3A"/>
    <w:rsid w:val="00686B51"/>
    <w:rsid w:val="00686EA4"/>
    <w:rsid w:val="00690D17"/>
    <w:rsid w:val="0069381F"/>
    <w:rsid w:val="00696F5E"/>
    <w:rsid w:val="006970D4"/>
    <w:rsid w:val="006A05F8"/>
    <w:rsid w:val="006A1A15"/>
    <w:rsid w:val="006A200A"/>
    <w:rsid w:val="006A2767"/>
    <w:rsid w:val="006A2799"/>
    <w:rsid w:val="006A7733"/>
    <w:rsid w:val="006B2395"/>
    <w:rsid w:val="006B33B3"/>
    <w:rsid w:val="006B3958"/>
    <w:rsid w:val="006B48B9"/>
    <w:rsid w:val="006B5231"/>
    <w:rsid w:val="006B6D9D"/>
    <w:rsid w:val="006B6F79"/>
    <w:rsid w:val="006C3511"/>
    <w:rsid w:val="006C452A"/>
    <w:rsid w:val="006C6235"/>
    <w:rsid w:val="006D0238"/>
    <w:rsid w:val="006D3A3D"/>
    <w:rsid w:val="006D642B"/>
    <w:rsid w:val="006D6AD7"/>
    <w:rsid w:val="006E7EB4"/>
    <w:rsid w:val="006F1AE1"/>
    <w:rsid w:val="006F433C"/>
    <w:rsid w:val="006F44D9"/>
    <w:rsid w:val="006F57FD"/>
    <w:rsid w:val="006F71A1"/>
    <w:rsid w:val="00700EAB"/>
    <w:rsid w:val="00701724"/>
    <w:rsid w:val="00702F97"/>
    <w:rsid w:val="0071296D"/>
    <w:rsid w:val="00712F83"/>
    <w:rsid w:val="00713AFA"/>
    <w:rsid w:val="007167A8"/>
    <w:rsid w:val="00716ABF"/>
    <w:rsid w:val="00717EC3"/>
    <w:rsid w:val="00720025"/>
    <w:rsid w:val="0072230F"/>
    <w:rsid w:val="0072315E"/>
    <w:rsid w:val="00726B01"/>
    <w:rsid w:val="007347E1"/>
    <w:rsid w:val="00735B33"/>
    <w:rsid w:val="0074037D"/>
    <w:rsid w:val="00741AED"/>
    <w:rsid w:val="00743FB6"/>
    <w:rsid w:val="00747168"/>
    <w:rsid w:val="00747CF7"/>
    <w:rsid w:val="007517C1"/>
    <w:rsid w:val="007574E8"/>
    <w:rsid w:val="00761F11"/>
    <w:rsid w:val="0076542D"/>
    <w:rsid w:val="0076588A"/>
    <w:rsid w:val="00766237"/>
    <w:rsid w:val="007665B7"/>
    <w:rsid w:val="00770413"/>
    <w:rsid w:val="00773FB0"/>
    <w:rsid w:val="00774527"/>
    <w:rsid w:val="00774788"/>
    <w:rsid w:val="00781ADF"/>
    <w:rsid w:val="007823FB"/>
    <w:rsid w:val="007835EF"/>
    <w:rsid w:val="00783F5D"/>
    <w:rsid w:val="00784B44"/>
    <w:rsid w:val="007903CE"/>
    <w:rsid w:val="00793670"/>
    <w:rsid w:val="007959B7"/>
    <w:rsid w:val="007A0119"/>
    <w:rsid w:val="007A0C7F"/>
    <w:rsid w:val="007A5FBE"/>
    <w:rsid w:val="007A7BE7"/>
    <w:rsid w:val="007B2E66"/>
    <w:rsid w:val="007B6C38"/>
    <w:rsid w:val="007C3498"/>
    <w:rsid w:val="007C34B0"/>
    <w:rsid w:val="007C70B9"/>
    <w:rsid w:val="007C7C38"/>
    <w:rsid w:val="007D330F"/>
    <w:rsid w:val="007D5046"/>
    <w:rsid w:val="007D7F52"/>
    <w:rsid w:val="007E06BD"/>
    <w:rsid w:val="007E1792"/>
    <w:rsid w:val="007F0F5B"/>
    <w:rsid w:val="007F16F9"/>
    <w:rsid w:val="007F35F6"/>
    <w:rsid w:val="007F5AC1"/>
    <w:rsid w:val="007F68E4"/>
    <w:rsid w:val="007F7F99"/>
    <w:rsid w:val="0080140B"/>
    <w:rsid w:val="008059C4"/>
    <w:rsid w:val="008104FF"/>
    <w:rsid w:val="008117B9"/>
    <w:rsid w:val="00814D5C"/>
    <w:rsid w:val="0081535C"/>
    <w:rsid w:val="008202A4"/>
    <w:rsid w:val="0082624D"/>
    <w:rsid w:val="008329B3"/>
    <w:rsid w:val="00833E5A"/>
    <w:rsid w:val="00840466"/>
    <w:rsid w:val="00842555"/>
    <w:rsid w:val="00846125"/>
    <w:rsid w:val="0085010B"/>
    <w:rsid w:val="008509FA"/>
    <w:rsid w:val="008536D2"/>
    <w:rsid w:val="00855D04"/>
    <w:rsid w:val="00856F58"/>
    <w:rsid w:val="00857102"/>
    <w:rsid w:val="008574A1"/>
    <w:rsid w:val="00860004"/>
    <w:rsid w:val="0086103F"/>
    <w:rsid w:val="00861451"/>
    <w:rsid w:val="00862FEA"/>
    <w:rsid w:val="008712EC"/>
    <w:rsid w:val="00871A31"/>
    <w:rsid w:val="00872253"/>
    <w:rsid w:val="008750F3"/>
    <w:rsid w:val="00875DF5"/>
    <w:rsid w:val="00881ED3"/>
    <w:rsid w:val="00884446"/>
    <w:rsid w:val="008863A6"/>
    <w:rsid w:val="00886870"/>
    <w:rsid w:val="00890929"/>
    <w:rsid w:val="0089214A"/>
    <w:rsid w:val="008924A7"/>
    <w:rsid w:val="00893A90"/>
    <w:rsid w:val="00894029"/>
    <w:rsid w:val="00894342"/>
    <w:rsid w:val="00895AEA"/>
    <w:rsid w:val="008962AF"/>
    <w:rsid w:val="00896F2F"/>
    <w:rsid w:val="008A083A"/>
    <w:rsid w:val="008A759E"/>
    <w:rsid w:val="008A7BB7"/>
    <w:rsid w:val="008B0066"/>
    <w:rsid w:val="008B0D21"/>
    <w:rsid w:val="008B2C75"/>
    <w:rsid w:val="008B3614"/>
    <w:rsid w:val="008B4452"/>
    <w:rsid w:val="008B59A6"/>
    <w:rsid w:val="008C1F92"/>
    <w:rsid w:val="008C7990"/>
    <w:rsid w:val="008D0694"/>
    <w:rsid w:val="008D2D00"/>
    <w:rsid w:val="008D3DF2"/>
    <w:rsid w:val="008D4E67"/>
    <w:rsid w:val="008D7662"/>
    <w:rsid w:val="008D7880"/>
    <w:rsid w:val="008E192E"/>
    <w:rsid w:val="008E1E60"/>
    <w:rsid w:val="008E5E84"/>
    <w:rsid w:val="008F0212"/>
    <w:rsid w:val="008F062C"/>
    <w:rsid w:val="008F19A5"/>
    <w:rsid w:val="008F29CF"/>
    <w:rsid w:val="008F417A"/>
    <w:rsid w:val="008F4F60"/>
    <w:rsid w:val="008F5986"/>
    <w:rsid w:val="008F7880"/>
    <w:rsid w:val="00901476"/>
    <w:rsid w:val="0090218C"/>
    <w:rsid w:val="009040D7"/>
    <w:rsid w:val="009058E6"/>
    <w:rsid w:val="009061EE"/>
    <w:rsid w:val="00906719"/>
    <w:rsid w:val="00906877"/>
    <w:rsid w:val="009103B4"/>
    <w:rsid w:val="00910630"/>
    <w:rsid w:val="009107F7"/>
    <w:rsid w:val="00910C1D"/>
    <w:rsid w:val="00912ED4"/>
    <w:rsid w:val="00913830"/>
    <w:rsid w:val="00913E98"/>
    <w:rsid w:val="00933EE9"/>
    <w:rsid w:val="00934AD2"/>
    <w:rsid w:val="00935816"/>
    <w:rsid w:val="009363BB"/>
    <w:rsid w:val="00936A70"/>
    <w:rsid w:val="009415F7"/>
    <w:rsid w:val="00941CE3"/>
    <w:rsid w:val="009423CC"/>
    <w:rsid w:val="0095347B"/>
    <w:rsid w:val="009545F4"/>
    <w:rsid w:val="00955B84"/>
    <w:rsid w:val="00957B6C"/>
    <w:rsid w:val="00966941"/>
    <w:rsid w:val="0097037E"/>
    <w:rsid w:val="0097374A"/>
    <w:rsid w:val="00974440"/>
    <w:rsid w:val="00976240"/>
    <w:rsid w:val="00977C36"/>
    <w:rsid w:val="00985716"/>
    <w:rsid w:val="009866A6"/>
    <w:rsid w:val="00990F30"/>
    <w:rsid w:val="00992019"/>
    <w:rsid w:val="00994B3F"/>
    <w:rsid w:val="00996E9F"/>
    <w:rsid w:val="009975DC"/>
    <w:rsid w:val="00997BBD"/>
    <w:rsid w:val="009A0B13"/>
    <w:rsid w:val="009A5DF6"/>
    <w:rsid w:val="009A67F5"/>
    <w:rsid w:val="009C1629"/>
    <w:rsid w:val="009C2957"/>
    <w:rsid w:val="009C2C2E"/>
    <w:rsid w:val="009C4DCE"/>
    <w:rsid w:val="009C6347"/>
    <w:rsid w:val="009D0699"/>
    <w:rsid w:val="009D3500"/>
    <w:rsid w:val="009D402B"/>
    <w:rsid w:val="009D7D2E"/>
    <w:rsid w:val="009E109E"/>
    <w:rsid w:val="009E204A"/>
    <w:rsid w:val="009E28B6"/>
    <w:rsid w:val="009E290A"/>
    <w:rsid w:val="009E4267"/>
    <w:rsid w:val="009E65E9"/>
    <w:rsid w:val="009E7679"/>
    <w:rsid w:val="009E768A"/>
    <w:rsid w:val="009E79DC"/>
    <w:rsid w:val="009E7F50"/>
    <w:rsid w:val="009F6318"/>
    <w:rsid w:val="00A0358A"/>
    <w:rsid w:val="00A061D0"/>
    <w:rsid w:val="00A06C54"/>
    <w:rsid w:val="00A12696"/>
    <w:rsid w:val="00A12A3B"/>
    <w:rsid w:val="00A12DDC"/>
    <w:rsid w:val="00A1328A"/>
    <w:rsid w:val="00A207D3"/>
    <w:rsid w:val="00A22140"/>
    <w:rsid w:val="00A25B3A"/>
    <w:rsid w:val="00A25CC2"/>
    <w:rsid w:val="00A308A4"/>
    <w:rsid w:val="00A31C1E"/>
    <w:rsid w:val="00A414FB"/>
    <w:rsid w:val="00A43E71"/>
    <w:rsid w:val="00A4417F"/>
    <w:rsid w:val="00A45B17"/>
    <w:rsid w:val="00A46147"/>
    <w:rsid w:val="00A4688B"/>
    <w:rsid w:val="00A50298"/>
    <w:rsid w:val="00A50863"/>
    <w:rsid w:val="00A5116D"/>
    <w:rsid w:val="00A52917"/>
    <w:rsid w:val="00A6224E"/>
    <w:rsid w:val="00A62750"/>
    <w:rsid w:val="00A62A25"/>
    <w:rsid w:val="00A64B50"/>
    <w:rsid w:val="00A6562A"/>
    <w:rsid w:val="00A65F65"/>
    <w:rsid w:val="00A709F4"/>
    <w:rsid w:val="00A74304"/>
    <w:rsid w:val="00A748EC"/>
    <w:rsid w:val="00A74E5F"/>
    <w:rsid w:val="00A751C5"/>
    <w:rsid w:val="00A76262"/>
    <w:rsid w:val="00A80992"/>
    <w:rsid w:val="00A8117E"/>
    <w:rsid w:val="00A81752"/>
    <w:rsid w:val="00A86391"/>
    <w:rsid w:val="00A87FCB"/>
    <w:rsid w:val="00A90D9B"/>
    <w:rsid w:val="00A91945"/>
    <w:rsid w:val="00A96858"/>
    <w:rsid w:val="00A96918"/>
    <w:rsid w:val="00A96AAB"/>
    <w:rsid w:val="00AB2391"/>
    <w:rsid w:val="00AB2534"/>
    <w:rsid w:val="00AB65E0"/>
    <w:rsid w:val="00AC023A"/>
    <w:rsid w:val="00AC02F2"/>
    <w:rsid w:val="00AC0D86"/>
    <w:rsid w:val="00AC3016"/>
    <w:rsid w:val="00AC330C"/>
    <w:rsid w:val="00AC41C7"/>
    <w:rsid w:val="00AD1A23"/>
    <w:rsid w:val="00AD33A5"/>
    <w:rsid w:val="00AD3503"/>
    <w:rsid w:val="00AD6CD8"/>
    <w:rsid w:val="00AE03EE"/>
    <w:rsid w:val="00AE0785"/>
    <w:rsid w:val="00AE26F1"/>
    <w:rsid w:val="00AE44A0"/>
    <w:rsid w:val="00AE4B56"/>
    <w:rsid w:val="00AF00D2"/>
    <w:rsid w:val="00AF1304"/>
    <w:rsid w:val="00AF1FC5"/>
    <w:rsid w:val="00AF2796"/>
    <w:rsid w:val="00AF3FDA"/>
    <w:rsid w:val="00AF55D3"/>
    <w:rsid w:val="00AF57C9"/>
    <w:rsid w:val="00AF63FA"/>
    <w:rsid w:val="00B002BF"/>
    <w:rsid w:val="00B00911"/>
    <w:rsid w:val="00B01328"/>
    <w:rsid w:val="00B02FA8"/>
    <w:rsid w:val="00B03444"/>
    <w:rsid w:val="00B1013E"/>
    <w:rsid w:val="00B15D0A"/>
    <w:rsid w:val="00B1731E"/>
    <w:rsid w:val="00B22276"/>
    <w:rsid w:val="00B238F1"/>
    <w:rsid w:val="00B23EF4"/>
    <w:rsid w:val="00B23F0C"/>
    <w:rsid w:val="00B26714"/>
    <w:rsid w:val="00B30A91"/>
    <w:rsid w:val="00B35CC9"/>
    <w:rsid w:val="00B35E24"/>
    <w:rsid w:val="00B42002"/>
    <w:rsid w:val="00B43992"/>
    <w:rsid w:val="00B43F12"/>
    <w:rsid w:val="00B4638E"/>
    <w:rsid w:val="00B465BC"/>
    <w:rsid w:val="00B46ABA"/>
    <w:rsid w:val="00B5207F"/>
    <w:rsid w:val="00B52E25"/>
    <w:rsid w:val="00B5377C"/>
    <w:rsid w:val="00B54B0F"/>
    <w:rsid w:val="00B5638F"/>
    <w:rsid w:val="00B6027A"/>
    <w:rsid w:val="00B60A6B"/>
    <w:rsid w:val="00B61BB5"/>
    <w:rsid w:val="00B62C18"/>
    <w:rsid w:val="00B63005"/>
    <w:rsid w:val="00B66CC2"/>
    <w:rsid w:val="00B74BF4"/>
    <w:rsid w:val="00B76C10"/>
    <w:rsid w:val="00B76F1D"/>
    <w:rsid w:val="00B82367"/>
    <w:rsid w:val="00B841DD"/>
    <w:rsid w:val="00B8530F"/>
    <w:rsid w:val="00B8712D"/>
    <w:rsid w:val="00B906BE"/>
    <w:rsid w:val="00B9252A"/>
    <w:rsid w:val="00B96E04"/>
    <w:rsid w:val="00B976F1"/>
    <w:rsid w:val="00BA293B"/>
    <w:rsid w:val="00BA3E3D"/>
    <w:rsid w:val="00BA5401"/>
    <w:rsid w:val="00BB0864"/>
    <w:rsid w:val="00BB0AF6"/>
    <w:rsid w:val="00BB1D5B"/>
    <w:rsid w:val="00BB25CA"/>
    <w:rsid w:val="00BB4EFB"/>
    <w:rsid w:val="00BB59FC"/>
    <w:rsid w:val="00BD469D"/>
    <w:rsid w:val="00BD4AE6"/>
    <w:rsid w:val="00BE05CF"/>
    <w:rsid w:val="00BE0603"/>
    <w:rsid w:val="00BE2898"/>
    <w:rsid w:val="00BE5A9C"/>
    <w:rsid w:val="00BE5B7E"/>
    <w:rsid w:val="00BE5C78"/>
    <w:rsid w:val="00BE65F5"/>
    <w:rsid w:val="00BF08E7"/>
    <w:rsid w:val="00BF125B"/>
    <w:rsid w:val="00BF2CFF"/>
    <w:rsid w:val="00BF3435"/>
    <w:rsid w:val="00BF42D0"/>
    <w:rsid w:val="00BF42E6"/>
    <w:rsid w:val="00BF6478"/>
    <w:rsid w:val="00C04CAE"/>
    <w:rsid w:val="00C05623"/>
    <w:rsid w:val="00C05787"/>
    <w:rsid w:val="00C06056"/>
    <w:rsid w:val="00C061DB"/>
    <w:rsid w:val="00C06924"/>
    <w:rsid w:val="00C07B2B"/>
    <w:rsid w:val="00C1073E"/>
    <w:rsid w:val="00C10AC5"/>
    <w:rsid w:val="00C116C8"/>
    <w:rsid w:val="00C11EA6"/>
    <w:rsid w:val="00C11F5D"/>
    <w:rsid w:val="00C138D0"/>
    <w:rsid w:val="00C21807"/>
    <w:rsid w:val="00C2225A"/>
    <w:rsid w:val="00C3115B"/>
    <w:rsid w:val="00C359A9"/>
    <w:rsid w:val="00C36200"/>
    <w:rsid w:val="00C362F8"/>
    <w:rsid w:val="00C36EC6"/>
    <w:rsid w:val="00C46ED7"/>
    <w:rsid w:val="00C509D6"/>
    <w:rsid w:val="00C5133E"/>
    <w:rsid w:val="00C51913"/>
    <w:rsid w:val="00C51B32"/>
    <w:rsid w:val="00C52AA9"/>
    <w:rsid w:val="00C53E45"/>
    <w:rsid w:val="00C54DC3"/>
    <w:rsid w:val="00C61B64"/>
    <w:rsid w:val="00C65AB2"/>
    <w:rsid w:val="00C66FD3"/>
    <w:rsid w:val="00C73A23"/>
    <w:rsid w:val="00C73D13"/>
    <w:rsid w:val="00C746C0"/>
    <w:rsid w:val="00C80323"/>
    <w:rsid w:val="00C804C6"/>
    <w:rsid w:val="00C84297"/>
    <w:rsid w:val="00C85726"/>
    <w:rsid w:val="00C86CC8"/>
    <w:rsid w:val="00C87832"/>
    <w:rsid w:val="00C916FB"/>
    <w:rsid w:val="00C9173A"/>
    <w:rsid w:val="00C91F96"/>
    <w:rsid w:val="00C92814"/>
    <w:rsid w:val="00C96A15"/>
    <w:rsid w:val="00CA012D"/>
    <w:rsid w:val="00CA0415"/>
    <w:rsid w:val="00CA0EEA"/>
    <w:rsid w:val="00CA5B49"/>
    <w:rsid w:val="00CB137E"/>
    <w:rsid w:val="00CB4654"/>
    <w:rsid w:val="00CB7D7A"/>
    <w:rsid w:val="00CC12EF"/>
    <w:rsid w:val="00CC160E"/>
    <w:rsid w:val="00CC5CAC"/>
    <w:rsid w:val="00CC64BD"/>
    <w:rsid w:val="00CC675D"/>
    <w:rsid w:val="00CC704D"/>
    <w:rsid w:val="00CC7DB5"/>
    <w:rsid w:val="00CD01C9"/>
    <w:rsid w:val="00CD188A"/>
    <w:rsid w:val="00CD2BE9"/>
    <w:rsid w:val="00CD4757"/>
    <w:rsid w:val="00CD6F4C"/>
    <w:rsid w:val="00CE1B8A"/>
    <w:rsid w:val="00CE1ED8"/>
    <w:rsid w:val="00CE2AB9"/>
    <w:rsid w:val="00CE3AF2"/>
    <w:rsid w:val="00CE6E86"/>
    <w:rsid w:val="00CE6F29"/>
    <w:rsid w:val="00CE77D0"/>
    <w:rsid w:val="00CE7E53"/>
    <w:rsid w:val="00CF22DB"/>
    <w:rsid w:val="00D013DB"/>
    <w:rsid w:val="00D02359"/>
    <w:rsid w:val="00D02A23"/>
    <w:rsid w:val="00D054B1"/>
    <w:rsid w:val="00D05FF1"/>
    <w:rsid w:val="00D07A9E"/>
    <w:rsid w:val="00D1019C"/>
    <w:rsid w:val="00D102A8"/>
    <w:rsid w:val="00D12E9B"/>
    <w:rsid w:val="00D13CE2"/>
    <w:rsid w:val="00D1482D"/>
    <w:rsid w:val="00D217CE"/>
    <w:rsid w:val="00D21DCB"/>
    <w:rsid w:val="00D22E85"/>
    <w:rsid w:val="00D23322"/>
    <w:rsid w:val="00D24E3C"/>
    <w:rsid w:val="00D26F2A"/>
    <w:rsid w:val="00D30BC8"/>
    <w:rsid w:val="00D351A7"/>
    <w:rsid w:val="00D42233"/>
    <w:rsid w:val="00D42400"/>
    <w:rsid w:val="00D43049"/>
    <w:rsid w:val="00D435E1"/>
    <w:rsid w:val="00D435EF"/>
    <w:rsid w:val="00D43E0F"/>
    <w:rsid w:val="00D47E28"/>
    <w:rsid w:val="00D56890"/>
    <w:rsid w:val="00D56DD6"/>
    <w:rsid w:val="00D57A11"/>
    <w:rsid w:val="00D61993"/>
    <w:rsid w:val="00D64675"/>
    <w:rsid w:val="00D6565C"/>
    <w:rsid w:val="00D7101A"/>
    <w:rsid w:val="00D721AB"/>
    <w:rsid w:val="00D73983"/>
    <w:rsid w:val="00D750FD"/>
    <w:rsid w:val="00D7598F"/>
    <w:rsid w:val="00D7729E"/>
    <w:rsid w:val="00D77B0C"/>
    <w:rsid w:val="00D84F79"/>
    <w:rsid w:val="00D8540E"/>
    <w:rsid w:val="00D858C8"/>
    <w:rsid w:val="00D85EDA"/>
    <w:rsid w:val="00D92895"/>
    <w:rsid w:val="00D9408A"/>
    <w:rsid w:val="00D94D1A"/>
    <w:rsid w:val="00D96687"/>
    <w:rsid w:val="00DA02DC"/>
    <w:rsid w:val="00DA0BF0"/>
    <w:rsid w:val="00DA474A"/>
    <w:rsid w:val="00DA547E"/>
    <w:rsid w:val="00DB0A45"/>
    <w:rsid w:val="00DB4FD8"/>
    <w:rsid w:val="00DB5BBF"/>
    <w:rsid w:val="00DB7391"/>
    <w:rsid w:val="00DC0184"/>
    <w:rsid w:val="00DC15DB"/>
    <w:rsid w:val="00DC2003"/>
    <w:rsid w:val="00DC48BE"/>
    <w:rsid w:val="00DD15F6"/>
    <w:rsid w:val="00DD234D"/>
    <w:rsid w:val="00DD48F2"/>
    <w:rsid w:val="00DD7100"/>
    <w:rsid w:val="00DF2687"/>
    <w:rsid w:val="00DF6D0A"/>
    <w:rsid w:val="00E02035"/>
    <w:rsid w:val="00E0273D"/>
    <w:rsid w:val="00E05FE5"/>
    <w:rsid w:val="00E06041"/>
    <w:rsid w:val="00E0724D"/>
    <w:rsid w:val="00E07E30"/>
    <w:rsid w:val="00E11346"/>
    <w:rsid w:val="00E12911"/>
    <w:rsid w:val="00E1297B"/>
    <w:rsid w:val="00E155A5"/>
    <w:rsid w:val="00E178BD"/>
    <w:rsid w:val="00E20838"/>
    <w:rsid w:val="00E21645"/>
    <w:rsid w:val="00E272AE"/>
    <w:rsid w:val="00E30594"/>
    <w:rsid w:val="00E33B46"/>
    <w:rsid w:val="00E34E54"/>
    <w:rsid w:val="00E445CE"/>
    <w:rsid w:val="00E44A43"/>
    <w:rsid w:val="00E50D80"/>
    <w:rsid w:val="00E544CA"/>
    <w:rsid w:val="00E56741"/>
    <w:rsid w:val="00E6096D"/>
    <w:rsid w:val="00E6223B"/>
    <w:rsid w:val="00E709D1"/>
    <w:rsid w:val="00E719AC"/>
    <w:rsid w:val="00E71D25"/>
    <w:rsid w:val="00E72184"/>
    <w:rsid w:val="00E72EF4"/>
    <w:rsid w:val="00E731B7"/>
    <w:rsid w:val="00E743DD"/>
    <w:rsid w:val="00E744B0"/>
    <w:rsid w:val="00E752B7"/>
    <w:rsid w:val="00E76319"/>
    <w:rsid w:val="00E81035"/>
    <w:rsid w:val="00E83413"/>
    <w:rsid w:val="00E86950"/>
    <w:rsid w:val="00E87E19"/>
    <w:rsid w:val="00E901EF"/>
    <w:rsid w:val="00E926C4"/>
    <w:rsid w:val="00E94338"/>
    <w:rsid w:val="00E9638E"/>
    <w:rsid w:val="00E96DE8"/>
    <w:rsid w:val="00EA0F29"/>
    <w:rsid w:val="00EA2A05"/>
    <w:rsid w:val="00EA32EF"/>
    <w:rsid w:val="00EB012E"/>
    <w:rsid w:val="00EB06FF"/>
    <w:rsid w:val="00EB0EB4"/>
    <w:rsid w:val="00EB35C3"/>
    <w:rsid w:val="00EB793A"/>
    <w:rsid w:val="00EC03BA"/>
    <w:rsid w:val="00EC0F51"/>
    <w:rsid w:val="00EC2367"/>
    <w:rsid w:val="00EC73A6"/>
    <w:rsid w:val="00ED0003"/>
    <w:rsid w:val="00ED153D"/>
    <w:rsid w:val="00ED28CD"/>
    <w:rsid w:val="00ED6EF6"/>
    <w:rsid w:val="00ED7AA6"/>
    <w:rsid w:val="00EE0EF8"/>
    <w:rsid w:val="00EE1CF7"/>
    <w:rsid w:val="00EE5FF0"/>
    <w:rsid w:val="00EF3D73"/>
    <w:rsid w:val="00EF447D"/>
    <w:rsid w:val="00EF5D60"/>
    <w:rsid w:val="00EF5DA5"/>
    <w:rsid w:val="00EF6CA4"/>
    <w:rsid w:val="00EF72FF"/>
    <w:rsid w:val="00F00CA5"/>
    <w:rsid w:val="00F01F08"/>
    <w:rsid w:val="00F04803"/>
    <w:rsid w:val="00F05044"/>
    <w:rsid w:val="00F064CE"/>
    <w:rsid w:val="00F06732"/>
    <w:rsid w:val="00F07D83"/>
    <w:rsid w:val="00F144CE"/>
    <w:rsid w:val="00F15B91"/>
    <w:rsid w:val="00F16DA8"/>
    <w:rsid w:val="00F22538"/>
    <w:rsid w:val="00F23C01"/>
    <w:rsid w:val="00F24D75"/>
    <w:rsid w:val="00F25493"/>
    <w:rsid w:val="00F2621D"/>
    <w:rsid w:val="00F3480C"/>
    <w:rsid w:val="00F4475E"/>
    <w:rsid w:val="00F44907"/>
    <w:rsid w:val="00F51ED0"/>
    <w:rsid w:val="00F5341C"/>
    <w:rsid w:val="00F5384A"/>
    <w:rsid w:val="00F540E1"/>
    <w:rsid w:val="00F54EC4"/>
    <w:rsid w:val="00F55003"/>
    <w:rsid w:val="00F5629B"/>
    <w:rsid w:val="00F5653D"/>
    <w:rsid w:val="00F601B8"/>
    <w:rsid w:val="00F624C0"/>
    <w:rsid w:val="00F722BE"/>
    <w:rsid w:val="00F73404"/>
    <w:rsid w:val="00F73AC3"/>
    <w:rsid w:val="00F73C16"/>
    <w:rsid w:val="00F73FEC"/>
    <w:rsid w:val="00F74450"/>
    <w:rsid w:val="00F75B3D"/>
    <w:rsid w:val="00F774FC"/>
    <w:rsid w:val="00F8291C"/>
    <w:rsid w:val="00F82FB7"/>
    <w:rsid w:val="00F840B1"/>
    <w:rsid w:val="00F856E0"/>
    <w:rsid w:val="00F86C80"/>
    <w:rsid w:val="00F90015"/>
    <w:rsid w:val="00F919A6"/>
    <w:rsid w:val="00F91BA5"/>
    <w:rsid w:val="00F91DF1"/>
    <w:rsid w:val="00F9312A"/>
    <w:rsid w:val="00F94372"/>
    <w:rsid w:val="00F966BE"/>
    <w:rsid w:val="00F973E5"/>
    <w:rsid w:val="00FA3A53"/>
    <w:rsid w:val="00FA4F9D"/>
    <w:rsid w:val="00FA5929"/>
    <w:rsid w:val="00FB2C9E"/>
    <w:rsid w:val="00FB3C9A"/>
    <w:rsid w:val="00FB5687"/>
    <w:rsid w:val="00FB66CB"/>
    <w:rsid w:val="00FB7995"/>
    <w:rsid w:val="00FC1458"/>
    <w:rsid w:val="00FC3A6B"/>
    <w:rsid w:val="00FC4430"/>
    <w:rsid w:val="00FC77B3"/>
    <w:rsid w:val="00FD0F2A"/>
    <w:rsid w:val="00FD2AF9"/>
    <w:rsid w:val="00FD3B3A"/>
    <w:rsid w:val="00FD4D14"/>
    <w:rsid w:val="00FD7002"/>
    <w:rsid w:val="00FE27D0"/>
    <w:rsid w:val="00FE7CEF"/>
    <w:rsid w:val="00FF08A3"/>
    <w:rsid w:val="00FF5079"/>
    <w:rsid w:val="00FF50C2"/>
    <w:rsid w:val="00FF7482"/>
    <w:rsid w:val="00FF785B"/>
    <w:rsid w:val="0B593BE0"/>
    <w:rsid w:val="1B374038"/>
    <w:rsid w:val="71AD1E6D"/>
    <w:rsid w:val="7AFA7B09"/>
    <w:rsid w:val="7AFB1534"/>
    <w:rsid w:val="7CE9FE33"/>
    <w:rsid w:val="D7ED5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name="heading 1"/>
    <w:lsdException w:qFormat="1" w:unhideWhenUsed="0" w:uiPriority="9" w:name="heading 2"/>
    <w:lsdException w:qFormat="1" w:unhideWhenUsed="0" w:uiPriority="9"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0" w:semiHidden="0" w:name="annotation text"/>
    <w:lsdException w:unhideWhenUsed="0" w:uiPriority="99" w:name="header"/>
    <w:lsdException w:qFormat="1" w:unhideWhenUsed="0" w:uiPriority="99" w:semiHidden="0"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name="Title"/>
    <w:lsdException w:unhideWhenUsed="0" w:uiPriority="99" w:name="Closing"/>
    <w:lsdException w:unhideWhenUsed="0" w:uiPriority="99" w:name="Signature"/>
    <w:lsdException w:qFormat="1" w:uiPriority="1"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iPriority="99" w:semiHidden="0" w:name="Hyperlink"/>
    <w:lsdException w:unhideWhenUsed="0" w:uiPriority="99" w:name="FollowedHyperlink"/>
    <w:lsdException w:qFormat="1" w:unhideWhenUsed="0" w:uiPriority="22" w:name="Strong"/>
    <w:lsdException w:qFormat="1" w:unhideWhenUsed="0" w:uiPriority="20" w:name="Emphasis"/>
    <w:lsdException w:unhideWhenUsed="0" w:uiPriority="99" w:name="Document Map"/>
    <w:lsdException w:unhideWhenUsed="0" w:uiPriority="99" w:name="Plain Text"/>
    <w:lsdException w:unhideWhenUsed="0" w:uiPriority="99" w:name="E-mail Signature"/>
    <w:lsdException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9"/>
    <w:semiHidden/>
    <w:qFormat/>
    <w:uiPriority w:val="9"/>
    <w:pPr>
      <w:keepNext/>
      <w:keepLines/>
      <w:spacing w:before="340" w:after="330" w:line="578" w:lineRule="auto"/>
      <w:ind w:firstLine="0" w:firstLineChars="0"/>
      <w:jc w:val="center"/>
      <w:outlineLvl w:val="0"/>
    </w:pPr>
    <w:rPr>
      <w:b/>
      <w:bCs/>
      <w:kern w:val="44"/>
      <w:sz w:val="44"/>
      <w:szCs w:val="44"/>
    </w:rPr>
  </w:style>
  <w:style w:type="paragraph" w:styleId="3">
    <w:name w:val="heading 2"/>
    <w:basedOn w:val="1"/>
    <w:next w:val="1"/>
    <w:link w:val="20"/>
    <w:semiHidden/>
    <w:qFormat/>
    <w:uiPriority w:val="9"/>
    <w:pPr>
      <w:keepNext/>
      <w:keepLines/>
      <w:spacing w:before="260" w:after="260"/>
      <w:ind w:firstLine="0" w:firstLineChars="0"/>
      <w:outlineLvl w:val="1"/>
    </w:pPr>
    <w:rPr>
      <w:rFonts w:asciiTheme="majorHAnsi" w:hAnsiTheme="majorHAnsi" w:cstheme="majorBidi"/>
      <w:b/>
      <w:bCs/>
      <w:sz w:val="32"/>
      <w:szCs w:val="32"/>
    </w:rPr>
  </w:style>
  <w:style w:type="paragraph" w:styleId="4">
    <w:name w:val="heading 3"/>
    <w:basedOn w:val="1"/>
    <w:next w:val="1"/>
    <w:link w:val="21"/>
    <w:semiHidden/>
    <w:qFormat/>
    <w:uiPriority w:val="9"/>
    <w:pPr>
      <w:keepNext/>
      <w:keepLines/>
      <w:spacing w:before="260" w:after="260"/>
      <w:ind w:firstLine="0" w:firstLineChars="0"/>
      <w:outlineLvl w:val="2"/>
    </w:pPr>
    <w:rPr>
      <w:b/>
      <w:bCs/>
      <w:sz w:val="30"/>
      <w:szCs w:val="32"/>
    </w:rPr>
  </w:style>
  <w:style w:type="paragraph" w:styleId="5">
    <w:name w:val="heading 4"/>
    <w:basedOn w:val="1"/>
    <w:next w:val="1"/>
    <w:link w:val="23"/>
    <w:semiHidden/>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qFormat/>
    <w:uiPriority w:val="9"/>
    <w:pPr>
      <w:keepNext/>
      <w:keepLines/>
      <w:spacing w:before="280" w:after="290" w:line="480" w:lineRule="auto"/>
      <w:ind w:firstLine="0" w:firstLineChars="0"/>
      <w:outlineLvl w:val="4"/>
    </w:pPr>
    <w:rPr>
      <w:b/>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44"/>
    <w:qFormat/>
    <w:uiPriority w:val="0"/>
  </w:style>
  <w:style w:type="paragraph" w:styleId="8">
    <w:name w:val="toc 3"/>
    <w:basedOn w:val="1"/>
    <w:next w:val="1"/>
    <w:qFormat/>
    <w:uiPriority w:val="39"/>
    <w:pPr>
      <w:tabs>
        <w:tab w:val="right" w:leader="dot" w:pos="8834"/>
      </w:tabs>
      <w:spacing w:line="600" w:lineRule="exact"/>
      <w:ind w:left="1131" w:leftChars="136" w:hanging="845" w:hangingChars="264"/>
    </w:pPr>
    <w:rPr>
      <w:rFonts w:eastAsia="仿宋_GB2312"/>
      <w:sz w:val="32"/>
    </w:rPr>
  </w:style>
  <w:style w:type="paragraph" w:styleId="9">
    <w:name w:val="Balloon Text"/>
    <w:basedOn w:val="1"/>
    <w:link w:val="41"/>
    <w:semiHidden/>
    <w:qFormat/>
    <w:uiPriority w:val="99"/>
    <w:pPr>
      <w:spacing w:line="240" w:lineRule="auto"/>
    </w:pPr>
    <w:rPr>
      <w:sz w:val="18"/>
      <w:szCs w:val="18"/>
    </w:rPr>
  </w:style>
  <w:style w:type="paragraph" w:styleId="10">
    <w:name w:val="footer"/>
    <w:basedOn w:val="1"/>
    <w:link w:val="40"/>
    <w:qFormat/>
    <w:uiPriority w:val="99"/>
    <w:pPr>
      <w:tabs>
        <w:tab w:val="center" w:pos="4153"/>
        <w:tab w:val="right" w:pos="8306"/>
      </w:tabs>
      <w:snapToGrid w:val="0"/>
      <w:spacing w:line="240" w:lineRule="auto"/>
    </w:pPr>
    <w:rPr>
      <w:sz w:val="18"/>
      <w:szCs w:val="18"/>
    </w:rPr>
  </w:style>
  <w:style w:type="paragraph" w:styleId="11">
    <w:name w:val="toc 1"/>
    <w:basedOn w:val="1"/>
    <w:next w:val="1"/>
    <w:qFormat/>
    <w:uiPriority w:val="39"/>
    <w:pPr>
      <w:spacing w:line="600" w:lineRule="exact"/>
      <w:ind w:firstLine="0" w:firstLineChars="0"/>
    </w:pPr>
    <w:rPr>
      <w:rFonts w:ascii="Times New Roman" w:hAnsi="Times New Roman" w:eastAsia="仿宋_GB2312"/>
      <w:b/>
      <w:sz w:val="32"/>
    </w:rPr>
  </w:style>
  <w:style w:type="paragraph" w:styleId="12">
    <w:name w:val="toc 2"/>
    <w:basedOn w:val="1"/>
    <w:next w:val="1"/>
    <w:qFormat/>
    <w:uiPriority w:val="39"/>
    <w:pPr>
      <w:tabs>
        <w:tab w:val="right" w:leader="dot" w:pos="8834"/>
      </w:tabs>
      <w:spacing w:line="500" w:lineRule="exact"/>
      <w:ind w:left="643" w:hanging="643" w:hangingChars="200"/>
    </w:pPr>
    <w:rPr>
      <w:rFonts w:ascii="Times New Roman" w:hAnsi="Times New Roman" w:eastAsia="仿宋_GB2312"/>
      <w:b/>
      <w:sz w:val="32"/>
    </w:rPr>
  </w:style>
  <w:style w:type="paragraph" w:styleId="13">
    <w:name w:val="annotation subject"/>
    <w:basedOn w:val="7"/>
    <w:next w:val="7"/>
    <w:link w:val="45"/>
    <w:semiHidden/>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qFormat/>
    <w:uiPriority w:val="99"/>
    <w:rPr>
      <w:sz w:val="21"/>
      <w:szCs w:val="21"/>
    </w:rPr>
  </w:style>
  <w:style w:type="character" w:customStyle="1" w:styleId="19">
    <w:name w:val="标题 1 字符"/>
    <w:basedOn w:val="16"/>
    <w:link w:val="2"/>
    <w:semiHidden/>
    <w:qFormat/>
    <w:uiPriority w:val="9"/>
    <w:rPr>
      <w:b/>
      <w:bCs/>
      <w:kern w:val="44"/>
      <w:sz w:val="44"/>
      <w:szCs w:val="44"/>
    </w:rPr>
  </w:style>
  <w:style w:type="character" w:customStyle="1" w:styleId="20">
    <w:name w:val="标题 2 字符"/>
    <w:basedOn w:val="16"/>
    <w:link w:val="3"/>
    <w:semiHidden/>
    <w:qFormat/>
    <w:uiPriority w:val="9"/>
    <w:rPr>
      <w:rFonts w:asciiTheme="majorHAnsi" w:hAnsiTheme="majorHAnsi" w:cstheme="majorBidi"/>
      <w:b/>
      <w:bCs/>
      <w:sz w:val="32"/>
      <w:szCs w:val="32"/>
    </w:rPr>
  </w:style>
  <w:style w:type="character" w:customStyle="1" w:styleId="21">
    <w:name w:val="标题 3 字符"/>
    <w:basedOn w:val="16"/>
    <w:link w:val="4"/>
    <w:semiHidden/>
    <w:qFormat/>
    <w:uiPriority w:val="9"/>
    <w:rPr>
      <w:b/>
      <w:bCs/>
      <w:sz w:val="30"/>
      <w:szCs w:val="32"/>
    </w:rPr>
  </w:style>
  <w:style w:type="character" w:customStyle="1" w:styleId="22">
    <w:name w:val="标题 5 字符"/>
    <w:basedOn w:val="16"/>
    <w:link w:val="6"/>
    <w:semiHidden/>
    <w:qFormat/>
    <w:uiPriority w:val="9"/>
    <w:rPr>
      <w:b/>
      <w:bCs/>
      <w:szCs w:val="28"/>
    </w:rPr>
  </w:style>
  <w:style w:type="character" w:customStyle="1" w:styleId="23">
    <w:name w:val="标题 4 字符"/>
    <w:basedOn w:val="16"/>
    <w:link w:val="5"/>
    <w:semiHidden/>
    <w:qFormat/>
    <w:uiPriority w:val="9"/>
    <w:rPr>
      <w:rFonts w:asciiTheme="majorHAnsi" w:hAnsiTheme="majorHAnsi" w:eastAsiaTheme="majorEastAsia" w:cstheme="majorBidi"/>
      <w:b/>
      <w:bCs/>
      <w:sz w:val="28"/>
      <w:szCs w:val="28"/>
    </w:rPr>
  </w:style>
  <w:style w:type="paragraph" w:customStyle="1" w:styleId="24">
    <w:name w:val="市局绩效-标题"/>
    <w:basedOn w:val="2"/>
    <w:link w:val="26"/>
    <w:qFormat/>
    <w:uiPriority w:val="0"/>
    <w:pPr>
      <w:spacing w:line="600" w:lineRule="exact"/>
    </w:pPr>
    <w:rPr>
      <w:rFonts w:ascii="方正小标宋简体" w:hAnsi="方正小标宋简体" w:eastAsia="方正小标宋简体"/>
      <w:b w:val="0"/>
    </w:rPr>
  </w:style>
  <w:style w:type="paragraph" w:customStyle="1" w:styleId="25">
    <w:name w:val="市局绩效-正文"/>
    <w:basedOn w:val="1"/>
    <w:link w:val="28"/>
    <w:qFormat/>
    <w:uiPriority w:val="0"/>
    <w:pPr>
      <w:spacing w:line="600" w:lineRule="exact"/>
      <w:jc w:val="both"/>
    </w:pPr>
    <w:rPr>
      <w:rFonts w:ascii="Times New Roman" w:hAnsi="Times New Roman" w:eastAsia="仿宋_GB2312"/>
      <w:sz w:val="32"/>
    </w:rPr>
  </w:style>
  <w:style w:type="character" w:customStyle="1" w:styleId="26">
    <w:name w:val="市局绩效-标题 字符"/>
    <w:basedOn w:val="19"/>
    <w:link w:val="24"/>
    <w:qFormat/>
    <w:uiPriority w:val="0"/>
    <w:rPr>
      <w:rFonts w:ascii="方正小标宋简体" w:hAnsi="方正小标宋简体" w:eastAsia="方正小标宋简体"/>
      <w:b w:val="0"/>
      <w:kern w:val="44"/>
      <w:sz w:val="44"/>
      <w:szCs w:val="44"/>
    </w:rPr>
  </w:style>
  <w:style w:type="paragraph" w:customStyle="1" w:styleId="27">
    <w:name w:val="市局绩效-一级标题"/>
    <w:basedOn w:val="3"/>
    <w:link w:val="30"/>
    <w:qFormat/>
    <w:uiPriority w:val="0"/>
    <w:pPr>
      <w:spacing w:before="0" w:after="0" w:line="600" w:lineRule="exact"/>
      <w:ind w:firstLine="641"/>
      <w:jc w:val="both"/>
    </w:pPr>
    <w:rPr>
      <w:rFonts w:ascii="Times New Roman" w:hAnsi="Times New Roman" w:eastAsia="黑体"/>
      <w:b w:val="0"/>
    </w:rPr>
  </w:style>
  <w:style w:type="character" w:customStyle="1" w:styleId="28">
    <w:name w:val="市局绩效-正文 字符"/>
    <w:basedOn w:val="16"/>
    <w:link w:val="25"/>
    <w:qFormat/>
    <w:uiPriority w:val="0"/>
    <w:rPr>
      <w:rFonts w:ascii="Times New Roman" w:hAnsi="Times New Roman" w:eastAsia="仿宋_GB2312"/>
      <w:sz w:val="32"/>
    </w:rPr>
  </w:style>
  <w:style w:type="paragraph" w:customStyle="1" w:styleId="29">
    <w:name w:val="市局绩效-二级标题"/>
    <w:basedOn w:val="4"/>
    <w:link w:val="31"/>
    <w:qFormat/>
    <w:uiPriority w:val="0"/>
    <w:pPr>
      <w:spacing w:before="0" w:after="0" w:line="600" w:lineRule="exact"/>
      <w:ind w:firstLine="200" w:firstLineChars="200"/>
      <w:jc w:val="both"/>
    </w:pPr>
    <w:rPr>
      <w:rFonts w:eastAsia="楷体_GB2312"/>
      <w:b w:val="0"/>
      <w:sz w:val="32"/>
    </w:rPr>
  </w:style>
  <w:style w:type="character" w:customStyle="1" w:styleId="30">
    <w:name w:val="市局绩效-一级标题 字符"/>
    <w:basedOn w:val="20"/>
    <w:link w:val="27"/>
    <w:qFormat/>
    <w:uiPriority w:val="0"/>
    <w:rPr>
      <w:rFonts w:ascii="Times New Roman" w:hAnsi="Times New Roman" w:eastAsia="黑体" w:cstheme="majorBidi"/>
      <w:b w:val="0"/>
      <w:sz w:val="32"/>
      <w:szCs w:val="32"/>
    </w:rPr>
  </w:style>
  <w:style w:type="character" w:customStyle="1" w:styleId="31">
    <w:name w:val="市局绩效-二级标题 字符"/>
    <w:basedOn w:val="21"/>
    <w:link w:val="29"/>
    <w:qFormat/>
    <w:uiPriority w:val="0"/>
    <w:rPr>
      <w:rFonts w:eastAsia="楷体_GB2312"/>
      <w:b w:val="0"/>
      <w:sz w:val="32"/>
      <w:szCs w:val="32"/>
    </w:rPr>
  </w:style>
  <w:style w:type="paragraph" w:customStyle="1" w:styleId="32">
    <w:name w:val="市局绩效-表格标题"/>
    <w:basedOn w:val="1"/>
    <w:link w:val="34"/>
    <w:qFormat/>
    <w:uiPriority w:val="0"/>
    <w:pPr>
      <w:widowControl/>
      <w:spacing w:line="600" w:lineRule="exact"/>
      <w:ind w:firstLine="0" w:firstLineChars="0"/>
      <w:jc w:val="center"/>
    </w:pPr>
    <w:rPr>
      <w:rFonts w:ascii="Times New Roman" w:hAnsi="Times New Roman" w:eastAsia="黑体" w:cs="Times New Roman"/>
      <w:bCs/>
      <w:sz w:val="28"/>
      <w:szCs w:val="24"/>
    </w:rPr>
  </w:style>
  <w:style w:type="paragraph" w:customStyle="1" w:styleId="33">
    <w:name w:val="市局绩效-表格单位"/>
    <w:basedOn w:val="1"/>
    <w:link w:val="36"/>
    <w:qFormat/>
    <w:uiPriority w:val="0"/>
    <w:pPr>
      <w:widowControl/>
      <w:spacing w:line="240" w:lineRule="auto"/>
      <w:ind w:firstLine="0" w:firstLineChars="0"/>
      <w:jc w:val="right"/>
    </w:pPr>
    <w:rPr>
      <w:rFonts w:ascii="Times New Roman" w:hAnsi="Times New Roman" w:eastAsia="宋体"/>
      <w:bCs/>
      <w:szCs w:val="18"/>
    </w:rPr>
  </w:style>
  <w:style w:type="character" w:customStyle="1" w:styleId="34">
    <w:name w:val="市局绩效-表格标题 字符"/>
    <w:basedOn w:val="16"/>
    <w:link w:val="32"/>
    <w:qFormat/>
    <w:uiPriority w:val="0"/>
    <w:rPr>
      <w:rFonts w:ascii="Times New Roman" w:hAnsi="Times New Roman" w:eastAsia="黑体" w:cs="Times New Roman"/>
      <w:bCs/>
      <w:sz w:val="28"/>
      <w:szCs w:val="24"/>
    </w:rPr>
  </w:style>
  <w:style w:type="paragraph" w:customStyle="1" w:styleId="35">
    <w:name w:val="市局绩效-表格表头"/>
    <w:basedOn w:val="25"/>
    <w:link w:val="38"/>
    <w:qFormat/>
    <w:uiPriority w:val="0"/>
    <w:pPr>
      <w:spacing w:line="240" w:lineRule="auto"/>
      <w:ind w:firstLine="0" w:firstLineChars="0"/>
      <w:jc w:val="center"/>
    </w:pPr>
    <w:rPr>
      <w:rFonts w:eastAsia="宋体"/>
      <w:b/>
      <w:sz w:val="21"/>
    </w:rPr>
  </w:style>
  <w:style w:type="character" w:customStyle="1" w:styleId="36">
    <w:name w:val="市局绩效-表格单位 字符"/>
    <w:basedOn w:val="16"/>
    <w:link w:val="33"/>
    <w:qFormat/>
    <w:uiPriority w:val="0"/>
    <w:rPr>
      <w:rFonts w:ascii="Times New Roman" w:hAnsi="Times New Roman" w:eastAsia="宋体"/>
      <w:bCs/>
      <w:szCs w:val="18"/>
    </w:rPr>
  </w:style>
  <w:style w:type="paragraph" w:customStyle="1" w:styleId="37">
    <w:name w:val="市局绩效-表格内容"/>
    <w:basedOn w:val="25"/>
    <w:link w:val="39"/>
    <w:qFormat/>
    <w:uiPriority w:val="0"/>
    <w:pPr>
      <w:spacing w:line="240" w:lineRule="auto"/>
      <w:ind w:firstLine="0" w:firstLineChars="0"/>
      <w:jc w:val="center"/>
    </w:pPr>
    <w:rPr>
      <w:rFonts w:eastAsia="宋体"/>
      <w:sz w:val="21"/>
    </w:rPr>
  </w:style>
  <w:style w:type="character" w:customStyle="1" w:styleId="38">
    <w:name w:val="市局绩效-表格表头 字符"/>
    <w:basedOn w:val="28"/>
    <w:link w:val="35"/>
    <w:uiPriority w:val="0"/>
    <w:rPr>
      <w:rFonts w:ascii="Times New Roman" w:hAnsi="Times New Roman" w:eastAsia="宋体"/>
      <w:b/>
      <w:sz w:val="32"/>
    </w:rPr>
  </w:style>
  <w:style w:type="character" w:customStyle="1" w:styleId="39">
    <w:name w:val="市局绩效-表格内容 字符"/>
    <w:basedOn w:val="28"/>
    <w:link w:val="37"/>
    <w:uiPriority w:val="0"/>
    <w:rPr>
      <w:rFonts w:ascii="Times New Roman" w:hAnsi="Times New Roman" w:eastAsia="宋体"/>
      <w:sz w:val="32"/>
    </w:rPr>
  </w:style>
  <w:style w:type="character" w:customStyle="1" w:styleId="40">
    <w:name w:val="页脚 字符"/>
    <w:basedOn w:val="16"/>
    <w:link w:val="10"/>
    <w:uiPriority w:val="99"/>
    <w:rPr>
      <w:sz w:val="18"/>
      <w:szCs w:val="18"/>
    </w:rPr>
  </w:style>
  <w:style w:type="character" w:customStyle="1" w:styleId="41">
    <w:name w:val="批注框文本 字符"/>
    <w:basedOn w:val="16"/>
    <w:link w:val="9"/>
    <w:semiHidden/>
    <w:uiPriority w:val="99"/>
    <w:rPr>
      <w:sz w:val="18"/>
      <w:szCs w:val="18"/>
    </w:rPr>
  </w:style>
  <w:style w:type="paragraph" w:customStyle="1" w:styleId="42">
    <w:name w:val="市局绩效-注"/>
    <w:basedOn w:val="25"/>
    <w:link w:val="43"/>
    <w:qFormat/>
    <w:uiPriority w:val="0"/>
    <w:pPr>
      <w:ind w:firstLine="0" w:firstLineChars="0"/>
    </w:pPr>
    <w:rPr>
      <w:rFonts w:eastAsia="宋体"/>
      <w:bCs/>
      <w:sz w:val="21"/>
    </w:rPr>
  </w:style>
  <w:style w:type="character" w:customStyle="1" w:styleId="43">
    <w:name w:val="市局绩效-注 字符"/>
    <w:basedOn w:val="28"/>
    <w:link w:val="42"/>
    <w:uiPriority w:val="0"/>
    <w:rPr>
      <w:rFonts w:ascii="Times New Roman" w:hAnsi="Times New Roman" w:eastAsia="宋体"/>
      <w:bCs/>
      <w:sz w:val="32"/>
    </w:rPr>
  </w:style>
  <w:style w:type="character" w:customStyle="1" w:styleId="44">
    <w:name w:val="批注文字 字符"/>
    <w:basedOn w:val="16"/>
    <w:link w:val="7"/>
    <w:uiPriority w:val="0"/>
  </w:style>
  <w:style w:type="character" w:customStyle="1" w:styleId="45">
    <w:name w:val="批注主题 字符"/>
    <w:basedOn w:val="44"/>
    <w:link w:val="13"/>
    <w:semiHidden/>
    <w:qFormat/>
    <w:uiPriority w:val="99"/>
    <w:rPr>
      <w:b/>
      <w:bCs/>
    </w:rPr>
  </w:style>
  <w:style w:type="paragraph" w:customStyle="1" w:styleId="4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47">
    <w:name w:val="未处理的提及1"/>
    <w:basedOn w:val="16"/>
    <w:semiHidden/>
    <w:unhideWhenUsed/>
    <w:uiPriority w:val="99"/>
    <w:rPr>
      <w:color w:val="605E5C"/>
      <w:shd w:val="clear" w:color="auto" w:fill="E1DFDD"/>
    </w:rPr>
  </w:style>
  <w:style w:type="paragraph" w:customStyle="1" w:styleId="48">
    <w:name w:val="绩效标题2"/>
    <w:basedOn w:val="3"/>
    <w:link w:val="49"/>
    <w:qFormat/>
    <w:uiPriority w:val="0"/>
    <w:pPr>
      <w:spacing w:before="0" w:after="0" w:line="480" w:lineRule="atLeast"/>
    </w:pPr>
    <w:rPr>
      <w:rFonts w:ascii="仿宋" w:hAnsi="仿宋" w:eastAsia="仿宋"/>
      <w:bCs w:val="0"/>
      <w:sz w:val="36"/>
      <w:szCs w:val="44"/>
    </w:rPr>
  </w:style>
  <w:style w:type="character" w:customStyle="1" w:styleId="49">
    <w:name w:val="绩效标题2 字符"/>
    <w:basedOn w:val="20"/>
    <w:link w:val="48"/>
    <w:qFormat/>
    <w:uiPriority w:val="0"/>
    <w:rPr>
      <w:rFonts w:ascii="仿宋" w:hAnsi="仿宋" w:eastAsia="仿宋" w:cstheme="majorBidi"/>
      <w:bCs w:val="0"/>
      <w:sz w:val="36"/>
      <w:szCs w:val="44"/>
    </w:rPr>
  </w:style>
  <w:style w:type="paragraph" w:customStyle="1" w:styleId="50">
    <w:name w:val="绩效正文"/>
    <w:basedOn w:val="1"/>
    <w:link w:val="51"/>
    <w:qFormat/>
    <w:uiPriority w:val="0"/>
    <w:pPr>
      <w:spacing w:line="600" w:lineRule="exact"/>
      <w:ind w:firstLine="640"/>
      <w:jc w:val="both"/>
      <w:textAlignment w:val="baseline"/>
    </w:pPr>
    <w:rPr>
      <w:rFonts w:ascii="Times New Roman" w:hAnsi="Times New Roman" w:eastAsia="仿宋_GB2312" w:cs="Times New Roman"/>
      <w:sz w:val="32"/>
      <w:szCs w:val="32"/>
    </w:rPr>
  </w:style>
  <w:style w:type="character" w:customStyle="1" w:styleId="51">
    <w:name w:val="绩效正文 字符"/>
    <w:basedOn w:val="16"/>
    <w:link w:val="50"/>
    <w:qFormat/>
    <w:uiPriority w:val="0"/>
    <w:rPr>
      <w:rFonts w:ascii="Times New Roman" w:hAnsi="Times New Roman" w:eastAsia="仿宋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3029</Words>
  <Characters>17271</Characters>
  <Lines>143</Lines>
  <Paragraphs>40</Paragraphs>
  <TotalTime>0</TotalTime>
  <ScaleCrop>false</ScaleCrop>
  <LinksUpToDate>false</LinksUpToDate>
  <CharactersWithSpaces>20260</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2021-10-06T04:17:00Z</dcterms:created>
  <dc:creator>忠晔 张</dc:creator>
  <cp:lastModifiedBy>Admin</cp:lastModifiedBy>
  <cp:lastPrinted>2023-10-09T07:47:00Z</cp:lastPrinted>
  <dcterms:modified xsi:type="dcterms:W3CDTF">2023-11-29T12:14:35Z</dcterms:modified>
  <cp:revision>837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B83029B5876D6EDEF7F9DA6445CF244C_42</vt:lpwstr>
  </property>
</Properties>
</file>