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天津市和平区计量检定所2023年度</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负责和平区区域内强制计量器具的周期检定。</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天津市和平区计量检定所内设1个职能科室；下辖0个预算单位。纳入天津市和平区计量检定所2023年度部门决算编制范围的单位包括：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1.天津市和平区计量检定所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1.天津市和平区计量检定所2023年度政府性基金预算财政拨款收入支出决算表为空表。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2.天津市和平区计量检定所2023年度国有资本经营预算财政拨款支出决算表为空表。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3.天津市和平区计量检定所2023年度财政拨款“三公”经费支出决算表为空表。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4.天津市和平区计量检定所2023年度项目支出决算表为空表。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天津市和平区计量检定所2023年度收入、支出决算总计</w:t>
      </w:r>
      <w:r>
        <w:rPr>
          <w:rFonts w:hint="eastAsia" w:ascii="Times New Roman" w:hAnsi="Times New Roman" w:eastAsia="仿宋_GB2312" w:cs="仿宋_GB2312"/>
          <w:sz w:val="30"/>
          <w:szCs w:val="30"/>
          <w:highlight w:val="none"/>
          <w:lang w:eastAsia="zh-CN"/>
        </w:rPr>
        <w:t>768,959.91元，与2022年度相比，收、支总计各增加49,146.11元，增长6.83%，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：人员调入，相应收支增加。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768,800.93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增加48,987.13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人员调入，相应收支增加。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767,669.91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99.85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1,131.02元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758,959.91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41,710.11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人员调入，相应收支增加。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758,959.91元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天津市和平区计量检定所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767,669.91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49,302.11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人员调入，相应收支增加。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计757,669.91元，占本年支出合计的99.83%，与2022年度相比，一般公共预算财政拨款支出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41,866.11元，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：人员调入，相应收支增加。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757,669.91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一般公共服务（类）支出654780.98元，占86.42%；社会保障和就业（类）支出72806.64元，占9.61%；卫生健康（类）支出30082.29元，占3.97%。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626,088.67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757,669.91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121.02%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1.一般公共服务支出（类）市场监督管理事务（款）事业运行（项）年初预算为549525.11元，支出决算为654780.98元，完成年初预算的119.15%，决算数大于年初预算数的主要原因是人员调入，相应收支增加。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基本养老保险缴费支出（项）年初预算为34507.52元，支出决算为48545.68元，完成年初预算的140.68%，决算数大于年初预算数的主要原因是人员调入，相应收支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社会保障和就业支出（类）行政事业单位养老支出（款）机关事业单位职业年金缴费支出（项）年初预算为17253.76元，支出决算为24260.96元，完成年初预算的140.61%，决算数大于年初预算数的主要原因是人员调入，相应收支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4.卫生健康支出（类）行政事业单位医疗（款）事业单位医疗（项）年初预算为14018.68元，支出决算为28954.63元，完成年初预算的206.54%，决算数大于年初预算数的主要原因是人员调入，相应收支增加。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行政事业单位医疗（款）其他行政事业单位医疗支出（项）年初预算为10783.6元，支出决算为1127.66元，完成年初预算的10.46%，决算数小于年初预算数的主要原因是主要使用事业单位医疗经费支出医保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天津市和平区计量检定所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757,669.91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59,866.11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人员调入，相应收支增加。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734,374.69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主要包括基本工资、津贴补贴、奖金、绩效工资、机关事业单位基本养老保险缴费、职业年金缴费、职工基本医疗保险缴费、其他社会保障缴费、住房公积金、退休费。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23,295.22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主要包括电费、水费、通讯费、工会经费、其他商品和服务支出。</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天津市和平区计量检定所2023年度无政府性基金预算财政拨款收入、支出和结转结余。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未发生相关支出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两年均未发生相关支出。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天津市和平区计量检定所2023年度无机关运行经费。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天津市和平区计量检定所2023年度无政府采购支出。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天津市和平区计量检定所2023年度无国有资产占有使用情况。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天津市和平区计量检定所不属于乡、镇、街级单位，不涉及公开2023年度教育、医疗卫生、社会保障和就业、住房保障、涉农补贴等民生支出情况。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7B0A58"/>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D72570A"/>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95181D"/>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2024-08-22T11:22:34Z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