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zh-CN"/>
        </w:rPr>
        <w:t>天津市和平区法律援助中心2023年度部门决算和“三公”经费决算编制说明</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和平区法援助中心负责为我区弱势群体提供法律服务并面向社会提供法律咨询热线。</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天津市和平区法律援助中心内设1个职能科室；下辖0个预算单位。纳入天津市和平区法律援助中心2023年度部门决算编制范围的单位包括：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1.天津市和平区法律援助中心2023年度政府性基金预算财政拨款收入支出决算表为空表。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2.天津市和平区法律援助中心2023年度国有资本经营预算财政拨款收入支出决算表为空表。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3.天津市和平区法律援助中心2023年度财政拨款“三公”经费支出决算表为空表。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天津市和平区法律援助中心2023年度收入、支出决算总计</w:t>
      </w:r>
      <w:r>
        <w:rPr>
          <w:rFonts w:hint="eastAsia" w:ascii="Times New Roman" w:hAnsi="Times New Roman" w:eastAsia="仿宋_GB2312" w:cs="仿宋_GB2312"/>
          <w:sz w:val="30"/>
          <w:szCs w:val="30"/>
          <w:highlight w:val="none"/>
          <w:lang w:eastAsia="zh-CN"/>
        </w:rPr>
        <w:t>597,947.55元，与2022年度相比，收、支总计各减少19,091.99元，下降3.09%，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597,947.55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减少19,091.99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人员变动。</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597,938.75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597,947.55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19,091.99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人员变动。</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558,347.55元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93.38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39,600.00元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占6.62%；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天津市和平区法律援助中心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597,938.75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19,065.54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人员变动。</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计597,938.75元，占本年支出合计的100.0%，与2022年度相比，一般公共预算财政拨款支出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19,065.54元，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：人员变动。</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597,938.75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公共安全（类）支出513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079.57元，占85.81%，社会保障和就业（类）支出59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175.36元，占9.90%,卫生健康（类）支出25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683.82元，占4.29%。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601,840.11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597,938.75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99.35%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1.公共安全支出(类)司法(款)公共法律服务(项)年初预算为514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309.89元，支出决算为513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079.57元，完成年初预算的99.76%，决算数小于年初预算数的主要原因是厉行节约,减少预算开支。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社会保障和就业支出(类)行政事业单位养老支出(款)机关事业单位基本养老保险缴费支出(项)年初预算为39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450.24元，支出决算为39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450.24元，完成年初预算的100.00%，决算数与年初预算数持平。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725.12元，支出决算为19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725.12元，完成年初预算的100.00%，决算数与年初预算数持平。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4.卫生健康支出(类)行政事业单位医疗(款)事业单位医疗(项)年初预算数为16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026.66元，支出决算为16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026.66元，完成年初预算数的100.00%，决算数与年初预算数持平。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5.卫生健康支出(类)行政事业单位医疗(款)其他行政事业单位医疗支出(项)年初预算数为12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328.20元，支出决算为9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657.16元，完成年初预算数的78.33%，决算数小于年初预算数的主要原因厉行节约，减少预算开支。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天津市和平区法律援助中心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558,338.75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19,065.54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人员变动。</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553,657.80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4,680.95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办公费、手续费、邮电费、工会经费。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天津市和平区法律援助中心2023年度无政府性基金预算财政拨款收入、支出和结转结余。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天津市和平区法律援助中心2023年度无政府采购支出。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天津市和平区法律援助中心2023年度无国有资产占有使用情况。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天津市和平区法律援助中心2023年度已对1个项目开展绩效自评，涉及金额39,600.00元，自评结果已随部门决算一并公开。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天津市和平区法律援助中心不属于乡、镇、街级单位，不涉及公开2023年度教育、医疗卫生、社会保障和就业、住房保障、涉农补贴等民生支出情况。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FD3D67"/>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4E12EA"/>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737683"/>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2024-08-22T10:50:58Z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