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天津市和平区科学技术局(本级)</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（一）贯彻执行国家和市有关科学技术、工业信息化产业工作的法律、法规、规章和方针、政策。拟订科技、工业信息化产业规划、年度计划，并组织实施。</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（二）优化科研体系建设，推动企业科技创新能力建设。落实重大科技决策咨询制度。研究科技发展布局和优先发展领域，支撑现代化经济体系建设。</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（三）依托重点工程建设协调有关重大专项的实施，推动智能科技产业、生物医药产业、新能源、新材料等领域发展，鼓励重大技术装备发展和自主创新。</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（四）负责工业技术改造的组织和实施工作，指导行业技术创新和技术进步。参与相关战略性新兴产业专项的组织实施。推进产学研结合和相关科研成果产业化。</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（五）负责推动基础研究和应用技术研究。鼓励关键共性技术、前沿引领技术、现代工程技术、颠覆性技术研发和创新，牵头组织技术攻关和成果应用示范。</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（六）负责推动科技服务业、技术市场和科技中介组织发展，推动新产品、新技术、新设备、新材料的推广应用。</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（七）加强科研诚信建设相关工作的实施，负责科技计划项目组织、立项、评审、验收工作。</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（八）承担本领域安全生产监督管理责任。</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（九）负责推动科技领域人才队伍建设。</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（十）组织推动科技领域招商引资工作。</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（十一）承办区委、区政府交办的其他事项。</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二）职能转变。加强、优化、转变政府科技管理和服务职能，完善科技创新制度和组织体系，加强宏观管理和统筹协调，减少微观管理和具体审批事项，加强事中事后监管和科研诚信建设。从研发管理向创新服务转变，深入推进科技计划管理改革。政府部门不直接管理具体科研项目，委托项目管理专业机构开展项目受理、评审、立项、过程管理、验收等具体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天津市和平区科学技术局（本级）内设3个职能科室；下辖0个预算单位。纳入天津市和平区科学技术局(本级)2023年度部门决算编制范围的单位包括：</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天津市和平区科学技术局(本级)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1.天津市和平区科学技术局（本级）2023年度政府性基金预算财政拨款收入支出决算表为空表。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2.天津市和平区科学技术局（本级）2023年度国有资本经营预算财政拨款收入支出决算表为空表。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default" w:ascii="Times New Roman" w:hAnsi="Times New Roman" w:eastAsia="仿宋_GB2312" w:cs="仿宋_GB2312"/>
          <w:sz w:val="30"/>
          <w:szCs w:val="30"/>
          <w:highlight w:val="none"/>
          <w:lang w:val="en" w:eastAsia="zh-CN"/>
        </w:rPr>
        <w:t xml:space="preserve">    </w:t>
      </w:r>
      <w:r>
        <w:rPr>
          <w:rFonts w:hint="eastAsia" w:ascii="Times New Roman" w:hAnsi="Times New Roman" w:eastAsia="仿宋_GB2312" w:cs="仿宋_GB2312"/>
          <w:sz w:val="30"/>
          <w:szCs w:val="30"/>
          <w:highlight w:val="none"/>
          <w:lang w:eastAsia="zh-CN"/>
        </w:rPr>
        <w:t>3.天津市和平区科学技术局（本级）2023年度一般公共预算财政拨款“三公”经费支出决算表为空表。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both"/>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天津市和平区科学技术局(本级)2023年度收入、支出决算总计</w:t>
      </w:r>
      <w:r>
        <w:rPr>
          <w:rFonts w:hint="eastAsia" w:ascii="Times New Roman" w:hAnsi="Times New Roman" w:eastAsia="仿宋_GB2312" w:cs="仿宋_GB2312"/>
          <w:sz w:val="30"/>
          <w:szCs w:val="30"/>
          <w:highlight w:val="none"/>
          <w:lang w:eastAsia="zh-CN"/>
        </w:rPr>
        <w:t>14,473,648.68元，与2022年度相比，收、支总计各增加6,075,974.93元，增长72.35%，</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：项目支出增加。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天津市和平区科学技术局(本级)</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13,473,648.68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增加6,075,974.93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项目支出增加。</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13,473,648.68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autoSpaceDE w:val="0"/>
        <w:autoSpaceDN w:val="0"/>
        <w:adjustRightInd w:val="0"/>
        <w:spacing w:line="600" w:lineRule="exact"/>
        <w:ind w:firstLine="600" w:firstLineChars="2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政府性基金预算财政拨款收入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国有资本经营预算财政拨款收入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财政专户管理资金收入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事业单位经营收入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ascii="Times New Roman" w:hAnsi="Times New Roman" w:eastAsia="仿宋_GB2312" w:cs="仿宋_GB2312"/>
          <w:sz w:val="30"/>
          <w:szCs w:val="30"/>
          <w:highlight w:val="none"/>
          <w:lang w:val="zh-CN"/>
        </w:rPr>
        <w:t>上级补助收入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zh-CN"/>
        </w:rPr>
      </w:pPr>
      <w:r>
        <w:rPr>
          <w:rFonts w:eastAsia="仿宋_GB2312"/>
          <w:sz w:val="30"/>
          <w:szCs w:val="30"/>
          <w:highlight w:val="none"/>
        </w:rPr>
        <w:t>附属单位上缴收入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val="en-US" w:eastAsia="zh-CN"/>
        </w:rPr>
      </w:pP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0.00元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w:t>
      </w:r>
      <w:r>
        <w:rPr>
          <w:rFonts w:hint="eastAsia" w:ascii="Times New Roman" w:hAnsi="Times New Roman" w:eastAsia="仿宋_GB2312" w:cs="仿宋_GB2312"/>
          <w:sz w:val="30"/>
          <w:szCs w:val="30"/>
          <w:highlight w:val="none"/>
          <w:lang w:val="zh-CN"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both"/>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天津市和平区科学技术局(本级)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13,473,648.68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6,075,974.93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本年度项目</w:t>
      </w:r>
      <w:r>
        <w:rPr>
          <w:rFonts w:hint="eastAsia" w:ascii="Times New Roman" w:hAnsi="Times New Roman" w:eastAsia="仿宋_GB2312" w:cs="仿宋_GB2312"/>
          <w:kern w:val="0"/>
          <w:sz w:val="30"/>
          <w:szCs w:val="30"/>
          <w:highlight w:val="none"/>
          <w:lang w:eastAsia="zh-CN"/>
        </w:rPr>
        <w:t>支出增加。</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4,097,840.68元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30.41</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9,375,808.00元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占69.59%；</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上缴上级支出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经营支出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r>
        <w:rPr>
          <w:rFonts w:ascii="Times New Roman" w:hAnsi="Times New Roman" w:eastAsia="仿宋_GB2312" w:cs="仿宋_GB2312"/>
          <w:sz w:val="30"/>
          <w:szCs w:val="30"/>
          <w:highlight w:val="none"/>
        </w:rPr>
        <w:t>对附属单位补助支出</w:t>
      </w:r>
      <w:r>
        <w:rPr>
          <w:rFonts w:hint="eastAsia" w:ascii="Times New Roman" w:hAnsi="Times New Roman" w:eastAsia="仿宋_GB2312" w:cs="仿宋_GB2312"/>
          <w:sz w:val="30"/>
          <w:szCs w:val="30"/>
          <w:highlight w:val="none"/>
          <w:lang w:eastAsia="zh-CN"/>
        </w:rPr>
        <w:t>0.00元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占0.0%。</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天津市和平区科学技术局(本级)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14,473,648.68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6,075,974.93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72.35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项目支出增加。</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天津市和平区科学技术局(本级)2023年度部门决算一般公共预算财政拨款支出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计13,473,648.68元，占本年支出合计的100.0%，与2022年度相比，一般公共预算财政拨款支出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6,075,974.93元，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82.13%，</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：项目支出增加。</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13,473,648.68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一般公共服务支出33,600.00元，占0.25%，科学技术支出12,829,621.32元，占95.22%，社会保障和就业支出402,259.44元，占2.99%，卫生健康支出208,167.92元，占1.55%。</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12,848,523.86</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13,473,648.68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104.87%</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 一般公共服务支出（类）其他共产党事务支出（款）其他共产党事务支出（项）年初预算为33,600.00元，支出决算为33,600.00元，完成年初预算的100%。</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 xml:space="preserve">    2. 科学技术支出（类）科学技术管理事务（款）行政运行（项）年初预算为3,281,612.66元，支出决算为3,487,413.32元，完成年初预算的106.27%，决算数大于年初预算数的主要原因是人员经费增加。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科学技术支出（类）科学技术管理事务（款）一般行政管理事务（项）年初预算为146,760.00元，支出决算为25,008.00元，完成年初预算的17.04%，决算数小于年初预算数的主要原因是物业补贴项目支出进度缓慢。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 科学技术支出（类）技术研究与开发（款）其他技术研究与开发支出（项）年初预算为8,713,900.00元，支出决算为9,317,200.00元，完成年初预算的</w:t>
      </w:r>
      <w:r>
        <w:rPr>
          <w:rFonts w:hint="eastAsia" w:ascii="Times New Roman" w:hAnsi="Times New Roman" w:eastAsia="仿宋_GB2312" w:cs="仿宋_GB2312"/>
          <w:sz w:val="30"/>
          <w:szCs w:val="30"/>
          <w:highlight w:val="none"/>
          <w:lang w:val="en-US" w:eastAsia="zh-CN"/>
        </w:rPr>
        <w:t>106.92</w:t>
      </w:r>
      <w:r>
        <w:rPr>
          <w:rFonts w:hint="eastAsia" w:ascii="Times New Roman" w:hAnsi="Times New Roman" w:eastAsia="仿宋_GB2312" w:cs="仿宋_GB2312"/>
          <w:sz w:val="30"/>
          <w:szCs w:val="30"/>
          <w:highlight w:val="none"/>
          <w:lang w:eastAsia="zh-CN"/>
        </w:rPr>
        <w:t>%，决算数大于年初预算数的主要原因是追加预算增加项目支出。</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 社会保障和就业支出（类）行政事业单位养老支出（款）机关事业单位基本养老保险缴费支出（项）年初预算为294,86.80元，支出决算为268,172.96元，完成年初预算的90.95%，决算数小于年初预算数的主要原因是本年缴费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社会保障和就业支出（类）行政事业单位养老支出（款）机关事业单位职业年金缴费支出（项）年初预算为147,430.40元，支出决算为134,086.48元，完成年初预算的90.95%，决算数小于年初预算数的主要原因是本年缴费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7.卫生健康支出（类）行政事业单位医疗（款）行政单位医疗（项）年初预算为193,502.40元，支出决算为174,646.30元，完成年初预算的90.26%，决算数小于年初预算数的主要原因是本年缴费人员减少。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8.卫生健康支出（类）行政事业单位医疗（款）公务员医疗补助（项）年初预算为36,857.60元，支出决算为33,521.62元，完成年初预算的90.95%，决算数小于年初预算数的主要原因是缴费人员减少。</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天津市和平区科学技术局(本级)</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4,097,840.68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476,469.07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3,803,701.02</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基本工资、津贴补贴、奖金、行政事业单位养老支出、行政事业单位医疗支出、住房公积金。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294,139.66</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办公费、手续费、水费、电费、邮电费、物业管理费、差旅费、维修（护）费、工会经费、其他交通费用、其他商品和服务支出。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天津市和平区科学技术局(本级)2023年度无政府性基金预算财政拨款收入、支出和结转结余。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天津市和平区科学技术局(本级)2023年度无国有资本经营预算财政拨款收入、支出和结转结余。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本年度未用财政拨款经费列支因公出国（境）费/公务用车购置费/公务用车运行维护费/公务接待费。</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本年度未用财政拨款经费列支公务用车购置费/公务用车运行维护费。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天津市和平区科学技术局(本级)</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294,139.66</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30,530.97</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11.58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highlight w:val="none"/>
          <w:lang w:eastAsia="zh-CN"/>
        </w:rPr>
        <w:t>取暖费、维修费增加。</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r>
        <w:rPr>
          <w:rFonts w:hint="eastAsia" w:ascii="Times New Roman" w:hAnsi="Times New Roman" w:eastAsia="仿宋_GB2312" w:cs="仿宋_GB2312"/>
          <w:sz w:val="30"/>
          <w:szCs w:val="30"/>
          <w:highlight w:val="none"/>
          <w:lang w:eastAsia="zh-CN"/>
        </w:rPr>
        <w:t>天津市和平区科学技术局(本级)2023年度无政府采购支出。</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bookmarkStart w:id="0" w:name="_GoBack"/>
      <w:bookmarkEnd w:id="0"/>
      <w:r>
        <w:rPr>
          <w:rFonts w:hint="eastAsia" w:ascii="Times New Roman" w:hAnsi="Times New Roman" w:eastAsia="仿宋_GB2312" w:cs="仿宋_GB2312"/>
          <w:sz w:val="30"/>
          <w:szCs w:val="30"/>
          <w:highlight w:val="none"/>
          <w:lang w:eastAsia="zh-CN"/>
        </w:rPr>
        <w:t>天津市和平区科学技术局(本级)2023年度无国有资产占有使用情况。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根据预算绩效管理要求，天津市和平区科学技术局（本级）2023年度已对</w:t>
      </w:r>
      <w:r>
        <w:rPr>
          <w:rFonts w:hint="eastAsia" w:ascii="Times New Roman" w:hAnsi="Times New Roman" w:eastAsia="仿宋_GB2312" w:cs="仿宋_GB2312"/>
          <w:sz w:val="30"/>
          <w:szCs w:val="30"/>
          <w:highlight w:val="none"/>
          <w:lang w:val="en-US" w:eastAsia="zh-CN"/>
        </w:rPr>
        <w:t>9</w:t>
      </w:r>
      <w:r>
        <w:rPr>
          <w:rFonts w:hint="eastAsia" w:ascii="Times New Roman" w:hAnsi="Times New Roman" w:eastAsia="仿宋_GB2312" w:cs="仿宋_GB2312"/>
          <w:sz w:val="30"/>
          <w:szCs w:val="30"/>
          <w:highlight w:val="none"/>
          <w:lang w:eastAsia="zh-CN"/>
        </w:rPr>
        <w:t>个项目开展绩效自评，涉及金额</w:t>
      </w:r>
      <w:r>
        <w:rPr>
          <w:rFonts w:hint="eastAsia" w:ascii="Times New Roman" w:hAnsi="Times New Roman" w:eastAsia="仿宋_GB2312" w:cs="仿宋_GB2312"/>
          <w:sz w:val="30"/>
          <w:szCs w:val="30"/>
          <w:highlight w:val="none"/>
          <w:lang w:val="en-US" w:eastAsia="zh-CN"/>
        </w:rPr>
        <w:t>7</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119</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508</w:t>
      </w:r>
      <w:r>
        <w:rPr>
          <w:rFonts w:hint="eastAsia" w:ascii="Times New Roman" w:hAnsi="Times New Roman" w:eastAsia="仿宋_GB2312" w:cs="仿宋_GB2312"/>
          <w:sz w:val="30"/>
          <w:szCs w:val="30"/>
          <w:highlight w:val="none"/>
          <w:lang w:eastAsia="zh-CN"/>
        </w:rPr>
        <w:t>.00元，自评结果已随部门决算一并公开。</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天津市和平区科学技术局（本级）不属于乡、镇、街级单位，不涉及公开2023年度教育、医疗卫生、社会保障和就业、住房保障、涉农补贴等民生支出情况。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altName w:val="Arial Unicode MS"/>
    <w:panose1 w:val="02000000000000000000"/>
    <w:charset w:val="86"/>
    <w:family w:val="auto"/>
    <w:pitch w:val="default"/>
    <w:sig w:usb0="00000000" w:usb1="00000000" w:usb2="00082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华文仿宋">
    <w:panose1 w:val="02010600040101010101"/>
    <w:charset w:val="86"/>
    <w:family w:val="auto"/>
    <w:pitch w:val="default"/>
    <w:sig w:usb0="00000287" w:usb1="080F0000" w:usb2="00000000" w:usb3="00000000" w:csb0="0004009F" w:csb1="DFD7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CB1DC8"/>
    <w:rsid w:val="12D93FBD"/>
    <w:rsid w:val="13463246"/>
    <w:rsid w:val="142D4C1F"/>
    <w:rsid w:val="15F1161D"/>
    <w:rsid w:val="161D1413"/>
    <w:rsid w:val="1666200B"/>
    <w:rsid w:val="16C5644A"/>
    <w:rsid w:val="16D76A65"/>
    <w:rsid w:val="17C84C4C"/>
    <w:rsid w:val="1949378C"/>
    <w:rsid w:val="199A3054"/>
    <w:rsid w:val="1A1104E0"/>
    <w:rsid w:val="1A404E9F"/>
    <w:rsid w:val="1AA54268"/>
    <w:rsid w:val="1ACDBF9B"/>
    <w:rsid w:val="1B173F14"/>
    <w:rsid w:val="1B4641B9"/>
    <w:rsid w:val="1B520DB0"/>
    <w:rsid w:val="1B5D5A1E"/>
    <w:rsid w:val="1B7A68EC"/>
    <w:rsid w:val="1CCA277E"/>
    <w:rsid w:val="1DFB572F"/>
    <w:rsid w:val="1EC5396A"/>
    <w:rsid w:val="1EFB0588"/>
    <w:rsid w:val="1F7A016C"/>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BDD40B7"/>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5FAAF07"/>
    <w:rsid w:val="564C0516"/>
    <w:rsid w:val="5713248B"/>
    <w:rsid w:val="57833AC4"/>
    <w:rsid w:val="578735B4"/>
    <w:rsid w:val="58C3061C"/>
    <w:rsid w:val="58E93DFA"/>
    <w:rsid w:val="599E4BE5"/>
    <w:rsid w:val="5A1C0F73"/>
    <w:rsid w:val="5A964C59"/>
    <w:rsid w:val="5C170425"/>
    <w:rsid w:val="5CD612EB"/>
    <w:rsid w:val="5D032E6E"/>
    <w:rsid w:val="5D9B2294"/>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CFFA17C"/>
    <w:rsid w:val="6D5E0469"/>
    <w:rsid w:val="6D854C1A"/>
    <w:rsid w:val="6E080CF4"/>
    <w:rsid w:val="6EB34837"/>
    <w:rsid w:val="6FAED10E"/>
    <w:rsid w:val="70180DF5"/>
    <w:rsid w:val="704716DB"/>
    <w:rsid w:val="708C6A78"/>
    <w:rsid w:val="70E84C6C"/>
    <w:rsid w:val="70FE35D3"/>
    <w:rsid w:val="71600CA6"/>
    <w:rsid w:val="721BA555"/>
    <w:rsid w:val="7260119C"/>
    <w:rsid w:val="72701CEB"/>
    <w:rsid w:val="72B3615B"/>
    <w:rsid w:val="73724CC1"/>
    <w:rsid w:val="7455465F"/>
    <w:rsid w:val="75AB44BA"/>
    <w:rsid w:val="776741F3"/>
    <w:rsid w:val="79B7155B"/>
    <w:rsid w:val="79DC07A5"/>
    <w:rsid w:val="79F3F9D6"/>
    <w:rsid w:val="7ACA53E2"/>
    <w:rsid w:val="7B143565"/>
    <w:rsid w:val="7BEF4615"/>
    <w:rsid w:val="7CBF971B"/>
    <w:rsid w:val="7E2E7A36"/>
    <w:rsid w:val="7E703A39"/>
    <w:rsid w:val="7F3217A8"/>
    <w:rsid w:val="7FDD7966"/>
    <w:rsid w:val="7FE161FF"/>
    <w:rsid w:val="ABFE5CAD"/>
    <w:rsid w:val="BBFC3A79"/>
    <w:rsid w:val="BE178683"/>
    <w:rsid w:val="BFF7AA14"/>
    <w:rsid w:val="CA7B33D1"/>
    <w:rsid w:val="DFEE96D0"/>
    <w:rsid w:val="FBBD034F"/>
    <w:rsid w:val="FD3FE4AD"/>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7"/>
    <w:link w:val="2"/>
    <w:qFormat/>
    <w:uiPriority w:val="99"/>
    <w:rPr>
      <w:rFonts w:ascii="方正小标宋简体" w:eastAsia="方正小标宋简体"/>
      <w:kern w:val="0"/>
      <w:sz w:val="24"/>
      <w:szCs w:val="24"/>
    </w:rPr>
  </w:style>
  <w:style w:type="character" w:customStyle="1" w:styleId="10">
    <w:name w:val="标题 2 字符"/>
    <w:basedOn w:val="7"/>
    <w:link w:val="3"/>
    <w:qFormat/>
    <w:uiPriority w:val="99"/>
    <w:rPr>
      <w:rFonts w:ascii="方正小标宋简体" w:eastAsia="方正小标宋简体"/>
      <w:kern w:val="0"/>
      <w:sz w:val="24"/>
      <w:szCs w:val="24"/>
    </w:rPr>
  </w:style>
  <w:style w:type="character" w:customStyle="1" w:styleId="11">
    <w:name w:val="页眉 字符"/>
    <w:basedOn w:val="7"/>
    <w:link w:val="6"/>
    <w:qFormat/>
    <w:uiPriority w:val="99"/>
    <w:rPr>
      <w:sz w:val="18"/>
      <w:szCs w:val="18"/>
    </w:rPr>
  </w:style>
  <w:style w:type="character" w:customStyle="1" w:styleId="12">
    <w:name w:val="页脚 字符"/>
    <w:basedOn w:val="7"/>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3220</Words>
  <Characters>5638</Characters>
  <Lines>82</Lines>
  <Paragraphs>23</Paragraphs>
  <TotalTime>0</TotalTime>
  <ScaleCrop>false</ScaleCrop>
  <LinksUpToDate>false</LinksUpToDate>
  <CharactersWithSpaces>5662</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2023-08-14T00:11:00Z</dcterms:created>
  <dc:creator>office</dc:creator>
  <cp:lastModifiedBy>白家健</cp:lastModifiedBy>
  <cp:lastPrinted>2024-08-19T15:56:00Z</cp:lastPrinted>
  <dcterms:modified xsi:type="dcterms:W3CDTF">2024-08-22T10:47:34Z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A44E0A178634409BBBA50D5636087390_13</vt:lpwstr>
  </property>
</Properties>
</file>