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天津市和平区人民政府国有资产监督管理委员会2023年度部门决算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1.贯彻执行国家和市有关国有资产监督管理的法律、法规、规章和方针、政策，拟订国有资产监督管理工作发展规划、年度计划，并组织实施。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2.负责推进、指导履行出资人职责的国有企业的改革和重组，深化所出资企业内部改革，推进现代企业制度建设，推动国有经济布局和结构的战略性调整。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3.负责指导国资系统党的建设，推动国资系统落实全面从严治党主体责任、意识形态和党风廉政建设等工作。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4.负责推进所出资企业主要负责人薪酬制度改革。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5.承担所出资企业国有资产保值增值的监督责任。建立和完善国有资产保值增值指标体系，制定考核标准，通过统计和稽核等方式对所出资企业国有资产保值增值情况进行监管。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6.按照干部管理权限，加强干部队伍建设，做好相关人员的任免和国有企业人才引进工作。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7.监督所出资企业国有资本经营预决算的执行，提出所出资企业国有资本经营预算建议草案。负责组织所出资企业上交国有资本收益。</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8.依法规范所出资企业的国有产权管理。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9.按照有关规定，代表区政府向所出资企业委派国有股东代表、董事、监事，指导国有企业董事会、监事会建设工作。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10.承担区国有企业改革领导小组办公室日常工作。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11.负责相关安全生产管理督促检查工作。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12.负责本系统招商引资工作。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13.承办区委、区政府交办的其他事项。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天津市和平区人民政府国有资产监督管理委员会内设4个职能科室；无下辖预算单位。纳入天津市和平区人民政府国有资产监督管理委员会2023年度部门决算编制范围的单位包括：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1.天津市和平区人民政府国有资产监督管理委员会部门本级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1.天津市和平区人民政府国有资产监督管理委员会2023年度政府性基金预算财政拨款收入支出决算表为空表。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天津市和平区人民政府国有资产监督管理委员会2023年度收入、支出决算总计</w:t>
      </w:r>
      <w:r>
        <w:rPr>
          <w:rFonts w:hint="eastAsia" w:ascii="Times New Roman" w:hAnsi="Times New Roman" w:eastAsia="仿宋_GB2312" w:cs="仿宋_GB2312"/>
          <w:sz w:val="30"/>
          <w:szCs w:val="30"/>
        </w:rPr>
        <w:t>228,665,252.94元，与2022年度相比，收、支总计各减少134,315,785.23元，下降37.0%，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：项目减少导致拨款下降。</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天津市和平区人民政府国有资产监督管理委员会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227,886,234.10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年度相比减少134,132,281.12元，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：项目减少导致拨款下降。</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227,674,687.59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99.91</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200,000.00元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0.09%；</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11,546.51元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天津市和平区人民政府国有资产监督管理委员会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年度本年支出合计228,057,847.58元，与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年度相比减少134,153,675.45元，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项目减少导致拨款下降，相应支出减少。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5,109,412.28元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占2.24%；</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222,948,435.30元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占97.76%；</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天津市和平区人民政府国有资产监督管理委员会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228,653,016.97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年度相比，财政拨款收、支总计各减少134,327,331.74元，下降37.01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项目减少导致拨款下降。</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天津市和平区人民政府国有资产监督管理委员会2023年度部门决算一般公共预算财政拨款支出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计227,665,387.58元，占本年支出合计的99.83%，与2022年度相比，一般公共预算财政拨款支出减少132,489,135.45元，下降36.79%，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：项目减少导致拨款下降。</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227,665,387.58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文化旅游体育与传媒支出（类）6,370,000.00元，占2.80%；社会保障和就业支出（类）为568,335.60元，占0.25%；卫生健康支出（类）为296,008.13元，占0.13%；城乡社区支出（类）为1,200,000.00元，占0.53%；资源勘探工业信息等支出（类）为219,089,043.85元，占96.23%；债务付息支出（类）为142,000.00元，占0.06%。</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11,193,359.96</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227,665,387.58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2033.93%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1.文化旅游体育与传媒支出（类）广播电视（款）其他广播电视支出（项）年初预算为0.00元，支出决算为6,370,000.00元，决算数大于年初预算数的主要原因是追加融美公司补助资金预算。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2.文化旅游体育与传媒支出（类）文化和旅游（款）其他文化和旅游支出（项）年初预算为820,000.00元，支出决算为0元，完成年初预算的0%，决算数小于年初预算数的主要原因是该项预算调剂至和平区文旅局。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3.社会保障和就业支出（类）行政事业单位养老支出（款）机关事业单位基本养老保险缴费支出（项）年初预算为378,890.40元，支出决算为378,890.40元，完成年初预算的100%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4.社会保障和就业支出（类）行政事业单位养老支出（款）机关事业单位职业年金缴费支出（项）年初预算为189,445.20元，支出决算为189,445.20元，完成年初预算的100%。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5.卫生健康支出（类）行政事业单位医疗（款）行政单位医疗（项）年初预算为248,646.83元，支出决算为248,646.83元，完成年初预算的100%。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6.卫生健康支出（类）行政事业单位医疗（款）公务员医疗补助（项）年初预算为47,361.30元，支出决算为47,361.30元，完成年初预算的100%。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7.城乡社区支出（类）其他城乡社区支出（款）其他城乡社区支出（项）年初预算为3,500,000.00元，支出决算为1,200,000.00元，完成年初预算的34.29%，决算数小于年初预算数的主要原因是工程款按照项目进度支付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8.资源勘探工业信息等支出（类）国有资产监管（款）行政运行（项）年初预算为4,429,044.63元，支出决算为4,243,488.55元，完成年初预算的95.81%，决算数小于年初预算数的主要原因是2023年有三名退休人员。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9.资源勘探工业信息等支出（类）国有资产监管（款）一般行政管理事务（项）年初预算为335,000.00元，支出决算为136,048.50元，完成年初预算的40.61%，决算数小于年初预算数的主要原因是调减项目支出。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资源勘探工业信息等支出（类）国有资产监管（款）其他国有资产监管支出（项）年初预算为1,102,971.60元，支出决算为214,709,506.80元，完成年初预算的19466.47%，决算数大于年初预算数的主要原因是追加区属国有企业注资。</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11.债务付息支出（类）地方政府一般债务付息支出（款）地方政府一般债券付息支出（项）年初预算为142,000.00元，支出决算为142,000.00元，完成年初预算的100%。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天津市和平区人民政府国有资产监督管理委员会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5,107,832.28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年度相比减少349,295.08元，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本年度有三人退休。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4,908,608.10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  机关事业单位基本养老保险缴费、职业年金缴费、职工基本医疗保险缴费、公务员医疗补助缴费、其他社会保障缴费、住房公积金、退休费、奖励金。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199,224.18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办公费、水费、邮电费、差旅费、公务接待费、工会经费、其他交通费用。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天津市和平区人民政府国有资产监督管理委员会2023年度无政府性基金预算财政拨款收入、支出和结转结余。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color w:val="000000"/>
          <w:kern w:val="0"/>
          <w:sz w:val="30"/>
          <w:szCs w:val="30"/>
        </w:rPr>
        <w:t>天津市和平区人民政府国有资产监督管理委员会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kern w:val="0"/>
          <w:sz w:val="30"/>
          <w:szCs w:val="30"/>
        </w:rPr>
        <w:t>年度部门决算国有资本经营预算财政拨款年初结转和结余</w:t>
      </w:r>
      <w:r>
        <w:rPr>
          <w:rFonts w:hint="eastAsia" w:ascii="Times New Roman" w:hAnsi="Times New Roman" w:eastAsia="仿宋_GB2312" w:cs="Times New Roman"/>
          <w:sz w:val="30"/>
          <w:szCs w:val="30"/>
        </w:rPr>
        <w:t>443,000.00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200,000.00</w:t>
      </w:r>
      <w:r>
        <w:rPr>
          <w:rFonts w:hint="eastAsia" w:ascii="Times New Roman" w:hAnsi="Times New Roman" w:eastAsia="仿宋_GB2312" w:cs="仿宋_GB2312"/>
          <w:kern w:val="0"/>
          <w:sz w:val="30"/>
          <w:szCs w:val="30"/>
        </w:rPr>
        <w:t>元，支出</w:t>
      </w:r>
      <w:r>
        <w:rPr>
          <w:rFonts w:hint="eastAsia" w:ascii="Times New Roman" w:hAnsi="Times New Roman" w:eastAsia="仿宋_GB2312" w:cs="Times New Roman"/>
          <w:sz w:val="30"/>
          <w:szCs w:val="30"/>
        </w:rPr>
        <w:t>390,880.00</w:t>
      </w:r>
      <w:r>
        <w:rPr>
          <w:rFonts w:hint="eastAsia" w:ascii="Times New Roman" w:hAnsi="Times New Roman" w:eastAsia="仿宋_GB2312" w:cs="仿宋_GB2312"/>
          <w:kern w:val="0"/>
          <w:sz w:val="30"/>
          <w:szCs w:val="30"/>
        </w:rPr>
        <w:t>元，年末结余和结余</w:t>
      </w:r>
      <w:r>
        <w:rPr>
          <w:rFonts w:hint="eastAsia" w:ascii="Times New Roman" w:hAnsi="Times New Roman" w:eastAsia="仿宋_GB2312" w:cs="Times New Roman"/>
          <w:sz w:val="30"/>
          <w:szCs w:val="30"/>
        </w:rPr>
        <w:t>252,120.00</w:t>
      </w:r>
      <w:r>
        <w:rPr>
          <w:rFonts w:hint="eastAsia" w:ascii="Times New Roman" w:hAnsi="Times New Roman" w:eastAsia="仿宋_GB2312" w:cs="仿宋_GB2312"/>
          <w:kern w:val="0"/>
          <w:sz w:val="30"/>
          <w:szCs w:val="30"/>
        </w:rPr>
        <w:t>元。与2022年度相比，国有资本经营预算财政拨款支出减少1,666,120.00元，下降81.0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拨付区属国有企业资金减少。</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2,824.00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增加</w:t>
      </w:r>
      <w:r>
        <w:rPr>
          <w:rFonts w:hint="eastAsia" w:ascii="Times New Roman" w:hAnsi="Times New Roman" w:eastAsia="仿宋_GB2312" w:cs="Times New Roman"/>
          <w:kern w:val="0"/>
          <w:sz w:val="30"/>
          <w:szCs w:val="30"/>
        </w:rPr>
        <w:t>2,824.00</w:t>
      </w:r>
      <w:r>
        <w:rPr>
          <w:rFonts w:hint="eastAsia" w:ascii="Times New Roman" w:hAnsi="Times New Roman" w:eastAsia="仿宋_GB2312" w:cs="仿宋_GB2312"/>
          <w:kern w:val="0"/>
          <w:sz w:val="30"/>
          <w:szCs w:val="30"/>
        </w:rPr>
        <w:t>元；较上年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2,824.00元。决算数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本年度发生一次招商活动</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本年度发生一次招商活动。</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本年度未使用财政拨款经费列支因公出国（境）费。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本年度未使用财政拨款经费列支公务用车购置及运行维护费。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2,824.00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增加</w:t>
      </w:r>
      <w:r>
        <w:rPr>
          <w:rFonts w:hint="eastAsia" w:ascii="Times New Roman" w:hAnsi="Times New Roman" w:eastAsia="仿宋_GB2312" w:cs="Times New Roman"/>
          <w:kern w:val="0"/>
          <w:sz w:val="30"/>
          <w:szCs w:val="30"/>
        </w:rPr>
        <w:t>2,824.00</w:t>
      </w:r>
      <w:r>
        <w:rPr>
          <w:rFonts w:hint="eastAsia" w:ascii="Times New Roman" w:hAnsi="Times New Roman" w:eastAsia="仿宋_GB2312" w:cs="仿宋_GB2312"/>
          <w:kern w:val="0"/>
          <w:sz w:val="30"/>
          <w:szCs w:val="30"/>
        </w:rPr>
        <w:t>元；较上年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2,824.00元。决算数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本年度发生一次招商活动</w:t>
      </w:r>
      <w:bookmarkStart w:id="0" w:name="_GoBack"/>
      <w:bookmarkEnd w:id="0"/>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本年度发生一次招商活动。</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11</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天津市和平区人民政府国有资产监督管理委员会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199,224.18</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年增加124,859.09元，增长167.9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2023年租赁费与维修费增长。</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天津市和平区人民政府国有资产监督管理委员会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30,172,165.87</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1,998.00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30,170,167.87</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1,781,605.87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5.9%</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1,781,605.87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5.9%</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5.9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日，天津市和平区人民政府国有资产监督管理委员会共有车辆</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台（套）。</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天津市和平区人民政府国有资产监督管理委员会2023年度已对13个项目开展部门评价，涉及金额22294.84万元，自评结果已随部门决算一并公开。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本部门2023年度已对13个项目开展部门评价，涉及金额22294.84万元。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天津市和平区人民政府国有资产监督管理委员会不属于乡、镇、街级单位，不涉及公开2023年度教育、医疗卫生、社会保障和就业、住房保障、涉农补贴等民生支出情况。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C6E0D"/>
    <w:rsid w:val="000D4B98"/>
    <w:rsid w:val="00127EFA"/>
    <w:rsid w:val="00142888"/>
    <w:rsid w:val="00152EEB"/>
    <w:rsid w:val="00153077"/>
    <w:rsid w:val="00167CB7"/>
    <w:rsid w:val="001A0E4F"/>
    <w:rsid w:val="001B5C3C"/>
    <w:rsid w:val="001C0399"/>
    <w:rsid w:val="001D587E"/>
    <w:rsid w:val="002124F6"/>
    <w:rsid w:val="00243EBE"/>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A3815"/>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16DA1"/>
    <w:rsid w:val="00B3193F"/>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4E66D7A"/>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953</Words>
  <Characters>5435</Characters>
  <Lines>45</Lines>
  <Paragraphs>12</Paragraphs>
  <TotalTime>0</TotalTime>
  <ScaleCrop>false</ScaleCrop>
  <LinksUpToDate>false</LinksUpToDate>
  <CharactersWithSpaces>6376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2024-08-16T09:04:00Z</dcterms:created>
  <dc:creator>office</dc:creator>
  <cp:lastModifiedBy>白家健</cp:lastModifiedBy>
  <dcterms:modified xsi:type="dcterms:W3CDTF">2024-08-22T07:01:43Z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