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防疫指挥部办公室办公专项经费项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center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（一）项目概况。防疫指挥部办公室办公专项经费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用于保障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保障区疫情指挥部正常运转所需的办公用品、值班餐等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（二）项目绩效目标。通过支付防疫指挥部办公室办公专项经费，保障区疫情指挥部正常运转。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为强化预算支出责任，提高财政资金使用效率，发现项目实施过程中存在的不足，保障区</w:t>
      </w:r>
      <w:r>
        <w:rPr>
          <w:rFonts w:ascii="仿宋_GB2312" w:hAnsi="Times New Roman" w:eastAsia="仿宋_GB2312"/>
          <w:sz w:val="32"/>
          <w:szCs w:val="32"/>
          <w:lang w:eastAsia="zh-CN"/>
        </w:rPr>
        <w:t>政府办公室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业务活动</w:t>
      </w:r>
      <w:r>
        <w:rPr>
          <w:rFonts w:ascii="仿宋_GB2312" w:hAnsi="Times New Roman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正常运行，加强预算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管理</w:t>
      </w:r>
      <w:r>
        <w:rPr>
          <w:rFonts w:ascii="仿宋_GB2312" w:hAnsi="Times New Roman" w:eastAsia="仿宋_GB2312"/>
          <w:sz w:val="32"/>
          <w:szCs w:val="32"/>
          <w:lang w:eastAsia="zh-CN"/>
        </w:rPr>
        <w:t>，提高资金使用效率，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提升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支出效果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7" w:firstLineChars="196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27" w:firstLineChars="196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tbl>
      <w:tblPr>
        <w:tblStyle w:val="5"/>
        <w:tblW w:w="7366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6"/>
        <w:gridCol w:w="1843"/>
        <w:gridCol w:w="1417"/>
        <w:gridCol w:w="1559"/>
      </w:tblGrid>
      <w:tr>
        <w:trPr>
          <w:trHeight w:val="570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Style w:val="10"/>
                <w:lang w:val="en-US" w:eastAsia="zh-CN" w:bidi="ar"/>
              </w:rPr>
              <w:t>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拨付专项经费次数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≥2次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专项经费拨付准确率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rPr>
          <w:trHeight w:val="85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专项经费拨付及时率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rPr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专项经费补贴经费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≤0.5万元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0.5万元</w:t>
            </w:r>
          </w:p>
        </w:tc>
      </w:tr>
      <w:tr>
        <w:trPr>
          <w:trHeight w:val="855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保障各项工作的开展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通过支付防疫指挥部办公室办公专项经费，保障了区疫情指挥部正常运转，基本达成预期指标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</w:tr>
      <w:tr>
        <w:trPr>
          <w:trHeight w:val="855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Style w:val="10"/>
                <w:lang w:val="en-US" w:eastAsia="zh-CN" w:bidi="ar"/>
              </w:rPr>
              <w:t>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</w:tbl>
    <w:p>
      <w:pPr>
        <w:spacing w:line="600" w:lineRule="exact"/>
        <w:ind w:firstLine="627" w:firstLineChars="196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绩效评价工作由项目负责科室对该项目绩效进行自评，对绩效评价指标体系进行综合评分，评价标准根据《中共和平区委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23号）要求，以及纳入202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年度绩效目标管理的项目中当年的绩效目标设定，结合该项目特点进行评价。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23号）要求，梳理、汇总202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年项目资料，填写项目支出绩效自评表，认真梳理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、总结项目支出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资料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，支出方向，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设置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合理的评价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，编写项目绩效自评报告。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防疫指挥部办公室办公专项经费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保障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保障区疫情指挥部正常运转所需的办公用品、值班餐等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经绩效评价，</w:t>
      </w:r>
      <w:r>
        <w:rPr>
          <w:rFonts w:ascii="Times New Roman" w:hAnsi="Times New Roman" w:eastAsia="仿宋_GB2312"/>
          <w:sz w:val="32"/>
          <w:szCs w:val="32"/>
          <w:lang w:eastAsia="zh-CN"/>
        </w:rPr>
        <w:t>本年度办公室业务经费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自评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得分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年度办</w:t>
      </w:r>
      <w:r>
        <w:rPr>
          <w:rFonts w:ascii="Times New Roman" w:hAnsi="Times New Roman" w:eastAsia="仿宋_GB2312"/>
          <w:sz w:val="32"/>
          <w:szCs w:val="32"/>
          <w:lang w:eastAsia="zh-CN"/>
        </w:rPr>
        <w:t>公室业务经费项目支出绩效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自评分值</w:t>
      </w:r>
      <w:r>
        <w:rPr>
          <w:rFonts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与部门之间</w:t>
      </w:r>
      <w:r>
        <w:rPr>
          <w:rFonts w:ascii="Times New Roman" w:hAnsi="Times New Roman" w:eastAsia="仿宋_GB2312"/>
          <w:sz w:val="32"/>
          <w:szCs w:val="32"/>
          <w:lang w:eastAsia="zh-CN"/>
        </w:rPr>
        <w:t>沟通，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预计</w:t>
      </w:r>
      <w:r>
        <w:rPr>
          <w:rFonts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发生的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金额，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结合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往年预算情况，确定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预算金额。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经费进行列支。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</w:t>
      </w:r>
      <w:r>
        <w:rPr>
          <w:rFonts w:ascii="Times New Roman" w:hAnsi="Times New Roman" w:eastAsia="仿宋_GB2312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区疫情指挥部</w:t>
      </w:r>
      <w:r>
        <w:rPr>
          <w:rFonts w:ascii="Times New Roman" w:hAnsi="Times New Roman" w:eastAsia="仿宋_GB2312"/>
          <w:sz w:val="32"/>
          <w:szCs w:val="32"/>
          <w:lang w:eastAsia="zh-CN"/>
        </w:rPr>
        <w:t>工作运转。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</w:t>
      </w:r>
      <w:r>
        <w:rPr>
          <w:rFonts w:ascii="Times New Roman" w:hAnsi="Times New Roman" w:eastAsia="仿宋_GB2312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疫情指挥部经费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进一步进行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科学的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</w:t>
      </w:r>
      <w:r>
        <w:rPr>
          <w:rFonts w:ascii="Times New Roman" w:hAnsi="Times New Roman" w:eastAsia="仿宋_GB2312"/>
          <w:sz w:val="32"/>
          <w:szCs w:val="32"/>
          <w:lang w:eastAsia="zh-CN"/>
        </w:rPr>
        <w:t>和绩效评价编制工作，提高资金使用效率，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提升</w:t>
      </w:r>
      <w:r>
        <w:rPr>
          <w:rFonts w:ascii="Times New Roman" w:hAnsi="Times New Roman" w:eastAsia="仿宋_GB2312"/>
          <w:sz w:val="32"/>
          <w:szCs w:val="32"/>
          <w:lang w:eastAsia="zh-CN"/>
        </w:rPr>
        <w:t>效果。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037DEF"/>
    <w:rsid w:val="0013552F"/>
    <w:rsid w:val="001834D3"/>
    <w:rsid w:val="0018594E"/>
    <w:rsid w:val="001D5288"/>
    <w:rsid w:val="001F559F"/>
    <w:rsid w:val="002115F8"/>
    <w:rsid w:val="0023167C"/>
    <w:rsid w:val="00297AD6"/>
    <w:rsid w:val="002C7F9B"/>
    <w:rsid w:val="002F3B4A"/>
    <w:rsid w:val="003B571A"/>
    <w:rsid w:val="00407AD1"/>
    <w:rsid w:val="0042068B"/>
    <w:rsid w:val="00456E71"/>
    <w:rsid w:val="00470900"/>
    <w:rsid w:val="004716C3"/>
    <w:rsid w:val="00524052"/>
    <w:rsid w:val="005D0F6C"/>
    <w:rsid w:val="005F4DFB"/>
    <w:rsid w:val="006C1B32"/>
    <w:rsid w:val="00824609"/>
    <w:rsid w:val="008B0429"/>
    <w:rsid w:val="00904B0D"/>
    <w:rsid w:val="009847BB"/>
    <w:rsid w:val="00985A4F"/>
    <w:rsid w:val="00A1279F"/>
    <w:rsid w:val="00B002CD"/>
    <w:rsid w:val="00BA5423"/>
    <w:rsid w:val="00CA1D5C"/>
    <w:rsid w:val="00D02C5B"/>
    <w:rsid w:val="00D10FF2"/>
    <w:rsid w:val="00D27F3A"/>
    <w:rsid w:val="00D45F9A"/>
    <w:rsid w:val="00D607BC"/>
    <w:rsid w:val="00DC458E"/>
    <w:rsid w:val="00DF2EEE"/>
    <w:rsid w:val="00E11F35"/>
    <w:rsid w:val="00E85715"/>
    <w:rsid w:val="00FB0EB8"/>
    <w:rsid w:val="00FB62F2"/>
    <w:rsid w:val="0A96708F"/>
    <w:rsid w:val="17DD62FD"/>
    <w:rsid w:val="2E672553"/>
    <w:rsid w:val="3B7B1805"/>
    <w:rsid w:val="3D374911"/>
    <w:rsid w:val="488760CB"/>
    <w:rsid w:val="54330A77"/>
    <w:rsid w:val="564151F1"/>
    <w:rsid w:val="7A0061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8">
    <w:name w:val="页眉 Char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10">
    <w:name w:val="font2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1133</Words>
  <Characters>1189</Characters>
  <Lines>9</Lines>
  <Paragraphs>2</Paragraphs>
  <TotalTime>4</TotalTime>
  <ScaleCrop>false</ScaleCrop>
  <LinksUpToDate>false</LinksUpToDate>
  <CharactersWithSpaces>1199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2020-10-29T13:00:00Z</dcterms:created>
  <dc:creator>于喆</dc:creator>
  <cp:lastModifiedBy>爱丁堡的冬天</cp:lastModifiedBy>
  <cp:lastPrinted>2020-08-06T08:24:00Z</cp:lastPrinted>
  <dcterms:modified xsi:type="dcterms:W3CDTF">2023-07-11T00:55:38Z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D110A08A84514F54A05808129520B1FA</vt:lpwstr>
  </property>
</Properties>
</file>