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927" w:firstLineChars="200"/>
        <w:jc w:val="both"/>
        <w:rPr>
          <w:rFonts w:ascii="宋体" w:hAnsi="宋体"/>
          <w:b/>
          <w:bCs/>
          <w:sz w:val="44"/>
          <w:szCs w:val="44"/>
          <w:lang w:eastAsia="zh-CN"/>
        </w:rPr>
      </w:pPr>
      <w:r>
        <w:rPr>
          <w:rFonts w:ascii="宋体" w:hAnsi="宋体"/>
          <w:b/>
          <w:bCs/>
          <w:w w:val="105"/>
          <w:sz w:val="44"/>
          <w:szCs w:val="44"/>
          <w:lang w:val="en" w:eastAsia="zh-CN"/>
        </w:rPr>
        <w:t>大楼运行经费</w:t>
      </w:r>
      <w:r>
        <w:rPr>
          <w:rFonts w:hint="eastAsia" w:ascii="宋体" w:hAnsi="宋体"/>
          <w:b/>
          <w:bCs/>
          <w:spacing w:val="-15"/>
          <w:w w:val="105"/>
          <w:sz w:val="44"/>
          <w:szCs w:val="44"/>
          <w:lang w:eastAsia="zh-CN"/>
        </w:rPr>
        <w:t>支出绩效自评报告</w:t>
      </w:r>
    </w:p>
    <w:p>
      <w:pPr>
        <w:spacing w:line="600" w:lineRule="exact"/>
        <w:ind w:firstLine="656" w:firstLineChars="200"/>
        <w:jc w:val="center"/>
        <w:rPr>
          <w:rFonts w:ascii="黑体" w:hAnsi="黑体" w:eastAsia="黑体"/>
          <w:spacing w:val="-4"/>
          <w:w w:val="105"/>
          <w:sz w:val="32"/>
          <w:szCs w:val="32"/>
          <w:lang w:eastAsia="zh-CN"/>
        </w:rPr>
      </w:pPr>
    </w:p>
    <w:p>
      <w:pPr>
        <w:spacing w:line="600" w:lineRule="exact"/>
        <w:ind w:firstLine="656" w:firstLineChars="200"/>
        <w:jc w:val="both"/>
        <w:rPr>
          <w:rFonts w:ascii="黑体" w:hAnsi="黑体" w:eastAsia="黑体"/>
          <w:sz w:val="32"/>
          <w:szCs w:val="32"/>
          <w:lang w:eastAsia="zh-CN"/>
        </w:rPr>
      </w:pPr>
      <w:r>
        <w:rPr>
          <w:rFonts w:ascii="黑体" w:hAnsi="黑体" w:eastAsia="黑体"/>
          <w:spacing w:val="-4"/>
          <w:w w:val="105"/>
          <w:sz w:val="32"/>
          <w:szCs w:val="32"/>
          <w:lang w:eastAsia="zh-CN"/>
        </w:rPr>
        <w:t>一、基本情况</w:t>
      </w:r>
    </w:p>
    <w:p>
      <w:pPr>
        <w:spacing w:line="600" w:lineRule="exact"/>
        <w:ind w:firstLine="640" w:firstLineChars="200"/>
        <w:jc w:val="both"/>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（一）项目概况。包括项目背景、主要内容及实施情况、资金投入和使用情况等。</w:t>
      </w:r>
    </w:p>
    <w:p>
      <w:pPr>
        <w:spacing w:line="600" w:lineRule="exact"/>
        <w:ind w:firstLine="640" w:firstLineChars="200"/>
        <w:jc w:val="both"/>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大楼运行经费是为保障区委区政府办公楼各部门办公安全、有效、正常运转，保证大楼公共资产的安全使用，特申请设立该项目。主要用于大楼的设施设备维护、检测、维保及常规性支出，包括大楼设备维修维护、消防维保、垃圾处理、燃气安全、安防系统维护等支出。大楼运行经费年初预算数为50</w:t>
      </w:r>
      <w:r>
        <w:rPr>
          <w:rFonts w:hint="eastAsia" w:ascii="Times New Roman" w:hAnsi="Times New Roman" w:eastAsia="仿宋_GB2312"/>
          <w:sz w:val="32"/>
          <w:szCs w:val="32"/>
          <w:lang w:val="en-US" w:eastAsia="zh-CN"/>
        </w:rPr>
        <w:t>0</w:t>
      </w:r>
      <w:r>
        <w:rPr>
          <w:rFonts w:hint="default" w:ascii="Times New Roman" w:hAnsi="Times New Roman" w:eastAsia="仿宋_GB2312"/>
          <w:sz w:val="32"/>
          <w:szCs w:val="32"/>
          <w:lang w:val="en" w:eastAsia="zh-CN"/>
        </w:rPr>
        <w:t>.0</w:t>
      </w:r>
      <w:r>
        <w:rPr>
          <w:rFonts w:hint="eastAsia" w:ascii="Times New Roman" w:hAnsi="Times New Roman" w:eastAsia="仿宋_GB2312"/>
          <w:sz w:val="32"/>
          <w:szCs w:val="32"/>
          <w:lang w:eastAsia="zh-CN"/>
        </w:rPr>
        <w:t>万元，全年预算数为</w:t>
      </w:r>
      <w:r>
        <w:rPr>
          <w:rFonts w:hint="default" w:ascii="Times New Roman" w:hAnsi="Times New Roman" w:eastAsia="仿宋_GB2312"/>
          <w:sz w:val="32"/>
          <w:szCs w:val="32"/>
          <w:lang w:val="en" w:eastAsia="zh-CN"/>
        </w:rPr>
        <w:t>260.6</w:t>
      </w:r>
      <w:r>
        <w:rPr>
          <w:rFonts w:hint="eastAsia" w:ascii="Times New Roman" w:hAnsi="Times New Roman" w:eastAsia="仿宋_GB2312"/>
          <w:sz w:val="32"/>
          <w:szCs w:val="32"/>
          <w:lang w:eastAsia="zh-CN"/>
        </w:rPr>
        <w:t>万元，全年执行数为</w:t>
      </w:r>
      <w:r>
        <w:rPr>
          <w:rFonts w:hint="eastAsia" w:ascii="Times New Roman" w:hAnsi="Times New Roman" w:eastAsia="仿宋_GB2312"/>
          <w:sz w:val="32"/>
          <w:szCs w:val="32"/>
          <w:lang w:val="en-US" w:eastAsia="zh-CN"/>
        </w:rPr>
        <w:t>2</w:t>
      </w:r>
      <w:r>
        <w:rPr>
          <w:rFonts w:hint="default" w:ascii="Times New Roman" w:hAnsi="Times New Roman" w:eastAsia="仿宋_GB2312"/>
          <w:sz w:val="32"/>
          <w:szCs w:val="32"/>
          <w:lang w:val="en" w:eastAsia="zh-CN"/>
        </w:rPr>
        <w:t>60.6</w:t>
      </w:r>
      <w:r>
        <w:rPr>
          <w:rFonts w:hint="eastAsia" w:ascii="Times New Roman" w:hAnsi="Times New Roman" w:eastAsia="仿宋_GB2312"/>
          <w:sz w:val="32"/>
          <w:szCs w:val="32"/>
          <w:lang w:eastAsia="zh-CN"/>
        </w:rPr>
        <w:t>万元。</w:t>
      </w:r>
    </w:p>
    <w:p>
      <w:pPr>
        <w:spacing w:line="600" w:lineRule="exact"/>
        <w:ind w:firstLine="640" w:firstLineChars="200"/>
        <w:jc w:val="both"/>
        <w:rPr>
          <w:rFonts w:ascii="Times New Roman" w:hAnsi="Times New Roman" w:eastAsia="仿宋_GB2312"/>
          <w:sz w:val="32"/>
          <w:szCs w:val="32"/>
          <w:lang w:eastAsia="zh-CN"/>
        </w:rPr>
      </w:pPr>
      <w:r>
        <w:rPr>
          <w:rFonts w:hint="eastAsia" w:ascii="Times New Roman" w:hAnsi="Times New Roman" w:eastAsia="仿宋_GB2312"/>
          <w:sz w:val="32"/>
          <w:szCs w:val="32"/>
          <w:lang w:eastAsia="zh-CN"/>
        </w:rPr>
        <w:t>全年预算数为</w:t>
      </w:r>
      <w:r>
        <w:rPr>
          <w:rFonts w:hint="default" w:ascii="Times New Roman" w:hAnsi="Times New Roman" w:eastAsia="仿宋_GB2312"/>
          <w:sz w:val="32"/>
          <w:szCs w:val="32"/>
          <w:lang w:val="en" w:eastAsia="zh-CN"/>
        </w:rPr>
        <w:t>260.6</w:t>
      </w:r>
      <w:r>
        <w:rPr>
          <w:rFonts w:hint="eastAsia" w:ascii="Times New Roman" w:hAnsi="Times New Roman" w:eastAsia="仿宋_GB2312"/>
          <w:sz w:val="32"/>
          <w:szCs w:val="32"/>
          <w:lang w:eastAsia="zh-CN"/>
        </w:rPr>
        <w:t>万元，用于大楼的设施设备检测、设备维保及常规性支出</w:t>
      </w:r>
      <w:r>
        <w:rPr>
          <w:rFonts w:hint="eastAsia" w:ascii="Times New Roman" w:hAnsi="Times New Roman" w:eastAsia="仿宋_GB2312"/>
          <w:sz w:val="32"/>
          <w:szCs w:val="32"/>
          <w:lang w:val="en-US" w:eastAsia="zh-CN"/>
        </w:rPr>
        <w:t>26</w:t>
      </w:r>
      <w:r>
        <w:rPr>
          <w:rFonts w:hint="default" w:ascii="Times New Roman" w:hAnsi="Times New Roman" w:eastAsia="仿宋_GB2312"/>
          <w:sz w:val="32"/>
          <w:szCs w:val="32"/>
          <w:lang w:val="en" w:eastAsia="zh-CN"/>
        </w:rPr>
        <w:t>0.6</w:t>
      </w:r>
      <w:r>
        <w:rPr>
          <w:rFonts w:hint="eastAsia" w:ascii="Times New Roman" w:hAnsi="Times New Roman" w:eastAsia="仿宋_GB2312"/>
          <w:sz w:val="32"/>
          <w:szCs w:val="32"/>
          <w:lang w:eastAsia="zh-CN"/>
        </w:rPr>
        <w:t>万元。不存在截留、挤占、挪用专项资金等情况，资金开支范围、标准及支付进度等符合规定，支付依据充分，资金使用范围与预算相符。</w:t>
      </w:r>
    </w:p>
    <w:p>
      <w:pPr>
        <w:numPr>
          <w:ilvl w:val="0"/>
          <w:numId w:val="1"/>
        </w:numPr>
        <w:spacing w:line="600" w:lineRule="exact"/>
        <w:ind w:firstLine="640" w:firstLineChars="200"/>
        <w:jc w:val="both"/>
        <w:rPr>
          <w:rFonts w:ascii="Times New Roman" w:hAnsi="Times New Roman" w:eastAsia="仿宋_GB2312"/>
          <w:sz w:val="32"/>
          <w:szCs w:val="32"/>
          <w:lang w:eastAsia="zh-CN"/>
        </w:rPr>
      </w:pPr>
      <w:r>
        <w:rPr>
          <w:rFonts w:hint="eastAsia" w:ascii="Times New Roman" w:hAnsi="Times New Roman" w:eastAsia="仿宋_GB2312"/>
          <w:sz w:val="32"/>
          <w:szCs w:val="32"/>
          <w:lang w:eastAsia="zh-CN"/>
        </w:rPr>
        <w:t>项目绩效目标。包括总体目标和阶段性目标。</w:t>
      </w:r>
    </w:p>
    <w:p>
      <w:pPr>
        <w:spacing w:line="600" w:lineRule="exact"/>
        <w:ind w:firstLine="640"/>
        <w:jc w:val="both"/>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年初预期目标：通过做好大楼运行经费支付，保障办公楼正常运行。</w:t>
      </w:r>
    </w:p>
    <w:p>
      <w:pPr>
        <w:spacing w:line="600" w:lineRule="exact"/>
        <w:ind w:firstLine="640"/>
        <w:jc w:val="both"/>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年度实际完成情况：完成了对区委区政府办公楼设备设施维修维护及物业管理等方面进行了监督，保障了区委区政府办公大楼正常运转，确保了正常办公的顺利开展。</w:t>
      </w:r>
    </w:p>
    <w:p>
      <w:pPr>
        <w:spacing w:line="600" w:lineRule="exact"/>
        <w:ind w:firstLine="656" w:firstLineChars="200"/>
        <w:jc w:val="both"/>
        <w:rPr>
          <w:rFonts w:ascii="黑体" w:hAnsi="黑体" w:eastAsia="黑体"/>
          <w:spacing w:val="-4"/>
          <w:w w:val="105"/>
          <w:sz w:val="32"/>
          <w:szCs w:val="32"/>
          <w:lang w:eastAsia="zh-CN"/>
        </w:rPr>
      </w:pPr>
      <w:r>
        <w:rPr>
          <w:rFonts w:ascii="黑体" w:hAnsi="黑体" w:eastAsia="黑体"/>
          <w:spacing w:val="-4"/>
          <w:w w:val="105"/>
          <w:sz w:val="32"/>
          <w:szCs w:val="32"/>
          <w:lang w:eastAsia="zh-CN"/>
        </w:rPr>
        <w:t>二、绩效评价工作开展情况</w:t>
      </w:r>
      <w:bookmarkStart w:id="0" w:name="_GoBack"/>
      <w:bookmarkEnd w:id="0"/>
    </w:p>
    <w:p>
      <w:pPr>
        <w:spacing w:line="600" w:lineRule="exact"/>
        <w:ind w:firstLine="640" w:firstLineChars="200"/>
        <w:jc w:val="both"/>
        <w:rPr>
          <w:rFonts w:hint="eastAsia" w:ascii="仿宋_GB2312" w:hAnsi="Times New Roman" w:eastAsia="仿宋_GB2312"/>
          <w:sz w:val="32"/>
          <w:szCs w:val="32"/>
          <w:lang w:eastAsia="zh-CN"/>
        </w:rPr>
      </w:pPr>
      <w:r>
        <w:rPr>
          <w:rFonts w:hint="eastAsia" w:ascii="Times New Roman" w:hAnsi="Times New Roman" w:eastAsia="仿宋_GB2312"/>
          <w:sz w:val="32"/>
          <w:szCs w:val="32"/>
          <w:lang w:eastAsia="zh-CN"/>
        </w:rPr>
        <w:t>（一）</w:t>
      </w:r>
      <w:r>
        <w:rPr>
          <w:rFonts w:ascii="Times New Roman" w:hAnsi="Times New Roman" w:eastAsia="仿宋_GB2312"/>
          <w:sz w:val="32"/>
          <w:szCs w:val="32"/>
          <w:lang w:eastAsia="zh-CN"/>
        </w:rPr>
        <w:t>绩效评价</w:t>
      </w:r>
      <w:r>
        <w:rPr>
          <w:rFonts w:ascii="Times New Roman" w:hAnsi="Times New Roman" w:eastAsia="仿宋_GB2312"/>
          <w:spacing w:val="-91"/>
          <w:sz w:val="32"/>
          <w:szCs w:val="32"/>
          <w:lang w:eastAsia="zh-CN"/>
        </w:rPr>
        <w:t xml:space="preserve"> </w:t>
      </w:r>
      <w:r>
        <w:rPr>
          <w:rFonts w:ascii="Times New Roman" w:hAnsi="Times New Roman" w:eastAsia="仿宋_GB2312"/>
          <w:spacing w:val="-10"/>
          <w:sz w:val="32"/>
          <w:szCs w:val="32"/>
          <w:lang w:eastAsia="zh-CN"/>
        </w:rPr>
        <w:t>目的</w:t>
      </w:r>
      <w:r>
        <w:rPr>
          <w:rFonts w:hint="eastAsia" w:ascii="仿宋_GB2312" w:hAnsi="Times New Roman" w:eastAsia="仿宋_GB2312"/>
          <w:sz w:val="32"/>
          <w:szCs w:val="32"/>
          <w:lang w:eastAsia="zh-CN"/>
        </w:rPr>
        <w:t>、对象和范围。</w:t>
      </w:r>
    </w:p>
    <w:p>
      <w:pPr>
        <w:spacing w:line="600" w:lineRule="exact"/>
        <w:ind w:firstLine="640" w:firstLineChars="200"/>
        <w:jc w:val="both"/>
        <w:rPr>
          <w:rFonts w:hint="eastAsia" w:ascii="仿宋_GB2312" w:hAnsi="Times New Roman" w:eastAsia="仿宋_GB2312"/>
          <w:sz w:val="32"/>
          <w:szCs w:val="32"/>
          <w:lang w:eastAsia="zh-CN"/>
        </w:rPr>
      </w:pPr>
      <w:r>
        <w:rPr>
          <w:rFonts w:ascii="Times New Roman" w:hAnsi="Times New Roman" w:eastAsia="仿宋_GB2312"/>
          <w:sz w:val="32"/>
          <w:szCs w:val="32"/>
          <w:lang w:eastAsia="zh-CN"/>
        </w:rPr>
        <w:t>绩效评价</w:t>
      </w:r>
      <w:r>
        <w:rPr>
          <w:rFonts w:ascii="Times New Roman" w:hAnsi="Times New Roman" w:eastAsia="仿宋_GB2312"/>
          <w:spacing w:val="-91"/>
          <w:sz w:val="32"/>
          <w:szCs w:val="32"/>
          <w:lang w:eastAsia="zh-CN"/>
        </w:rPr>
        <w:t xml:space="preserve"> </w:t>
      </w:r>
      <w:r>
        <w:rPr>
          <w:rFonts w:ascii="Times New Roman" w:hAnsi="Times New Roman" w:eastAsia="仿宋_GB2312"/>
          <w:spacing w:val="-10"/>
          <w:sz w:val="32"/>
          <w:szCs w:val="32"/>
          <w:lang w:eastAsia="zh-CN"/>
        </w:rPr>
        <w:t>目的</w:t>
      </w:r>
      <w:r>
        <w:rPr>
          <w:rFonts w:hint="eastAsia" w:ascii="Times New Roman" w:hAnsi="Times New Roman" w:eastAsia="仿宋_GB2312"/>
          <w:spacing w:val="-10"/>
          <w:sz w:val="32"/>
          <w:szCs w:val="32"/>
          <w:lang w:eastAsia="zh-CN"/>
        </w:rPr>
        <w:t>：</w:t>
      </w:r>
      <w:r>
        <w:rPr>
          <w:rFonts w:hint="eastAsia" w:ascii="仿宋_GB2312" w:hAnsi="Times New Roman" w:eastAsia="仿宋_GB2312"/>
          <w:sz w:val="32"/>
          <w:szCs w:val="32"/>
          <w:lang w:eastAsia="zh-CN"/>
        </w:rPr>
        <w:t>通过对大楼运行经费项目资金的绩效评价，了解该专项经费进展，资金使用及执行情况，取得的成效，总结经验，发现问题，提出改进的意见和建议。对项目运行过程中的成本费用进行分析对比，为下年预算资金安排提供参考依据。</w:t>
      </w:r>
    </w:p>
    <w:p>
      <w:pPr>
        <w:spacing w:line="600" w:lineRule="exact"/>
        <w:ind w:firstLine="640" w:firstLineChars="200"/>
        <w:jc w:val="both"/>
        <w:rPr>
          <w:rFonts w:hint="eastAsia" w:ascii="仿宋_GB2312" w:hAnsi="Times New Roman" w:eastAsia="仿宋_GB2312"/>
          <w:sz w:val="32"/>
          <w:szCs w:val="32"/>
          <w:lang w:eastAsia="zh-CN"/>
        </w:rPr>
      </w:pPr>
      <w:r>
        <w:rPr>
          <w:rFonts w:hint="eastAsia" w:ascii="仿宋_GB2312" w:hAnsi="Times New Roman" w:eastAsia="仿宋_GB2312"/>
          <w:sz w:val="32"/>
          <w:szCs w:val="32"/>
          <w:lang w:eastAsia="zh-CN"/>
        </w:rPr>
        <w:t>评价对象：大楼运行经费。</w:t>
      </w:r>
    </w:p>
    <w:p>
      <w:pPr>
        <w:spacing w:line="600" w:lineRule="exact"/>
        <w:ind w:firstLine="640" w:firstLineChars="200"/>
        <w:jc w:val="both"/>
        <w:rPr>
          <w:rFonts w:ascii="仿宋_GB2312" w:hAnsi="Times New Roman" w:eastAsia="仿宋_GB2312"/>
          <w:sz w:val="32"/>
          <w:szCs w:val="32"/>
          <w:lang w:eastAsia="zh-CN"/>
        </w:rPr>
      </w:pPr>
      <w:r>
        <w:rPr>
          <w:rFonts w:hint="eastAsia" w:ascii="仿宋_GB2312" w:hAnsi="Times New Roman" w:eastAsia="仿宋_GB2312"/>
          <w:sz w:val="32"/>
          <w:szCs w:val="32"/>
          <w:lang w:eastAsia="zh-CN"/>
        </w:rPr>
        <w:t>评价范围：202</w:t>
      </w:r>
      <w:r>
        <w:rPr>
          <w:rFonts w:hint="default" w:ascii="仿宋_GB2312" w:hAnsi="Times New Roman" w:eastAsia="仿宋_GB2312"/>
          <w:sz w:val="32"/>
          <w:szCs w:val="32"/>
          <w:lang w:val="en" w:eastAsia="zh-CN"/>
        </w:rPr>
        <w:t>2</w:t>
      </w:r>
      <w:r>
        <w:rPr>
          <w:rFonts w:hint="eastAsia" w:ascii="仿宋_GB2312" w:hAnsi="Times New Roman" w:eastAsia="仿宋_GB2312"/>
          <w:sz w:val="32"/>
          <w:szCs w:val="32"/>
          <w:lang w:eastAsia="zh-CN"/>
        </w:rPr>
        <w:t>年度大楼运行经费项目所涉及的全部支出内容。</w:t>
      </w:r>
    </w:p>
    <w:p>
      <w:pPr>
        <w:numPr>
          <w:ilvl w:val="0"/>
          <w:numId w:val="0"/>
        </w:numPr>
        <w:spacing w:line="600" w:lineRule="exact"/>
        <w:ind w:firstLine="654" w:firstLineChars="200"/>
        <w:jc w:val="both"/>
        <w:rPr>
          <w:rFonts w:hint="eastAsia" w:ascii="仿宋_GB2312" w:hAnsi="Times New Roman" w:eastAsia="仿宋_GB2312"/>
          <w:sz w:val="32"/>
          <w:szCs w:val="32"/>
          <w:lang w:eastAsia="zh-CN"/>
        </w:rPr>
      </w:pPr>
      <w:r>
        <w:rPr>
          <w:rFonts w:hint="default" w:ascii="仿宋_GB2312" w:hAnsi="Times New Roman" w:eastAsia="仿宋_GB2312"/>
          <w:spacing w:val="-1"/>
          <w:w w:val="103"/>
          <w:sz w:val="32"/>
          <w:szCs w:val="32"/>
          <w:lang w:val="en" w:eastAsia="zh-CN"/>
        </w:rPr>
        <w:t>(</w:t>
      </w:r>
      <w:r>
        <w:rPr>
          <w:rFonts w:hint="eastAsia" w:ascii="仿宋_GB2312" w:hAnsi="Times New Roman" w:eastAsia="仿宋_GB2312"/>
          <w:spacing w:val="-1"/>
          <w:w w:val="103"/>
          <w:sz w:val="32"/>
          <w:szCs w:val="32"/>
          <w:lang w:val="en" w:eastAsia="zh-CN"/>
        </w:rPr>
        <w:t>二）</w:t>
      </w:r>
      <w:r>
        <w:rPr>
          <w:rFonts w:hint="eastAsia" w:ascii="仿宋_GB2312" w:hAnsi="Times New Roman" w:eastAsia="仿宋_GB2312"/>
          <w:spacing w:val="-1"/>
          <w:w w:val="103"/>
          <w:sz w:val="32"/>
          <w:szCs w:val="32"/>
          <w:lang w:eastAsia="zh-CN"/>
        </w:rPr>
        <w:t>绩效评价原则</w:t>
      </w:r>
      <w:r>
        <w:rPr>
          <w:rFonts w:hint="eastAsia" w:ascii="仿宋_GB2312" w:hAnsi="Times New Roman" w:eastAsia="仿宋_GB2312"/>
          <w:spacing w:val="-106"/>
          <w:w w:val="103"/>
          <w:sz w:val="32"/>
          <w:szCs w:val="32"/>
          <w:lang w:eastAsia="zh-CN"/>
        </w:rPr>
        <w:t xml:space="preserve"> </w:t>
      </w:r>
      <w:r>
        <w:rPr>
          <w:rFonts w:hint="eastAsia" w:ascii="仿宋_GB2312" w:hAnsi="Times New Roman" w:eastAsia="仿宋_GB2312"/>
          <w:spacing w:val="-7"/>
          <w:w w:val="103"/>
          <w:sz w:val="32"/>
          <w:szCs w:val="32"/>
          <w:lang w:eastAsia="zh-CN"/>
        </w:rPr>
        <w:t>、评价指标体系</w:t>
      </w:r>
      <w:r>
        <w:rPr>
          <w:rFonts w:hint="eastAsia" w:ascii="仿宋_GB2312" w:hAnsi="Times New Roman" w:eastAsia="仿宋_GB2312"/>
          <w:spacing w:val="-2"/>
          <w:w w:val="103"/>
          <w:sz w:val="32"/>
          <w:szCs w:val="32"/>
          <w:lang w:eastAsia="zh-CN"/>
        </w:rPr>
        <w:t>（</w:t>
      </w:r>
      <w:r>
        <w:rPr>
          <w:rFonts w:hint="eastAsia" w:ascii="仿宋_GB2312" w:hAnsi="Times New Roman" w:eastAsia="仿宋_GB2312"/>
          <w:w w:val="104"/>
          <w:sz w:val="32"/>
          <w:szCs w:val="32"/>
          <w:lang w:eastAsia="zh-CN"/>
        </w:rPr>
        <w:t>附表说明</w:t>
      </w:r>
      <w:r>
        <w:rPr>
          <w:rFonts w:hint="eastAsia" w:ascii="仿宋_GB2312" w:hAnsi="Times New Roman" w:eastAsia="仿宋_GB2312"/>
          <w:spacing w:val="-2"/>
          <w:w w:val="103"/>
          <w:sz w:val="32"/>
          <w:szCs w:val="32"/>
          <w:lang w:eastAsia="zh-CN"/>
        </w:rPr>
        <w:t>）</w:t>
      </w:r>
      <w:r>
        <w:rPr>
          <w:rFonts w:hint="eastAsia" w:ascii="Times New Roman" w:hAnsi="Times New Roman" w:eastAsia="仿宋_GB2312"/>
          <w:sz w:val="32"/>
          <w:szCs w:val="32"/>
          <w:lang w:eastAsia="zh-CN"/>
        </w:rPr>
        <w:t>、评价方法、评价标准</w:t>
      </w:r>
      <w:r>
        <w:rPr>
          <w:rFonts w:hint="eastAsia" w:ascii="仿宋_GB2312" w:hAnsi="Times New Roman" w:eastAsia="仿宋_GB2312"/>
          <w:sz w:val="32"/>
          <w:szCs w:val="32"/>
          <w:lang w:eastAsia="zh-CN"/>
        </w:rPr>
        <w:t>等。</w:t>
      </w:r>
    </w:p>
    <w:p>
      <w:pPr>
        <w:spacing w:line="600" w:lineRule="exact"/>
        <w:ind w:firstLine="640"/>
        <w:jc w:val="both"/>
        <w:rPr>
          <w:rFonts w:hint="eastAsia" w:ascii="仿宋_GB2312" w:hAnsi="Times New Roman" w:eastAsia="仿宋_GB2312"/>
          <w:sz w:val="32"/>
          <w:szCs w:val="32"/>
          <w:lang w:eastAsia="zh-CN"/>
        </w:rPr>
      </w:pPr>
      <w:r>
        <w:rPr>
          <w:rFonts w:hint="eastAsia" w:ascii="仿宋_GB2312" w:hAnsi="Times New Roman" w:eastAsia="仿宋_GB2312"/>
          <w:sz w:val="32"/>
          <w:szCs w:val="32"/>
          <w:lang w:eastAsia="zh-CN"/>
        </w:rPr>
        <w:t>绩效评价基本原则：遵循科学规范、公正公开、绩效相关原则。</w:t>
      </w:r>
    </w:p>
    <w:p>
      <w:pPr>
        <w:spacing w:line="600" w:lineRule="exact"/>
        <w:ind w:firstLine="640"/>
        <w:jc w:val="both"/>
        <w:rPr>
          <w:rFonts w:hint="eastAsia" w:ascii="仿宋_GB2312" w:hAnsi="Times New Roman" w:eastAsia="仿宋_GB2312"/>
          <w:sz w:val="32"/>
          <w:szCs w:val="32"/>
          <w:lang w:eastAsia="zh-CN"/>
        </w:rPr>
      </w:pPr>
      <w:r>
        <w:rPr>
          <w:rFonts w:hint="eastAsia" w:ascii="仿宋_GB2312" w:hAnsi="Times New Roman" w:eastAsia="仿宋_GB2312"/>
          <w:sz w:val="32"/>
          <w:szCs w:val="32"/>
          <w:lang w:eastAsia="zh-CN"/>
        </w:rPr>
        <w:t>评价指标体系：参照相关规定制定。</w:t>
      </w:r>
    </w:p>
    <w:p>
      <w:pPr>
        <w:spacing w:line="600" w:lineRule="exact"/>
        <w:ind w:firstLine="640"/>
        <w:jc w:val="both"/>
        <w:rPr>
          <w:rFonts w:hint="eastAsia" w:ascii="仿宋_GB2312" w:hAnsi="Times New Roman" w:eastAsia="仿宋_GB2312"/>
          <w:sz w:val="32"/>
          <w:szCs w:val="32"/>
          <w:lang w:val="en-US" w:eastAsia="zh-CN"/>
        </w:rPr>
      </w:pPr>
      <w:r>
        <w:rPr>
          <w:rFonts w:hint="eastAsia" w:ascii="仿宋_GB2312" w:hAnsi="Times New Roman" w:eastAsia="仿宋_GB2312"/>
          <w:sz w:val="32"/>
          <w:szCs w:val="32"/>
          <w:lang w:eastAsia="zh-CN"/>
        </w:rPr>
        <w:t>项目资金：年度资金总额：年初预算数</w:t>
      </w:r>
      <w:r>
        <w:rPr>
          <w:rFonts w:hint="eastAsia" w:ascii="仿宋_GB2312" w:hAnsi="Times New Roman" w:eastAsia="仿宋_GB2312"/>
          <w:sz w:val="32"/>
          <w:szCs w:val="32"/>
          <w:lang w:val="en-US" w:eastAsia="zh-CN"/>
        </w:rPr>
        <w:t>500</w:t>
      </w:r>
      <w:r>
        <w:rPr>
          <w:rFonts w:hint="default" w:ascii="仿宋_GB2312" w:hAnsi="Times New Roman" w:eastAsia="仿宋_GB2312"/>
          <w:sz w:val="32"/>
          <w:szCs w:val="32"/>
          <w:lang w:val="en" w:eastAsia="zh-CN"/>
        </w:rPr>
        <w:t>.0</w:t>
      </w:r>
      <w:r>
        <w:rPr>
          <w:rFonts w:hint="eastAsia" w:ascii="仿宋_GB2312" w:hAnsi="Times New Roman" w:eastAsia="仿宋_GB2312"/>
          <w:sz w:val="32"/>
          <w:szCs w:val="32"/>
          <w:lang w:val="en-US" w:eastAsia="zh-CN"/>
        </w:rPr>
        <w:t>万元，全年预算数</w:t>
      </w:r>
      <w:r>
        <w:rPr>
          <w:rFonts w:hint="default" w:ascii="仿宋_GB2312" w:hAnsi="Times New Roman" w:eastAsia="仿宋_GB2312"/>
          <w:sz w:val="32"/>
          <w:szCs w:val="32"/>
          <w:lang w:val="en" w:eastAsia="zh-CN"/>
        </w:rPr>
        <w:t>260.6</w:t>
      </w:r>
      <w:r>
        <w:rPr>
          <w:rFonts w:hint="eastAsia" w:ascii="仿宋_GB2312" w:hAnsi="Times New Roman" w:eastAsia="仿宋_GB2312"/>
          <w:sz w:val="32"/>
          <w:szCs w:val="32"/>
          <w:lang w:val="en-US" w:eastAsia="zh-CN"/>
        </w:rPr>
        <w:t>万元。其中：当年财政拨款（区级资金）</w:t>
      </w:r>
      <w:r>
        <w:rPr>
          <w:rFonts w:hint="eastAsia" w:ascii="仿宋_GB2312" w:hAnsi="Times New Roman" w:eastAsia="仿宋_GB2312"/>
          <w:sz w:val="32"/>
          <w:szCs w:val="32"/>
          <w:lang w:eastAsia="zh-CN"/>
        </w:rPr>
        <w:t>年初预算数</w:t>
      </w:r>
      <w:r>
        <w:rPr>
          <w:rFonts w:hint="eastAsia" w:ascii="仿宋_GB2312" w:hAnsi="Times New Roman" w:eastAsia="仿宋_GB2312"/>
          <w:sz w:val="32"/>
          <w:szCs w:val="32"/>
          <w:lang w:val="en-US" w:eastAsia="zh-CN"/>
        </w:rPr>
        <w:t>500</w:t>
      </w:r>
      <w:r>
        <w:rPr>
          <w:rFonts w:hint="default" w:ascii="仿宋_GB2312" w:hAnsi="Times New Roman" w:eastAsia="仿宋_GB2312"/>
          <w:sz w:val="32"/>
          <w:szCs w:val="32"/>
          <w:lang w:val="en" w:eastAsia="zh-CN"/>
        </w:rPr>
        <w:t>.0</w:t>
      </w:r>
      <w:r>
        <w:rPr>
          <w:rFonts w:hint="eastAsia" w:ascii="仿宋_GB2312" w:hAnsi="Times New Roman" w:eastAsia="仿宋_GB2312"/>
          <w:sz w:val="32"/>
          <w:szCs w:val="32"/>
          <w:lang w:val="en-US" w:eastAsia="zh-CN"/>
        </w:rPr>
        <w:t>万元，全年预算数</w:t>
      </w:r>
      <w:r>
        <w:rPr>
          <w:rFonts w:hint="default" w:ascii="仿宋_GB2312" w:hAnsi="Times New Roman" w:eastAsia="仿宋_GB2312"/>
          <w:sz w:val="32"/>
          <w:szCs w:val="32"/>
          <w:lang w:val="en" w:eastAsia="zh-CN"/>
        </w:rPr>
        <w:t>260.6</w:t>
      </w:r>
      <w:r>
        <w:rPr>
          <w:rFonts w:hint="eastAsia" w:ascii="仿宋_GB2312" w:hAnsi="Times New Roman" w:eastAsia="仿宋_GB2312"/>
          <w:sz w:val="32"/>
          <w:szCs w:val="32"/>
          <w:lang w:val="en-US" w:eastAsia="zh-CN"/>
        </w:rPr>
        <w:t>万元，全年执行数</w:t>
      </w:r>
      <w:r>
        <w:rPr>
          <w:rFonts w:hint="default" w:ascii="仿宋_GB2312" w:hAnsi="Times New Roman" w:eastAsia="仿宋_GB2312"/>
          <w:sz w:val="32"/>
          <w:szCs w:val="32"/>
          <w:lang w:val="en" w:eastAsia="zh-CN"/>
        </w:rPr>
        <w:t>260.6</w:t>
      </w:r>
      <w:r>
        <w:rPr>
          <w:rFonts w:hint="eastAsia" w:ascii="仿宋_GB2312" w:hAnsi="Times New Roman" w:eastAsia="仿宋_GB2312"/>
          <w:sz w:val="32"/>
          <w:szCs w:val="32"/>
          <w:lang w:val="en-US" w:eastAsia="zh-CN"/>
        </w:rPr>
        <w:t>万元，得分10分，执行率100%，无偏差。</w:t>
      </w:r>
    </w:p>
    <w:p>
      <w:pPr>
        <w:spacing w:line="600" w:lineRule="exact"/>
        <w:ind w:firstLine="640"/>
        <w:jc w:val="both"/>
        <w:rPr>
          <w:rFonts w:hint="default" w:ascii="仿宋_GB2312" w:hAnsi="Times New Roman" w:eastAsia="仿宋_GB2312"/>
          <w:sz w:val="32"/>
          <w:szCs w:val="32"/>
          <w:lang w:val="en-US" w:eastAsia="zh-CN"/>
        </w:rPr>
      </w:pPr>
      <w:r>
        <w:rPr>
          <w:rFonts w:hint="eastAsia" w:ascii="仿宋_GB2312" w:hAnsi="Times New Roman" w:eastAsia="仿宋_GB2312"/>
          <w:sz w:val="32"/>
          <w:szCs w:val="32"/>
          <w:lang w:val="en-US" w:eastAsia="zh-CN"/>
        </w:rPr>
        <w:t>绩效指标：1.产出指标中（1）数量指标：保障办公楼数量，年度指标值=1栋楼，实际完成值为1栋楼，得分10分，无偏差。（2）质量指标：保障办公楼运维达标率，年度指标值≥90％，实际完成值为100％，得分10分，无偏差。（3）时效指标：办公楼运维保障及时率，年度指标值为≥90％，实际完成值为100％，得分10分，无偏差。（4）成本指标：大楼运行经费，年度指标值为≤26</w:t>
      </w:r>
      <w:r>
        <w:rPr>
          <w:rFonts w:hint="default" w:ascii="仿宋_GB2312" w:hAnsi="Times New Roman" w:eastAsia="仿宋_GB2312"/>
          <w:sz w:val="32"/>
          <w:szCs w:val="32"/>
          <w:lang w:val="en" w:eastAsia="zh-CN"/>
        </w:rPr>
        <w:t>0</w:t>
      </w:r>
      <w:r>
        <w:rPr>
          <w:rFonts w:hint="eastAsia" w:ascii="仿宋_GB2312" w:hAnsi="Times New Roman" w:eastAsia="仿宋_GB2312"/>
          <w:sz w:val="32"/>
          <w:szCs w:val="32"/>
          <w:lang w:val="en-US" w:eastAsia="zh-CN"/>
        </w:rPr>
        <w:t>.</w:t>
      </w:r>
      <w:r>
        <w:rPr>
          <w:rFonts w:hint="default" w:ascii="仿宋_GB2312" w:hAnsi="Times New Roman" w:eastAsia="仿宋_GB2312"/>
          <w:sz w:val="32"/>
          <w:szCs w:val="32"/>
          <w:lang w:val="en" w:eastAsia="zh-CN"/>
        </w:rPr>
        <w:t>6</w:t>
      </w:r>
      <w:r>
        <w:rPr>
          <w:rFonts w:hint="eastAsia" w:ascii="仿宋_GB2312" w:hAnsi="Times New Roman" w:eastAsia="仿宋_GB2312"/>
          <w:sz w:val="32"/>
          <w:szCs w:val="32"/>
          <w:lang w:val="en-US" w:eastAsia="zh-CN"/>
        </w:rPr>
        <w:t>万元，实际完成值26</w:t>
      </w:r>
      <w:r>
        <w:rPr>
          <w:rFonts w:hint="default" w:ascii="仿宋_GB2312" w:hAnsi="Times New Roman" w:eastAsia="仿宋_GB2312"/>
          <w:sz w:val="32"/>
          <w:szCs w:val="32"/>
          <w:lang w:val="en" w:eastAsia="zh-CN"/>
        </w:rPr>
        <w:t>0</w:t>
      </w:r>
      <w:r>
        <w:rPr>
          <w:rFonts w:hint="eastAsia" w:ascii="仿宋_GB2312" w:hAnsi="Times New Roman" w:eastAsia="仿宋_GB2312"/>
          <w:sz w:val="32"/>
          <w:szCs w:val="32"/>
          <w:lang w:val="en-US" w:eastAsia="zh-CN"/>
        </w:rPr>
        <w:t>.</w:t>
      </w:r>
      <w:r>
        <w:rPr>
          <w:rFonts w:hint="default" w:ascii="仿宋_GB2312" w:hAnsi="Times New Roman" w:eastAsia="仿宋_GB2312"/>
          <w:sz w:val="32"/>
          <w:szCs w:val="32"/>
          <w:lang w:val="en" w:eastAsia="zh-CN"/>
        </w:rPr>
        <w:t>6</w:t>
      </w:r>
      <w:r>
        <w:rPr>
          <w:rFonts w:hint="eastAsia" w:ascii="仿宋_GB2312" w:hAnsi="Times New Roman" w:eastAsia="仿宋_GB2312"/>
          <w:sz w:val="32"/>
          <w:szCs w:val="32"/>
          <w:lang w:val="en-US" w:eastAsia="zh-CN"/>
        </w:rPr>
        <w:t>万元，得分20分，无偏差；大楼运行经费,年度指标值为≤500.0万元，实际完成值-万元，得分</w:t>
      </w:r>
      <w:r>
        <w:rPr>
          <w:rFonts w:hint="default" w:ascii="仿宋_GB2312" w:hAnsi="Times New Roman" w:eastAsia="仿宋_GB2312"/>
          <w:sz w:val="32"/>
          <w:szCs w:val="32"/>
          <w:lang w:val="en" w:eastAsia="zh-CN"/>
        </w:rPr>
        <w:t>-</w:t>
      </w:r>
      <w:r>
        <w:rPr>
          <w:rFonts w:hint="eastAsia" w:ascii="仿宋_GB2312" w:hAnsi="Times New Roman" w:eastAsia="仿宋_GB2312"/>
          <w:sz w:val="32"/>
          <w:szCs w:val="32"/>
          <w:lang w:val="en-US" w:eastAsia="zh-CN"/>
        </w:rPr>
        <w:t>分，该指标已新增完善。2.效益指标中社会效益指标：保障办公楼良好办公环境，在年度指标值中使得得到有效保障，实际完成值:通过对区委区政府办公楼设备设施维修维护及物业管理等方面进行监督，保障区委区政府办公大楼正常运转，基本达成预期指标，得分30分，无偏差。3.满意度指标中服务对象满意度指标：大楼单位满意度在年度指标值中≥90％，实际完成值为100％，得分10分，无偏差。</w:t>
      </w:r>
    </w:p>
    <w:p>
      <w:pPr>
        <w:spacing w:line="600" w:lineRule="exact"/>
        <w:ind w:firstLine="640"/>
        <w:jc w:val="both"/>
        <w:rPr>
          <w:rFonts w:hint="eastAsia" w:ascii="仿宋_GB2312" w:hAnsi="Times New Roman" w:eastAsia="仿宋_GB2312"/>
          <w:sz w:val="32"/>
          <w:szCs w:val="32"/>
          <w:lang w:eastAsia="zh-CN"/>
        </w:rPr>
      </w:pPr>
      <w:r>
        <w:rPr>
          <w:rFonts w:hint="eastAsia" w:ascii="仿宋_GB2312" w:hAnsi="Times New Roman" w:eastAsia="仿宋_GB2312"/>
          <w:sz w:val="32"/>
          <w:szCs w:val="32"/>
          <w:lang w:eastAsia="zh-CN"/>
        </w:rPr>
        <w:t>评价方法：根据大楼运行经费支出绩效评价体系项目绩效评价表进行评分，数据分析、询问查证等方法。</w:t>
      </w:r>
    </w:p>
    <w:p>
      <w:pPr>
        <w:spacing w:line="600" w:lineRule="exact"/>
        <w:ind w:firstLine="640"/>
        <w:jc w:val="both"/>
        <w:rPr>
          <w:rFonts w:hint="eastAsia" w:ascii="仿宋_GB2312" w:hAnsi="Times New Roman" w:eastAsia="仿宋_GB2312"/>
          <w:sz w:val="32"/>
          <w:szCs w:val="32"/>
          <w:lang w:eastAsia="zh-CN"/>
        </w:rPr>
      </w:pPr>
      <w:r>
        <w:rPr>
          <w:rFonts w:hint="eastAsia" w:ascii="仿宋_GB2312" w:hAnsi="Times New Roman" w:eastAsia="仿宋_GB2312"/>
          <w:sz w:val="32"/>
          <w:szCs w:val="32"/>
          <w:lang w:eastAsia="zh-CN"/>
        </w:rPr>
        <w:t>评价标准：按照财政部门相关规定及本单位相关制度为标准。</w:t>
      </w:r>
    </w:p>
    <w:p>
      <w:pPr>
        <w:numPr>
          <w:ilvl w:val="0"/>
          <w:numId w:val="1"/>
        </w:numPr>
        <w:spacing w:line="600" w:lineRule="exact"/>
        <w:ind w:firstLine="640" w:firstLineChars="200"/>
        <w:jc w:val="both"/>
        <w:rPr>
          <w:rFonts w:ascii="Times New Roman" w:hAnsi="Times New Roman" w:eastAsia="仿宋_GB2312"/>
          <w:sz w:val="32"/>
          <w:szCs w:val="32"/>
          <w:lang w:eastAsia="zh-CN"/>
        </w:rPr>
      </w:pPr>
      <w:r>
        <w:rPr>
          <w:rFonts w:ascii="Times New Roman" w:hAnsi="Times New Roman" w:eastAsia="仿宋_GB2312"/>
          <w:sz w:val="32"/>
          <w:szCs w:val="32"/>
          <w:lang w:eastAsia="zh-CN"/>
        </w:rPr>
        <w:t>绩效评价工作过程。</w:t>
      </w:r>
    </w:p>
    <w:p>
      <w:pPr>
        <w:spacing w:line="600" w:lineRule="exact"/>
        <w:jc w:val="both"/>
        <w:rPr>
          <w:rFonts w:ascii="Times New Roman" w:hAnsi="Times New Roman" w:eastAsia="仿宋_GB2312"/>
          <w:sz w:val="32"/>
          <w:szCs w:val="32"/>
          <w:lang w:eastAsia="zh-CN"/>
        </w:rPr>
      </w:pPr>
      <w:r>
        <w:rPr>
          <w:rFonts w:hint="eastAsia" w:ascii="Times New Roman" w:hAnsi="Times New Roman" w:eastAsia="仿宋_GB2312"/>
          <w:sz w:val="32"/>
          <w:szCs w:val="32"/>
          <w:lang w:eastAsia="zh-CN"/>
        </w:rPr>
        <w:t xml:space="preserve">    区政府办公室领导高度重视绩效评价工作，按照文件要求进行工作部署，绩效评价人员认真有序开展绩效评价，收集数据，参考自评报告和自评情况的审核，对大楼运行经费项目绩效进行分析评价。</w:t>
      </w:r>
    </w:p>
    <w:p>
      <w:pPr>
        <w:numPr>
          <w:ilvl w:val="0"/>
          <w:numId w:val="2"/>
        </w:numPr>
        <w:spacing w:line="600" w:lineRule="exact"/>
        <w:ind w:firstLine="656" w:firstLineChars="200"/>
        <w:jc w:val="both"/>
        <w:rPr>
          <w:rFonts w:ascii="黑体" w:hAnsi="黑体" w:eastAsia="黑体"/>
          <w:spacing w:val="-4"/>
          <w:w w:val="105"/>
          <w:sz w:val="32"/>
          <w:szCs w:val="32"/>
          <w:lang w:eastAsia="zh-CN"/>
        </w:rPr>
      </w:pPr>
      <w:r>
        <w:rPr>
          <w:rFonts w:ascii="黑体" w:hAnsi="黑体" w:eastAsia="黑体"/>
          <w:spacing w:val="-4"/>
          <w:w w:val="105"/>
          <w:sz w:val="32"/>
          <w:szCs w:val="32"/>
          <w:lang w:eastAsia="zh-CN"/>
        </w:rPr>
        <w:t>综合评价情况及评价结论</w:t>
      </w:r>
    </w:p>
    <w:p>
      <w:pPr>
        <w:spacing w:line="600" w:lineRule="exact"/>
        <w:jc w:val="both"/>
        <w:rPr>
          <w:rFonts w:hint="default" w:ascii="Times New Roman" w:hAnsi="Times New Roman" w:eastAsia="仿宋_GB2312"/>
          <w:sz w:val="32"/>
          <w:szCs w:val="32"/>
          <w:lang w:val="en-US" w:eastAsia="zh-CN"/>
        </w:rPr>
      </w:pPr>
      <w:r>
        <w:rPr>
          <w:rFonts w:hint="eastAsia" w:ascii="黑体" w:hAnsi="黑体" w:eastAsia="黑体"/>
          <w:spacing w:val="-4"/>
          <w:w w:val="105"/>
          <w:sz w:val="32"/>
          <w:szCs w:val="32"/>
          <w:lang w:eastAsia="zh-CN"/>
        </w:rPr>
        <w:t xml:space="preserve">  </w:t>
      </w:r>
      <w:r>
        <w:rPr>
          <w:rFonts w:hint="eastAsia" w:ascii="Times New Roman" w:hAnsi="Times New Roman" w:eastAsia="仿宋_GB2312"/>
          <w:sz w:val="32"/>
          <w:szCs w:val="32"/>
          <w:lang w:eastAsia="zh-CN"/>
        </w:rPr>
        <w:t xml:space="preserve">  为了做好绩效评价工作，认真有序开展绩效评价，对大楼运行经费项目绩效进行分析评价。评价认为：202</w:t>
      </w:r>
      <w:r>
        <w:rPr>
          <w:rFonts w:hint="default" w:ascii="Times New Roman" w:hAnsi="Times New Roman" w:eastAsia="仿宋_GB2312"/>
          <w:sz w:val="32"/>
          <w:szCs w:val="32"/>
          <w:lang w:val="en" w:eastAsia="zh-CN"/>
        </w:rPr>
        <w:t>2</w:t>
      </w:r>
      <w:r>
        <w:rPr>
          <w:rFonts w:hint="eastAsia" w:ascii="Times New Roman" w:hAnsi="Times New Roman" w:eastAsia="仿宋_GB2312"/>
          <w:sz w:val="32"/>
          <w:szCs w:val="32"/>
          <w:lang w:eastAsia="zh-CN"/>
        </w:rPr>
        <w:t>年经过努力，区委区政府办公大楼安全有序平稳运行，未发生安全责任事故。大楼供水、供电、消防、变电等设备运转正常，办公环境良好，院落整洁，区委区政府办公大楼正常运转，基本达成预期指标。评价分数为</w:t>
      </w:r>
      <w:r>
        <w:rPr>
          <w:rFonts w:hint="eastAsia" w:ascii="Times New Roman" w:hAnsi="Times New Roman" w:eastAsia="仿宋_GB2312"/>
          <w:sz w:val="32"/>
          <w:szCs w:val="32"/>
          <w:lang w:val="en-US" w:eastAsia="zh-CN"/>
        </w:rPr>
        <w:t>100分，等级为优。</w:t>
      </w:r>
    </w:p>
    <w:p>
      <w:pPr>
        <w:spacing w:line="600" w:lineRule="exact"/>
        <w:ind w:firstLine="656" w:firstLineChars="200"/>
        <w:jc w:val="both"/>
        <w:rPr>
          <w:rFonts w:ascii="黑体" w:hAnsi="黑体" w:eastAsia="黑体"/>
          <w:spacing w:val="-4"/>
          <w:w w:val="105"/>
          <w:sz w:val="32"/>
          <w:szCs w:val="32"/>
          <w:lang w:eastAsia="zh-CN"/>
        </w:rPr>
      </w:pPr>
      <w:r>
        <w:rPr>
          <w:rFonts w:ascii="黑体" w:hAnsi="黑体" w:eastAsia="黑体"/>
          <w:spacing w:val="-4"/>
          <w:w w:val="105"/>
          <w:sz w:val="32"/>
          <w:szCs w:val="32"/>
          <w:lang w:eastAsia="zh-CN"/>
        </w:rPr>
        <w:t>四、绩效评价指标分析</w:t>
      </w:r>
    </w:p>
    <w:p>
      <w:pPr>
        <w:spacing w:line="600" w:lineRule="exact"/>
        <w:ind w:firstLine="640" w:firstLineChars="200"/>
        <w:jc w:val="both"/>
        <w:rPr>
          <w:rFonts w:ascii="Times New Roman" w:hAnsi="Times New Roman" w:eastAsia="仿宋_GB2312"/>
          <w:sz w:val="32"/>
          <w:szCs w:val="32"/>
          <w:lang w:eastAsia="zh-CN"/>
        </w:rPr>
      </w:pPr>
      <w:r>
        <w:rPr>
          <w:rFonts w:hint="eastAsia" w:ascii="Times New Roman" w:hAnsi="Times New Roman" w:eastAsia="仿宋_GB2312"/>
          <w:sz w:val="32"/>
          <w:szCs w:val="32"/>
          <w:lang w:eastAsia="zh-CN"/>
        </w:rPr>
        <w:t>（一）</w:t>
      </w:r>
      <w:r>
        <w:rPr>
          <w:rFonts w:ascii="Times New Roman" w:hAnsi="Times New Roman" w:eastAsia="仿宋_GB2312"/>
          <w:sz w:val="32"/>
          <w:szCs w:val="32"/>
          <w:lang w:eastAsia="zh-CN"/>
        </w:rPr>
        <w:t>项目决策情况</w:t>
      </w:r>
      <w:r>
        <w:rPr>
          <w:rFonts w:ascii="Times New Roman" w:hAnsi="Times New Roman" w:eastAsia="仿宋_GB2312"/>
          <w:spacing w:val="-115"/>
          <w:sz w:val="32"/>
          <w:szCs w:val="32"/>
          <w:lang w:eastAsia="zh-CN"/>
        </w:rPr>
        <w:t xml:space="preserve"> </w:t>
      </w:r>
      <w:r>
        <w:rPr>
          <w:rFonts w:ascii="Times New Roman" w:hAnsi="Times New Roman" w:eastAsia="仿宋_GB2312"/>
          <w:sz w:val="32"/>
          <w:szCs w:val="32"/>
          <w:lang w:eastAsia="zh-CN"/>
        </w:rPr>
        <w:t>。</w:t>
      </w:r>
    </w:p>
    <w:p>
      <w:pPr>
        <w:spacing w:line="600" w:lineRule="exact"/>
        <w:jc w:val="both"/>
        <w:rPr>
          <w:rFonts w:ascii="Times New Roman" w:hAnsi="Times New Roman" w:eastAsia="仿宋_GB2312"/>
          <w:sz w:val="32"/>
          <w:szCs w:val="32"/>
          <w:lang w:eastAsia="zh-CN"/>
        </w:rPr>
      </w:pPr>
      <w:r>
        <w:rPr>
          <w:rFonts w:hint="eastAsia" w:ascii="Times New Roman" w:hAnsi="Times New Roman" w:eastAsia="仿宋_GB2312"/>
          <w:sz w:val="32"/>
          <w:szCs w:val="32"/>
          <w:lang w:eastAsia="zh-CN"/>
        </w:rPr>
        <w:t xml:space="preserve">    申报经过区政府办公室党组会研究讨论，大楼运行经费项目立项规范。纳入年度部门预算，编报部门预算报表，经批准后由区财政局下达预算指标。</w:t>
      </w:r>
    </w:p>
    <w:p>
      <w:pPr>
        <w:numPr>
          <w:ilvl w:val="0"/>
          <w:numId w:val="3"/>
        </w:numPr>
        <w:spacing w:line="600" w:lineRule="exact"/>
        <w:ind w:firstLine="640" w:firstLineChars="200"/>
        <w:jc w:val="both"/>
        <w:rPr>
          <w:rFonts w:ascii="Times New Roman" w:hAnsi="Times New Roman" w:eastAsia="仿宋_GB2312"/>
          <w:sz w:val="32"/>
          <w:szCs w:val="32"/>
          <w:lang w:eastAsia="zh-CN"/>
        </w:rPr>
      </w:pPr>
      <w:r>
        <w:rPr>
          <w:rFonts w:ascii="Times New Roman" w:hAnsi="Times New Roman" w:eastAsia="仿宋_GB2312"/>
          <w:sz w:val="32"/>
          <w:szCs w:val="32"/>
          <w:lang w:eastAsia="zh-CN"/>
        </w:rPr>
        <w:t>项目过程情况</w:t>
      </w:r>
      <w:r>
        <w:rPr>
          <w:rFonts w:ascii="Times New Roman" w:hAnsi="Times New Roman" w:eastAsia="仿宋_GB2312"/>
          <w:spacing w:val="-106"/>
          <w:sz w:val="32"/>
          <w:szCs w:val="32"/>
          <w:lang w:eastAsia="zh-CN"/>
        </w:rPr>
        <w:t xml:space="preserve"> </w:t>
      </w:r>
      <w:r>
        <w:rPr>
          <w:rFonts w:ascii="Times New Roman" w:hAnsi="Times New Roman" w:eastAsia="仿宋_GB2312"/>
          <w:sz w:val="32"/>
          <w:szCs w:val="32"/>
          <w:lang w:eastAsia="zh-CN"/>
        </w:rPr>
        <w:t>。</w:t>
      </w:r>
    </w:p>
    <w:p>
      <w:pPr>
        <w:spacing w:line="600" w:lineRule="exact"/>
        <w:jc w:val="both"/>
        <w:rPr>
          <w:rFonts w:ascii="Times New Roman" w:hAnsi="Times New Roman" w:eastAsia="仿宋_GB2312"/>
          <w:sz w:val="32"/>
          <w:szCs w:val="32"/>
          <w:lang w:eastAsia="zh-CN"/>
        </w:rPr>
      </w:pPr>
      <w:r>
        <w:rPr>
          <w:rFonts w:hint="eastAsia" w:ascii="Times New Roman" w:hAnsi="Times New Roman" w:eastAsia="仿宋_GB2312"/>
          <w:sz w:val="32"/>
          <w:szCs w:val="32"/>
          <w:lang w:eastAsia="zh-CN"/>
        </w:rPr>
        <w:t xml:space="preserve">    本项目严格按照区政府办公室财务管理制度、固定资产管理制度及相关资金管理制度进行报账。</w:t>
      </w:r>
    </w:p>
    <w:p>
      <w:pPr>
        <w:numPr>
          <w:ilvl w:val="0"/>
          <w:numId w:val="3"/>
        </w:numPr>
        <w:spacing w:line="600" w:lineRule="exact"/>
        <w:ind w:firstLine="640" w:firstLineChars="200"/>
        <w:jc w:val="both"/>
        <w:rPr>
          <w:rFonts w:ascii="Times New Roman" w:hAnsi="Times New Roman" w:eastAsia="仿宋_GB2312"/>
          <w:sz w:val="32"/>
          <w:szCs w:val="32"/>
          <w:lang w:eastAsia="zh-CN"/>
        </w:rPr>
      </w:pPr>
      <w:r>
        <w:rPr>
          <w:rFonts w:ascii="Times New Roman" w:hAnsi="Times New Roman" w:eastAsia="仿宋_GB2312"/>
          <w:sz w:val="32"/>
          <w:szCs w:val="32"/>
          <w:lang w:eastAsia="zh-CN"/>
        </w:rPr>
        <w:t>项目产出情况</w:t>
      </w:r>
      <w:r>
        <w:rPr>
          <w:rFonts w:ascii="Times New Roman" w:hAnsi="Times New Roman" w:eastAsia="仿宋_GB2312"/>
          <w:spacing w:val="-115"/>
          <w:sz w:val="32"/>
          <w:szCs w:val="32"/>
          <w:lang w:eastAsia="zh-CN"/>
        </w:rPr>
        <w:t xml:space="preserve"> </w:t>
      </w:r>
      <w:r>
        <w:rPr>
          <w:rFonts w:ascii="Times New Roman" w:hAnsi="Times New Roman" w:eastAsia="仿宋_GB2312"/>
          <w:sz w:val="32"/>
          <w:szCs w:val="32"/>
          <w:lang w:eastAsia="zh-CN"/>
        </w:rPr>
        <w:t>。</w:t>
      </w:r>
    </w:p>
    <w:p>
      <w:pPr>
        <w:spacing w:line="600" w:lineRule="exact"/>
        <w:jc w:val="both"/>
        <w:rPr>
          <w:rFonts w:ascii="Times New Roman" w:hAnsi="Times New Roman" w:eastAsia="仿宋_GB2312"/>
          <w:sz w:val="32"/>
          <w:szCs w:val="32"/>
          <w:lang w:eastAsia="zh-CN"/>
        </w:rPr>
      </w:pPr>
      <w:r>
        <w:rPr>
          <w:rFonts w:hint="eastAsia" w:ascii="Times New Roman" w:hAnsi="Times New Roman" w:eastAsia="仿宋_GB2312"/>
          <w:sz w:val="32"/>
          <w:szCs w:val="32"/>
          <w:lang w:eastAsia="zh-CN"/>
        </w:rPr>
        <w:t xml:space="preserve">    对大楼进行日常的零星维修和定期对消防、变电等设备进行维护保养。零星维修完成后可再次投入使用，保证消防全年的维修及维护，确保正常使用，并按时检查各楼层设备是否完好，对有问题的设备进行维修和更换。</w:t>
      </w:r>
    </w:p>
    <w:p>
      <w:pPr>
        <w:numPr>
          <w:ilvl w:val="0"/>
          <w:numId w:val="3"/>
        </w:numPr>
        <w:spacing w:line="600" w:lineRule="exact"/>
        <w:ind w:firstLine="640" w:firstLineChars="200"/>
        <w:jc w:val="both"/>
        <w:rPr>
          <w:rFonts w:hint="eastAsia" w:ascii="Times New Roman" w:hAnsi="Times New Roman" w:eastAsia="仿宋_GB2312"/>
          <w:sz w:val="32"/>
          <w:szCs w:val="32"/>
          <w:lang w:eastAsia="zh-CN"/>
        </w:rPr>
      </w:pPr>
      <w:r>
        <w:rPr>
          <w:rFonts w:ascii="Times New Roman" w:hAnsi="Times New Roman" w:eastAsia="仿宋_GB2312"/>
          <w:sz w:val="32"/>
          <w:szCs w:val="32"/>
          <w:lang w:eastAsia="zh-CN"/>
        </w:rPr>
        <w:t>项目效益情况</w:t>
      </w:r>
      <w:r>
        <w:rPr>
          <w:rFonts w:hint="eastAsia" w:ascii="Times New Roman" w:hAnsi="Times New Roman" w:eastAsia="仿宋_GB2312"/>
          <w:sz w:val="32"/>
          <w:szCs w:val="32"/>
          <w:lang w:eastAsia="zh-CN"/>
        </w:rPr>
        <w:t>。</w:t>
      </w:r>
    </w:p>
    <w:p>
      <w:pPr>
        <w:spacing w:line="600" w:lineRule="exact"/>
        <w:jc w:val="both"/>
        <w:rPr>
          <w:rFonts w:ascii="Times New Roman" w:hAnsi="Times New Roman" w:eastAsia="仿宋_GB2312"/>
          <w:sz w:val="32"/>
          <w:szCs w:val="32"/>
          <w:lang w:eastAsia="zh-CN"/>
        </w:rPr>
      </w:pPr>
      <w:r>
        <w:rPr>
          <w:rFonts w:hint="eastAsia" w:ascii="Times New Roman" w:hAnsi="Times New Roman" w:eastAsia="仿宋_GB2312"/>
          <w:sz w:val="32"/>
          <w:szCs w:val="32"/>
          <w:lang w:eastAsia="zh-CN"/>
        </w:rPr>
        <w:t xml:space="preserve">   202</w:t>
      </w:r>
      <w:r>
        <w:rPr>
          <w:rFonts w:hint="default" w:ascii="Times New Roman" w:hAnsi="Times New Roman" w:eastAsia="仿宋_GB2312"/>
          <w:sz w:val="32"/>
          <w:szCs w:val="32"/>
          <w:lang w:val="en" w:eastAsia="zh-CN"/>
        </w:rPr>
        <w:t>2</w:t>
      </w:r>
      <w:r>
        <w:rPr>
          <w:rFonts w:hint="eastAsia" w:ascii="Times New Roman" w:hAnsi="Times New Roman" w:eastAsia="仿宋_GB2312"/>
          <w:sz w:val="32"/>
          <w:szCs w:val="32"/>
          <w:lang w:eastAsia="zh-CN"/>
        </w:rPr>
        <w:t xml:space="preserve">年经过努力，区委区政府办公大楼安全有序平稳运行。通过对区委区政府办公大楼设备设施维修维护及物业管理进行监督，保证区委区政府办公大楼正常运转，为正常办公提供保障。 </w:t>
      </w:r>
    </w:p>
    <w:p>
      <w:pPr>
        <w:spacing w:line="600" w:lineRule="exact"/>
        <w:ind w:firstLine="642" w:firstLineChars="196"/>
        <w:jc w:val="both"/>
        <w:rPr>
          <w:rFonts w:ascii="黑体" w:hAnsi="黑体" w:eastAsia="黑体"/>
          <w:spacing w:val="-4"/>
          <w:w w:val="105"/>
          <w:sz w:val="32"/>
          <w:szCs w:val="32"/>
          <w:lang w:eastAsia="zh-CN"/>
        </w:rPr>
      </w:pPr>
      <w:r>
        <w:rPr>
          <w:rFonts w:hint="eastAsia" w:ascii="黑体" w:hAnsi="黑体" w:eastAsia="黑体"/>
          <w:spacing w:val="-4"/>
          <w:w w:val="105"/>
          <w:sz w:val="32"/>
          <w:szCs w:val="32"/>
          <w:lang w:eastAsia="zh-CN"/>
        </w:rPr>
        <w:t>五、</w:t>
      </w:r>
      <w:r>
        <w:rPr>
          <w:rFonts w:ascii="黑体" w:hAnsi="黑体" w:eastAsia="黑体"/>
          <w:spacing w:val="-4"/>
          <w:w w:val="105"/>
          <w:sz w:val="32"/>
          <w:szCs w:val="32"/>
          <w:lang w:eastAsia="zh-CN"/>
        </w:rPr>
        <w:t>主要经验及做法</w:t>
      </w:r>
      <w:r>
        <w:rPr>
          <w:rFonts w:hint="eastAsia" w:ascii="黑体" w:hAnsi="黑体" w:eastAsia="黑体"/>
          <w:spacing w:val="-4"/>
          <w:w w:val="105"/>
          <w:sz w:val="32"/>
          <w:szCs w:val="32"/>
          <w:lang w:eastAsia="zh-CN"/>
        </w:rPr>
        <w:t>、</w:t>
      </w:r>
      <w:r>
        <w:rPr>
          <w:rFonts w:ascii="黑体" w:hAnsi="黑体" w:eastAsia="黑体"/>
          <w:spacing w:val="-4"/>
          <w:w w:val="105"/>
          <w:sz w:val="32"/>
          <w:szCs w:val="32"/>
          <w:lang w:eastAsia="zh-CN"/>
        </w:rPr>
        <w:t xml:space="preserve">存在的问题及原因分析 </w:t>
      </w:r>
    </w:p>
    <w:p>
      <w:pPr>
        <w:spacing w:line="600" w:lineRule="exact"/>
        <w:jc w:val="both"/>
        <w:rPr>
          <w:rFonts w:ascii="Times New Roman" w:hAnsi="Times New Roman" w:eastAsia="仿宋_GB2312"/>
          <w:sz w:val="32"/>
          <w:szCs w:val="32"/>
          <w:lang w:eastAsia="zh-CN"/>
        </w:rPr>
      </w:pPr>
      <w:r>
        <w:rPr>
          <w:rFonts w:hint="eastAsia" w:ascii="黑体" w:hAnsi="黑体" w:eastAsia="黑体"/>
          <w:spacing w:val="-4"/>
          <w:w w:val="105"/>
          <w:sz w:val="32"/>
          <w:szCs w:val="32"/>
          <w:lang w:eastAsia="zh-CN"/>
        </w:rPr>
        <w:t xml:space="preserve">    </w:t>
      </w:r>
      <w:r>
        <w:rPr>
          <w:rFonts w:hint="eastAsia" w:ascii="Times New Roman" w:hAnsi="Times New Roman" w:eastAsia="仿宋_GB2312"/>
          <w:sz w:val="32"/>
          <w:szCs w:val="32"/>
          <w:lang w:eastAsia="zh-CN"/>
        </w:rPr>
        <w:t>通过对大楼内的各项设备进行了日常维修维护，对发现的问题都能及时处理，未发现过因故障或者损坏而不能使用的情况，保证设施的正常使用。对大楼内的公共环境垃圾处理、墙体楼面渗漏等进行日常维护管理和修整，消除脏乱差，保障了区委区政府办公大楼良好的办公环境。但大楼内部设备设施使用年限较久，仍需翻修、更新，项目经费仍显不足。</w:t>
      </w:r>
    </w:p>
    <w:p>
      <w:pPr>
        <w:spacing w:line="600" w:lineRule="exact"/>
        <w:ind w:firstLine="642" w:firstLineChars="196"/>
        <w:jc w:val="both"/>
        <w:rPr>
          <w:rFonts w:ascii="黑体" w:hAnsi="黑体" w:eastAsia="黑体"/>
          <w:spacing w:val="-4"/>
          <w:w w:val="105"/>
          <w:sz w:val="32"/>
          <w:szCs w:val="32"/>
          <w:lang w:eastAsia="zh-CN"/>
        </w:rPr>
      </w:pPr>
      <w:r>
        <w:rPr>
          <w:rFonts w:hint="eastAsia" w:ascii="黑体" w:hAnsi="黑体" w:eastAsia="黑体"/>
          <w:spacing w:val="-4"/>
          <w:w w:val="105"/>
          <w:sz w:val="32"/>
          <w:szCs w:val="32"/>
          <w:lang w:eastAsia="zh-CN"/>
        </w:rPr>
        <w:t>六、</w:t>
      </w:r>
      <w:r>
        <w:rPr>
          <w:rFonts w:ascii="黑体" w:hAnsi="黑体" w:eastAsia="黑体"/>
          <w:spacing w:val="-4"/>
          <w:w w:val="105"/>
          <w:sz w:val="32"/>
          <w:szCs w:val="32"/>
          <w:lang w:eastAsia="zh-CN"/>
        </w:rPr>
        <w:t>有关建议</w:t>
      </w:r>
    </w:p>
    <w:p>
      <w:pPr>
        <w:spacing w:line="600" w:lineRule="exact"/>
        <w:jc w:val="both"/>
        <w:rPr>
          <w:rFonts w:ascii="黑体" w:hAnsi="黑体" w:eastAsia="黑体"/>
          <w:spacing w:val="-4"/>
          <w:w w:val="105"/>
          <w:sz w:val="32"/>
          <w:szCs w:val="32"/>
          <w:lang w:eastAsia="zh-CN"/>
        </w:rPr>
      </w:pPr>
      <w:r>
        <w:rPr>
          <w:rFonts w:hint="eastAsia" w:ascii="Times New Roman" w:hAnsi="Times New Roman" w:eastAsia="仿宋_GB2312"/>
          <w:sz w:val="32"/>
          <w:szCs w:val="32"/>
          <w:lang w:eastAsia="zh-CN"/>
        </w:rPr>
        <w:t xml:space="preserve">    建议增加大楼运行经费投入，以保障办公楼正常运行。</w:t>
      </w:r>
    </w:p>
    <w:p>
      <w:pPr>
        <w:spacing w:line="600" w:lineRule="exact"/>
        <w:ind w:firstLine="656" w:firstLineChars="200"/>
        <w:jc w:val="both"/>
        <w:rPr>
          <w:rFonts w:ascii="黑体" w:hAnsi="黑体" w:eastAsia="黑体"/>
          <w:spacing w:val="-4"/>
          <w:w w:val="105"/>
          <w:sz w:val="32"/>
          <w:szCs w:val="32"/>
          <w:lang w:eastAsia="zh-CN"/>
        </w:rPr>
      </w:pPr>
      <w:r>
        <w:rPr>
          <w:rFonts w:ascii="黑体" w:hAnsi="黑体" w:eastAsia="黑体"/>
          <w:spacing w:val="-4"/>
          <w:w w:val="105"/>
          <w:sz w:val="32"/>
          <w:szCs w:val="32"/>
          <w:lang w:eastAsia="zh-CN"/>
        </w:rPr>
        <w:t>七、其他需要说明的问题</w:t>
      </w:r>
    </w:p>
    <w:p>
      <w:pPr>
        <w:spacing w:line="600" w:lineRule="exact"/>
        <w:ind w:firstLine="640" w:firstLineChars="200"/>
        <w:jc w:val="both"/>
        <w:rPr>
          <w:rFonts w:ascii="Times New Roman" w:hAnsi="Times New Roman" w:eastAsia="仿宋_GB2312"/>
          <w:sz w:val="32"/>
          <w:szCs w:val="32"/>
          <w:lang w:eastAsia="zh-CN"/>
        </w:rPr>
      </w:pPr>
      <w:r>
        <w:rPr>
          <w:rFonts w:hint="eastAsia" w:ascii="Times New Roman" w:hAnsi="Times New Roman" w:eastAsia="仿宋_GB2312"/>
          <w:sz w:val="32"/>
          <w:szCs w:val="32"/>
          <w:lang w:eastAsia="zh-CN"/>
        </w:rPr>
        <w:t>无</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B29DDA"/>
    <w:multiLevelType w:val="singleLevel"/>
    <w:tmpl w:val="BFB29DDA"/>
    <w:lvl w:ilvl="0" w:tentative="0">
      <w:start w:val="3"/>
      <w:numFmt w:val="chineseCounting"/>
      <w:suff w:val="nothing"/>
      <w:lvlText w:val="%1、"/>
      <w:lvlJc w:val="left"/>
      <w:rPr>
        <w:rFonts w:hint="eastAsia"/>
      </w:rPr>
    </w:lvl>
  </w:abstractNum>
  <w:abstractNum w:abstractNumId="1">
    <w:nsid w:val="D6785922"/>
    <w:multiLevelType w:val="singleLevel"/>
    <w:tmpl w:val="D6785922"/>
    <w:lvl w:ilvl="0" w:tentative="0">
      <w:start w:val="2"/>
      <w:numFmt w:val="chineseCounting"/>
      <w:suff w:val="nothing"/>
      <w:lvlText w:val="（%1）"/>
      <w:lvlJc w:val="left"/>
      <w:rPr>
        <w:rFonts w:hint="eastAsia"/>
      </w:rPr>
    </w:lvl>
  </w:abstractNum>
  <w:abstractNum w:abstractNumId="2">
    <w:nsid w:val="DFBD15AD"/>
    <w:multiLevelType w:val="singleLevel"/>
    <w:tmpl w:val="DFBD15AD"/>
    <w:lvl w:ilvl="0" w:tentative="0">
      <w:start w:val="2"/>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0NGQyMTljZjQ3ZjBjY2EwMWU3NzI3NmE2MjllYzEifQ=="/>
  </w:docVars>
  <w:rsids>
    <w:rsidRoot w:val="00D27F3A"/>
    <w:rsid w:val="00036DA0"/>
    <w:rsid w:val="00166827"/>
    <w:rsid w:val="001834D3"/>
    <w:rsid w:val="0018594E"/>
    <w:rsid w:val="001F559F"/>
    <w:rsid w:val="002115F8"/>
    <w:rsid w:val="0023167C"/>
    <w:rsid w:val="003B571A"/>
    <w:rsid w:val="00407AD1"/>
    <w:rsid w:val="00456E71"/>
    <w:rsid w:val="00470900"/>
    <w:rsid w:val="00492BA2"/>
    <w:rsid w:val="00524052"/>
    <w:rsid w:val="00561D01"/>
    <w:rsid w:val="005D0F6C"/>
    <w:rsid w:val="005F4DFB"/>
    <w:rsid w:val="00612D97"/>
    <w:rsid w:val="006C1B32"/>
    <w:rsid w:val="00840F2D"/>
    <w:rsid w:val="00904B0D"/>
    <w:rsid w:val="00B002CD"/>
    <w:rsid w:val="00BA5423"/>
    <w:rsid w:val="00CA1D5C"/>
    <w:rsid w:val="00D01E63"/>
    <w:rsid w:val="00D02C5B"/>
    <w:rsid w:val="00D10FF2"/>
    <w:rsid w:val="00D27F3A"/>
    <w:rsid w:val="00DD1C2D"/>
    <w:rsid w:val="00E85715"/>
    <w:rsid w:val="07FC3A15"/>
    <w:rsid w:val="0EF906F7"/>
    <w:rsid w:val="16FF2D2B"/>
    <w:rsid w:val="3DE93384"/>
    <w:rsid w:val="3EFF3EFE"/>
    <w:rsid w:val="3FE1D654"/>
    <w:rsid w:val="4D5428FC"/>
    <w:rsid w:val="4ECF3F5C"/>
    <w:rsid w:val="564151F1"/>
    <w:rsid w:val="5CBF9D96"/>
    <w:rsid w:val="5FDFBF34"/>
    <w:rsid w:val="6767FFE5"/>
    <w:rsid w:val="78D56702"/>
    <w:rsid w:val="7BFBCBC6"/>
    <w:rsid w:val="7DB3155D"/>
    <w:rsid w:val="7F7BB82E"/>
    <w:rsid w:val="7FFEC2B9"/>
    <w:rsid w:val="9FD957A7"/>
    <w:rsid w:val="AE755B8E"/>
    <w:rsid w:val="B77DBCDE"/>
    <w:rsid w:val="B97B9AFB"/>
    <w:rsid w:val="BBF71203"/>
    <w:rsid w:val="BF1B0200"/>
    <w:rsid w:val="BFCD768B"/>
    <w:rsid w:val="C7670753"/>
    <w:rsid w:val="D3AD7F22"/>
    <w:rsid w:val="D6FF25B3"/>
    <w:rsid w:val="DB6E9953"/>
    <w:rsid w:val="DD72947A"/>
    <w:rsid w:val="DDFB04F8"/>
    <w:rsid w:val="DF9D9B8E"/>
    <w:rsid w:val="DFB71962"/>
    <w:rsid w:val="E3DD5F2E"/>
    <w:rsid w:val="E4CC652F"/>
    <w:rsid w:val="EFFBE48B"/>
    <w:rsid w:val="F3DFF5E8"/>
    <w:rsid w:val="F3ED76FF"/>
    <w:rsid w:val="F76B51E6"/>
    <w:rsid w:val="F7EC65C6"/>
    <w:rsid w:val="FBDE046C"/>
    <w:rsid w:val="FBE55E54"/>
    <w:rsid w:val="FBF5BFDF"/>
    <w:rsid w:val="FEF79259"/>
    <w:rsid w:val="FEFE6C21"/>
    <w:rsid w:val="FFBF13C2"/>
    <w:rsid w:val="FFCFABCF"/>
    <w:rsid w:val="FFFCCA5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Calibri" w:hAnsi="Calibri" w:eastAsia="宋体" w:cs="Times New Roman"/>
      <w:sz w:val="22"/>
      <w:szCs w:val="22"/>
      <w:lang w:val="en-US" w:eastAsia="en-US" w:bidi="ar-SA"/>
    </w:rPr>
  </w:style>
  <w:style w:type="paragraph" w:styleId="2">
    <w:name w:val="heading 1"/>
    <w:basedOn w:val="1"/>
    <w:next w:val="1"/>
    <w:link w:val="7"/>
    <w:qFormat/>
    <w:uiPriority w:val="1"/>
    <w:pPr>
      <w:outlineLvl w:val="0"/>
    </w:pPr>
    <w:rPr>
      <w:rFonts w:ascii="宋体" w:hAnsi="宋体"/>
      <w:sz w:val="33"/>
      <w:szCs w:val="33"/>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标题 1 Char"/>
    <w:link w:val="2"/>
    <w:qFormat/>
    <w:uiPriority w:val="1"/>
    <w:rPr>
      <w:rFonts w:ascii="宋体" w:hAnsi="宋体" w:eastAsia="宋体"/>
      <w:kern w:val="0"/>
      <w:sz w:val="33"/>
      <w:szCs w:val="33"/>
      <w:lang w:eastAsia="en-US"/>
    </w:rPr>
  </w:style>
  <w:style w:type="character" w:customStyle="1" w:styleId="8">
    <w:name w:val="页脚 Char"/>
    <w:link w:val="3"/>
    <w:qFormat/>
    <w:uiPriority w:val="99"/>
    <w:rPr>
      <w:kern w:val="0"/>
      <w:sz w:val="18"/>
      <w:szCs w:val="18"/>
      <w:lang w:eastAsia="en-US"/>
    </w:rPr>
  </w:style>
  <w:style w:type="character" w:customStyle="1" w:styleId="9">
    <w:name w:val="页眉 Char"/>
    <w:link w:val="4"/>
    <w:qFormat/>
    <w:uiPriority w:val="99"/>
    <w:rPr>
      <w:kern w:val="0"/>
      <w:sz w:val="18"/>
      <w:szCs w:val="1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2068</Words>
  <Characters>2154</Characters>
  <Lines>11</Lines>
  <Paragraphs>3</Paragraphs>
  <TotalTime>14</TotalTime>
  <ScaleCrop>false</ScaleCrop>
  <LinksUpToDate>false</LinksUpToDate>
  <CharactersWithSpaces>2193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2020-11-04T21:00:00Z</dcterms:created>
  <dc:creator>于喆</dc:creator>
  <cp:lastModifiedBy>爱丁堡的冬天</cp:lastModifiedBy>
  <cp:lastPrinted>2020-08-12T16:24:00Z</cp:lastPrinted>
  <dcterms:modified xsi:type="dcterms:W3CDTF">2023-07-07T00:24:51Z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E82AD4C9A37746D5A8B495E232740B86</vt:lpwstr>
  </property>
</Properties>
</file>