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bookmarkStart w:id="0" w:name="_Toc456965826"/>
      <w:r>
        <w:rPr>
          <w:rFonts w:hint="eastAsia" w:ascii="黑体" w:hAnsi="黑体" w:eastAsia="黑体" w:cs="仿宋_GB2312"/>
          <w:sz w:val="28"/>
          <w:szCs w:val="28"/>
        </w:rPr>
        <w:t>附件</w:t>
      </w:r>
      <w:r>
        <w:rPr>
          <w:rFonts w:ascii="黑体" w:hAnsi="黑体" w:eastAsia="黑体" w:cs="仿宋_GB2312"/>
          <w:sz w:val="28"/>
          <w:szCs w:val="28"/>
        </w:rPr>
        <w:t>4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和平区</w:t>
      </w:r>
      <w:r>
        <w:rPr>
          <w:rFonts w:hint="eastAsia" w:ascii="宋体" w:hAnsi="宋体" w:cs="仿宋_GB2312"/>
          <w:b/>
          <w:bCs/>
          <w:sz w:val="44"/>
          <w:szCs w:val="44"/>
          <w:lang w:eastAsia="zh-CN"/>
        </w:rPr>
        <w:t>商务局</w:t>
      </w:r>
      <w:r>
        <w:rPr>
          <w:rFonts w:hint="eastAsia" w:ascii="宋体" w:hAnsi="宋体" w:cs="仿宋_GB2312"/>
          <w:b/>
          <w:bCs/>
          <w:sz w:val="44"/>
          <w:szCs w:val="44"/>
        </w:rPr>
        <w:t>202</w:t>
      </w:r>
      <w:r>
        <w:rPr>
          <w:rFonts w:hint="eastAsia" w:ascii="宋体" w:hAnsi="宋体" w:cs="仿宋_GB2312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仿宋_GB2312"/>
          <w:b/>
          <w:bCs/>
          <w:sz w:val="44"/>
          <w:szCs w:val="44"/>
        </w:rPr>
        <w:t>年整体支出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绩效自评报告</w:t>
      </w:r>
    </w:p>
    <w:p>
      <w:pPr>
        <w:spacing w:after="0" w:line="540" w:lineRule="exact"/>
        <w:ind w:firstLine="64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  <w:bookmarkEnd w:id="0"/>
    </w:p>
    <w:p>
      <w:pPr>
        <w:spacing w:after="0" w:line="540" w:lineRule="exact"/>
        <w:ind w:firstLine="642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bookmarkStart w:id="2" w:name="_Toc456965828"/>
      <w:r>
        <w:rPr>
          <w:rFonts w:hint="eastAsia" w:ascii="仿宋_GB2312" w:hAnsi="仿宋" w:eastAsia="仿宋_GB2312"/>
          <w:sz w:val="32"/>
          <w:szCs w:val="32"/>
        </w:rPr>
        <w:t>1.贯彻执行国家和我市有关国内外贸易工作的法律、法规、规章和方针、政策，研究制定内外贸发展规划和年度计划，并组织实施。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2.牵头组织编制、实施商业网点规划，推动商贸流通体系建设、产业结构调整及内贸消费品市场发展，加快中心商业区、特色街、社区商业建设，推进品质商业发展，促进市场繁荣。建立健全市场运行监测体系。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3.负责推进流通产业结构调整，指导流通企业改革、商贸服务业和社区商业发展，推动流通标准化和连锁经营、商业特许经营、电子商务等现代化流通方式的发展。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4.贯彻执行市有关规范市场运行、流通秩序的政策，牵头协调整顿、规范商贸流通市场秩序和市场经济秩序。推动商务领域信用建设，对特殊流通行业进行监督管理。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5.组织实施重要消费品市场调控和重要生产资料流通管理，监测分析市场运行、商品供求状况。对拍卖、成品油、煤炭流通及二手车鉴定评估企业、报废机动车回收拆解流通进行监督管理。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6.加强进出口管理和服务，推进货物贸易、服务贸易等发展，推动对外经贸合作。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7.推动、组织相关会展等经贸交流活动。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8.负责节能降耗指标分解、考核，加强对各单位节能降耗工作的监督、检查和管理。推进各行业节能设施的更新改造和节能产品技术利用。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9.负责辖区规模以上百货商场、购物中心、超市以及菜市场等相关安全生产管理督促检查工作。承担本部门安全生产管理责任。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10.负责商贸相关行业招商引资工作。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11.负责菜市场的规划、建设、经营秩序等工作，推动超市标准化经营管理工作。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12.负责本部门人才队伍建设。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13.承办区委、区政府交办的其他事项。</w:t>
      </w:r>
    </w:p>
    <w:p>
      <w:pPr>
        <w:spacing w:after="0" w:line="540" w:lineRule="exact"/>
        <w:ind w:firstLine="640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bookmarkStart w:id="3" w:name="_Toc456965831"/>
      <w:r>
        <w:rPr>
          <w:rFonts w:hint="eastAsia" w:ascii="仿宋_GB2312" w:hAnsi="仿宋" w:eastAsia="仿宋_GB2312"/>
          <w:sz w:val="32"/>
          <w:szCs w:val="32"/>
        </w:rPr>
        <w:t>天津市和平区商务局内设机构为5个，具体如下：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办公室（法制科）。负责党建、纪检、机构编制、人事管理、公文、档案、机要、保密、资料、信息、政务公开、督查考核、财务、资产管理、政府采购、信访、后勤保障等日常工作。负责行政执法监督和法制工作，推动本单位依法行政。牵头做好建议提案、政务服务、应急和安全生产工作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商贸管理科。负责统筹商务领域消费促进和实体零售创新转型工作。建立健全统计监测体系，组织开展批零行业市场运行和统计分析工作。指导购物中心、大型商场健康发展。推进电子商务发展。保护、推广老字号，促进老字号企业创新发展。指导、协调重大商贸活动，促进市场繁荣繁华。推动商贸领域诚信体系建设，开展提升商业服务质量活动，创建商业服务品牌。规范商贸企业交易行为，开展零售商促销备案，维护公平竞争秩序。牵头单用途商业预付卡监督管理，保护消费者权益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能源资源管理科。负责节能降耗指标分解、考核及监督检查。做好能源统计监测、审计及目标管理。推进节能措施落实、节能设施改造、节能产品利用。开展节能降耗宣传培训。推进重点用能单位、公共机构节能工作。对固定资产投资项目节能审查意见落实情况进行监督检查。负责流通领域节能管理。对拍卖、成品油、煤炭企业等进行监督管理。负责再生资源行业管理，对二手车鉴定评估企业、报废机动车回收拆解流通进行监督管理。承担区节能降耗工作领导小组办公室工作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市场流通促进科。负责推进商贸服务业和早点店、便民菜店、连锁超市、菜市场等社区商业发展，指导、规范和管理相关生活服务行业。推动餐饮、家庭服务业等行业发展。推动流通标准化和连锁经营、商业特许经营。协调推动特色街建设，指导、促进夜间经济发展。配合、组织做好相关会展活动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5.对外经贸管理科。负责外贸企业资金申报、参展参会等服务工作。开展统计分析和运行监测，推动外贸发展。促进服务贸易发展，做好技术贸易等管理和服务，推动对外经贸合作。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根据上述职责，天津市和平区商务局内设5个职能科室，下辖0个预算单位。年末实有人员70人，其中:在职人员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人，离休人员1人，退休人员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spacing w:after="0" w:line="540" w:lineRule="exact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二、部门预算、预算执行及管理情况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年度预决算情况</w:t>
      </w:r>
    </w:p>
    <w:p>
      <w:pPr>
        <w:shd w:val="clear"/>
        <w:spacing w:after="0" w:line="540" w:lineRule="exact"/>
        <w:ind w:firstLine="640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年年初预算财政拨款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962.2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535.9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426.3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万元。上年财政拨款结转结余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万元；</w:t>
      </w:r>
    </w:p>
    <w:p>
      <w:pPr>
        <w:shd w:val="clear"/>
        <w:spacing w:after="0" w:line="540" w:lineRule="exact"/>
        <w:ind w:firstLine="640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年决算财政拨款支出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747.7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666.7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81.0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</w:t>
      </w:r>
      <w:bookmarkStart w:id="14" w:name="_GoBack"/>
      <w:bookmarkEnd w:id="14"/>
      <w:r>
        <w:rPr>
          <w:rFonts w:hint="eastAsia" w:ascii="仿宋_GB2312" w:hAnsi="仿宋" w:eastAsia="仿宋_GB2312"/>
          <w:sz w:val="32"/>
          <w:szCs w:val="32"/>
          <w:highlight w:val="none"/>
        </w:rPr>
        <w:t>元。年末结转结余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131.1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（二）年度主要任务完成情况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任务</w:t>
      </w:r>
      <w:r>
        <w:rPr>
          <w:rFonts w:hint="eastAsia" w:ascii="仿宋_GB2312" w:hAnsi="仿宋" w:eastAsia="仿宋_GB2312"/>
          <w:sz w:val="32"/>
          <w:szCs w:val="32"/>
        </w:rPr>
        <w:t>1：保障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" w:eastAsia="仿宋_GB2312"/>
          <w:sz w:val="32"/>
          <w:szCs w:val="32"/>
        </w:rPr>
        <w:t>人员工资、津补贴、社保费用、劳务派遣人员工资、聘请市场督导员等，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以及</w:t>
      </w:r>
      <w:r>
        <w:rPr>
          <w:rFonts w:hint="eastAsia" w:ascii="仿宋_GB2312" w:hAnsi="仿宋" w:eastAsia="仿宋_GB2312"/>
          <w:sz w:val="32"/>
          <w:szCs w:val="32"/>
        </w:rPr>
        <w:t>购买办公用品、邮电费、物业费、差旅费等支出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完成了2名劳务派遣人员的招录，缓解了单位工作量大、人员不足的问题。1-12月，我局通过聘请了7个市场督导员对全区9家菜市场的环境卫生、安全、消杀等内容进行了督导，提升了全区菜市场卫生环境、安全保障等，为居民创造了和谐、干净的购物环境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任务</w:t>
      </w:r>
      <w:r>
        <w:rPr>
          <w:rFonts w:hint="eastAsia" w:ascii="仿宋_GB2312" w:hAnsi="仿宋" w:eastAsia="仿宋_GB2312"/>
          <w:sz w:val="32"/>
          <w:szCs w:val="32"/>
        </w:rPr>
        <w:t>2：完成了津乐购-惠民暖企 畅享和平”消费券的发放活动,发挥了消费对经济循环的牵引带动作用，实现了1：5.8的直接带动作用，刺激了居民消费，助力了消费市场回暖。</w:t>
      </w:r>
    </w:p>
    <w:p>
      <w:pPr>
        <w:shd w:val="clear"/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任务</w:t>
      </w:r>
      <w:r>
        <w:rPr>
          <w:rFonts w:hint="eastAsia" w:ascii="仿宋_GB2312" w:hAnsi="仿宋" w:eastAsia="仿宋_GB2312"/>
          <w:sz w:val="32"/>
          <w:szCs w:val="32"/>
        </w:rPr>
        <w:t>3：完成了相关专项小组交办的重点任务，推动了金街步行街等重点区域的优化提升，保障了工作正常进行。</w:t>
      </w:r>
    </w:p>
    <w:p>
      <w:pPr>
        <w:shd w:val="clear"/>
        <w:spacing w:after="0" w:line="540" w:lineRule="exact"/>
        <w:ind w:firstLine="64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总计：年初预算金额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962.2</w:t>
      </w:r>
      <w:r>
        <w:rPr>
          <w:rFonts w:hint="eastAsia" w:ascii="仿宋_GB2312" w:hAnsi="仿宋" w:eastAsia="仿宋_GB2312"/>
          <w:sz w:val="32"/>
          <w:szCs w:val="32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747.9</w:t>
      </w:r>
      <w:r>
        <w:rPr>
          <w:rFonts w:hint="eastAsia" w:ascii="仿宋_GB2312" w:hAnsi="仿宋" w:eastAsia="仿宋_GB2312"/>
          <w:sz w:val="32"/>
          <w:szCs w:val="32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747.7</w:t>
      </w:r>
      <w:r>
        <w:rPr>
          <w:rFonts w:hint="eastAsia" w:ascii="仿宋_GB2312" w:hAnsi="仿宋" w:eastAsia="仿宋_GB2312"/>
          <w:sz w:val="32"/>
          <w:szCs w:val="32"/>
        </w:rPr>
        <w:t>万元，执行率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99.9%。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（三）部门财务管理情况</w:t>
      </w:r>
    </w:p>
    <w:bookmarkEnd w:id="3"/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bookmarkStart w:id="4" w:name="_Toc268005759"/>
      <w:bookmarkStart w:id="5" w:name="_Toc456965846"/>
      <w:bookmarkStart w:id="6" w:name="_Toc263686375"/>
      <w:r>
        <w:rPr>
          <w:rFonts w:hint="eastAsia" w:ascii="仿宋_GB2312" w:hAnsi="仿宋" w:eastAsia="仿宋_GB2312"/>
          <w:sz w:val="32"/>
          <w:szCs w:val="32"/>
        </w:rPr>
        <w:t>1.预算管理情况：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加强预算控制，突出预算执行刚性。按照“先预算、后支出”的原则，突出预算对支出的控制。落实预算执行责任制。将预算指标进行科学分解，采取把预算分配与预算执行进度管理相结合的有效方式，及时掌握预算执行进度，定期上党组会议通报，查找存在的问题，提出解决方案，改善了预算执行“前松后紧”的被动局面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2.内控管理情况：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我单位按照区财政局的要求，积极推动在内控管理方面的工作，在第三方专业机构设置内控流程及内控手册的基础上，结合机构改革，不断完善内部控制制度体系基本，内部控制规章制度得到了有效执行。我单位始终坚持“抓合规、控风险”的内控管理理念，把内部控制制度的建立健全和有效运行作为内控工作的重要内容；通过自查发现问题，逐步增强全体干部的合规意识、内控管理的各项制度执行效果明显改善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3.资产管理情况：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单位按照固定资产相关管理制度，及时做好固定资产实物登记统计工作；对固定资产增减变动及时进行账务处理；定期对固定资产总帐及明细分类帐核算，进行盘点、清理核对工作；完成对固定资产调拨、报废、残值处理等有关管理工作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4.绩效管理情况：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我单位按照区财政要求，积极推动绩效管理，不断完善绩效管理事前、事中、事后的跟踪与评价。促进各部门科学合理、及时、有效地运用财政资金，努力提高政府资金使用效率。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5.人才队伍建设：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加强财务管理人员的培训，提高财务管理人员的综合素质。鼓励单位的财务管理人员注重业务学习、不断更新知识、提高操作能力，特别是参加各级财政部门组织的财务管理培训，坚持理论联系实际，讲求实效，学以致用的原则，不断提高自身的政治素质、业务能力和职业道德水平。</w:t>
      </w:r>
    </w:p>
    <w:p>
      <w:pPr>
        <w:pStyle w:val="5"/>
        <w:spacing w:before="0" w:beforeAutospacing="0" w:after="0" w:afterAutospacing="0" w:line="540" w:lineRule="exact"/>
        <w:ind w:firstLine="642" w:firstLineChars="200"/>
        <w:jc w:val="both"/>
        <w:rPr>
          <w:rFonts w:ascii="黑体" w:hAnsi="黑体" w:eastAsia="黑体" w:cs="Times New Roman"/>
          <w:b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三、</w:t>
      </w:r>
      <w:bookmarkEnd w:id="4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整体支出绩效自评情况</w:t>
      </w:r>
    </w:p>
    <w:p>
      <w:pPr>
        <w:spacing w:after="0" w:line="540" w:lineRule="exact"/>
        <w:ind w:firstLine="642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7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7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bookmarkStart w:id="8" w:name="_Toc268005761"/>
      <w:r>
        <w:rPr>
          <w:rFonts w:hint="eastAsia" w:ascii="仿宋_GB2312" w:hAnsi="仿宋" w:eastAsia="仿宋_GB2312"/>
          <w:sz w:val="32"/>
          <w:szCs w:val="32"/>
        </w:rPr>
        <w:t xml:space="preserve"> 年度整体绩效目标完成情况评价得分</w:t>
      </w:r>
      <w:r>
        <w:rPr>
          <w:rFonts w:hint="eastAsia" w:ascii="仿宋_GB2312" w:hAnsi="仿宋" w:eastAsia="仿宋_GB2312"/>
          <w:sz w:val="32"/>
          <w:szCs w:val="32"/>
          <w:shd w:val="clear"/>
        </w:rPr>
        <w:t>为 9</w:t>
      </w:r>
      <w:r>
        <w:rPr>
          <w:rFonts w:hint="eastAsia" w:ascii="仿宋_GB2312" w:hAnsi="仿宋" w:eastAsia="仿宋_GB2312"/>
          <w:sz w:val="32"/>
          <w:szCs w:val="32"/>
          <w:shd w:val="clear"/>
          <w:lang w:val="en-US" w:eastAsia="zh-CN"/>
        </w:rPr>
        <w:t>2.7</w:t>
      </w:r>
      <w:r>
        <w:rPr>
          <w:rFonts w:hint="eastAsia" w:ascii="仿宋_GB2312" w:hAnsi="仿宋" w:eastAsia="仿宋_GB2312"/>
          <w:sz w:val="32"/>
          <w:szCs w:val="32"/>
          <w:shd w:val="clear"/>
        </w:rPr>
        <w:t>分</w:t>
      </w:r>
      <w:r>
        <w:rPr>
          <w:rFonts w:hint="eastAsia" w:ascii="仿宋_GB2312" w:hAnsi="仿宋" w:eastAsia="仿宋_GB2312"/>
          <w:sz w:val="32"/>
          <w:szCs w:val="32"/>
        </w:rPr>
        <w:t>，自评结果为优。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我局202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整体绩效目标完成情况优秀，绩效目标设定依据充分、符合客观实际，依据整体绩效目标所设定的绩效指标清晰、细化、可衡量，与任务数或计划数相对应，与预算资金相匹配；各预算项目执行过程中，严格遵守各项资金管理制度，重大项目通过“三重一大”议事规则，经局党组会审议，及时公开部门预决算相关信息，基础信息和会计资料真实准确，各项目预算执行率高；定期开展资产总帐及明细分类帐核算，进行盘点、清理核对工作，购买办公设备标准合规；较好地完成了各项目年初设定的任务及绩效目标，积极开展项目绩效自评工作；全年通过执行各预算项目，闲置载体对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提振居民消费信心等社会效益指标显著提升，服务对象满意度高。</w:t>
      </w:r>
    </w:p>
    <w:bookmarkEnd w:id="8"/>
    <w:p>
      <w:pPr>
        <w:numPr>
          <w:ilvl w:val="0"/>
          <w:numId w:val="1"/>
        </w:numPr>
        <w:spacing w:after="0" w:line="540" w:lineRule="exact"/>
        <w:ind w:firstLine="642" w:firstLineChars="200"/>
        <w:outlineLvl w:val="1"/>
        <w:rPr>
          <w:rFonts w:hint="eastAsia"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绩效目标完成情况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目标1：保障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" w:eastAsia="仿宋_GB2312"/>
          <w:sz w:val="32"/>
          <w:szCs w:val="32"/>
        </w:rPr>
        <w:t>人员工资、津补贴、社保费用、劳务派遣人员工资、聘请市场督导员等，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以及</w:t>
      </w:r>
      <w:r>
        <w:rPr>
          <w:rFonts w:hint="eastAsia" w:ascii="仿宋_GB2312" w:hAnsi="仿宋" w:eastAsia="仿宋_GB2312"/>
          <w:sz w:val="32"/>
          <w:szCs w:val="32"/>
        </w:rPr>
        <w:t>购买办公用品、邮电费、物业费、差旅费等支出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完成了2名劳务派遣人员的招录，缓解了单位工作量大、人员不足的问题。1-12月，我局通过聘请了7个市场督导员对全区9家菜市场的环境卫生、安全、消杀等内容进行了督导，提升了全区菜市场卫生环境、安全保障等，为居民创造了和谐、干净的购物环境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目标2：完成了津乐购-惠民暖企 畅享和平”消费券的发放活动,发挥了消费对经济循环的牵引带动作用，实现了1：5.8的直接带动作用，刺激了居民消费，助力了消费市场回暖。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目标3：完成了相关专项小组交办的重点任务，推动了金街步行街等重点区域的优化提升，保障了工作正常进行。</w:t>
      </w:r>
    </w:p>
    <w:p>
      <w:pPr>
        <w:spacing w:after="0" w:line="54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（三）自评得分</w:t>
      </w:r>
      <w:bookmarkEnd w:id="5"/>
      <w:bookmarkEnd w:id="6"/>
    </w:p>
    <w:p>
      <w:pPr>
        <w:widowControl/>
        <w:spacing w:after="0" w:line="540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表1：部门整体支出绩效评分表</w:t>
      </w:r>
    </w:p>
    <w:tbl>
      <w:tblPr>
        <w:tblStyle w:val="6"/>
        <w:tblW w:w="8439" w:type="dxa"/>
        <w:tblInd w:w="9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122"/>
        <w:gridCol w:w="2556"/>
        <w:gridCol w:w="850"/>
        <w:gridCol w:w="1134"/>
        <w:gridCol w:w="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评价指标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投入（15分）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目标设定（5分）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明确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518%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过程（45分）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预算执行（16分）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-1%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-1%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预算管理（18分）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合规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公开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完善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资产管理（11分）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完整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    合规率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产出（20分）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责任履行（20分）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开展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得到提升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  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绩效自评综合得分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自评等次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bookmarkStart w:id="9" w:name="_Toc263686390"/>
      <w:bookmarkStart w:id="10" w:name="_Toc171772698"/>
      <w:bookmarkStart w:id="11" w:name="_Toc171764863"/>
      <w:bookmarkStart w:id="12" w:name="_Toc171765188"/>
      <w:bookmarkStart w:id="13" w:name="_Toc268005765"/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（一）存在问题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年未按计划完成支付开展部分项目，今后结合实际进一步调整预算。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（二）改进措施</w:t>
      </w:r>
    </w:p>
    <w:bookmarkEnd w:id="9"/>
    <w:bookmarkEnd w:id="10"/>
    <w:bookmarkEnd w:id="11"/>
    <w:bookmarkEnd w:id="12"/>
    <w:bookmarkEnd w:id="13"/>
    <w:p>
      <w:pPr>
        <w:spacing w:after="0" w:afterLines="0" w:line="540" w:lineRule="exact"/>
        <w:ind w:firstLine="64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1.完善绩效目标设定。根据部门整体的绩效目标细化分解为具体的工作任务时，总结以前年度绩效目标未完成原因，结合工作实际，进一步完善绩效目标设定，使绩效目标更加清晰、可衡量。</w:t>
      </w:r>
    </w:p>
    <w:p>
      <w:pPr>
        <w:spacing w:after="0" w:afterLines="0" w:line="5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2.加强预算控制。按照“先</w:t>
      </w:r>
      <w:r>
        <w:rPr>
          <w:rFonts w:hint="eastAsia" w:ascii="仿宋" w:hAnsi="仿宋" w:eastAsia="仿宋"/>
          <w:sz w:val="32"/>
          <w:szCs w:val="32"/>
        </w:rPr>
        <w:t>预算、后支出”的原则，突出预算对支出的控制。落实预算执行责任制。将预算指标进行科学分解，采取把预算分配与预算执行进度管理相结合的有效方式，及时掌握预算执行进度，定期上党组会议通报，查找存在的问题，提出解决方案，改善预算执行“前松后紧”的被动局面。</w:t>
      </w:r>
    </w:p>
    <w:p>
      <w:pPr>
        <w:pStyle w:val="5"/>
        <w:spacing w:before="0" w:beforeAutospacing="0" w:after="0" w:afterAutospacing="0" w:line="54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3.做好资金使用研判和统筹。</w:t>
      </w:r>
    </w:p>
    <w:p>
      <w:pPr>
        <w:pStyle w:val="5"/>
        <w:spacing w:before="0" w:beforeAutospacing="0" w:after="0" w:afterAutospacing="0" w:line="540" w:lineRule="exact"/>
        <w:ind w:firstLine="642" w:firstLineChars="200"/>
        <w:jc w:val="both"/>
        <w:rPr>
          <w:rFonts w:ascii="仿宋" w:hAnsi="仿宋" w:eastAsia="黑体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无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</w:rPr>
                          </w:pPr>
                          <w:r>
                            <w:rPr>
                              <w:rStyle w:val="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rPr>
                              <w:rStyle w:val="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2</w:t>
                          </w:r>
                          <w:r>
                            <w:rPr>
                              <w:rStyle w:val="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</w:rPr>
                    </w:pPr>
                    <w:r>
                      <w:rPr>
                        <w:rStyle w:val="8"/>
                      </w:rP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rPr>
                        <w:rStyle w:val="8"/>
                      </w:rPr>
                      <w:fldChar w:fldCharType="separate"/>
                    </w:r>
                    <w:r>
                      <w:rPr>
                        <w:rStyle w:val="8"/>
                      </w:rPr>
                      <w:t>2</w:t>
                    </w:r>
                    <w:r>
                      <w:rPr>
                        <w:rStyle w:val="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F39517"/>
    <w:multiLevelType w:val="singleLevel"/>
    <w:tmpl w:val="ECF3951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366C0"/>
    <w:rsid w:val="00096ED1"/>
    <w:rsid w:val="000B725D"/>
    <w:rsid w:val="000D28FF"/>
    <w:rsid w:val="000F506F"/>
    <w:rsid w:val="0012248D"/>
    <w:rsid w:val="001E0BA7"/>
    <w:rsid w:val="001E31FE"/>
    <w:rsid w:val="002219E7"/>
    <w:rsid w:val="00246E9E"/>
    <w:rsid w:val="00277B60"/>
    <w:rsid w:val="002825AA"/>
    <w:rsid w:val="002B256A"/>
    <w:rsid w:val="002D6645"/>
    <w:rsid w:val="00325CDC"/>
    <w:rsid w:val="00492B98"/>
    <w:rsid w:val="004B3AEF"/>
    <w:rsid w:val="00532CEC"/>
    <w:rsid w:val="005529C7"/>
    <w:rsid w:val="00576418"/>
    <w:rsid w:val="005877E2"/>
    <w:rsid w:val="005A75D7"/>
    <w:rsid w:val="005D1600"/>
    <w:rsid w:val="00715F70"/>
    <w:rsid w:val="00726F06"/>
    <w:rsid w:val="007D0D57"/>
    <w:rsid w:val="0080545B"/>
    <w:rsid w:val="00865A10"/>
    <w:rsid w:val="00890613"/>
    <w:rsid w:val="008D26AB"/>
    <w:rsid w:val="00932C43"/>
    <w:rsid w:val="009B4E28"/>
    <w:rsid w:val="00A63451"/>
    <w:rsid w:val="00A8690F"/>
    <w:rsid w:val="00AD0A06"/>
    <w:rsid w:val="00AE3BB3"/>
    <w:rsid w:val="00B72591"/>
    <w:rsid w:val="00BA19A1"/>
    <w:rsid w:val="00BC38D4"/>
    <w:rsid w:val="00BF6A82"/>
    <w:rsid w:val="00C0089D"/>
    <w:rsid w:val="00C115AA"/>
    <w:rsid w:val="00C55079"/>
    <w:rsid w:val="00C747B2"/>
    <w:rsid w:val="00C96B6A"/>
    <w:rsid w:val="00CD5E41"/>
    <w:rsid w:val="00D04AD3"/>
    <w:rsid w:val="00D06262"/>
    <w:rsid w:val="00D32EED"/>
    <w:rsid w:val="00D519C5"/>
    <w:rsid w:val="00D616BA"/>
    <w:rsid w:val="00DA0267"/>
    <w:rsid w:val="00DC6D16"/>
    <w:rsid w:val="00DD57DA"/>
    <w:rsid w:val="00E027E0"/>
    <w:rsid w:val="00E26FF1"/>
    <w:rsid w:val="00E27E43"/>
    <w:rsid w:val="00E57148"/>
    <w:rsid w:val="00ED7332"/>
    <w:rsid w:val="00EF4F53"/>
    <w:rsid w:val="00F11CD0"/>
    <w:rsid w:val="00F324E1"/>
    <w:rsid w:val="00F77D55"/>
    <w:rsid w:val="00FB216A"/>
    <w:rsid w:val="02F74F86"/>
    <w:rsid w:val="043E06DE"/>
    <w:rsid w:val="04F2770F"/>
    <w:rsid w:val="090507D3"/>
    <w:rsid w:val="0A8E7BE6"/>
    <w:rsid w:val="0B1E3585"/>
    <w:rsid w:val="0D2131AD"/>
    <w:rsid w:val="0DA651AB"/>
    <w:rsid w:val="0ECB61A8"/>
    <w:rsid w:val="11916C6D"/>
    <w:rsid w:val="169C7A27"/>
    <w:rsid w:val="1B471AE5"/>
    <w:rsid w:val="1B5D75E4"/>
    <w:rsid w:val="1FAFDCA7"/>
    <w:rsid w:val="21B631A5"/>
    <w:rsid w:val="21C06A17"/>
    <w:rsid w:val="23AA66A7"/>
    <w:rsid w:val="24D27B28"/>
    <w:rsid w:val="268B30A3"/>
    <w:rsid w:val="2BF723BF"/>
    <w:rsid w:val="2EF91626"/>
    <w:rsid w:val="30375BD2"/>
    <w:rsid w:val="30A92E3B"/>
    <w:rsid w:val="356F523C"/>
    <w:rsid w:val="359B244B"/>
    <w:rsid w:val="35C00B7E"/>
    <w:rsid w:val="35C070A7"/>
    <w:rsid w:val="3876316A"/>
    <w:rsid w:val="3A054AC9"/>
    <w:rsid w:val="3A5B2759"/>
    <w:rsid w:val="3BDBC8EE"/>
    <w:rsid w:val="3F5EABF3"/>
    <w:rsid w:val="3F936BB3"/>
    <w:rsid w:val="45EE109C"/>
    <w:rsid w:val="498A1F75"/>
    <w:rsid w:val="49AB449D"/>
    <w:rsid w:val="4A2D0673"/>
    <w:rsid w:val="4A783AB7"/>
    <w:rsid w:val="4DCF2866"/>
    <w:rsid w:val="52BD598A"/>
    <w:rsid w:val="56B91573"/>
    <w:rsid w:val="5C3468B5"/>
    <w:rsid w:val="5FE46715"/>
    <w:rsid w:val="642A326D"/>
    <w:rsid w:val="64F377D2"/>
    <w:rsid w:val="67FF6956"/>
    <w:rsid w:val="681E750B"/>
    <w:rsid w:val="68564B9A"/>
    <w:rsid w:val="68817EE4"/>
    <w:rsid w:val="6BBFD0E1"/>
    <w:rsid w:val="6CC37F33"/>
    <w:rsid w:val="6FBD5289"/>
    <w:rsid w:val="70874519"/>
    <w:rsid w:val="73325D4D"/>
    <w:rsid w:val="740752C3"/>
    <w:rsid w:val="7658178E"/>
    <w:rsid w:val="77EBA3D5"/>
    <w:rsid w:val="77F51365"/>
    <w:rsid w:val="77FF65FD"/>
    <w:rsid w:val="7E377C09"/>
    <w:rsid w:val="7E3B1CCC"/>
    <w:rsid w:val="7E776BA2"/>
    <w:rsid w:val="7ED530BD"/>
    <w:rsid w:val="7F6C4F4C"/>
    <w:rsid w:val="7F7B497A"/>
    <w:rsid w:val="7FC7C382"/>
    <w:rsid w:val="7FCF8C1F"/>
    <w:rsid w:val="8FF394E6"/>
    <w:rsid w:val="B97F7CCB"/>
    <w:rsid w:val="BE7D6BF6"/>
    <w:rsid w:val="D57F5A7B"/>
    <w:rsid w:val="DEEF9578"/>
    <w:rsid w:val="DFFFE9A8"/>
    <w:rsid w:val="F2F6D7AE"/>
    <w:rsid w:val="F9F34A7D"/>
    <w:rsid w:val="F9FF3D71"/>
    <w:rsid w:val="FEDFAF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8">
    <w:name w:val="page number"/>
    <w:basedOn w:val="7"/>
    <w:unhideWhenUsed/>
    <w:qFormat/>
    <w:uiPriority w:val="99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正文文本缩进 字符"/>
    <w:basedOn w:val="7"/>
    <w:link w:val="2"/>
    <w:qFormat/>
    <w:uiPriority w:val="99"/>
    <w:rPr>
      <w:rFonts w:ascii="楷体_GB2312" w:hAnsi="Times New Roman" w:eastAsia="楷体_GB2312" w:cs="Times New Roman"/>
      <w:sz w:val="8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184</Words>
  <Characters>1051</Characters>
  <Lines>8</Lines>
  <Paragraphs>2</Paragraphs>
  <TotalTime>97</TotalTime>
  <ScaleCrop>false</ScaleCrop>
  <LinksUpToDate>false</LinksUpToDate>
  <CharactersWithSpaces>1233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2018-07-26T00:42:00Z</dcterms:created>
  <dc:creator>Suda</dc:creator>
  <cp:lastModifiedBy>greatwall</cp:lastModifiedBy>
  <dcterms:modified xsi:type="dcterms:W3CDTF">2023-07-14T15:15:15Z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