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b/>
          <w:bCs/>
          <w:spacing w:val="-15"/>
          <w:w w:val="105"/>
          <w:sz w:val="44"/>
          <w:szCs w:val="44"/>
          <w:lang w:eastAsia="zh-CN"/>
        </w:rPr>
      </w:pPr>
      <w:r>
        <w:rPr>
          <w:rFonts w:hint="eastAsia" w:ascii="宋体" w:hAnsi="宋体"/>
          <w:b/>
          <w:bCs/>
          <w:w w:val="105"/>
          <w:sz w:val="44"/>
          <w:szCs w:val="44"/>
          <w:lang w:eastAsia="zh-CN"/>
        </w:rPr>
        <w:t>市调查总队住户样本轮换项</w:t>
      </w:r>
      <w:r>
        <w:rPr>
          <w:rFonts w:hint="eastAsia" w:ascii="宋体" w:hAnsi="宋体"/>
          <w:b/>
          <w:bCs/>
          <w:spacing w:val="-128"/>
          <w:w w:val="105"/>
          <w:sz w:val="44"/>
          <w:szCs w:val="44"/>
          <w:lang w:eastAsia="zh-CN"/>
        </w:rPr>
        <w:t xml:space="preserve"> </w:t>
      </w:r>
      <w:r>
        <w:rPr>
          <w:rFonts w:hint="eastAsia" w:ascii="宋体" w:hAnsi="宋体"/>
          <w:b/>
          <w:bCs/>
          <w:spacing w:val="-15"/>
          <w:w w:val="105"/>
          <w:sz w:val="44"/>
          <w:szCs w:val="44"/>
          <w:lang w:eastAsia="zh-CN"/>
        </w:rPr>
        <w:t>目支出</w:t>
      </w:r>
    </w:p>
    <w:p>
      <w:pPr>
        <w:spacing w:line="600" w:lineRule="exact"/>
        <w:jc w:val="center"/>
        <w:rPr>
          <w:rFonts w:ascii="宋体" w:hAnsi="宋体"/>
          <w:b/>
          <w:bCs/>
          <w:spacing w:val="-15"/>
          <w:w w:val="105"/>
          <w:sz w:val="44"/>
          <w:szCs w:val="44"/>
          <w:lang w:eastAsia="zh-CN"/>
        </w:rPr>
      </w:pPr>
      <w:r>
        <w:rPr>
          <w:rFonts w:hint="eastAsia" w:ascii="宋体" w:hAnsi="宋体"/>
          <w:b/>
          <w:bCs/>
          <w:spacing w:val="-15"/>
          <w:w w:val="105"/>
          <w:sz w:val="44"/>
          <w:szCs w:val="44"/>
          <w:lang w:eastAsia="zh-CN"/>
        </w:rPr>
        <w:t>绩效自评报告</w:t>
      </w:r>
    </w:p>
    <w:p>
      <w:pPr>
        <w:spacing w:line="600" w:lineRule="exact"/>
        <w:ind w:firstLine="656" w:firstLineChars="200"/>
        <w:jc w:val="center"/>
        <w:rPr>
          <w:rFonts w:ascii="黑体" w:hAnsi="黑体" w:eastAsia="黑体"/>
          <w:spacing w:val="-4"/>
          <w:w w:val="105"/>
          <w:sz w:val="32"/>
          <w:szCs w:val="32"/>
          <w:lang w:eastAsia="zh-CN"/>
        </w:rPr>
      </w:pPr>
    </w:p>
    <w:p>
      <w:pPr>
        <w:spacing w:line="600" w:lineRule="exact"/>
        <w:ind w:firstLine="656" w:firstLineChars="200"/>
        <w:jc w:val="both"/>
        <w:rPr>
          <w:rFonts w:ascii="黑体" w:hAnsi="黑体" w:eastAsia="黑体"/>
          <w:sz w:val="32"/>
          <w:szCs w:val="32"/>
          <w:lang w:eastAsia="zh-CN"/>
        </w:rPr>
      </w:pPr>
      <w:r>
        <w:rPr>
          <w:rFonts w:ascii="黑体" w:hAnsi="黑体" w:eastAsia="黑体"/>
          <w:spacing w:val="-4"/>
          <w:w w:val="105"/>
          <w:sz w:val="32"/>
          <w:szCs w:val="32"/>
          <w:lang w:eastAsia="zh-CN"/>
        </w:rPr>
        <w:t>一、基本情况</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（一）项目概况。</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市调查总队住户样本轮换项目是根据国家统计局天津市调查总队工作安排，用于住户样本轮换的专项支出。年初预算数为</w:t>
      </w:r>
      <w:r>
        <w:rPr>
          <w:rFonts w:eastAsia="仿宋_GB2312"/>
          <w:sz w:val="32"/>
          <w:szCs w:val="32"/>
          <w:lang w:eastAsia="zh-CN"/>
        </w:rPr>
        <w:t>1</w:t>
      </w:r>
      <w:r>
        <w:rPr>
          <w:rFonts w:hint="eastAsia" w:eastAsia="仿宋_GB2312"/>
          <w:sz w:val="32"/>
          <w:szCs w:val="32"/>
          <w:lang w:eastAsia="zh-CN"/>
        </w:rPr>
        <w:t>元，全年预算数为</w:t>
      </w:r>
      <w:r>
        <w:rPr>
          <w:rFonts w:eastAsia="仿宋_GB2312"/>
          <w:sz w:val="32"/>
          <w:szCs w:val="32"/>
          <w:lang w:eastAsia="zh-CN"/>
        </w:rPr>
        <w:t>1</w:t>
      </w:r>
      <w:r>
        <w:rPr>
          <w:rFonts w:hint="eastAsia" w:eastAsia="仿宋_GB2312"/>
          <w:sz w:val="32"/>
          <w:szCs w:val="32"/>
          <w:lang w:eastAsia="zh-CN"/>
        </w:rPr>
        <w:t>万元，全年执行数为</w:t>
      </w:r>
      <w:r>
        <w:rPr>
          <w:rFonts w:eastAsia="仿宋_GB2312"/>
          <w:sz w:val="32"/>
          <w:szCs w:val="32"/>
          <w:lang w:eastAsia="zh-CN"/>
        </w:rPr>
        <w:t>1</w:t>
      </w:r>
      <w:r>
        <w:rPr>
          <w:rFonts w:hint="eastAsia" w:eastAsia="仿宋_GB2312"/>
          <w:sz w:val="32"/>
          <w:szCs w:val="32"/>
          <w:lang w:eastAsia="zh-CN"/>
        </w:rPr>
        <w:t>万元。</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（二）项目绩效目标。</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市调查总队住户样本轮换项目总体目标是通过开展住户调查样本轮换，保障调查数据质量。</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二、绩效评价工作开展情况</w:t>
      </w:r>
    </w:p>
    <w:p>
      <w:pPr>
        <w:spacing w:line="600" w:lineRule="exact"/>
        <w:ind w:firstLine="640" w:firstLineChars="200"/>
        <w:jc w:val="both"/>
        <w:rPr>
          <w:rFonts w:ascii="仿宋_GB2312" w:eastAsia="仿宋_GB2312"/>
          <w:sz w:val="32"/>
          <w:szCs w:val="32"/>
          <w:lang w:eastAsia="zh-CN"/>
        </w:rPr>
      </w:pPr>
      <w:r>
        <w:rPr>
          <w:rFonts w:hint="eastAsia" w:eastAsia="仿宋_GB2312"/>
          <w:sz w:val="32"/>
          <w:szCs w:val="32"/>
          <w:lang w:eastAsia="zh-CN"/>
        </w:rPr>
        <w:t>（一）</w:t>
      </w:r>
      <w:r>
        <w:rPr>
          <w:rFonts w:eastAsia="仿宋_GB2312"/>
          <w:sz w:val="32"/>
          <w:szCs w:val="32"/>
          <w:lang w:eastAsia="zh-CN"/>
        </w:rPr>
        <w:t>绩效评价</w:t>
      </w:r>
      <w:r>
        <w:rPr>
          <w:rFonts w:eastAsia="仿宋_GB2312"/>
          <w:spacing w:val="-91"/>
          <w:sz w:val="32"/>
          <w:szCs w:val="32"/>
          <w:lang w:eastAsia="zh-CN"/>
        </w:rPr>
        <w:t xml:space="preserve"> </w:t>
      </w:r>
      <w:r>
        <w:rPr>
          <w:rFonts w:eastAsia="仿宋_GB2312"/>
          <w:spacing w:val="-10"/>
          <w:sz w:val="32"/>
          <w:szCs w:val="32"/>
          <w:lang w:eastAsia="zh-CN"/>
        </w:rPr>
        <w:t>目的</w:t>
      </w:r>
      <w:r>
        <w:rPr>
          <w:rFonts w:hint="eastAsia" w:ascii="仿宋_GB2312" w:eastAsia="仿宋_GB2312"/>
          <w:sz w:val="32"/>
          <w:szCs w:val="32"/>
          <w:lang w:eastAsia="zh-CN"/>
        </w:rPr>
        <w:t>、对象和范围。</w:t>
      </w:r>
    </w:p>
    <w:p>
      <w:pPr>
        <w:spacing w:line="600" w:lineRule="exact"/>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为加强部门预算管理，强化预算支出责任，提高预算资金使用效益和效率，发现项目实施过程中存在的不足，提高</w:t>
      </w:r>
      <w:r>
        <w:rPr>
          <w:rFonts w:hint="eastAsia" w:eastAsia="仿宋_GB2312"/>
          <w:sz w:val="32"/>
          <w:szCs w:val="32"/>
          <w:lang w:eastAsia="zh-CN"/>
        </w:rPr>
        <w:t>项目水平，对202</w:t>
      </w:r>
      <w:r>
        <w:rPr>
          <w:rFonts w:eastAsia="仿宋_GB2312"/>
          <w:sz w:val="32"/>
          <w:szCs w:val="32"/>
          <w:lang w:eastAsia="zh-CN"/>
        </w:rPr>
        <w:t>2</w:t>
      </w:r>
      <w:r>
        <w:rPr>
          <w:rFonts w:hint="eastAsia" w:eastAsia="仿宋_GB2312"/>
          <w:sz w:val="32"/>
          <w:szCs w:val="32"/>
          <w:lang w:eastAsia="zh-CN"/>
        </w:rPr>
        <w:t>年度市调查总队住户样本轮换项目开展绩效评价。</w:t>
      </w:r>
    </w:p>
    <w:p>
      <w:pPr>
        <w:spacing w:line="600" w:lineRule="exact"/>
        <w:ind w:firstLine="627" w:firstLineChars="196"/>
        <w:jc w:val="both"/>
        <w:rPr>
          <w:rFonts w:ascii="仿宋_GB2312" w:eastAsia="仿宋_GB2312"/>
          <w:sz w:val="32"/>
          <w:szCs w:val="32"/>
          <w:lang w:eastAsia="zh-CN"/>
        </w:rPr>
      </w:pPr>
      <w:r>
        <w:rPr>
          <w:rFonts w:hint="eastAsia" w:eastAsia="仿宋_GB2312"/>
          <w:sz w:val="32"/>
          <w:szCs w:val="32"/>
          <w:lang w:eastAsia="zh-CN"/>
        </w:rPr>
        <w:t>（二）</w:t>
      </w:r>
      <w:r>
        <w:rPr>
          <w:rFonts w:hint="eastAsia" w:ascii="仿宋_GB2312" w:eastAsia="仿宋_GB2312"/>
          <w:spacing w:val="-1"/>
          <w:w w:val="103"/>
          <w:sz w:val="32"/>
          <w:szCs w:val="32"/>
          <w:lang w:eastAsia="zh-CN"/>
        </w:rPr>
        <w:t>绩效评价原则</w:t>
      </w:r>
      <w:r>
        <w:rPr>
          <w:rFonts w:hint="eastAsia" w:ascii="仿宋_GB2312" w:eastAsia="仿宋_GB2312"/>
          <w:spacing w:val="-106"/>
          <w:w w:val="103"/>
          <w:sz w:val="32"/>
          <w:szCs w:val="32"/>
          <w:lang w:eastAsia="zh-CN"/>
        </w:rPr>
        <w:t xml:space="preserve"> </w:t>
      </w:r>
      <w:r>
        <w:rPr>
          <w:rFonts w:hint="eastAsia" w:ascii="仿宋_GB2312" w:eastAsia="仿宋_GB2312"/>
          <w:spacing w:val="-7"/>
          <w:w w:val="103"/>
          <w:sz w:val="32"/>
          <w:szCs w:val="32"/>
          <w:lang w:eastAsia="zh-CN"/>
        </w:rPr>
        <w:t>、评价指标体系</w:t>
      </w:r>
      <w:r>
        <w:rPr>
          <w:rFonts w:hint="eastAsia" w:eastAsia="仿宋_GB2312"/>
          <w:sz w:val="32"/>
          <w:szCs w:val="32"/>
          <w:lang w:eastAsia="zh-CN"/>
        </w:rPr>
        <w:t>、评价方法、评价标准</w:t>
      </w:r>
      <w:r>
        <w:rPr>
          <w:rFonts w:hint="eastAsia" w:ascii="仿宋_GB2312" w:eastAsia="仿宋_GB2312"/>
          <w:sz w:val="32"/>
          <w:szCs w:val="32"/>
          <w:lang w:eastAsia="zh-CN"/>
        </w:rPr>
        <w:t>。</w:t>
      </w:r>
    </w:p>
    <w:p>
      <w:pPr>
        <w:spacing w:line="600" w:lineRule="exact"/>
        <w:ind w:firstLine="627" w:firstLineChars="196"/>
        <w:jc w:val="both"/>
        <w:rPr>
          <w:rFonts w:eastAsia="仿宋_GB2312"/>
          <w:sz w:val="32"/>
          <w:szCs w:val="32"/>
          <w:lang w:eastAsia="zh-CN"/>
        </w:rPr>
      </w:pPr>
      <w:r>
        <w:rPr>
          <w:rFonts w:eastAsia="仿宋_GB2312"/>
          <w:sz w:val="32"/>
          <w:szCs w:val="32"/>
          <w:lang w:eastAsia="zh-CN"/>
        </w:rPr>
        <w:t>绩效评价</w:t>
      </w:r>
      <w:r>
        <w:rPr>
          <w:rFonts w:hint="eastAsia" w:eastAsia="仿宋_GB2312"/>
          <w:sz w:val="32"/>
          <w:szCs w:val="32"/>
          <w:lang w:eastAsia="zh-CN"/>
        </w:rPr>
        <w:t>按照</w:t>
      </w:r>
      <w:r>
        <w:rPr>
          <w:rFonts w:hint="eastAsia" w:eastAsia="仿宋_GB2312"/>
          <w:color w:val="000000"/>
          <w:sz w:val="32"/>
          <w:szCs w:val="32"/>
          <w:lang w:eastAsia="zh-CN"/>
        </w:rPr>
        <w:t>“谁支出、谁自评”、科学公正、公开透明</w:t>
      </w:r>
      <w:r>
        <w:rPr>
          <w:rFonts w:hint="eastAsia" w:eastAsia="仿宋_GB2312"/>
          <w:sz w:val="32"/>
          <w:szCs w:val="32"/>
          <w:lang w:eastAsia="zh-CN"/>
        </w:rPr>
        <w:t>原则开展，</w:t>
      </w:r>
      <w:r>
        <w:rPr>
          <w:rFonts w:eastAsia="仿宋_GB2312"/>
          <w:color w:val="000000"/>
          <w:sz w:val="32"/>
          <w:szCs w:val="32"/>
          <w:lang w:eastAsia="zh-CN"/>
        </w:rPr>
        <w:t>客观真实反映项目绩效</w:t>
      </w:r>
      <w:r>
        <w:rPr>
          <w:rFonts w:hint="eastAsia" w:eastAsia="仿宋_GB2312"/>
          <w:sz w:val="32"/>
          <w:szCs w:val="32"/>
          <w:lang w:eastAsia="zh-CN"/>
        </w:rPr>
        <w:t>。</w:t>
      </w:r>
    </w:p>
    <w:p>
      <w:pPr>
        <w:spacing w:line="600" w:lineRule="exact"/>
        <w:ind w:firstLine="627" w:firstLineChars="196"/>
        <w:jc w:val="both"/>
        <w:rPr>
          <w:rFonts w:eastAsia="仿宋_GB2312"/>
          <w:sz w:val="32"/>
          <w:szCs w:val="32"/>
          <w:lang w:eastAsia="zh-CN"/>
        </w:rPr>
      </w:pPr>
      <w:r>
        <w:rPr>
          <w:rFonts w:hint="eastAsia" w:eastAsia="仿宋_GB2312"/>
          <w:sz w:val="32"/>
          <w:szCs w:val="32"/>
          <w:lang w:eastAsia="zh-CN"/>
        </w:rPr>
        <w:t>评价指标体系如下图：</w:t>
      </w:r>
    </w:p>
    <w:tbl>
      <w:tblPr>
        <w:tblStyle w:val="4"/>
        <w:tblW w:w="8520" w:type="dxa"/>
        <w:tblInd w:w="93" w:type="dxa"/>
        <w:tblLayout w:type="autofit"/>
        <w:tblCellMar>
          <w:top w:w="0" w:type="dxa"/>
          <w:left w:w="108" w:type="dxa"/>
          <w:bottom w:w="0" w:type="dxa"/>
          <w:right w:w="108" w:type="dxa"/>
        </w:tblCellMar>
      </w:tblPr>
      <w:tblGrid>
        <w:gridCol w:w="1540"/>
        <w:gridCol w:w="2100"/>
        <w:gridCol w:w="2440"/>
        <w:gridCol w:w="2440"/>
      </w:tblGrid>
      <w:tr>
        <w:tblPrEx>
          <w:tblCellMar>
            <w:top w:w="0" w:type="dxa"/>
            <w:left w:w="108" w:type="dxa"/>
            <w:bottom w:w="0" w:type="dxa"/>
            <w:right w:w="108" w:type="dxa"/>
          </w:tblCellMar>
        </w:tblPrEx>
        <w:trPr>
          <w:trHeight w:val="660" w:hRule="atLeast"/>
        </w:trPr>
        <w:tc>
          <w:tcPr>
            <w:tcW w:w="1540"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宋体" w:hAnsi="宋体" w:cs="宋体"/>
                <w:color w:val="000000"/>
                <w:sz w:val="24"/>
                <w:szCs w:val="24"/>
                <w:lang w:eastAsia="zh-CN"/>
              </w:rPr>
            </w:pPr>
            <w:r>
              <w:rPr>
                <w:rFonts w:hint="eastAsia" w:ascii="宋体" w:hAnsi="宋体" w:cs="宋体"/>
                <w:color w:val="000000"/>
                <w:sz w:val="24"/>
                <w:szCs w:val="24"/>
                <w:lang w:eastAsia="zh-CN"/>
              </w:rPr>
              <w:t>一级指标</w:t>
            </w:r>
          </w:p>
        </w:tc>
        <w:tc>
          <w:tcPr>
            <w:tcW w:w="21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lang w:eastAsia="zh-CN"/>
              </w:rPr>
            </w:pPr>
            <w:r>
              <w:rPr>
                <w:rFonts w:hint="eastAsia" w:ascii="宋体" w:hAnsi="宋体" w:cs="宋体"/>
                <w:color w:val="000000"/>
                <w:sz w:val="24"/>
                <w:szCs w:val="24"/>
                <w:lang w:eastAsia="zh-CN"/>
              </w:rPr>
              <w:t>二级指标</w:t>
            </w:r>
          </w:p>
        </w:tc>
        <w:tc>
          <w:tcPr>
            <w:tcW w:w="244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sz w:val="24"/>
                <w:szCs w:val="24"/>
                <w:lang w:eastAsia="zh-CN"/>
              </w:rPr>
            </w:pPr>
            <w:r>
              <w:rPr>
                <w:rFonts w:hint="eastAsia" w:ascii="宋体" w:hAnsi="宋体" w:cs="宋体"/>
                <w:color w:val="000000"/>
                <w:sz w:val="24"/>
                <w:szCs w:val="24"/>
                <w:lang w:eastAsia="zh-CN"/>
              </w:rPr>
              <w:t>三级指标</w:t>
            </w:r>
          </w:p>
        </w:tc>
        <w:tc>
          <w:tcPr>
            <w:tcW w:w="24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lang w:eastAsia="zh-CN"/>
              </w:rPr>
            </w:pPr>
            <w:r>
              <w:rPr>
                <w:rFonts w:hint="eastAsia" w:ascii="宋体" w:hAnsi="宋体" w:cs="宋体"/>
                <w:color w:val="000000"/>
                <w:sz w:val="24"/>
                <w:szCs w:val="24"/>
                <w:lang w:eastAsia="zh-CN"/>
              </w:rPr>
              <w:t>年度指标值(A)</w:t>
            </w:r>
          </w:p>
        </w:tc>
      </w:tr>
      <w:tr>
        <w:tblPrEx>
          <w:tblCellMar>
            <w:top w:w="0" w:type="dxa"/>
            <w:left w:w="108" w:type="dxa"/>
            <w:bottom w:w="0" w:type="dxa"/>
            <w:right w:w="108" w:type="dxa"/>
          </w:tblCellMar>
        </w:tblPrEx>
        <w:trPr>
          <w:trHeight w:val="660" w:hRule="atLeast"/>
        </w:trPr>
        <w:tc>
          <w:tcPr>
            <w:tcW w:w="1540" w:type="dxa"/>
            <w:vMerge w:val="restart"/>
            <w:tcBorders>
              <w:top w:val="single" w:color="auto" w:sz="4" w:space="0"/>
              <w:left w:val="single" w:color="auto" w:sz="4" w:space="0"/>
              <w:right w:val="nil"/>
            </w:tcBorders>
            <w:shd w:val="clear" w:color="auto" w:fill="auto"/>
            <w:vAlign w:val="center"/>
          </w:tcPr>
          <w:p>
            <w:pPr>
              <w:jc w:val="center"/>
              <w:rPr>
                <w:rFonts w:hint="eastAsia" w:ascii="宋体" w:hAnsi="宋体" w:cs="宋体"/>
                <w:color w:val="000000"/>
                <w:sz w:val="24"/>
                <w:szCs w:val="24"/>
                <w:lang w:eastAsia="zh-CN"/>
              </w:rPr>
            </w:pPr>
            <w:r>
              <w:rPr>
                <w:rFonts w:hint="eastAsia" w:ascii="宋体" w:hAnsi="宋体" w:cs="宋体"/>
                <w:sz w:val="24"/>
                <w:szCs w:val="24"/>
                <w:lang w:eastAsia="zh-CN"/>
              </w:rPr>
              <w:t>产出指标</w:t>
            </w:r>
            <w:r>
              <w:rPr>
                <w:rFonts w:hint="eastAsia" w:ascii="宋体" w:hAnsi="宋体" w:cs="宋体"/>
                <w:sz w:val="24"/>
                <w:szCs w:val="24"/>
                <w:lang w:eastAsia="zh-CN"/>
              </w:rPr>
              <w:br w:type="textWrapping"/>
            </w:r>
            <w:r>
              <w:rPr>
                <w:rFonts w:hint="eastAsia" w:ascii="宋体" w:hAnsi="宋体" w:cs="宋体"/>
                <w:sz w:val="24"/>
                <w:szCs w:val="24"/>
                <w:lang w:eastAsia="zh-CN"/>
              </w:rPr>
              <w:t>（50分）</w:t>
            </w:r>
          </w:p>
        </w:tc>
        <w:tc>
          <w:tcPr>
            <w:tcW w:w="2100"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宋体" w:hAnsi="宋体" w:cs="宋体"/>
                <w:color w:val="000000"/>
                <w:sz w:val="24"/>
                <w:szCs w:val="24"/>
                <w:lang w:eastAsia="zh-CN"/>
              </w:rPr>
            </w:pPr>
            <w:r>
              <w:rPr>
                <w:rFonts w:hint="eastAsia" w:ascii="宋体" w:hAnsi="宋体" w:cs="宋体"/>
                <w:sz w:val="24"/>
                <w:szCs w:val="24"/>
                <w:lang w:eastAsia="zh-CN"/>
              </w:rPr>
              <w:t>数量指标</w:t>
            </w:r>
          </w:p>
        </w:tc>
        <w:tc>
          <w:tcPr>
            <w:tcW w:w="244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sz w:val="24"/>
                <w:szCs w:val="24"/>
                <w:lang w:eastAsia="zh-CN"/>
              </w:rPr>
            </w:pPr>
            <w:r>
              <w:rPr>
                <w:rFonts w:hint="eastAsia" w:ascii="宋体" w:hAnsi="宋体" w:cs="宋体"/>
                <w:color w:val="000000"/>
                <w:sz w:val="24"/>
                <w:szCs w:val="24"/>
                <w:lang w:eastAsia="zh-CN"/>
              </w:rPr>
              <w:t>轮换涉及街道个数</w:t>
            </w:r>
          </w:p>
        </w:tc>
        <w:tc>
          <w:tcPr>
            <w:tcW w:w="24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sz w:val="24"/>
                <w:szCs w:val="24"/>
                <w:lang w:eastAsia="zh-CN"/>
              </w:rPr>
            </w:pPr>
            <w:r>
              <w:rPr>
                <w:rFonts w:hint="eastAsia" w:ascii="宋体" w:hAnsi="宋体" w:cs="宋体"/>
                <w:color w:val="000000"/>
                <w:sz w:val="24"/>
                <w:szCs w:val="24"/>
                <w:lang w:eastAsia="zh-CN"/>
              </w:rPr>
              <w:t>6个</w:t>
            </w:r>
          </w:p>
        </w:tc>
      </w:tr>
      <w:tr>
        <w:tblPrEx>
          <w:tblCellMar>
            <w:top w:w="0" w:type="dxa"/>
            <w:left w:w="108" w:type="dxa"/>
            <w:bottom w:w="0" w:type="dxa"/>
            <w:right w:w="108" w:type="dxa"/>
          </w:tblCellMar>
        </w:tblPrEx>
        <w:trPr>
          <w:trHeight w:val="600" w:hRule="atLeast"/>
        </w:trPr>
        <w:tc>
          <w:tcPr>
            <w:tcW w:w="1540"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sz w:val="24"/>
                <w:szCs w:val="24"/>
                <w:lang w:eastAsia="zh-CN"/>
              </w:rPr>
            </w:pPr>
          </w:p>
        </w:tc>
        <w:tc>
          <w:tcPr>
            <w:tcW w:w="2100"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24"/>
                <w:szCs w:val="24"/>
                <w:lang w:eastAsia="zh-CN"/>
              </w:rPr>
            </w:pPr>
          </w:p>
        </w:tc>
        <w:tc>
          <w:tcPr>
            <w:tcW w:w="2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lang w:eastAsia="zh-CN"/>
              </w:rPr>
            </w:pPr>
            <w:r>
              <w:rPr>
                <w:rFonts w:hint="eastAsia" w:ascii="宋体" w:hAnsi="宋体" w:cs="宋体"/>
                <w:color w:val="000000"/>
                <w:sz w:val="24"/>
                <w:szCs w:val="24"/>
                <w:lang w:eastAsia="zh-CN"/>
              </w:rPr>
              <w:t>样本轮换户数</w:t>
            </w:r>
          </w:p>
        </w:tc>
        <w:tc>
          <w:tcPr>
            <w:tcW w:w="24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lang w:eastAsia="zh-CN"/>
              </w:rPr>
            </w:pPr>
            <w:r>
              <w:rPr>
                <w:rFonts w:hint="eastAsia" w:ascii="宋体" w:hAnsi="宋体" w:cs="宋体"/>
                <w:color w:val="000000"/>
                <w:sz w:val="24"/>
                <w:szCs w:val="24"/>
                <w:lang w:eastAsia="zh-CN"/>
              </w:rPr>
              <w:t>1</w:t>
            </w:r>
            <w:r>
              <w:rPr>
                <w:rFonts w:ascii="宋体" w:hAnsi="宋体" w:cs="宋体"/>
                <w:color w:val="000000"/>
                <w:sz w:val="24"/>
                <w:szCs w:val="24"/>
                <w:lang w:eastAsia="zh-CN"/>
              </w:rPr>
              <w:t>40</w:t>
            </w:r>
            <w:r>
              <w:rPr>
                <w:rFonts w:hint="eastAsia" w:ascii="宋体" w:hAnsi="宋体" w:cs="宋体"/>
                <w:color w:val="000000"/>
                <w:sz w:val="24"/>
                <w:szCs w:val="24"/>
                <w:lang w:eastAsia="zh-CN"/>
              </w:rPr>
              <w:t>户</w:t>
            </w:r>
          </w:p>
        </w:tc>
      </w:tr>
      <w:tr>
        <w:tblPrEx>
          <w:tblCellMar>
            <w:top w:w="0" w:type="dxa"/>
            <w:left w:w="108" w:type="dxa"/>
            <w:bottom w:w="0" w:type="dxa"/>
            <w:right w:w="108" w:type="dxa"/>
          </w:tblCellMar>
        </w:tblPrEx>
        <w:trPr>
          <w:trHeight w:val="600" w:hRule="atLeast"/>
        </w:trPr>
        <w:tc>
          <w:tcPr>
            <w:tcW w:w="1540" w:type="dxa"/>
            <w:vMerge w:val="continue"/>
            <w:tcBorders>
              <w:left w:val="single" w:color="auto" w:sz="4" w:space="0"/>
              <w:right w:val="single" w:color="auto" w:sz="4" w:space="0"/>
            </w:tcBorders>
            <w:vAlign w:val="center"/>
          </w:tcPr>
          <w:p>
            <w:pPr>
              <w:widowControl/>
              <w:rPr>
                <w:rFonts w:ascii="宋体" w:hAnsi="宋体" w:cs="宋体"/>
                <w:sz w:val="24"/>
                <w:szCs w:val="24"/>
                <w:lang w:eastAsia="zh-CN"/>
              </w:rPr>
            </w:pPr>
          </w:p>
        </w:tc>
        <w:tc>
          <w:tcPr>
            <w:tcW w:w="2100" w:type="dxa"/>
            <w:vMerge w:val="restart"/>
            <w:tcBorders>
              <w:top w:val="nil"/>
              <w:left w:val="nil"/>
              <w:right w:val="single" w:color="auto" w:sz="4" w:space="0"/>
            </w:tcBorders>
            <w:shd w:val="clear" w:color="auto" w:fill="auto"/>
            <w:vAlign w:val="center"/>
          </w:tcPr>
          <w:p>
            <w:pPr>
              <w:jc w:val="center"/>
              <w:rPr>
                <w:rFonts w:hint="eastAsia" w:ascii="宋体" w:hAnsi="宋体" w:cs="宋体"/>
                <w:sz w:val="24"/>
                <w:szCs w:val="24"/>
                <w:lang w:eastAsia="zh-CN"/>
              </w:rPr>
            </w:pPr>
            <w:r>
              <w:rPr>
                <w:rFonts w:hint="eastAsia" w:ascii="宋体" w:hAnsi="宋体" w:cs="宋体"/>
                <w:sz w:val="24"/>
                <w:szCs w:val="24"/>
                <w:lang w:eastAsia="zh-CN"/>
              </w:rPr>
              <w:t>质量指标</w:t>
            </w:r>
          </w:p>
        </w:tc>
        <w:tc>
          <w:tcPr>
            <w:tcW w:w="2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lang w:eastAsia="zh-CN"/>
              </w:rPr>
            </w:pPr>
            <w:r>
              <w:rPr>
                <w:rFonts w:ascii="宋体" w:hAnsi="宋体" w:cs="宋体"/>
                <w:color w:val="000000"/>
                <w:sz w:val="24"/>
                <w:szCs w:val="24"/>
                <w:lang w:eastAsia="zh-CN"/>
              </w:rPr>
              <w:t>轮换完成合规率</w:t>
            </w:r>
          </w:p>
        </w:tc>
        <w:tc>
          <w:tcPr>
            <w:tcW w:w="24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sz w:val="24"/>
                <w:szCs w:val="24"/>
                <w:lang w:eastAsia="zh-CN"/>
              </w:rPr>
            </w:pPr>
            <w:r>
              <w:rPr>
                <w:rFonts w:hint="eastAsia" w:ascii="宋体" w:hAnsi="宋体" w:cs="宋体"/>
                <w:color w:val="000000"/>
                <w:sz w:val="24"/>
                <w:szCs w:val="24"/>
                <w:lang w:eastAsia="zh-CN"/>
              </w:rPr>
              <w:t>≥90%</w:t>
            </w:r>
          </w:p>
        </w:tc>
      </w:tr>
      <w:tr>
        <w:tblPrEx>
          <w:tblCellMar>
            <w:top w:w="0" w:type="dxa"/>
            <w:left w:w="108" w:type="dxa"/>
            <w:bottom w:w="0" w:type="dxa"/>
            <w:right w:w="108" w:type="dxa"/>
          </w:tblCellMar>
        </w:tblPrEx>
        <w:trPr>
          <w:trHeight w:val="600" w:hRule="atLeast"/>
        </w:trPr>
        <w:tc>
          <w:tcPr>
            <w:tcW w:w="1540" w:type="dxa"/>
            <w:vMerge w:val="continue"/>
            <w:tcBorders>
              <w:left w:val="single" w:color="auto" w:sz="4" w:space="0"/>
              <w:right w:val="single" w:color="auto" w:sz="4" w:space="0"/>
            </w:tcBorders>
            <w:vAlign w:val="center"/>
          </w:tcPr>
          <w:p>
            <w:pPr>
              <w:widowControl/>
              <w:rPr>
                <w:rFonts w:ascii="宋体" w:hAnsi="宋体" w:cs="宋体"/>
                <w:sz w:val="24"/>
                <w:szCs w:val="24"/>
                <w:lang w:eastAsia="zh-CN"/>
              </w:rPr>
            </w:pPr>
          </w:p>
        </w:tc>
        <w:tc>
          <w:tcPr>
            <w:tcW w:w="2100"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cs="宋体"/>
                <w:sz w:val="24"/>
                <w:szCs w:val="24"/>
                <w:lang w:eastAsia="zh-CN"/>
              </w:rPr>
            </w:pPr>
          </w:p>
        </w:tc>
        <w:tc>
          <w:tcPr>
            <w:tcW w:w="2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lang w:eastAsia="zh-CN"/>
              </w:rPr>
            </w:pPr>
            <w:r>
              <w:rPr>
                <w:rFonts w:ascii="宋体" w:hAnsi="宋体" w:cs="宋体"/>
                <w:color w:val="000000"/>
                <w:sz w:val="24"/>
                <w:szCs w:val="24"/>
                <w:lang w:eastAsia="zh-CN"/>
              </w:rPr>
              <w:t>调查</w:t>
            </w:r>
            <w:r>
              <w:rPr>
                <w:rFonts w:hint="eastAsia" w:ascii="宋体" w:hAnsi="宋体" w:cs="宋体"/>
                <w:color w:val="000000"/>
                <w:sz w:val="24"/>
                <w:szCs w:val="24"/>
                <w:lang w:eastAsia="zh-CN"/>
              </w:rPr>
              <w:t>上报完成率</w:t>
            </w:r>
          </w:p>
        </w:tc>
        <w:tc>
          <w:tcPr>
            <w:tcW w:w="24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lang w:eastAsia="zh-CN"/>
              </w:rPr>
            </w:pPr>
            <w:r>
              <w:rPr>
                <w:rFonts w:hint="eastAsia" w:ascii="宋体" w:hAnsi="宋体" w:cs="宋体"/>
                <w:color w:val="000000"/>
                <w:sz w:val="24"/>
                <w:szCs w:val="24"/>
                <w:lang w:eastAsia="zh-CN"/>
              </w:rPr>
              <w:t>1</w:t>
            </w:r>
            <w:r>
              <w:rPr>
                <w:rFonts w:ascii="宋体" w:hAnsi="宋体" w:cs="宋体"/>
                <w:color w:val="000000"/>
                <w:sz w:val="24"/>
                <w:szCs w:val="24"/>
                <w:lang w:eastAsia="zh-CN"/>
              </w:rPr>
              <w:t>00</w:t>
            </w:r>
            <w:r>
              <w:rPr>
                <w:rFonts w:hint="eastAsia" w:ascii="宋体" w:hAnsi="宋体" w:cs="宋体"/>
                <w:color w:val="000000"/>
                <w:sz w:val="24"/>
                <w:szCs w:val="24"/>
                <w:lang w:eastAsia="zh-CN"/>
              </w:rPr>
              <w:t>%</w:t>
            </w:r>
          </w:p>
        </w:tc>
      </w:tr>
      <w:tr>
        <w:tblPrEx>
          <w:tblCellMar>
            <w:top w:w="0" w:type="dxa"/>
            <w:left w:w="108" w:type="dxa"/>
            <w:bottom w:w="0" w:type="dxa"/>
            <w:right w:w="108" w:type="dxa"/>
          </w:tblCellMar>
        </w:tblPrEx>
        <w:trPr>
          <w:trHeight w:val="600" w:hRule="atLeast"/>
        </w:trPr>
        <w:tc>
          <w:tcPr>
            <w:tcW w:w="1540" w:type="dxa"/>
            <w:vMerge w:val="continue"/>
            <w:tcBorders>
              <w:left w:val="single" w:color="auto" w:sz="4" w:space="0"/>
              <w:right w:val="single" w:color="auto" w:sz="4" w:space="0"/>
            </w:tcBorders>
            <w:vAlign w:val="center"/>
          </w:tcPr>
          <w:p>
            <w:pPr>
              <w:widowControl/>
              <w:rPr>
                <w:rFonts w:ascii="宋体" w:hAnsi="宋体" w:cs="宋体"/>
                <w:sz w:val="24"/>
                <w:szCs w:val="24"/>
                <w:lang w:eastAsia="zh-CN"/>
              </w:rPr>
            </w:pPr>
          </w:p>
        </w:tc>
        <w:tc>
          <w:tcPr>
            <w:tcW w:w="2100" w:type="dxa"/>
            <w:vMerge w:val="restart"/>
            <w:tcBorders>
              <w:top w:val="nil"/>
              <w:left w:val="nil"/>
              <w:right w:val="single" w:color="auto" w:sz="4" w:space="0"/>
            </w:tcBorders>
            <w:shd w:val="clear" w:color="auto" w:fill="auto"/>
            <w:vAlign w:val="center"/>
          </w:tcPr>
          <w:p>
            <w:pPr>
              <w:jc w:val="center"/>
              <w:rPr>
                <w:rFonts w:hint="eastAsia" w:ascii="宋体" w:hAnsi="宋体" w:cs="宋体"/>
                <w:sz w:val="24"/>
                <w:szCs w:val="24"/>
                <w:lang w:eastAsia="zh-CN"/>
              </w:rPr>
            </w:pPr>
            <w:r>
              <w:rPr>
                <w:rFonts w:hint="eastAsia" w:ascii="宋体" w:hAnsi="宋体" w:cs="宋体"/>
                <w:sz w:val="24"/>
                <w:szCs w:val="24"/>
                <w:lang w:eastAsia="zh-CN"/>
              </w:rPr>
              <w:t>时效指标</w:t>
            </w:r>
          </w:p>
        </w:tc>
        <w:tc>
          <w:tcPr>
            <w:tcW w:w="2440"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cs="宋体"/>
                <w:color w:val="000000"/>
                <w:sz w:val="24"/>
                <w:szCs w:val="24"/>
                <w:lang w:eastAsia="zh-CN"/>
              </w:rPr>
            </w:pPr>
            <w:r>
              <w:rPr>
                <w:rFonts w:hint="eastAsia" w:ascii="宋体" w:hAnsi="宋体" w:cs="宋体"/>
                <w:color w:val="000000"/>
                <w:sz w:val="24"/>
                <w:szCs w:val="24"/>
                <w:lang w:eastAsia="zh-CN"/>
              </w:rPr>
              <w:t>轮换及时率</w:t>
            </w:r>
          </w:p>
        </w:tc>
        <w:tc>
          <w:tcPr>
            <w:tcW w:w="24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sz w:val="24"/>
                <w:szCs w:val="24"/>
                <w:lang w:eastAsia="zh-CN"/>
              </w:rPr>
            </w:pPr>
            <w:r>
              <w:rPr>
                <w:rFonts w:hint="eastAsia" w:ascii="宋体" w:hAnsi="宋体" w:cs="宋体"/>
                <w:color w:val="000000"/>
                <w:sz w:val="24"/>
                <w:szCs w:val="24"/>
                <w:lang w:eastAsia="zh-CN"/>
              </w:rPr>
              <w:t>≥90%</w:t>
            </w:r>
          </w:p>
        </w:tc>
      </w:tr>
      <w:tr>
        <w:tblPrEx>
          <w:tblCellMar>
            <w:top w:w="0" w:type="dxa"/>
            <w:left w:w="108" w:type="dxa"/>
            <w:bottom w:w="0" w:type="dxa"/>
            <w:right w:w="108" w:type="dxa"/>
          </w:tblCellMar>
        </w:tblPrEx>
        <w:trPr>
          <w:trHeight w:val="600" w:hRule="atLeast"/>
        </w:trPr>
        <w:tc>
          <w:tcPr>
            <w:tcW w:w="1540" w:type="dxa"/>
            <w:vMerge w:val="continue"/>
            <w:tcBorders>
              <w:left w:val="single" w:color="auto" w:sz="4" w:space="0"/>
              <w:right w:val="single" w:color="auto" w:sz="4" w:space="0"/>
            </w:tcBorders>
            <w:vAlign w:val="center"/>
          </w:tcPr>
          <w:p>
            <w:pPr>
              <w:widowControl/>
              <w:rPr>
                <w:rFonts w:ascii="宋体" w:hAnsi="宋体" w:cs="宋体"/>
                <w:sz w:val="24"/>
                <w:szCs w:val="24"/>
                <w:lang w:eastAsia="zh-CN"/>
              </w:rPr>
            </w:pPr>
          </w:p>
        </w:tc>
        <w:tc>
          <w:tcPr>
            <w:tcW w:w="2100"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cs="宋体"/>
                <w:sz w:val="24"/>
                <w:szCs w:val="24"/>
                <w:lang w:eastAsia="zh-CN"/>
              </w:rPr>
            </w:pPr>
          </w:p>
        </w:tc>
        <w:tc>
          <w:tcPr>
            <w:tcW w:w="2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lang w:eastAsia="zh-CN"/>
              </w:rPr>
            </w:pPr>
            <w:r>
              <w:rPr>
                <w:rFonts w:hint="eastAsia" w:ascii="宋体" w:hAnsi="宋体" w:cs="宋体"/>
                <w:color w:val="000000"/>
                <w:sz w:val="24"/>
                <w:szCs w:val="24"/>
                <w:lang w:eastAsia="zh-CN"/>
              </w:rPr>
              <w:t>完成调查任务及时率</w:t>
            </w:r>
          </w:p>
        </w:tc>
        <w:tc>
          <w:tcPr>
            <w:tcW w:w="24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lang w:eastAsia="zh-CN"/>
              </w:rPr>
            </w:pPr>
            <w:r>
              <w:rPr>
                <w:rFonts w:hint="eastAsia" w:ascii="宋体" w:hAnsi="宋体" w:cs="宋体"/>
                <w:color w:val="000000"/>
                <w:sz w:val="24"/>
                <w:szCs w:val="24"/>
                <w:lang w:eastAsia="zh-CN"/>
              </w:rPr>
              <w:t>≥90%</w:t>
            </w:r>
          </w:p>
        </w:tc>
      </w:tr>
      <w:tr>
        <w:tblPrEx>
          <w:tblCellMar>
            <w:top w:w="0" w:type="dxa"/>
            <w:left w:w="108" w:type="dxa"/>
            <w:bottom w:w="0" w:type="dxa"/>
            <w:right w:w="108" w:type="dxa"/>
          </w:tblCellMar>
        </w:tblPrEx>
        <w:trPr>
          <w:trHeight w:val="600" w:hRule="atLeast"/>
        </w:trPr>
        <w:tc>
          <w:tcPr>
            <w:tcW w:w="1540" w:type="dxa"/>
            <w:vMerge w:val="continue"/>
            <w:tcBorders>
              <w:left w:val="single" w:color="auto" w:sz="4" w:space="0"/>
              <w:bottom w:val="single" w:color="auto" w:sz="4" w:space="0"/>
              <w:right w:val="single" w:color="auto" w:sz="4" w:space="0"/>
            </w:tcBorders>
            <w:vAlign w:val="center"/>
          </w:tcPr>
          <w:p>
            <w:pPr>
              <w:widowControl/>
              <w:rPr>
                <w:rFonts w:ascii="宋体" w:hAnsi="宋体" w:cs="宋体"/>
                <w:sz w:val="24"/>
                <w:szCs w:val="24"/>
                <w:lang w:eastAsia="zh-CN"/>
              </w:rPr>
            </w:pPr>
          </w:p>
        </w:tc>
        <w:tc>
          <w:tcPr>
            <w:tcW w:w="2100" w:type="dxa"/>
            <w:vMerge w:val="restart"/>
            <w:tcBorders>
              <w:top w:val="nil"/>
              <w:left w:val="nil"/>
              <w:right w:val="single" w:color="auto" w:sz="4" w:space="0"/>
            </w:tcBorders>
            <w:shd w:val="clear" w:color="auto" w:fill="auto"/>
            <w:vAlign w:val="center"/>
          </w:tcPr>
          <w:p>
            <w:pPr>
              <w:jc w:val="center"/>
              <w:rPr>
                <w:rFonts w:hint="eastAsia" w:ascii="宋体" w:hAnsi="宋体" w:cs="宋体"/>
                <w:sz w:val="24"/>
                <w:szCs w:val="24"/>
                <w:lang w:eastAsia="zh-CN"/>
              </w:rPr>
            </w:pPr>
            <w:r>
              <w:rPr>
                <w:rFonts w:hint="eastAsia" w:ascii="宋体" w:hAnsi="宋体" w:cs="宋体"/>
                <w:sz w:val="24"/>
                <w:szCs w:val="24"/>
                <w:lang w:eastAsia="zh-CN"/>
              </w:rPr>
              <w:t>成本指标</w:t>
            </w:r>
          </w:p>
        </w:tc>
        <w:tc>
          <w:tcPr>
            <w:tcW w:w="2440"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cs="宋体"/>
                <w:color w:val="000000"/>
                <w:sz w:val="24"/>
                <w:szCs w:val="24"/>
                <w:lang w:eastAsia="zh-CN"/>
              </w:rPr>
            </w:pPr>
            <w:r>
              <w:rPr>
                <w:rFonts w:hint="eastAsia" w:ascii="宋体" w:hAnsi="宋体" w:cs="宋体"/>
                <w:color w:val="000000"/>
                <w:sz w:val="24"/>
                <w:szCs w:val="24"/>
                <w:lang w:eastAsia="zh-CN"/>
              </w:rPr>
              <w:t>轮换经费</w:t>
            </w:r>
          </w:p>
        </w:tc>
        <w:tc>
          <w:tcPr>
            <w:tcW w:w="24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sz w:val="24"/>
                <w:szCs w:val="24"/>
                <w:lang w:eastAsia="zh-CN"/>
              </w:rPr>
            </w:pPr>
            <w:r>
              <w:rPr>
                <w:rFonts w:hint="eastAsia" w:ascii="宋体" w:hAnsi="宋体" w:cs="宋体"/>
                <w:color w:val="000000"/>
                <w:sz w:val="24"/>
                <w:szCs w:val="24"/>
                <w:lang w:eastAsia="zh-CN"/>
              </w:rPr>
              <w:t>≤1万元</w:t>
            </w:r>
          </w:p>
        </w:tc>
      </w:tr>
      <w:tr>
        <w:tblPrEx>
          <w:tblCellMar>
            <w:top w:w="0" w:type="dxa"/>
            <w:left w:w="108" w:type="dxa"/>
            <w:bottom w:w="0" w:type="dxa"/>
            <w:right w:w="108" w:type="dxa"/>
          </w:tblCellMar>
        </w:tblPrEx>
        <w:trPr>
          <w:trHeight w:val="600" w:hRule="atLeast"/>
        </w:trPr>
        <w:tc>
          <w:tcPr>
            <w:tcW w:w="1540" w:type="dxa"/>
            <w:vMerge w:val="continue"/>
            <w:tcBorders>
              <w:left w:val="single" w:color="auto" w:sz="4" w:space="0"/>
              <w:bottom w:val="single" w:color="auto" w:sz="4" w:space="0"/>
              <w:right w:val="single" w:color="auto" w:sz="4" w:space="0"/>
            </w:tcBorders>
            <w:vAlign w:val="center"/>
          </w:tcPr>
          <w:p>
            <w:pPr>
              <w:widowControl/>
              <w:rPr>
                <w:rFonts w:ascii="宋体" w:hAnsi="宋体" w:cs="宋体"/>
                <w:sz w:val="24"/>
                <w:szCs w:val="24"/>
                <w:lang w:eastAsia="zh-CN"/>
              </w:rPr>
            </w:pPr>
          </w:p>
        </w:tc>
        <w:tc>
          <w:tcPr>
            <w:tcW w:w="2100"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cs="宋体"/>
                <w:sz w:val="24"/>
                <w:szCs w:val="24"/>
                <w:lang w:eastAsia="zh-CN"/>
              </w:rPr>
            </w:pPr>
          </w:p>
        </w:tc>
        <w:tc>
          <w:tcPr>
            <w:tcW w:w="2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lang w:eastAsia="zh-CN"/>
              </w:rPr>
            </w:pPr>
            <w:r>
              <w:rPr>
                <w:rFonts w:hint="eastAsia" w:ascii="宋体" w:hAnsi="宋体" w:cs="宋体"/>
                <w:color w:val="000000"/>
                <w:sz w:val="24"/>
                <w:szCs w:val="24"/>
                <w:lang w:eastAsia="zh-CN"/>
              </w:rPr>
              <w:t>调查经费总额</w:t>
            </w:r>
          </w:p>
        </w:tc>
        <w:tc>
          <w:tcPr>
            <w:tcW w:w="24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lang w:eastAsia="zh-CN"/>
              </w:rPr>
            </w:pPr>
            <w:r>
              <w:rPr>
                <w:rFonts w:hint="eastAsia" w:ascii="宋体" w:hAnsi="宋体" w:cs="宋体"/>
                <w:color w:val="000000"/>
                <w:sz w:val="24"/>
                <w:szCs w:val="24"/>
                <w:lang w:eastAsia="zh-CN"/>
              </w:rPr>
              <w:t>1万元</w:t>
            </w:r>
          </w:p>
        </w:tc>
      </w:tr>
      <w:tr>
        <w:tblPrEx>
          <w:tblCellMar>
            <w:top w:w="0" w:type="dxa"/>
            <w:left w:w="108" w:type="dxa"/>
            <w:bottom w:w="0" w:type="dxa"/>
            <w:right w:w="108" w:type="dxa"/>
          </w:tblCellMar>
        </w:tblPrEx>
        <w:trPr>
          <w:trHeight w:val="600" w:hRule="atLeast"/>
        </w:trPr>
        <w:tc>
          <w:tcPr>
            <w:tcW w:w="15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24"/>
                <w:szCs w:val="24"/>
                <w:lang w:eastAsia="zh-CN"/>
              </w:rPr>
            </w:pPr>
            <w:r>
              <w:rPr>
                <w:rFonts w:hint="eastAsia" w:ascii="宋体" w:hAnsi="宋体" w:cs="宋体"/>
                <w:sz w:val="24"/>
                <w:szCs w:val="24"/>
                <w:lang w:eastAsia="zh-CN"/>
              </w:rPr>
              <w:t>效益指标</w:t>
            </w:r>
            <w:r>
              <w:rPr>
                <w:rFonts w:hint="eastAsia" w:ascii="宋体" w:hAnsi="宋体" w:cs="宋体"/>
                <w:sz w:val="24"/>
                <w:szCs w:val="24"/>
                <w:lang w:eastAsia="zh-CN"/>
              </w:rPr>
              <w:br w:type="textWrapping"/>
            </w:r>
            <w:r>
              <w:rPr>
                <w:rFonts w:hint="eastAsia" w:ascii="宋体" w:hAnsi="宋体" w:cs="宋体"/>
                <w:sz w:val="24"/>
                <w:szCs w:val="24"/>
                <w:lang w:eastAsia="zh-CN"/>
              </w:rPr>
              <w:t>（30分）</w:t>
            </w:r>
          </w:p>
        </w:tc>
        <w:tc>
          <w:tcPr>
            <w:tcW w:w="2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24"/>
                <w:szCs w:val="24"/>
                <w:lang w:eastAsia="zh-CN"/>
              </w:rPr>
            </w:pPr>
            <w:r>
              <w:rPr>
                <w:rFonts w:hint="eastAsia" w:ascii="宋体" w:hAnsi="宋体" w:cs="宋体"/>
                <w:sz w:val="24"/>
                <w:szCs w:val="24"/>
                <w:lang w:eastAsia="zh-CN"/>
              </w:rPr>
              <w:t>社会效益指标</w:t>
            </w:r>
          </w:p>
        </w:tc>
        <w:tc>
          <w:tcPr>
            <w:tcW w:w="2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lang w:eastAsia="zh-CN"/>
              </w:rPr>
            </w:pPr>
            <w:r>
              <w:rPr>
                <w:rFonts w:hint="eastAsia" w:ascii="宋体" w:hAnsi="宋体" w:cs="宋体"/>
                <w:color w:val="000000"/>
                <w:sz w:val="24"/>
                <w:szCs w:val="24"/>
                <w:lang w:eastAsia="zh-CN"/>
              </w:rPr>
              <w:t>保障调查数据质</w:t>
            </w:r>
            <w:bookmarkStart w:id="1" w:name="_GoBack"/>
            <w:bookmarkEnd w:id="1"/>
            <w:r>
              <w:rPr>
                <w:rFonts w:hint="eastAsia" w:ascii="宋体" w:hAnsi="宋体" w:cs="宋体"/>
                <w:color w:val="000000"/>
                <w:sz w:val="24"/>
                <w:szCs w:val="24"/>
                <w:lang w:eastAsia="zh-CN"/>
              </w:rPr>
              <w:t>量</w:t>
            </w:r>
          </w:p>
        </w:tc>
        <w:tc>
          <w:tcPr>
            <w:tcW w:w="24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20"/>
                <w:szCs w:val="20"/>
                <w:lang w:eastAsia="zh-CN"/>
              </w:rPr>
            </w:pPr>
            <w:r>
              <w:rPr>
                <w:rFonts w:hint="eastAsia" w:ascii="宋体" w:hAnsi="宋体" w:cs="宋体"/>
                <w:sz w:val="20"/>
                <w:szCs w:val="20"/>
                <w:lang w:eastAsia="zh-CN"/>
              </w:rPr>
              <w:t>保障</w:t>
            </w:r>
          </w:p>
        </w:tc>
      </w:tr>
      <w:tr>
        <w:tblPrEx>
          <w:tblCellMar>
            <w:top w:w="0" w:type="dxa"/>
            <w:left w:w="108" w:type="dxa"/>
            <w:bottom w:w="0" w:type="dxa"/>
            <w:right w:w="108" w:type="dxa"/>
          </w:tblCellMar>
        </w:tblPrEx>
        <w:trPr>
          <w:trHeight w:val="600" w:hRule="atLeast"/>
        </w:trPr>
        <w:tc>
          <w:tcPr>
            <w:tcW w:w="15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24"/>
                <w:szCs w:val="24"/>
                <w:lang w:eastAsia="zh-CN"/>
              </w:rPr>
            </w:pPr>
            <w:r>
              <w:rPr>
                <w:rFonts w:hint="eastAsia" w:ascii="宋体" w:hAnsi="宋体" w:cs="宋体"/>
                <w:sz w:val="24"/>
                <w:szCs w:val="24"/>
                <w:lang w:eastAsia="zh-CN"/>
              </w:rPr>
              <w:t>满意度指标</w:t>
            </w:r>
            <w:r>
              <w:rPr>
                <w:rFonts w:hint="eastAsia" w:ascii="宋体" w:hAnsi="宋体" w:cs="宋体"/>
                <w:sz w:val="24"/>
                <w:szCs w:val="24"/>
                <w:lang w:eastAsia="zh-CN"/>
              </w:rPr>
              <w:br w:type="textWrapping"/>
            </w:r>
            <w:r>
              <w:rPr>
                <w:rFonts w:hint="eastAsia" w:ascii="宋体" w:hAnsi="宋体" w:cs="宋体"/>
                <w:sz w:val="24"/>
                <w:szCs w:val="24"/>
                <w:lang w:eastAsia="zh-CN"/>
              </w:rPr>
              <w:t>（10分）</w:t>
            </w:r>
          </w:p>
        </w:tc>
        <w:tc>
          <w:tcPr>
            <w:tcW w:w="21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sz w:val="24"/>
                <w:szCs w:val="24"/>
                <w:lang w:eastAsia="zh-CN"/>
              </w:rPr>
            </w:pPr>
            <w:r>
              <w:rPr>
                <w:rFonts w:hint="eastAsia" w:ascii="宋体" w:hAnsi="宋体" w:cs="宋体"/>
                <w:sz w:val="24"/>
                <w:szCs w:val="24"/>
                <w:lang w:eastAsia="zh-CN"/>
              </w:rPr>
              <w:t>服务对象</w:t>
            </w:r>
            <w:r>
              <w:rPr>
                <w:rFonts w:hint="eastAsia" w:ascii="宋体" w:hAnsi="宋体" w:cs="宋体"/>
                <w:sz w:val="24"/>
                <w:szCs w:val="24"/>
                <w:lang w:eastAsia="zh-CN"/>
              </w:rPr>
              <w:br w:type="textWrapping"/>
            </w:r>
            <w:r>
              <w:rPr>
                <w:rFonts w:hint="eastAsia" w:ascii="宋体" w:hAnsi="宋体" w:cs="宋体"/>
                <w:sz w:val="24"/>
                <w:szCs w:val="24"/>
                <w:lang w:eastAsia="zh-CN"/>
              </w:rPr>
              <w:t>满意度指标</w:t>
            </w:r>
          </w:p>
        </w:tc>
        <w:tc>
          <w:tcPr>
            <w:tcW w:w="2440"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lang w:eastAsia="zh-CN"/>
              </w:rPr>
            </w:pPr>
            <w:r>
              <w:rPr>
                <w:rFonts w:hint="eastAsia" w:ascii="宋体" w:hAnsi="宋体" w:cs="宋体"/>
                <w:color w:val="000000"/>
                <w:sz w:val="24"/>
                <w:szCs w:val="24"/>
                <w:lang w:eastAsia="zh-CN"/>
              </w:rPr>
              <w:t>调查对象满意度</w:t>
            </w:r>
          </w:p>
        </w:tc>
        <w:tc>
          <w:tcPr>
            <w:tcW w:w="24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lang w:eastAsia="zh-CN"/>
              </w:rPr>
            </w:pPr>
            <w:r>
              <w:rPr>
                <w:rFonts w:hint="eastAsia" w:ascii="宋体" w:hAnsi="宋体" w:cs="宋体"/>
                <w:color w:val="000000"/>
                <w:sz w:val="24"/>
                <w:szCs w:val="24"/>
                <w:lang w:eastAsia="zh-CN"/>
              </w:rPr>
              <w:t>≥90%</w:t>
            </w:r>
          </w:p>
        </w:tc>
      </w:tr>
    </w:tbl>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评价方法是</w:t>
      </w:r>
      <w:r>
        <w:rPr>
          <w:rFonts w:eastAsia="仿宋_GB2312"/>
          <w:color w:val="000000"/>
          <w:sz w:val="32"/>
          <w:szCs w:val="32"/>
          <w:lang w:eastAsia="zh-CN"/>
        </w:rPr>
        <w:t>依据</w:t>
      </w:r>
      <w:r>
        <w:rPr>
          <w:rFonts w:hint="eastAsia" w:eastAsia="仿宋_GB2312"/>
          <w:color w:val="000000"/>
          <w:sz w:val="32"/>
          <w:szCs w:val="32"/>
          <w:lang w:eastAsia="zh-CN"/>
        </w:rPr>
        <w:t>设</w:t>
      </w:r>
      <w:r>
        <w:rPr>
          <w:rFonts w:eastAsia="仿宋_GB2312"/>
          <w:color w:val="000000"/>
          <w:sz w:val="32"/>
          <w:szCs w:val="32"/>
          <w:lang w:eastAsia="zh-CN"/>
        </w:rPr>
        <w:t>定的绩效目标</w:t>
      </w:r>
      <w:r>
        <w:rPr>
          <w:rFonts w:hint="eastAsia" w:eastAsia="仿宋_GB2312"/>
          <w:color w:val="000000"/>
          <w:sz w:val="32"/>
          <w:szCs w:val="32"/>
          <w:lang w:eastAsia="zh-CN"/>
        </w:rPr>
        <w:t>，</w:t>
      </w:r>
      <w:r>
        <w:rPr>
          <w:rFonts w:hint="eastAsia" w:eastAsia="仿宋_GB2312"/>
          <w:sz w:val="32"/>
          <w:szCs w:val="32"/>
          <w:lang w:eastAsia="zh-CN"/>
        </w:rPr>
        <w:t>项目负责科室</w:t>
      </w:r>
      <w:r>
        <w:rPr>
          <w:rFonts w:hint="eastAsia" w:eastAsia="仿宋_GB2312"/>
          <w:color w:val="000000"/>
          <w:sz w:val="32"/>
          <w:szCs w:val="32"/>
          <w:lang w:eastAsia="zh-CN"/>
        </w:rPr>
        <w:t>采用定量与定性评价相结合的比较法</w:t>
      </w:r>
      <w:r>
        <w:rPr>
          <w:rFonts w:eastAsia="仿宋_GB2312"/>
          <w:color w:val="000000"/>
          <w:sz w:val="32"/>
          <w:szCs w:val="32"/>
          <w:lang w:eastAsia="zh-CN"/>
        </w:rPr>
        <w:t>，</w:t>
      </w:r>
      <w:r>
        <w:rPr>
          <w:rFonts w:hint="eastAsia" w:eastAsia="仿宋_GB2312"/>
          <w:color w:val="000000"/>
          <w:sz w:val="32"/>
          <w:szCs w:val="32"/>
          <w:lang w:eastAsia="zh-CN"/>
        </w:rPr>
        <w:t>总分由各项指标得分汇总形成。凡未完成绩效目标的要分析并说明原因，研究提出改进措施</w:t>
      </w:r>
      <w:r>
        <w:rPr>
          <w:rFonts w:hint="eastAsia" w:eastAsia="仿宋_GB2312"/>
          <w:sz w:val="32"/>
          <w:szCs w:val="32"/>
          <w:lang w:eastAsia="zh-CN"/>
        </w:rPr>
        <w:t>。</w:t>
      </w:r>
    </w:p>
    <w:p>
      <w:pPr>
        <w:spacing w:line="600" w:lineRule="exact"/>
        <w:ind w:firstLine="627" w:firstLineChars="196"/>
        <w:jc w:val="both"/>
        <w:rPr>
          <w:rFonts w:ascii="仿宋_GB2312" w:eastAsia="仿宋_GB2312"/>
          <w:sz w:val="32"/>
          <w:szCs w:val="32"/>
          <w:lang w:eastAsia="zh-CN"/>
        </w:rPr>
      </w:pPr>
      <w:r>
        <w:rPr>
          <w:rFonts w:hint="eastAsia" w:eastAsia="仿宋_GB2312"/>
          <w:sz w:val="32"/>
          <w:szCs w:val="32"/>
          <w:lang w:eastAsia="zh-CN"/>
        </w:rPr>
        <w:t>评价标准以预先制定的目标、计划、预算、定额等作为评价标准</w:t>
      </w:r>
      <w:r>
        <w:rPr>
          <w:rFonts w:eastAsia="仿宋_GB2312"/>
          <w:color w:val="000000"/>
          <w:sz w:val="32"/>
          <w:szCs w:val="32"/>
          <w:lang w:eastAsia="zh-CN"/>
        </w:rPr>
        <w:t>。</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（三）</w:t>
      </w:r>
      <w:r>
        <w:rPr>
          <w:rFonts w:eastAsia="仿宋_GB2312"/>
          <w:sz w:val="32"/>
          <w:szCs w:val="32"/>
          <w:lang w:eastAsia="zh-CN"/>
        </w:rPr>
        <w:t xml:space="preserve">绩效评价工作过程。 </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深入了解《中共和平区委 和平区人民政府印发&lt;关于全面推进预算绩效管理的实施方案》的通知&gt;（津和党发</w:t>
      </w:r>
      <w:r>
        <w:rPr>
          <w:rFonts w:hint="eastAsia" w:ascii="仿宋_GB2312" w:eastAsia="仿宋_GB2312"/>
          <w:sz w:val="32"/>
          <w:szCs w:val="32"/>
          <w:lang w:eastAsia="zh-CN"/>
        </w:rPr>
        <w:t>〔</w:t>
      </w:r>
      <w:r>
        <w:rPr>
          <w:rFonts w:hint="eastAsia" w:eastAsia="仿宋_GB2312"/>
          <w:sz w:val="32"/>
          <w:szCs w:val="32"/>
          <w:lang w:eastAsia="zh-CN"/>
        </w:rPr>
        <w:t>2019</w:t>
      </w:r>
      <w:r>
        <w:rPr>
          <w:rFonts w:hint="eastAsia" w:ascii="仿宋_GB2312" w:eastAsia="仿宋_GB2312"/>
          <w:sz w:val="32"/>
          <w:szCs w:val="32"/>
          <w:lang w:eastAsia="zh-CN"/>
        </w:rPr>
        <w:t>〕</w:t>
      </w:r>
      <w:r>
        <w:rPr>
          <w:rFonts w:hint="eastAsia" w:eastAsia="仿宋_GB2312"/>
          <w:sz w:val="32"/>
          <w:szCs w:val="32"/>
          <w:lang w:eastAsia="zh-CN"/>
        </w:rPr>
        <w:t>23号）要求，仔细梳理、汇总202</w:t>
      </w:r>
      <w:r>
        <w:rPr>
          <w:rFonts w:eastAsia="仿宋_GB2312"/>
          <w:sz w:val="32"/>
          <w:szCs w:val="32"/>
          <w:lang w:eastAsia="zh-CN"/>
        </w:rPr>
        <w:t>2</w:t>
      </w:r>
      <w:r>
        <w:rPr>
          <w:rFonts w:hint="eastAsia" w:eastAsia="仿宋_GB2312"/>
          <w:sz w:val="32"/>
          <w:szCs w:val="32"/>
          <w:lang w:eastAsia="zh-CN"/>
        </w:rPr>
        <w:t>年项目资料，科学合理填写项目支出绩效自评表，认真编写项目绩效自评报告。</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三、综合评价情况及评价结论</w:t>
      </w:r>
    </w:p>
    <w:p>
      <w:pPr>
        <w:spacing w:line="600" w:lineRule="exact"/>
        <w:ind w:firstLine="640" w:firstLineChars="200"/>
        <w:jc w:val="both"/>
        <w:rPr>
          <w:rFonts w:ascii="黑体" w:hAnsi="黑体" w:eastAsia="黑体"/>
          <w:spacing w:val="-4"/>
          <w:w w:val="105"/>
          <w:sz w:val="32"/>
          <w:szCs w:val="32"/>
          <w:lang w:eastAsia="zh-CN"/>
        </w:rPr>
      </w:pPr>
      <w:bookmarkStart w:id="0" w:name="_Hlk72103903"/>
      <w:r>
        <w:rPr>
          <w:rFonts w:hint="eastAsia" w:eastAsia="仿宋_GB2312"/>
          <w:sz w:val="32"/>
          <w:szCs w:val="32"/>
          <w:lang w:eastAsia="zh-CN"/>
        </w:rPr>
        <w:t>该项目全年预算执行率1</w:t>
      </w:r>
      <w:r>
        <w:rPr>
          <w:rFonts w:eastAsia="仿宋_GB2312"/>
          <w:sz w:val="32"/>
          <w:szCs w:val="32"/>
          <w:lang w:eastAsia="zh-CN"/>
        </w:rPr>
        <w:t>00%</w:t>
      </w:r>
      <w:bookmarkEnd w:id="0"/>
      <w:r>
        <w:rPr>
          <w:rFonts w:hint="eastAsia" w:eastAsia="仿宋_GB2312"/>
          <w:sz w:val="32"/>
          <w:szCs w:val="32"/>
          <w:lang w:eastAsia="zh-CN"/>
        </w:rPr>
        <w:t>，使用市调查总队拨付专项资金，支付住户样本轮换相关费用，调查上报完成率100%，有效保障调查数据质量,项目绩效评价得分100分，等级为优秀。</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四、绩效评价指标分析</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（一）</w:t>
      </w:r>
      <w:r>
        <w:rPr>
          <w:rFonts w:eastAsia="仿宋_GB2312"/>
          <w:sz w:val="32"/>
          <w:szCs w:val="32"/>
          <w:lang w:eastAsia="zh-CN"/>
        </w:rPr>
        <w:t>项目决策情况</w:t>
      </w:r>
      <w:r>
        <w:rPr>
          <w:rFonts w:eastAsia="仿宋_GB2312"/>
          <w:spacing w:val="-115"/>
          <w:sz w:val="32"/>
          <w:szCs w:val="32"/>
          <w:lang w:eastAsia="zh-CN"/>
        </w:rPr>
        <w:t xml:space="preserve"> </w:t>
      </w:r>
      <w:r>
        <w:rPr>
          <w:rFonts w:eastAsia="仿宋_GB2312"/>
          <w:sz w:val="32"/>
          <w:szCs w:val="32"/>
          <w:lang w:eastAsia="zh-CN"/>
        </w:rPr>
        <w:t>。</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该项目按照国家统计局天津市调查总队工作要求，为开展月度劳动力调查项目设立。</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（二）</w:t>
      </w:r>
      <w:r>
        <w:rPr>
          <w:rFonts w:eastAsia="仿宋_GB2312"/>
          <w:sz w:val="32"/>
          <w:szCs w:val="32"/>
          <w:lang w:eastAsia="zh-CN"/>
        </w:rPr>
        <w:t>项目过程情况</w:t>
      </w:r>
      <w:r>
        <w:rPr>
          <w:rFonts w:eastAsia="仿宋_GB2312"/>
          <w:spacing w:val="-106"/>
          <w:sz w:val="32"/>
          <w:szCs w:val="32"/>
          <w:lang w:eastAsia="zh-CN"/>
        </w:rPr>
        <w:t xml:space="preserve"> </w:t>
      </w:r>
      <w:r>
        <w:rPr>
          <w:rFonts w:eastAsia="仿宋_GB2312"/>
          <w:sz w:val="32"/>
          <w:szCs w:val="32"/>
          <w:lang w:eastAsia="zh-CN"/>
        </w:rPr>
        <w:t>。</w:t>
      </w:r>
    </w:p>
    <w:p>
      <w:pPr>
        <w:spacing w:line="600" w:lineRule="exact"/>
        <w:ind w:firstLine="640" w:firstLineChars="200"/>
        <w:jc w:val="both"/>
        <w:rPr>
          <w:rFonts w:eastAsia="仿宋_GB2312"/>
          <w:sz w:val="32"/>
          <w:szCs w:val="32"/>
          <w:lang w:eastAsia="zh-CN"/>
        </w:rPr>
      </w:pPr>
      <w:r>
        <w:rPr>
          <w:rFonts w:eastAsia="仿宋_GB2312"/>
          <w:sz w:val="32"/>
          <w:szCs w:val="32"/>
          <w:lang w:eastAsia="zh-CN"/>
        </w:rPr>
        <w:t>该项目资金</w:t>
      </w:r>
      <w:r>
        <w:rPr>
          <w:rFonts w:hint="eastAsia" w:eastAsia="仿宋_GB2312"/>
          <w:sz w:val="32"/>
          <w:szCs w:val="32"/>
          <w:lang w:eastAsia="zh-CN"/>
        </w:rPr>
        <w:t>根据市调查总队工作要求,依据住户样本轮换工作实施进度使用。</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（三）</w:t>
      </w:r>
      <w:r>
        <w:rPr>
          <w:rFonts w:eastAsia="仿宋_GB2312"/>
          <w:spacing w:val="-44"/>
          <w:w w:val="80"/>
          <w:sz w:val="32"/>
          <w:szCs w:val="32"/>
          <w:lang w:eastAsia="zh-CN"/>
        </w:rPr>
        <w:t xml:space="preserve"> </w:t>
      </w:r>
      <w:r>
        <w:rPr>
          <w:rFonts w:eastAsia="仿宋_GB2312"/>
          <w:sz w:val="32"/>
          <w:szCs w:val="32"/>
          <w:lang w:eastAsia="zh-CN"/>
        </w:rPr>
        <w:t>项目产出情况</w:t>
      </w:r>
      <w:r>
        <w:rPr>
          <w:rFonts w:eastAsia="仿宋_GB2312"/>
          <w:spacing w:val="-115"/>
          <w:sz w:val="32"/>
          <w:szCs w:val="32"/>
          <w:lang w:eastAsia="zh-CN"/>
        </w:rPr>
        <w:t xml:space="preserve"> </w:t>
      </w:r>
      <w:r>
        <w:rPr>
          <w:rFonts w:eastAsia="仿宋_GB2312"/>
          <w:sz w:val="32"/>
          <w:szCs w:val="32"/>
          <w:lang w:eastAsia="zh-CN"/>
        </w:rPr>
        <w:t>。</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该项目按时支付住户样本轮换相关费用。</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（四）</w:t>
      </w:r>
      <w:r>
        <w:rPr>
          <w:rFonts w:eastAsia="仿宋_GB2312"/>
          <w:sz w:val="32"/>
          <w:szCs w:val="32"/>
          <w:lang w:eastAsia="zh-CN"/>
        </w:rPr>
        <w:t>项目效益情况</w:t>
      </w:r>
      <w:r>
        <w:rPr>
          <w:rFonts w:hint="eastAsia" w:eastAsia="仿宋_GB2312"/>
          <w:sz w:val="32"/>
          <w:szCs w:val="32"/>
          <w:lang w:eastAsia="zh-CN"/>
        </w:rPr>
        <w:t>。</w:t>
      </w:r>
    </w:p>
    <w:p>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该项目已完成住户样本轮换，有效保障了调查数据质量。</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五、主要经验及做法</w:t>
      </w:r>
      <w:r>
        <w:rPr>
          <w:rFonts w:hint="eastAsia" w:ascii="黑体" w:hAnsi="黑体" w:eastAsia="黑体"/>
          <w:spacing w:val="-4"/>
          <w:w w:val="105"/>
          <w:sz w:val="32"/>
          <w:szCs w:val="32"/>
          <w:lang w:eastAsia="zh-CN"/>
        </w:rPr>
        <w:t>、</w:t>
      </w:r>
      <w:r>
        <w:rPr>
          <w:rFonts w:ascii="黑体" w:hAnsi="黑体" w:eastAsia="黑体"/>
          <w:spacing w:val="-4"/>
          <w:w w:val="105"/>
          <w:sz w:val="32"/>
          <w:szCs w:val="32"/>
          <w:lang w:eastAsia="zh-CN"/>
        </w:rPr>
        <w:t xml:space="preserve">存在的问题及原因分析 </w:t>
      </w:r>
    </w:p>
    <w:p>
      <w:pPr>
        <w:spacing w:line="600" w:lineRule="exact"/>
        <w:ind w:firstLine="640" w:firstLineChars="200"/>
        <w:jc w:val="both"/>
        <w:rPr>
          <w:rFonts w:ascii="黑体" w:hAnsi="黑体" w:eastAsia="黑体"/>
          <w:spacing w:val="-4"/>
          <w:w w:val="105"/>
          <w:sz w:val="32"/>
          <w:szCs w:val="32"/>
          <w:lang w:eastAsia="zh-CN"/>
        </w:rPr>
      </w:pPr>
      <w:r>
        <w:rPr>
          <w:rFonts w:hint="eastAsia" w:eastAsia="仿宋_GB2312"/>
          <w:sz w:val="32"/>
          <w:szCs w:val="32"/>
          <w:lang w:eastAsia="zh-CN"/>
        </w:rPr>
        <w:t>按照国家统计局天津市调查总队工作要求，根据月度劳动力调查工作实际需要，强化预算编制，并严格按预算执行。</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六、有关建议</w:t>
      </w:r>
    </w:p>
    <w:p>
      <w:pPr>
        <w:spacing w:line="600" w:lineRule="exact"/>
        <w:ind w:firstLine="640" w:firstLineChars="200"/>
        <w:jc w:val="both"/>
        <w:rPr>
          <w:rFonts w:ascii="黑体" w:hAnsi="黑体" w:eastAsia="黑体"/>
          <w:spacing w:val="-4"/>
          <w:w w:val="105"/>
          <w:sz w:val="32"/>
          <w:szCs w:val="32"/>
          <w:lang w:eastAsia="zh-CN"/>
        </w:rPr>
      </w:pPr>
      <w:r>
        <w:rPr>
          <w:rFonts w:eastAsia="仿宋_GB2312"/>
          <w:sz w:val="32"/>
          <w:szCs w:val="32"/>
          <w:lang w:eastAsia="zh-CN"/>
        </w:rPr>
        <w:t>进一步做好预算编制工作</w:t>
      </w:r>
      <w:r>
        <w:rPr>
          <w:rFonts w:hint="eastAsia" w:eastAsia="仿宋_GB2312"/>
          <w:sz w:val="32"/>
          <w:szCs w:val="32"/>
          <w:lang w:eastAsia="zh-CN"/>
        </w:rPr>
        <w:t>，采取有效措施，严格预算执行，不断</w:t>
      </w:r>
      <w:r>
        <w:rPr>
          <w:rFonts w:eastAsia="仿宋_GB2312"/>
          <w:sz w:val="32"/>
          <w:szCs w:val="32"/>
          <w:lang w:eastAsia="zh-CN"/>
        </w:rPr>
        <w:t>强化预算</w:t>
      </w:r>
      <w:r>
        <w:rPr>
          <w:rFonts w:hint="eastAsia" w:eastAsia="仿宋_GB2312"/>
          <w:sz w:val="32"/>
          <w:szCs w:val="32"/>
          <w:lang w:eastAsia="zh-CN"/>
        </w:rPr>
        <w:t>绩效管理。</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七、其他需要说明的问题</w:t>
      </w:r>
    </w:p>
    <w:p>
      <w:pPr>
        <w:spacing w:line="600" w:lineRule="exact"/>
        <w:ind w:firstLine="640" w:firstLineChars="200"/>
        <w:jc w:val="both"/>
        <w:rPr>
          <w:rFonts w:eastAsia="仿宋_GB2312"/>
          <w:sz w:val="32"/>
          <w:szCs w:val="32"/>
          <w:lang w:eastAsia="zh-CN"/>
        </w:rPr>
      </w:pPr>
      <w:r>
        <w:rPr>
          <w:rFonts w:eastAsia="仿宋_GB2312"/>
          <w:sz w:val="32"/>
          <w:szCs w:val="32"/>
          <w:lang w:eastAsia="zh-CN"/>
        </w:rPr>
        <w:t>无</w:t>
      </w:r>
      <w:r>
        <w:rPr>
          <w:rFonts w:hint="eastAsia" w:eastAsia="仿宋_GB2312"/>
          <w:sz w:val="32"/>
          <w:szCs w:val="32"/>
          <w:lang w:eastAsia="zh-CN"/>
        </w:rPr>
        <w:t>。</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7E7"/>
    <w:rsid w:val="003047C9"/>
    <w:rsid w:val="003563BA"/>
    <w:rsid w:val="004257E7"/>
    <w:rsid w:val="004A14EF"/>
    <w:rsid w:val="00D950EA"/>
    <w:rsid w:val="4E3F9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imes New Roman" w:hAnsi="Times New Roman" w:eastAsia="宋体" w:cs="Times New Roman"/>
      <w:kern w:val="0"/>
      <w:sz w:val="22"/>
      <w:szCs w:val="22"/>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pPr>
    <w:rPr>
      <w:rFonts w:asciiTheme="minorHAnsi" w:hAnsiTheme="minorHAnsi" w:eastAsiaTheme="minorEastAsia" w:cstheme="minorBidi"/>
      <w:kern w:val="2"/>
      <w:sz w:val="18"/>
      <w:szCs w:val="18"/>
      <w:lang w:eastAsia="zh-CN"/>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eastAsia="zh-CN"/>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国家统计局</Company>
  <Pages>4</Pages>
  <Words>186</Words>
  <Characters>1064</Characters>
  <Lines>8</Lines>
  <Paragraphs>2</Paragraphs>
  <TotalTime>21</TotalTime>
  <ScaleCrop>false</ScaleCrop>
  <LinksUpToDate>false</LinksUpToDate>
  <CharactersWithSpaces>1248</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2023-07-11T09:18:00Z</dcterms:created>
  <dc:creator>xiao shushu</dc:creator>
  <cp:lastModifiedBy>greatwall</cp:lastModifiedBy>
  <dcterms:modified xsi:type="dcterms:W3CDTF">2023-07-14T10:31:00Z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