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hint="eastAsia" w:ascii="黑体" w:hAnsi="黑体" w:eastAsia="黑体" w:cs="仿宋_GB2312"/>
          <w:b w:val="0"/>
          <w:bCs w:val="0"/>
          <w:sz w:val="28"/>
          <w:szCs w:val="28"/>
          <w:lang w:eastAsia="zh-CN"/>
        </w:rPr>
      </w:pPr>
      <w:bookmarkStart w:id="0" w:name="_Toc456965826"/>
      <w:r>
        <w:rPr>
          <w:rFonts w:hint="eastAsia" w:ascii="黑体" w:hAnsi="黑体" w:eastAsia="黑体" w:cs="仿宋_GB2312"/>
          <w:b w:val="0"/>
          <w:bCs w:val="0"/>
          <w:sz w:val="28"/>
          <w:szCs w:val="28"/>
        </w:rPr>
        <w:t>附件</w:t>
      </w:r>
      <w:r>
        <w:rPr>
          <w:rFonts w:hint="eastAsia" w:ascii="黑体" w:hAnsi="黑体" w:eastAsia="黑体" w:cs="仿宋_GB2312"/>
          <w:b w:val="0"/>
          <w:bCs w:val="0"/>
          <w:sz w:val="28"/>
          <w:szCs w:val="28"/>
          <w:lang w:val="en-US" w:eastAsia="zh-CN"/>
        </w:rPr>
        <w:t>4</w:t>
      </w:r>
    </w:p>
    <w:p>
      <w:pPr>
        <w:spacing w:after="0" w:line="540" w:lineRule="exact"/>
        <w:ind w:firstLine="640"/>
        <w:jc w:val="center"/>
        <w:outlineLvl w:val="0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spacing w:after="0" w:line="540" w:lineRule="exact"/>
        <w:ind w:firstLine="640"/>
        <w:jc w:val="center"/>
        <w:outlineLvl w:val="0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和平区科技局202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年整体支出</w:t>
      </w:r>
    </w:p>
    <w:p>
      <w:pPr>
        <w:spacing w:after="0" w:line="540" w:lineRule="exact"/>
        <w:ind w:firstLine="640"/>
        <w:jc w:val="center"/>
        <w:outlineLvl w:val="0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绩效自评报告</w:t>
      </w:r>
    </w:p>
    <w:p>
      <w:pPr>
        <w:pStyle w:val="2"/>
        <w:rPr>
          <w:rFonts w:hint="eastAsia"/>
        </w:rPr>
      </w:pPr>
      <w:bookmarkStart w:id="14" w:name="_GoBack"/>
      <w:bookmarkEnd w:id="14"/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line="600" w:lineRule="exact"/>
        <w:ind w:left="447" w:leftChars="213" w:firstLine="482" w:firstLineChars="150"/>
        <w:rPr>
          <w:rFonts w:hint="eastAsia"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line="600" w:lineRule="exact"/>
        <w:ind w:left="447" w:leftChars="213" w:firstLine="480" w:firstLineChars="150"/>
        <w:rPr>
          <w:rFonts w:hint="eastAsia" w:ascii="仿宋" w:hAnsi="仿宋" w:eastAsia="仿宋" w:cs="仿宋"/>
          <w:sz w:val="32"/>
          <w:szCs w:val="32"/>
        </w:rPr>
      </w:pPr>
      <w:bookmarkStart w:id="2" w:name="_Toc456965828"/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贯彻执行</w:t>
      </w:r>
      <w:r>
        <w:rPr>
          <w:rFonts w:hint="eastAsia" w:ascii="仿宋" w:hAnsi="仿宋" w:eastAsia="仿宋" w:cs="仿宋"/>
          <w:sz w:val="32"/>
          <w:szCs w:val="32"/>
        </w:rPr>
        <w:t>国家和市有关科学技术、工业信息化产业工作的法律、法规、规章和方针、政策。拟订科技、工业信息化产业规划、年度计划，并组织实施。</w:t>
      </w:r>
    </w:p>
    <w:p>
      <w:pPr>
        <w:spacing w:line="600" w:lineRule="exact"/>
        <w:ind w:left="447" w:leftChars="213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2、优化科研体系建设，推动企业科技创新能力建设。落实重大科技决策咨询制度。研究科技发展布局和优先发展领域，支撑现代化经济体系建设。</w:t>
      </w:r>
    </w:p>
    <w:p>
      <w:pPr>
        <w:spacing w:line="600" w:lineRule="exact"/>
        <w:ind w:left="596" w:leftChars="28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3、依托重点工程建设协调有关重大专项的实施，推动智能科技产业、生物医药产业、新能源、新材料等领域发展，鼓励重大技术装备发展和自主创新。</w:t>
      </w:r>
    </w:p>
    <w:p>
      <w:pPr>
        <w:spacing w:line="600" w:lineRule="exact"/>
        <w:ind w:left="596" w:leftChars="28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4、负责工业技术改造的组织和实施工作，指导行业技术创新和技术进步。参与相关战略性新兴产业专项的组织实施。推进产学研结合和相关科研成果产业化。</w:t>
      </w:r>
    </w:p>
    <w:p>
      <w:pPr>
        <w:spacing w:line="600" w:lineRule="exact"/>
        <w:ind w:left="596" w:leftChars="28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5、负责推动基础研究和应用技术研究。鼓励关键共性技术、前沿引领技术、现代工程技术、颠覆性技术研发和创新，牵头组织技术攻关和成果应用示范。</w:t>
      </w:r>
    </w:p>
    <w:p>
      <w:pPr>
        <w:spacing w:line="600" w:lineRule="exact"/>
        <w:ind w:left="596" w:leftChars="28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6、负责推动科技服务业、技术市场和科技中介组织发展，推动新产品、新技术、新设备、新材料的推广应用。</w:t>
      </w:r>
    </w:p>
    <w:p>
      <w:pPr>
        <w:spacing w:line="600" w:lineRule="exact"/>
        <w:ind w:left="447" w:leftChars="213" w:firstLine="160" w:firstLineChars="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7、加强科研诚信建设相关工作的实施，负责科技计划项目组织、立项、评审、验收工作。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8、承担本领域安全生产监督管理责任。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9、负责推动科技领域人才队伍建设。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10、组织推动科技领域招商引资工作。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11、承办区委、区政府交办的其他事项。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、职能转变。加强、优化、转变政府科技管理和服务职能，完善科技创新制度和组织体系，加强宏观管理和统筹协调，减少微观管理和具体审批事项，加强事中事后监管和科研诚信建设。从研发管理向创新服务转变，深入推进科技计划管理改革。政府部门不直接管理具体科研项目，委托项目管理专业机构开展项目受理、评审、立项、过程管理、验收等具体工作。</w:t>
      </w:r>
    </w:p>
    <w:p>
      <w:pPr>
        <w:spacing w:line="600" w:lineRule="exact"/>
        <w:ind w:left="447" w:leftChars="213" w:firstLine="482" w:firstLineChars="150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3" w:name="_Toc456965831"/>
      <w:r>
        <w:rPr>
          <w:rFonts w:hint="eastAsia" w:ascii="仿宋" w:hAnsi="仿宋" w:eastAsia="仿宋" w:cs="仿宋"/>
          <w:sz w:val="32"/>
          <w:szCs w:val="32"/>
        </w:rPr>
        <w:t>区科技局内设综合工作科、科技工业科、科技开发促进科3个职能科室，下辖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个预算单位。具体包括：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1、行政单位：天津市和平区科学技术局</w:t>
      </w:r>
    </w:p>
    <w:p>
      <w:pPr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2、财政补助事业单位：天津市和平区科技创新发展中心  </w:t>
      </w:r>
    </w:p>
    <w:p>
      <w:pPr>
        <w:snapToGrid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</w:p>
    <w:p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年底行政在职人员1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工勤人员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1人；</w:t>
      </w:r>
    </w:p>
    <w:p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财政补助事业单位在职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人员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spacing w:after="0" w:line="540" w:lineRule="exact"/>
        <w:ind w:firstLine="64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二、部门预算、预算执行及管理情况</w:t>
      </w:r>
    </w:p>
    <w:p>
      <w:pPr>
        <w:spacing w:line="600" w:lineRule="exact"/>
        <w:ind w:left="447" w:leftChars="213" w:firstLine="482" w:firstLineChars="150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（一）年度预决算情况</w:t>
      </w:r>
    </w:p>
    <w:p>
      <w:pPr>
        <w:spacing w:line="600" w:lineRule="exact"/>
        <w:ind w:left="0" w:leftChars="0"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年年初预算财政拨款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736.3</w:t>
      </w:r>
      <w:r>
        <w:rPr>
          <w:rFonts w:hint="eastAsia" w:ascii="仿宋" w:hAnsi="仿宋" w:eastAsia="仿宋" w:cs="仿宋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718.3</w:t>
      </w:r>
      <w:r>
        <w:rPr>
          <w:rFonts w:hint="eastAsia" w:ascii="仿宋" w:hAnsi="仿宋" w:eastAsia="仿宋" w:cs="仿宋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万元。上年财政拨款结转结余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万元；</w:t>
      </w:r>
    </w:p>
    <w:p>
      <w:pPr>
        <w:spacing w:after="0" w:line="54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年决算财政拨款支出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1090.7</w:t>
      </w:r>
      <w:r>
        <w:rPr>
          <w:rFonts w:hint="eastAsia" w:ascii="仿宋" w:hAnsi="仿宋" w:eastAsia="仿宋" w:cs="仿宋"/>
          <w:sz w:val="32"/>
          <w:szCs w:val="32"/>
        </w:rPr>
        <w:t>万元，其中基本支出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808.4</w:t>
      </w:r>
      <w:r>
        <w:rPr>
          <w:rFonts w:hint="eastAsia" w:ascii="仿宋" w:hAnsi="仿宋" w:eastAsia="仿宋" w:cs="仿宋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282.3</w:t>
      </w:r>
      <w:r>
        <w:rPr>
          <w:rFonts w:hint="eastAsia" w:ascii="仿宋" w:hAnsi="仿宋" w:eastAsia="仿宋" w:cs="仿宋"/>
          <w:sz w:val="32"/>
          <w:szCs w:val="32"/>
        </w:rPr>
        <w:t>万元。年末结转结余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万元，其中基本支出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</w:t>
      </w:r>
      <w:r>
        <w:rPr>
          <w:rFonts w:hint="eastAsia" w:ascii="仿宋" w:hAnsi="仿宋" w:eastAsia="仿宋" w:cs="仿宋"/>
          <w:sz w:val="32"/>
          <w:szCs w:val="32"/>
        </w:rPr>
        <w:t>元，项目支出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spacing w:line="600" w:lineRule="exact"/>
        <w:ind w:left="447" w:leftChars="213" w:firstLine="482" w:firstLineChars="150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（二）年度主要任务完成情况</w:t>
      </w:r>
    </w:p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任务1：物业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，年初预算金额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14.6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万元，全年预算金额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4.5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%,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有力保障了本年度机关物业活动的正常开展，提供了安全、文明、舒适的办公环境，提升了单位开展公共事务的效率。</w:t>
      </w:r>
    </w:p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任务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：天津市和平区科学技术局党建工作指导员经费，全年预算金额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万元，执行率100%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。通过聘用党建指导员，开展党建工作服务，提升联盟内科技型企业党建工作水平。</w:t>
      </w:r>
    </w:p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任务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: 智能制造专项资金，全年预算金额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134.5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134.5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万元，执行率100%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。通过智能制造专项资金对企业的支持，推动了企业科技创新能力建设。</w:t>
      </w:r>
    </w:p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任务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：企业研发投入后补助资金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和科技计划项目资金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，该项资金为市级转移支付，全年预算金额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131.8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131.8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万元，执行率100%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通过对企业研发投入后补助资金和科技计划项目资金对企业的支持，推动了企业科技创新能力建设。</w:t>
      </w:r>
    </w:p>
    <w:p>
      <w:pPr>
        <w:spacing w:line="600" w:lineRule="exact"/>
        <w:ind w:left="0" w:leftChars="0" w:firstLine="640" w:firstLineChars="200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任务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：2017年度新能源汽车第一批区级财政补助资金，全年预算金额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8.3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8.3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万元，执行率100%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通过对企业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新能源汽车财政补助资金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的支持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提高了工业行业技术创新和技术进步，推进了产学研结合和相关科研成果产业化进程。</w:t>
      </w:r>
    </w:p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总计：年初预算金额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万元，全年预算金额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282.3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282.3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万元，执行率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%。</w:t>
      </w:r>
    </w:p>
    <w:p>
      <w:pPr>
        <w:spacing w:line="600" w:lineRule="exact"/>
        <w:ind w:left="447" w:leftChars="213" w:firstLine="482" w:firstLineChars="150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（三）部门财务管理情况</w:t>
      </w:r>
    </w:p>
    <w:bookmarkEnd w:id="3"/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bookmarkStart w:id="4" w:name="_Toc268005759"/>
      <w:bookmarkStart w:id="5" w:name="_Toc456965846"/>
      <w:bookmarkStart w:id="6" w:name="_Toc263686375"/>
      <w:r>
        <w:rPr>
          <w:rFonts w:hint="eastAsia" w:ascii="仿宋" w:hAnsi="仿宋" w:eastAsia="仿宋" w:cs="仿宋"/>
          <w:b w:val="0"/>
          <w:bCs/>
          <w:sz w:val="32"/>
          <w:szCs w:val="32"/>
        </w:rPr>
        <w:t>区科技局的收支活动全部纳入预算管理，不断强化预算意识，实行部门综合预算管理，形成以单位领导支持、办公室牵头、其他部门密切配合的工作格局；我单位202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年度不断完善部门内控制度，全面梳理业务流程，明确业务环节，分析风险隐患，有效运用不相容岗位相互分离、内部授权审批控制、归口管理、预算控制、会计控制、单据控制、信息内部公开等内部控制基本方法，加强对单位层面和业务层面的内部控制，建立单位内控监督约束机制，接受上级纪检、审计、业务部门检查指导；加强资产管理，严格执行现行固定资产管理制度，并结合本单位的实际情况，完善固定资产管理制度。</w:t>
      </w: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三、整体支出绩效自评情况</w:t>
      </w:r>
    </w:p>
    <w:bookmarkEnd w:id="4"/>
    <w:p>
      <w:pPr>
        <w:spacing w:line="600" w:lineRule="exact"/>
        <w:ind w:left="447" w:leftChars="213" w:firstLine="482" w:firstLineChars="150"/>
        <w:rPr>
          <w:rFonts w:hint="eastAsia" w:ascii="楷体_GB2312" w:hAnsi="仿宋" w:eastAsia="楷体_GB2312" w:cs="仿宋_GB2312"/>
          <w:b/>
          <w:sz w:val="32"/>
          <w:szCs w:val="32"/>
        </w:rPr>
      </w:pPr>
      <w:bookmarkStart w:id="7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7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line="588" w:lineRule="exact"/>
        <w:ind w:firstLine="680" w:firstLineChars="200"/>
        <w:textAlignment w:val="auto"/>
        <w:outlineLvl w:val="9"/>
        <w:rPr>
          <w:rFonts w:hint="eastAsia" w:ascii="黑体" w:hAnsi="黑体" w:eastAsia="黑体" w:cs="黑体"/>
          <w:sz w:val="34"/>
          <w:szCs w:val="34"/>
          <w:lang w:val="en-US" w:eastAsia="zh-CN"/>
        </w:rPr>
      </w:pPr>
      <w:bookmarkStart w:id="8" w:name="_Toc268005761"/>
      <w:r>
        <w:rPr>
          <w:rFonts w:hint="eastAsia" w:ascii="仿宋_GB2312" w:hAnsi="仿宋_GB2312" w:eastAsia="仿宋_GB2312" w:cs="仿宋_GB2312"/>
          <w:b w:val="0"/>
          <w:bCs/>
          <w:snapToGrid/>
          <w:color w:val="auto"/>
          <w:kern w:val="2"/>
          <w:sz w:val="34"/>
          <w:szCs w:val="34"/>
          <w:highlight w:val="none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b w:val="0"/>
          <w:bCs/>
          <w:snapToGrid/>
          <w:color w:val="auto"/>
          <w:kern w:val="2"/>
          <w:sz w:val="34"/>
          <w:szCs w:val="34"/>
          <w:highlight w:val="none"/>
          <w:lang w:val="en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napToGrid/>
          <w:color w:val="auto"/>
          <w:kern w:val="2"/>
          <w:sz w:val="34"/>
          <w:szCs w:val="34"/>
          <w:highlight w:val="none"/>
          <w:lang w:val="en-US" w:eastAsia="zh-CN"/>
        </w:rPr>
        <w:t>年以来，区科技局领导班子坚持以</w:t>
      </w:r>
      <w:r>
        <w:rPr>
          <w:rFonts w:hint="eastAsia" w:ascii="仿宋_GB2312" w:hAnsi="仿宋_GB2312" w:eastAsia="仿宋_GB2312" w:cs="仿宋_GB2312"/>
          <w:b w:val="0"/>
          <w:bCs/>
          <w:snapToGrid/>
          <w:color w:val="auto"/>
          <w:kern w:val="2"/>
          <w:sz w:val="34"/>
          <w:szCs w:val="34"/>
          <w:highlight w:val="none"/>
          <w:lang w:val="zh-CN" w:eastAsia="zh-CN"/>
        </w:rPr>
        <w:t>习近平新时代中国特色社会主义思想为指导，认真贯彻落实党的二十大精神，</w:t>
      </w:r>
      <w:r>
        <w:rPr>
          <w:rFonts w:hint="eastAsia" w:ascii="仿宋_GB2312" w:eastAsia="仿宋_GB2312"/>
          <w:sz w:val="34"/>
          <w:szCs w:val="34"/>
          <w:lang w:eastAsia="zh-CN"/>
        </w:rPr>
        <w:t>以党的政治建设为统领</w:t>
      </w:r>
      <w:r>
        <w:rPr>
          <w:rFonts w:hint="eastAsia" w:ascii="仿宋_GB2312" w:eastAsia="仿宋_GB2312"/>
          <w:sz w:val="34"/>
          <w:szCs w:val="34"/>
        </w:rPr>
        <w:t>，统筹疫情防控</w:t>
      </w:r>
      <w:r>
        <w:rPr>
          <w:rFonts w:hint="eastAsia" w:ascii="仿宋_GB2312" w:eastAsia="仿宋_GB2312"/>
          <w:sz w:val="34"/>
          <w:szCs w:val="34"/>
          <w:lang w:eastAsia="zh-CN"/>
        </w:rPr>
        <w:t>和</w:t>
      </w:r>
      <w:r>
        <w:rPr>
          <w:rFonts w:hint="eastAsia" w:ascii="仿宋_GB2312" w:eastAsia="仿宋_GB2312"/>
          <w:sz w:val="34"/>
          <w:szCs w:val="34"/>
        </w:rPr>
        <w:t>经济</w:t>
      </w:r>
      <w:r>
        <w:rPr>
          <w:rFonts w:hint="eastAsia" w:ascii="仿宋_GB2312" w:eastAsia="仿宋_GB2312"/>
          <w:sz w:val="34"/>
          <w:szCs w:val="34"/>
          <w:lang w:eastAsia="zh-CN"/>
        </w:rPr>
        <w:t>社会</w:t>
      </w:r>
      <w:r>
        <w:rPr>
          <w:rFonts w:hint="eastAsia" w:ascii="仿宋_GB2312" w:eastAsia="仿宋_GB2312"/>
          <w:sz w:val="34"/>
          <w:szCs w:val="34"/>
        </w:rPr>
        <w:t>发展，</w:t>
      </w:r>
      <w:r>
        <w:rPr>
          <w:rFonts w:hint="eastAsia" w:ascii="仿宋_GB2312" w:eastAsia="仿宋_GB2312"/>
          <w:sz w:val="34"/>
          <w:szCs w:val="34"/>
          <w:lang w:eastAsia="zh-CN"/>
        </w:rPr>
        <w:t>统筹发展和安全，坚持党建引领科技、工业创新发展，</w:t>
      </w:r>
      <w:r>
        <w:rPr>
          <w:rFonts w:hint="eastAsia" w:ascii="仿宋_GB2312" w:hAnsi="仿宋_GB2312" w:eastAsia="仿宋_GB2312" w:cs="仿宋_GB2312"/>
          <w:color w:val="000000"/>
          <w:kern w:val="2"/>
          <w:sz w:val="34"/>
          <w:szCs w:val="34"/>
          <w:lang w:val="en" w:eastAsia="zh-CN" w:bidi="ar-SA"/>
        </w:rPr>
        <w:t>圆满完成</w:t>
      </w:r>
      <w:r>
        <w:rPr>
          <w:rFonts w:hint="eastAsia" w:ascii="仿宋_GB2312" w:hAnsi="仿宋_GB2312" w:eastAsia="仿宋_GB2312" w:cs="仿宋_GB2312"/>
          <w:color w:val="000000"/>
          <w:kern w:val="2"/>
          <w:sz w:val="34"/>
          <w:szCs w:val="34"/>
          <w:lang w:val="en-US" w:eastAsia="zh-CN" w:bidi="ar-SA"/>
        </w:rPr>
        <w:t>全年各项工作，荣获“全国科技管理系统先进集体”称号。</w:t>
      </w:r>
    </w:p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区科技局不断强化预算意识，结合我单位业务情况，进行科学合理分配细化，及时组织收入，科学合理安排支出，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在预算执行过程中，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厉行节约、量入为出，确保资金安全、合理、有效使用，最大限度发挥财政资金使用效益。</w:t>
      </w:r>
    </w:p>
    <w:p>
      <w:pPr>
        <w:spacing w:line="600" w:lineRule="exact"/>
        <w:ind w:left="0" w:leftChars="0"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在项目支出方面，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严格执行项目支出预算，积极组织项目实施，加强对预算执行过程的控制和结果的反馈，对预算执行差异及时分析成因和影响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以采取措施纠正执行偏差，促进预算目标的全面完成。</w:t>
      </w:r>
    </w:p>
    <w:p>
      <w:pPr>
        <w:spacing w:line="600" w:lineRule="exact"/>
        <w:ind w:left="447" w:leftChars="213" w:firstLine="482" w:firstLineChars="15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</w:t>
      </w:r>
      <w:bookmarkEnd w:id="8"/>
      <w:r>
        <w:rPr>
          <w:rFonts w:hint="eastAsia" w:ascii="仿宋" w:hAnsi="仿宋" w:eastAsia="仿宋" w:cs="仿宋"/>
          <w:b/>
          <w:sz w:val="32"/>
          <w:szCs w:val="32"/>
        </w:rPr>
        <w:t>绩效目标完成情况</w:t>
      </w:r>
    </w:p>
    <w:p>
      <w:pPr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贯彻落实市委市政府决策部署，以及市财政局关于全面实施预算绩效管理体系有关文件要求，结合本单位实际，为确保全面实施绩效管理工作有序开展，成立全面实施预算绩效管理领导小组，起草编制实施方案，从建立健全预算绩效管理制度体系、健全预算绩效指标和标准体系、全面建立事前绩效评估机制、全面强化绩效目标管理、全面实施绩效“双监控”、全面开展绩效评价、加强绩效结果应用、推动绩效信息公开和强化责任约束等九个方面，持续推动预算绩效管理更加系统科学，全过程管理链条更加优化顺畅，全覆盖管理体系更加丰富完善，全面提升优化财政资金资源配置效率。</w:t>
      </w:r>
    </w:p>
    <w:p>
      <w:pPr>
        <w:spacing w:after="0" w:line="540" w:lineRule="exact"/>
        <w:ind w:firstLine="640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华文仿宋" w:hAnsi="华文仿宋" w:eastAsia="华文仿宋"/>
          <w:sz w:val="30"/>
          <w:szCs w:val="30"/>
        </w:rPr>
        <w:t xml:space="preserve">  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（三）自评得分</w:t>
      </w:r>
      <w:bookmarkEnd w:id="5"/>
      <w:bookmarkEnd w:id="6"/>
    </w:p>
    <w:p>
      <w:pPr>
        <w:widowControl/>
        <w:spacing w:after="0" w:line="540" w:lineRule="exact"/>
        <w:jc w:val="center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/>
          <w:sz w:val="30"/>
          <w:szCs w:val="30"/>
        </w:rPr>
        <w:t>表1：部门整体支出绩效自评表</w:t>
      </w:r>
    </w:p>
    <w:tbl>
      <w:tblPr>
        <w:tblStyle w:val="9"/>
        <w:tblW w:w="8439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111"/>
        <w:gridCol w:w="2541"/>
        <w:gridCol w:w="847"/>
        <w:gridCol w:w="1165"/>
        <w:gridCol w:w="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评价指标</w:t>
            </w:r>
          </w:p>
        </w:tc>
        <w:tc>
          <w:tcPr>
            <w:tcW w:w="11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指标值</w:t>
            </w:r>
          </w:p>
        </w:tc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33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三级指标</w:t>
            </w:r>
          </w:p>
        </w:tc>
        <w:tc>
          <w:tcPr>
            <w:tcW w:w="11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分值</w:t>
            </w:r>
          </w:p>
        </w:tc>
        <w:tc>
          <w:tcPr>
            <w:tcW w:w="116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投入（15分）</w:t>
            </w:r>
          </w:p>
        </w:tc>
        <w:tc>
          <w:tcPr>
            <w:tcW w:w="2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目标设定（5分）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绩效目标合理性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合理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绩效指标明确性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明确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2</w:t>
            </w:r>
          </w:p>
        </w:tc>
      </w:tr>
      <w:tr>
        <w:trPr>
          <w:trHeight w:val="550" w:hRule="atLeast"/>
        </w:trPr>
        <w:tc>
          <w:tcPr>
            <w:tcW w:w="86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预算配置（10分）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在职人员控制率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＜100%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“三公经费”变动率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0%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过程（45分）</w:t>
            </w:r>
          </w:p>
        </w:tc>
        <w:tc>
          <w:tcPr>
            <w:tcW w:w="2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预算执行（16分）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预算执行率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100</w:t>
            </w: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结转结余率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5.8</w:t>
            </w: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结转结余变动率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预算管理（18分）</w:t>
            </w: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资金管理制度健全性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健全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资金使用合规性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合规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预决算信息公开性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公开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基础信息完善性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完善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资产管理（11分）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资产管理完整性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完整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</w:tr>
      <w:tr>
        <w:trPr>
          <w:trHeight w:val="546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固定资产利用率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100</w:t>
            </w: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4</w:t>
            </w:r>
          </w:p>
        </w:tc>
      </w:tr>
      <w:tr>
        <w:trPr>
          <w:trHeight w:val="696" w:hRule="atLeast"/>
        </w:trPr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办公设备购置标准    合规率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100%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产出（20分）</w:t>
            </w:r>
          </w:p>
        </w:tc>
        <w:tc>
          <w:tcPr>
            <w:tcW w:w="2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责任履行（20分）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年度任务完成率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100%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9</w:t>
            </w:r>
          </w:p>
        </w:tc>
      </w:tr>
      <w:tr>
        <w:trPr>
          <w:trHeight w:val="561" w:hRule="atLeast"/>
        </w:trPr>
        <w:tc>
          <w:tcPr>
            <w:tcW w:w="86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年度绩效目标完成率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100%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11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是否开展项目绩效自评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开展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效果（10分）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履职效益（10分）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部门整体效益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楷体_GB2312"/>
                <w:sz w:val="24"/>
              </w:rPr>
              <w:t>提升我区科技型企业创新</w:t>
            </w:r>
            <w:r>
              <w:rPr>
                <w:rFonts w:hint="eastAsia" w:ascii="华文仿宋" w:hAnsi="华文仿宋" w:eastAsia="华文仿宋" w:cs="楷体_GB2312"/>
                <w:sz w:val="24"/>
                <w:lang w:eastAsia="zh-CN"/>
              </w:rPr>
              <w:t>能力</w:t>
            </w:r>
            <w:r>
              <w:rPr>
                <w:rFonts w:hint="eastAsia" w:ascii="华文仿宋" w:hAnsi="华文仿宋" w:eastAsia="华文仿宋" w:cs="楷体_GB2312"/>
                <w:sz w:val="24"/>
              </w:rPr>
              <w:t>。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满意度（10分）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社会公众或服务对象满意度（10分）</w:t>
            </w:r>
          </w:p>
        </w:tc>
        <w:tc>
          <w:tcPr>
            <w:tcW w:w="2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华文仿宋" w:hAnsi="华文仿宋" w:eastAsia="华文仿宋" w:cs="宋体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社会公众或服务对象  满意度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100</w:t>
            </w: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℅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绩效自评综合得分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  <w:lang w:val="en-US" w:eastAsia="zh-CN"/>
              </w:rPr>
              <w:t>99.6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自评等次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华文仿宋" w:hAnsi="华文仿宋" w:eastAsia="华文仿宋" w:cs="宋体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8"/>
                <w:szCs w:val="28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华文仿宋" w:hAnsi="华文仿宋" w:eastAsia="华文仿宋" w:cs="Times New Roman"/>
          <w:b/>
          <w:sz w:val="28"/>
          <w:szCs w:val="28"/>
        </w:rPr>
      </w:pPr>
      <w:bookmarkStart w:id="9" w:name="_Toc268005765"/>
      <w:bookmarkStart w:id="10" w:name="_Toc263686390"/>
      <w:bookmarkStart w:id="11" w:name="_Toc171765188"/>
      <w:bookmarkStart w:id="12" w:name="_Toc171764863"/>
      <w:bookmarkStart w:id="13" w:name="_Toc171772698"/>
    </w:p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（一）存在问题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/>
        <w:textAlignment w:val="auto"/>
        <w:rPr>
          <w:rFonts w:hint="eastAsia" w:asci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4"/>
          <w:szCs w:val="34"/>
          <w:highlight w:val="none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4"/>
          <w:szCs w:val="34"/>
          <w:highlight w:val="none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4"/>
          <w:szCs w:val="34"/>
          <w:highlight w:val="none"/>
          <w:lang w:eastAsia="zh-CN"/>
        </w:rPr>
        <w:t>区科技局各项工作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4"/>
          <w:szCs w:val="34"/>
          <w:highlight w:val="none"/>
        </w:rPr>
        <w:t>取得了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2"/>
          <w:sz w:val="34"/>
          <w:szCs w:val="34"/>
          <w:highlight w:val="none"/>
          <w:lang w:eastAsia="zh-CN"/>
        </w:rPr>
        <w:t>一定成效，但还面临着科</w:t>
      </w:r>
      <w:r>
        <w:rPr>
          <w:rFonts w:hint="eastAsia" w:ascii="仿宋_GB2312" w:eastAsia="仿宋_GB2312" w:cs="仿宋_GB2312"/>
          <w:sz w:val="34"/>
          <w:szCs w:val="34"/>
          <w:lang w:val="en-US" w:eastAsia="zh-CN"/>
        </w:rPr>
        <w:t>技主体和资源相对短缺、科技投入产出相对不足、科技产业体系相对薄弱等发展短板。2023年，区科技局将聚焦“三个强化”，推动科技创新高质量发展，切实为建设“两高三化”新和平贡献科技力量。</w:t>
      </w:r>
    </w:p>
    <w:p>
      <w:pPr>
        <w:spacing w:after="0" w:line="540" w:lineRule="exact"/>
        <w:ind w:firstLine="640"/>
        <w:rPr>
          <w:rFonts w:hint="eastAsia"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（二）改进措施</w:t>
      </w:r>
    </w:p>
    <w:bookmarkEnd w:id="9"/>
    <w:bookmarkEnd w:id="10"/>
    <w:bookmarkEnd w:id="11"/>
    <w:bookmarkEnd w:id="12"/>
    <w:bookmarkEnd w:id="13"/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/>
        <w:textAlignment w:val="auto"/>
        <w:rPr>
          <w:rFonts w:hint="eastAsia" w:asci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eastAsia="仿宋_GB2312" w:cs="仿宋_GB2312"/>
          <w:sz w:val="34"/>
          <w:szCs w:val="34"/>
          <w:lang w:val="en-US" w:eastAsia="zh-CN"/>
        </w:rPr>
        <w:t>1.强化党建引领科技创新。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/>
        <w:textAlignment w:val="auto"/>
        <w:rPr>
          <w:rFonts w:hint="eastAsia" w:ascii="仿宋_GB2312" w:eastAsia="仿宋_GB2312" w:cs="仿宋_GB2312"/>
          <w:sz w:val="34"/>
          <w:szCs w:val="34"/>
          <w:lang w:val="en" w:eastAsia="zh-CN"/>
        </w:rPr>
      </w:pPr>
      <w:r>
        <w:rPr>
          <w:rFonts w:hint="eastAsia" w:ascii="仿宋_GB2312" w:eastAsia="仿宋_GB2312" w:cs="仿宋_GB2312"/>
          <w:sz w:val="34"/>
          <w:szCs w:val="34"/>
          <w:lang w:val="en-US" w:eastAsia="zh-CN"/>
        </w:rPr>
        <w:t>2.强化引育发力做大底盘。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/>
        <w:textAlignment w:val="auto"/>
        <w:rPr>
          <w:rFonts w:hint="eastAsia" w:asci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eastAsia="仿宋_GB2312" w:cs="仿宋_GB2312"/>
          <w:sz w:val="34"/>
          <w:szCs w:val="34"/>
          <w:lang w:val="en-US" w:eastAsia="zh-CN"/>
        </w:rPr>
        <w:t>3.强化创新支撑提质增效。</w:t>
      </w:r>
    </w:p>
    <w:p>
      <w:pPr>
        <w:pStyle w:val="7"/>
        <w:spacing w:before="0" w:beforeAutospacing="0" w:after="0" w:afterAutospacing="0" w:line="540" w:lineRule="exact"/>
        <w:ind w:firstLine="643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无 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1"/>
                            </w:rPr>
                          </w:pPr>
                          <w:r>
                            <w:rPr>
                              <w:rStyle w:val="11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rPr>
                              <w:rStyle w:val="11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8</w:t>
                          </w:r>
                          <w:r>
                            <w:rPr>
                              <w:rStyle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1"/>
                      </w:rPr>
                    </w:pPr>
                    <w:r>
                      <w:rPr>
                        <w:rStyle w:val="11"/>
                      </w:rP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rPr>
                        <w:rStyle w:val="11"/>
                      </w:rPr>
                      <w:fldChar w:fldCharType="separate"/>
                    </w:r>
                    <w:r>
                      <w:rPr>
                        <w:rStyle w:val="11"/>
                      </w:rPr>
                      <w:t>8</w:t>
                    </w:r>
                    <w:r>
                      <w:rPr>
                        <w:rStyle w:val="1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ZWM4YjIxYThkNmM0YzhiZDBkMGJiNDM5ZWY2ZGQifQ=="/>
  </w:docVars>
  <w:rsids>
    <w:rsidRoot w:val="000B725D"/>
    <w:rsid w:val="00035DC8"/>
    <w:rsid w:val="000366C0"/>
    <w:rsid w:val="00096ED1"/>
    <w:rsid w:val="000A5A92"/>
    <w:rsid w:val="000B725D"/>
    <w:rsid w:val="000C0A76"/>
    <w:rsid w:val="000D28FF"/>
    <w:rsid w:val="000F506F"/>
    <w:rsid w:val="001069EE"/>
    <w:rsid w:val="0012248D"/>
    <w:rsid w:val="001619C2"/>
    <w:rsid w:val="00181A6F"/>
    <w:rsid w:val="00194659"/>
    <w:rsid w:val="001A1A5C"/>
    <w:rsid w:val="001E0BA7"/>
    <w:rsid w:val="001E31FE"/>
    <w:rsid w:val="002219E7"/>
    <w:rsid w:val="00246A8D"/>
    <w:rsid w:val="00246E9E"/>
    <w:rsid w:val="00277B60"/>
    <w:rsid w:val="002825AA"/>
    <w:rsid w:val="00291EAB"/>
    <w:rsid w:val="002B256A"/>
    <w:rsid w:val="002D6645"/>
    <w:rsid w:val="002F6958"/>
    <w:rsid w:val="00300FD7"/>
    <w:rsid w:val="00310ECE"/>
    <w:rsid w:val="00325CDC"/>
    <w:rsid w:val="0035504D"/>
    <w:rsid w:val="00374326"/>
    <w:rsid w:val="00390977"/>
    <w:rsid w:val="00443EF0"/>
    <w:rsid w:val="00487E14"/>
    <w:rsid w:val="00492B98"/>
    <w:rsid w:val="004B3AEF"/>
    <w:rsid w:val="00536A8B"/>
    <w:rsid w:val="005529C7"/>
    <w:rsid w:val="00576418"/>
    <w:rsid w:val="005877E2"/>
    <w:rsid w:val="005A75D7"/>
    <w:rsid w:val="005D1600"/>
    <w:rsid w:val="005D2417"/>
    <w:rsid w:val="005E4E1A"/>
    <w:rsid w:val="005E51C4"/>
    <w:rsid w:val="005F311F"/>
    <w:rsid w:val="006A5174"/>
    <w:rsid w:val="006E12D8"/>
    <w:rsid w:val="00726F06"/>
    <w:rsid w:val="007C30DF"/>
    <w:rsid w:val="007C48C9"/>
    <w:rsid w:val="007D0D57"/>
    <w:rsid w:val="0080545B"/>
    <w:rsid w:val="008071CA"/>
    <w:rsid w:val="008215DD"/>
    <w:rsid w:val="00825744"/>
    <w:rsid w:val="00845EC8"/>
    <w:rsid w:val="00855FBE"/>
    <w:rsid w:val="00874F1F"/>
    <w:rsid w:val="00890613"/>
    <w:rsid w:val="008951E3"/>
    <w:rsid w:val="008D26AB"/>
    <w:rsid w:val="0092425E"/>
    <w:rsid w:val="00932C43"/>
    <w:rsid w:val="00937271"/>
    <w:rsid w:val="009717E4"/>
    <w:rsid w:val="009B3402"/>
    <w:rsid w:val="009B4E28"/>
    <w:rsid w:val="009B7159"/>
    <w:rsid w:val="00A133CB"/>
    <w:rsid w:val="00A31DA3"/>
    <w:rsid w:val="00A63451"/>
    <w:rsid w:val="00A72238"/>
    <w:rsid w:val="00A8690F"/>
    <w:rsid w:val="00AB56E1"/>
    <w:rsid w:val="00AD0A06"/>
    <w:rsid w:val="00AE3BB3"/>
    <w:rsid w:val="00AF4C37"/>
    <w:rsid w:val="00B0423F"/>
    <w:rsid w:val="00B07CB5"/>
    <w:rsid w:val="00B33DAE"/>
    <w:rsid w:val="00B442BE"/>
    <w:rsid w:val="00B72591"/>
    <w:rsid w:val="00BA19A1"/>
    <w:rsid w:val="00BC38D4"/>
    <w:rsid w:val="00BC609A"/>
    <w:rsid w:val="00BC65E1"/>
    <w:rsid w:val="00BD1DBF"/>
    <w:rsid w:val="00BF686C"/>
    <w:rsid w:val="00BF6A82"/>
    <w:rsid w:val="00C0089D"/>
    <w:rsid w:val="00C03C3C"/>
    <w:rsid w:val="00C115AA"/>
    <w:rsid w:val="00C25913"/>
    <w:rsid w:val="00C263DE"/>
    <w:rsid w:val="00C37AE8"/>
    <w:rsid w:val="00C40C6E"/>
    <w:rsid w:val="00C46A26"/>
    <w:rsid w:val="00C5063C"/>
    <w:rsid w:val="00C51255"/>
    <w:rsid w:val="00C549F2"/>
    <w:rsid w:val="00C55079"/>
    <w:rsid w:val="00C747B2"/>
    <w:rsid w:val="00CB73E1"/>
    <w:rsid w:val="00CD5E41"/>
    <w:rsid w:val="00CF38CC"/>
    <w:rsid w:val="00D04AD3"/>
    <w:rsid w:val="00D06262"/>
    <w:rsid w:val="00D22EAC"/>
    <w:rsid w:val="00D32EED"/>
    <w:rsid w:val="00D43A67"/>
    <w:rsid w:val="00D519C5"/>
    <w:rsid w:val="00D576DB"/>
    <w:rsid w:val="00D616BA"/>
    <w:rsid w:val="00D81939"/>
    <w:rsid w:val="00DA0267"/>
    <w:rsid w:val="00DA59CD"/>
    <w:rsid w:val="00DD57DA"/>
    <w:rsid w:val="00DE2B8A"/>
    <w:rsid w:val="00E027E0"/>
    <w:rsid w:val="00E119AD"/>
    <w:rsid w:val="00E17EC3"/>
    <w:rsid w:val="00E26FF1"/>
    <w:rsid w:val="00E27E43"/>
    <w:rsid w:val="00E57148"/>
    <w:rsid w:val="00E938F3"/>
    <w:rsid w:val="00ED7332"/>
    <w:rsid w:val="00EF4F53"/>
    <w:rsid w:val="00F037BE"/>
    <w:rsid w:val="00F11CD0"/>
    <w:rsid w:val="00F324E1"/>
    <w:rsid w:val="00F77D55"/>
    <w:rsid w:val="00F8747A"/>
    <w:rsid w:val="00FB216A"/>
    <w:rsid w:val="00FD354B"/>
    <w:rsid w:val="00FE3852"/>
    <w:rsid w:val="02F74F86"/>
    <w:rsid w:val="031E62CB"/>
    <w:rsid w:val="03A03E1D"/>
    <w:rsid w:val="043E06DE"/>
    <w:rsid w:val="04F2770F"/>
    <w:rsid w:val="066008EA"/>
    <w:rsid w:val="076229F6"/>
    <w:rsid w:val="083A3A52"/>
    <w:rsid w:val="08C20145"/>
    <w:rsid w:val="090507D3"/>
    <w:rsid w:val="0A8E7BE6"/>
    <w:rsid w:val="0B1E3585"/>
    <w:rsid w:val="0D2131AD"/>
    <w:rsid w:val="0DA53A69"/>
    <w:rsid w:val="0DA651AB"/>
    <w:rsid w:val="0ECB61A8"/>
    <w:rsid w:val="11916C6D"/>
    <w:rsid w:val="14450211"/>
    <w:rsid w:val="14B165D3"/>
    <w:rsid w:val="163A54A1"/>
    <w:rsid w:val="17913B24"/>
    <w:rsid w:val="191D799D"/>
    <w:rsid w:val="1B471AE5"/>
    <w:rsid w:val="1B5D75E4"/>
    <w:rsid w:val="1B7474A4"/>
    <w:rsid w:val="1BBF0B49"/>
    <w:rsid w:val="1DB01DBE"/>
    <w:rsid w:val="1DBE44DB"/>
    <w:rsid w:val="1FFC40B3"/>
    <w:rsid w:val="2122698E"/>
    <w:rsid w:val="21B300CF"/>
    <w:rsid w:val="21B631A5"/>
    <w:rsid w:val="21C06A17"/>
    <w:rsid w:val="23AA66A7"/>
    <w:rsid w:val="24C7665F"/>
    <w:rsid w:val="24D27B28"/>
    <w:rsid w:val="255A26E9"/>
    <w:rsid w:val="2599037B"/>
    <w:rsid w:val="2661634B"/>
    <w:rsid w:val="268B30A3"/>
    <w:rsid w:val="26EC6451"/>
    <w:rsid w:val="27B87DC0"/>
    <w:rsid w:val="29D6334A"/>
    <w:rsid w:val="29F80D74"/>
    <w:rsid w:val="2A400631"/>
    <w:rsid w:val="2A816679"/>
    <w:rsid w:val="2BC56D0C"/>
    <w:rsid w:val="2EED1E9F"/>
    <w:rsid w:val="2EF91626"/>
    <w:rsid w:val="2FEE1E11"/>
    <w:rsid w:val="30375BD2"/>
    <w:rsid w:val="30A92E3B"/>
    <w:rsid w:val="31643200"/>
    <w:rsid w:val="34802092"/>
    <w:rsid w:val="356F523C"/>
    <w:rsid w:val="359B244B"/>
    <w:rsid w:val="35C00B7E"/>
    <w:rsid w:val="35C070A7"/>
    <w:rsid w:val="383513E6"/>
    <w:rsid w:val="3876316A"/>
    <w:rsid w:val="38EA4F5D"/>
    <w:rsid w:val="3A054AC9"/>
    <w:rsid w:val="3A5B2759"/>
    <w:rsid w:val="3A8A79FC"/>
    <w:rsid w:val="3B577F7D"/>
    <w:rsid w:val="3BC6785E"/>
    <w:rsid w:val="3F936BB3"/>
    <w:rsid w:val="3FCC6AD3"/>
    <w:rsid w:val="40952566"/>
    <w:rsid w:val="40C12F52"/>
    <w:rsid w:val="45EE109C"/>
    <w:rsid w:val="465A0F87"/>
    <w:rsid w:val="47A622EC"/>
    <w:rsid w:val="47D75983"/>
    <w:rsid w:val="498A1F75"/>
    <w:rsid w:val="49AB449D"/>
    <w:rsid w:val="4A2D0673"/>
    <w:rsid w:val="4A783AB7"/>
    <w:rsid w:val="4A9B6A93"/>
    <w:rsid w:val="4B332897"/>
    <w:rsid w:val="4CFD033E"/>
    <w:rsid w:val="4DCF2866"/>
    <w:rsid w:val="4E1C0C26"/>
    <w:rsid w:val="4EC30EFC"/>
    <w:rsid w:val="50726A1D"/>
    <w:rsid w:val="51C13FBE"/>
    <w:rsid w:val="52BD598A"/>
    <w:rsid w:val="52E403F7"/>
    <w:rsid w:val="552D0B4D"/>
    <w:rsid w:val="56175E36"/>
    <w:rsid w:val="56B91573"/>
    <w:rsid w:val="56D011AF"/>
    <w:rsid w:val="58823EF0"/>
    <w:rsid w:val="5B9938B6"/>
    <w:rsid w:val="5C0075FD"/>
    <w:rsid w:val="5C3468B5"/>
    <w:rsid w:val="5F7470DF"/>
    <w:rsid w:val="5FE46715"/>
    <w:rsid w:val="61C66F49"/>
    <w:rsid w:val="641E704E"/>
    <w:rsid w:val="642A326D"/>
    <w:rsid w:val="6541194A"/>
    <w:rsid w:val="681E750B"/>
    <w:rsid w:val="68564B9A"/>
    <w:rsid w:val="68817EE4"/>
    <w:rsid w:val="68825E00"/>
    <w:rsid w:val="6A7A0D56"/>
    <w:rsid w:val="6CC37F33"/>
    <w:rsid w:val="6D7D3888"/>
    <w:rsid w:val="6FB77B20"/>
    <w:rsid w:val="7057501F"/>
    <w:rsid w:val="70874519"/>
    <w:rsid w:val="73325D4D"/>
    <w:rsid w:val="740752C3"/>
    <w:rsid w:val="7658178E"/>
    <w:rsid w:val="7673613F"/>
    <w:rsid w:val="769925C9"/>
    <w:rsid w:val="77F51365"/>
    <w:rsid w:val="7809282A"/>
    <w:rsid w:val="78142BF3"/>
    <w:rsid w:val="78987460"/>
    <w:rsid w:val="79430041"/>
    <w:rsid w:val="7A290068"/>
    <w:rsid w:val="7A2E61A1"/>
    <w:rsid w:val="7A546F8A"/>
    <w:rsid w:val="7CEE5606"/>
    <w:rsid w:val="7E377C09"/>
    <w:rsid w:val="7ED530BD"/>
    <w:rsid w:val="7F6C4F4C"/>
    <w:rsid w:val="7FD403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unhideWhenUsed/>
    <w:qFormat/>
    <w:uiPriority w:val="99"/>
    <w:pPr>
      <w:snapToGrid w:val="0"/>
    </w:pPr>
    <w:rPr>
      <w:sz w:val="18"/>
      <w:szCs w:val="18"/>
    </w:rPr>
  </w:style>
  <w:style w:type="paragraph" w:styleId="3">
    <w:name w:val="index 5"/>
    <w:next w:val="1"/>
    <w:qFormat/>
    <w:uiPriority w:val="0"/>
    <w:pPr>
      <w:widowControl w:val="0"/>
      <w:spacing w:line="240" w:lineRule="auto"/>
      <w:ind w:left="798" w:leftChars="380"/>
      <w:jc w:val="left"/>
    </w:pPr>
    <w:rPr>
      <w:rFonts w:ascii="Calibri" w:hAnsi="Calibri" w:eastAsia="Times New Roman" w:cs="Times New Roman"/>
      <w:kern w:val="2"/>
      <w:sz w:val="24"/>
      <w:szCs w:val="24"/>
      <w:lang w:val="en-US" w:eastAsia="zh-CN" w:bidi="ar-SA"/>
    </w:rPr>
  </w:style>
  <w:style w:type="paragraph" w:styleId="4">
    <w:name w:val="Body Text Indent"/>
    <w:basedOn w:val="1"/>
    <w:link w:val="14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8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character" w:styleId="11">
    <w:name w:val="page number"/>
    <w:basedOn w:val="10"/>
    <w:unhideWhenUsed/>
    <w:qFormat/>
    <w:uiPriority w:val="99"/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正文文本缩进 Char"/>
    <w:basedOn w:val="10"/>
    <w:link w:val="4"/>
    <w:qFormat/>
    <w:uiPriority w:val="99"/>
    <w:rPr>
      <w:rFonts w:ascii="楷体_GB2312" w:hAnsi="Times New Roman" w:eastAsia="楷体_GB2312" w:cs="Times New Roman"/>
      <w:sz w:val="84"/>
      <w:szCs w:val="20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F9E827-6876-4E82-B13A-6BC0C50B16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2951</Words>
  <Characters>3122</Characters>
  <Lines>30</Lines>
  <Paragraphs>8</Paragraphs>
  <TotalTime>4</TotalTime>
  <ScaleCrop>false</ScaleCrop>
  <LinksUpToDate>false</LinksUpToDate>
  <CharactersWithSpaces>3147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2018-07-23T08:42:00Z</dcterms:created>
  <dc:creator>Suda</dc:creator>
  <cp:lastModifiedBy>东东</cp:lastModifiedBy>
  <cp:lastPrinted>2023-07-10T02:56:00Z</cp:lastPrinted>
  <dcterms:modified xsi:type="dcterms:W3CDTF">2023-08-26T03:20:40Z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6D3F350A7DD647A38890FFAF858F0D13</vt:lpwstr>
  </property>
</Properties>
</file>