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jc w:val="left"/>
        <w:outlineLvl w:val="0"/>
        <w:rPr>
          <w:rFonts w:ascii="黑体" w:hAnsi="黑体" w:eastAsia="黑体" w:cs="仿宋_GB2312"/>
          <w:sz w:val="28"/>
          <w:szCs w:val="28"/>
        </w:rPr>
      </w:pPr>
      <w:bookmarkStart w:id="0" w:name="_Toc456965826"/>
      <w:r>
        <w:rPr>
          <w:rFonts w:hint="eastAsia" w:ascii="黑体" w:hAnsi="黑体" w:eastAsia="黑体" w:cs="仿宋_GB2312"/>
          <w:sz w:val="28"/>
          <w:szCs w:val="28"/>
        </w:rPr>
        <w:t>附件</w:t>
      </w:r>
      <w:r>
        <w:rPr>
          <w:rFonts w:ascii="黑体" w:hAnsi="黑体" w:eastAsia="黑体" w:cs="仿宋_GB2312"/>
          <w:sz w:val="28"/>
          <w:szCs w:val="28"/>
        </w:rPr>
        <w:t>4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</w:p>
    <w:p>
      <w:pPr>
        <w:spacing w:after="0" w:line="540" w:lineRule="exact"/>
        <w:ind w:firstLine="640"/>
        <w:jc w:val="center"/>
        <w:outlineLvl w:val="0"/>
        <w:rPr>
          <w:rFonts w:hint="eastAsia"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天津市</w:t>
      </w:r>
      <w:r>
        <w:rPr>
          <w:rFonts w:hint="eastAsia" w:ascii="宋体" w:hAnsi="宋体" w:cs="仿宋_GB2312"/>
          <w:b/>
          <w:bCs/>
          <w:sz w:val="44"/>
          <w:szCs w:val="44"/>
        </w:rPr>
        <w:t>和平区</w:t>
      </w: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南市街道办事处</w:t>
      </w:r>
      <w:r>
        <w:rPr>
          <w:rFonts w:hint="eastAsia" w:ascii="宋体" w:hAnsi="宋体" w:cs="仿宋_GB2312"/>
          <w:b/>
          <w:bCs/>
          <w:sz w:val="44"/>
          <w:szCs w:val="44"/>
        </w:rPr>
        <w:t>202</w:t>
      </w:r>
      <w:r>
        <w:rPr>
          <w:rFonts w:hint="eastAsia" w:ascii="宋体" w:hAnsi="宋体" w:cs="仿宋_GB2312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仿宋_GB2312"/>
          <w:b/>
          <w:bCs/>
          <w:sz w:val="44"/>
          <w:szCs w:val="44"/>
        </w:rPr>
        <w:t>年</w:t>
      </w:r>
    </w:p>
    <w:p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>
        <w:rPr>
          <w:rFonts w:hint="eastAsia" w:ascii="宋体" w:hAnsi="宋体" w:cs="仿宋_GB2312"/>
          <w:b/>
          <w:bCs/>
          <w:sz w:val="44"/>
          <w:szCs w:val="44"/>
        </w:rPr>
        <w:t>整体支出绩效自评报告</w:t>
      </w:r>
    </w:p>
    <w:p>
      <w:pPr>
        <w:spacing w:after="0" w:line="540" w:lineRule="exact"/>
        <w:ind w:firstLine="64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spacing w:line="588" w:lineRule="exact"/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街道党工委和办事处要聚焦抓党建、抓治理、抓服务，进一步强化党的领导，统筹辖区工作，维护安全稳定，协调城市管理，组织公共服务。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宣传贯彻党的理论和路线方针政策以及上级党组织的决策部署，团结并组织党员、干部和群众，努力完成各项任务。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讨论决定加强党的建设、统筹社区发展、组织公共服务、实施综合管理、监督专业管理、动员社会参与、指导基层自治、维护社区平安等方面的重大问题。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落实全面从严治党主体责任，统筹推进街道社区党建、非公有制经济组织和社会组织党建、驻区单位共建，强化基层党组织政治功能和服务功能，认真抓好党员教育管理和发展党员工作。履行党风廉政建设主体责任，领导和支持纪律检查机关履行监督责任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加强对街道办事处和工会、共青团、妇联等群团组织的领导，支持和保证街道行政组织、经济组织、社会组织和其他自治组织依法依章程充分行使职权。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按照有关规定和干部管理权限，做好干部推荐、提名、任免和教育、管理、监督工作，研究决定党员干部纪律处分有关事项。落实党的人才政策，抓好优秀人才的引进、培养、使用、服务工作。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坚持以党建为引领，推动社区共建共治和居民自治。支持党代会代表、人大代表、政协委员和统一战线成员在社区治理中积极发挥作用。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密切联系群众，建立健全群众工作机制。以群众利益和需求为导向，加强民生保障，优化社区公共服务体系。推进基层民主建设、精神文明建设和社区法治建设，培育和弘扬社会主义核心价值观，创造良好社会环境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协调本辖区的城市管理、人口管理、社会管理、安全管理、住宅小区和房屋管理等地区性、综合性工作，以及社会治安综合治理工作中的重大事项和难点问题。对本辖区各类执法工作和网格化管理进行监督并组织群众开展评议。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2" w:name="_Toc456965828"/>
      <w:r>
        <w:rPr>
          <w:rFonts w:hint="eastAsia" w:ascii="楷体_GB2312" w:hAnsi="仿宋" w:eastAsia="楷体_GB2312" w:cs="仿宋_GB2312"/>
          <w:b/>
          <w:sz w:val="32"/>
          <w:szCs w:val="32"/>
        </w:rPr>
        <w:t>（二）机构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bookmarkStart w:id="3" w:name="_Toc456965830"/>
      <w:r>
        <w:rPr>
          <w:rFonts w:hint="eastAsia" w:ascii="仿宋_GB2312" w:hAnsi="仿宋_GB2312" w:eastAsia="仿宋_GB2312" w:cs="仿宋_GB2312"/>
          <w:sz w:val="32"/>
          <w:szCs w:val="32"/>
        </w:rPr>
        <w:t>天津市和平区人民政府南市街道办事处内设八个科室：南市街道办事处党政办公室；南市街道办事处党建办公室；南市街道办事处宣传文化办公室；南市街道办事处公共管理办公室；南市街道办事处公共服务办公室；南市街道办事处公共安全办公室；南市街道办事处社区建设办公室；南市街道办事处群众工作办公室。三个事业中心：党群服务中心；网格中心；退役军人中心。一个综合执法大队。</w:t>
      </w:r>
    </w:p>
    <w:p>
      <w:pPr>
        <w:spacing w:after="0" w:line="540" w:lineRule="exact"/>
        <w:ind w:firstLine="640" w:firstLineChars="200"/>
        <w:outlineLvl w:val="1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年末实有人员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在职人员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人，离休人员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bookmarkEnd w:id="3"/>
    <w:p>
      <w:pPr>
        <w:spacing w:after="0" w:line="540" w:lineRule="exact"/>
        <w:ind w:firstLine="640"/>
        <w:rPr>
          <w:rFonts w:ascii="黑体" w:hAnsi="黑体" w:eastAsia="黑体"/>
          <w:sz w:val="32"/>
          <w:szCs w:val="32"/>
        </w:rPr>
      </w:pPr>
      <w:bookmarkStart w:id="4" w:name="_Toc456965831"/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年年初预算财政拨款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3570.7</w:t>
      </w:r>
      <w:r>
        <w:rPr>
          <w:rFonts w:hint="eastAsia" w:ascii="仿宋_GB2312" w:hAnsi="仿宋" w:eastAsia="仿宋_GB2312"/>
          <w:sz w:val="32"/>
          <w:szCs w:val="32"/>
        </w:rPr>
        <w:t>万元，其中：基本支出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3328.5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242.2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年决算财政拨款支出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3570.7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3328.5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242.2</w:t>
      </w:r>
      <w:r>
        <w:rPr>
          <w:rFonts w:hint="eastAsia" w:ascii="仿宋_GB2312" w:hAnsi="仿宋" w:eastAsia="仿宋_GB2312"/>
          <w:sz w:val="32"/>
          <w:szCs w:val="32"/>
        </w:rPr>
        <w:t>万元。年末结转结余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万元，其中基本支出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万元，项目支出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（二）年度主要任务完成情况</w:t>
      </w:r>
    </w:p>
    <w:p>
      <w:pPr>
        <w:spacing w:after="0" w:line="540" w:lineRule="exact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任务1：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基本支出</w:t>
      </w:r>
      <w:r>
        <w:rPr>
          <w:rFonts w:hint="eastAsia" w:ascii="仿宋_GB2312" w:hAnsi="仿宋" w:eastAsia="仿宋_GB2312"/>
          <w:sz w:val="32"/>
          <w:szCs w:val="32"/>
        </w:rPr>
        <w:t>,年初预算金额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3328.5</w:t>
      </w:r>
      <w:r>
        <w:rPr>
          <w:rFonts w:hint="eastAsia" w:ascii="仿宋_GB2312" w:hAnsi="仿宋" w:eastAsia="仿宋_GB2312"/>
          <w:sz w:val="32"/>
          <w:szCs w:val="32"/>
        </w:rPr>
        <w:t>万元，全年预算金额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3328.5</w:t>
      </w:r>
      <w:r>
        <w:rPr>
          <w:rFonts w:hint="eastAsia" w:ascii="仿宋_GB2312" w:hAnsi="仿宋" w:eastAsia="仿宋_GB2312"/>
          <w:sz w:val="32"/>
          <w:szCs w:val="32"/>
        </w:rPr>
        <w:t>万元，执行数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3328.5</w:t>
      </w:r>
      <w:r>
        <w:rPr>
          <w:rFonts w:hint="eastAsia" w:ascii="仿宋_GB2312" w:hAnsi="仿宋" w:eastAsia="仿宋_GB2312"/>
          <w:sz w:val="32"/>
          <w:szCs w:val="32"/>
        </w:rPr>
        <w:t>万元，执行率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/>
          <w:sz w:val="32"/>
          <w:szCs w:val="32"/>
        </w:rPr>
        <w:t>,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保障本单位全年人员和公用经费，本单位全年工作正常运行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任务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：严重精神障碍患者看护奖励费，全年预算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34.2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34.2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，发放严重精神障碍患者看护奖励费，维护稳定。</w:t>
      </w:r>
    </w:p>
    <w:p>
      <w:pPr>
        <w:spacing w:after="0" w:line="540" w:lineRule="exact"/>
        <w:ind w:firstLine="64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任务3：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居民小区车棚集中购买火灾公众责任险，全年预算数3.7万元，执行数3.7万元，执行率100%，保障居民小区安全。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任务4：人大代表活动经费，全年预算金额1.2万元，执行数1.2万元，执行率100%，保障换届选举工作正常开展。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任务5：物业补贴，全年预算金额43.7万元，执行数43.7万元，执行率100%，保障人员餐费物业补贴，确保机关正常运行。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任务6：</w:t>
      </w:r>
      <w:r>
        <w:rPr>
          <w:rFonts w:hint="eastAsia" w:ascii="仿宋_GB2312" w:hAnsi="仿宋_GB2312" w:eastAsia="仿宋_GB2312" w:cs="仿宋_GB2312"/>
          <w:sz w:val="32"/>
          <w:szCs w:val="32"/>
        </w:rPr>
        <w:t>特殊疑难信访补助资金：</w:t>
      </w:r>
      <w:bookmarkStart w:id="5" w:name="OLE_LINK1"/>
      <w:r>
        <w:rPr>
          <w:rFonts w:hint="eastAsia" w:ascii="仿宋_GB2312" w:hAnsi="仿宋_GB2312" w:eastAsia="仿宋_GB2312" w:cs="仿宋_GB2312"/>
          <w:sz w:val="32"/>
          <w:szCs w:val="32"/>
        </w:rPr>
        <w:t>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促进社会和谐稳定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：两新党支部指导员经费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促进两新党建工作开展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任务8：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2022年中央补助地方公共文化服务体系建设补助资金-中央（乡镇、街道公共文化服务）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，开展文化活动。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任务9：精神文明城区复检工作经费：全年预算金额:40万元，执行数40万元，执行率100%，组织群众积极参与文明城区创建，提升文明素养。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任务10：退役军人医疗救助、临时救助，全年预算金额0.5万元，执行数0.5万元，执行率100%，退役军人困难救助。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任务11：残疾人临时救助，全年预算金额4.6万元，执行数4.6万元，执行率100%，残疾人救助。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任务12:基本公共卫生服务补助资金（计划生育特殊家庭帮扶救助），全年预算金额2.3万元，执行数2.3万元，执行率100%，发放计划生育特殊家庭帮扶救助金。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任务13：2022年独生子女父母奖励费，全年预算金额2万元，执行数2万元，执行率100%，发放独生子女父母奖励费。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任务14：</w:t>
      </w:r>
      <w:r>
        <w:rPr>
          <w:rFonts w:hint="eastAsia" w:ascii="仿宋_GB2312" w:hAnsi="仿宋_GB2312" w:eastAsia="仿宋_GB2312" w:cs="仿宋_GB2312"/>
          <w:sz w:val="32"/>
          <w:szCs w:val="32"/>
        </w:rPr>
        <w:t>街道为民服务综合专项，全年预算金额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</w:t>
      </w:r>
      <w:r>
        <w:rPr>
          <w:rFonts w:ascii="仿宋_GB2312" w:hAnsi="仿宋_GB2312" w:eastAsia="仿宋_GB2312" w:cs="仿宋_GB2312"/>
          <w:sz w:val="32"/>
          <w:szCs w:val="32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，保障本单位维稳工作、党建工作、志愿服务、为民服务等相关支出。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任务15：保洁队垃圾清理费，全年预算金额27万元，执行数27万元，执行率100%，垃圾清理费。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任务16：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国有企业退休人员社会化管理补助资金，全年预算数0.5万元，执行数0.5万元，执行率100%，保障国企退休人员社会化管理工作正常进行。</w:t>
      </w:r>
    </w:p>
    <w:p>
      <w:pPr>
        <w:spacing w:after="0"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任务17：残疾人文化进社区（中央福彩2022年中央基金），全年预算金额1万元，执行数1万元，执行率100%，打造残疾人文化活动阵地。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（三）部门财务管理情况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实行全面预算管理，建立健全预算管理制度；严格执行批复的预算，按照规定调整预算；按照财政部门决算编制要求，真实完整准确及时编制决算。</w:t>
      </w:r>
    </w:p>
    <w:bookmarkEnd w:id="4"/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bookmarkStart w:id="6" w:name="_Toc268005759"/>
      <w:bookmarkStart w:id="7" w:name="_Toc263686375"/>
      <w:bookmarkStart w:id="8" w:name="_Toc456965846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6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9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9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rPr>
          <w:rFonts w:ascii="仿宋_GB2312" w:hAnsi="仿宋" w:eastAsia="仿宋_GB2312"/>
          <w:sz w:val="32"/>
          <w:szCs w:val="32"/>
        </w:rPr>
      </w:pPr>
      <w:bookmarkStart w:id="10" w:name="_Toc268005761"/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整体支出绩效评价总分为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99.5</w:t>
      </w:r>
      <w:bookmarkStart w:id="16" w:name="_GoBack"/>
      <w:bookmarkEnd w:id="16"/>
      <w:r>
        <w:rPr>
          <w:rFonts w:hint="eastAsia" w:ascii="仿宋_GB2312" w:hAnsi="仿宋_GB2312" w:eastAsia="仿宋_GB2312" w:cs="仿宋_GB2312"/>
          <w:sz w:val="32"/>
          <w:szCs w:val="32"/>
        </w:rPr>
        <w:t>分，自评结果为优。存在问题、产生原因及改进措施</w:t>
      </w:r>
      <w:r>
        <w:rPr>
          <w:rFonts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细化预算编制工作，认真做好预算的编制，在日常预算管理过程中，进一步加强预算支出的审核、跟踪及预算执行情况分析，规范财务运行，加强预算支出管理。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</w:t>
      </w:r>
      <w:bookmarkEnd w:id="10"/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目标1：本单位工作正常运转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实际完成情况：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本单位全年工作正常运行，聚焦抓党建、抓治理、抓服务，统筹辖区工作，维护安全稳定，协调城市管理，组织公共服务。</w:t>
      </w:r>
    </w:p>
    <w:p>
      <w:pPr>
        <w:spacing w:after="0" w:line="540" w:lineRule="exact"/>
        <w:ind w:firstLine="64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目标2：本单位物业工作保障了机关正常运行秩序与安全。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目标3：本单位维稳工作、党建工作、志愿服务、文化、为民服务等相关支出。实际完成情况：保障本单位维稳工作、文化活动、党建工作、志愿服务、文化、为民服务等相关支出。</w:t>
      </w:r>
    </w:p>
    <w:p>
      <w:pPr>
        <w:spacing w:after="0" w:line="540" w:lineRule="exact"/>
        <w:ind w:firstLine="64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目标4：改善严重精神障碍家庭生活质量。实际完成情况：通过发放严重精神障碍患者看护奖励费，改善了其家庭生活质量，维护了安全稳定。</w:t>
      </w:r>
    </w:p>
    <w:p>
      <w:pPr>
        <w:spacing w:after="0" w:line="540" w:lineRule="exact"/>
        <w:ind w:firstLine="64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</w:p>
    <w:bookmarkEnd w:id="7"/>
    <w:bookmarkEnd w:id="8"/>
    <w:p>
      <w:pPr>
        <w:widowControl/>
        <w:spacing w:after="0" w:line="54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表1：部门整体支出绩效评分表</w:t>
      </w:r>
    </w:p>
    <w:tbl>
      <w:tblPr>
        <w:tblStyle w:val="6"/>
        <w:tblW w:w="8439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344"/>
        <w:gridCol w:w="705"/>
      </w:tblGrid>
      <w:tr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3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3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34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投入（15分）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目标设定（5分）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合理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合理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ind w:firstLine="240" w:firstLineChars="100"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rPr>
          <w:trHeight w:val="55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过程（45分）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预算执行（16分）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</w:tr>
      <w:tr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预算管理（18分）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管理完整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合规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公开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</w:p>
        </w:tc>
      </w:tr>
      <w:tr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齐全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资产管理（11分）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完整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</w:p>
        </w:tc>
      </w:tr>
      <w:tr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    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98%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</w:p>
        </w:tc>
      </w:tr>
      <w:tr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产出（20分）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责任履行（20分）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</w:p>
        </w:tc>
      </w:tr>
      <w:tr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</w:p>
        </w:tc>
      </w:tr>
      <w:tr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是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2</w:t>
            </w:r>
          </w:p>
        </w:tc>
      </w:tr>
      <w:tr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良好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  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10</w:t>
            </w:r>
          </w:p>
        </w:tc>
      </w:tr>
      <w:tr>
        <w:trPr>
          <w:trHeight w:val="690" w:hRule="atLeast"/>
        </w:trPr>
        <w:tc>
          <w:tcPr>
            <w:tcW w:w="7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98</w:t>
            </w:r>
          </w:p>
        </w:tc>
      </w:tr>
      <w:tr>
        <w:trPr>
          <w:trHeight w:val="700" w:hRule="atLeast"/>
        </w:trPr>
        <w:tc>
          <w:tcPr>
            <w:tcW w:w="7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bookmarkStart w:id="11" w:name="_Toc263686390"/>
      <w:bookmarkStart w:id="12" w:name="_Toc171765188"/>
      <w:bookmarkStart w:id="13" w:name="_Toc171772698"/>
      <w:bookmarkStart w:id="14" w:name="_Toc171764863"/>
      <w:bookmarkStart w:id="15" w:name="_Toc268005765"/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p>
      <w:pPr>
        <w:spacing w:after="0" w:line="540" w:lineRule="exact"/>
        <w:ind w:firstLine="64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进一步加强资产管理，做到固定资产及时入账。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bookmarkEnd w:id="11"/>
    <w:bookmarkEnd w:id="12"/>
    <w:bookmarkEnd w:id="13"/>
    <w:bookmarkEnd w:id="14"/>
    <w:bookmarkEnd w:id="15"/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细化预算编制工作，认真做好预算的编制。进一步加强内部机构的预算管理意识，严格按照预算编制的相关制度和要求，本着“勤俭节约、保障运转”的原则进行预算的编制；编制范围尽可能的全面、不漏项，进一步提高预算编制的科学性、合理性、严谨性和可控性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、在日常预算管理过程中，进一步加强预算支出的审核、跟踪及预算执行情况分析。</w:t>
      </w:r>
    </w:p>
    <w:p>
      <w:pPr>
        <w:spacing w:after="0" w:line="540" w:lineRule="exact"/>
        <w:ind w:firstLine="64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规范财务运行，加强预算支出管理。严格遵循“先有预算、后有支出”的原则，在资金支付管理方面，严格按照规定程序向财政部门申请用款，在财政部门批复的支出预算资金范围内申请使用一般预算支出经费。建立健全并认真执行各项资金使用管理制度，建立内部控制机制，资金使用严格履行审批程序，确保资金支出合法、真实。严格落实会计核算、报销审批制度，加强对资金使用环节的监督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pStyle w:val="5"/>
        <w:spacing w:before="0" w:beforeAutospacing="0" w:after="0" w:afterAutospacing="0"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无。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Style w:val="8"/>
                  </w:rPr>
                </w:pPr>
                <w:r>
                  <w:rPr>
                    <w:rStyle w:val="8"/>
                  </w:rPr>
                  <w:fldChar w:fldCharType="begin"/>
                </w:r>
                <w:r>
                  <w:rPr>
                    <w:rStyle w:val="8"/>
                  </w:rPr>
                  <w:instrText xml:space="preserve">PAGE  </w:instrText>
                </w:r>
                <w:r>
                  <w:rPr>
                    <w:rStyle w:val="8"/>
                  </w:rPr>
                  <w:fldChar w:fldCharType="separate"/>
                </w:r>
                <w:r>
                  <w:rPr>
                    <w:rStyle w:val="8"/>
                  </w:rPr>
                  <w:t>2</w:t>
                </w:r>
                <w:r>
                  <w:rPr>
                    <w:rStyle w:val="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B725D"/>
    <w:rsid w:val="000366C0"/>
    <w:rsid w:val="00096ED1"/>
    <w:rsid w:val="000B725D"/>
    <w:rsid w:val="000D28FF"/>
    <w:rsid w:val="000F506F"/>
    <w:rsid w:val="0012248D"/>
    <w:rsid w:val="00132FB6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492B98"/>
    <w:rsid w:val="004B3AEF"/>
    <w:rsid w:val="00532CEC"/>
    <w:rsid w:val="005529C7"/>
    <w:rsid w:val="00576418"/>
    <w:rsid w:val="005877E2"/>
    <w:rsid w:val="005A75D7"/>
    <w:rsid w:val="005D1600"/>
    <w:rsid w:val="00715F70"/>
    <w:rsid w:val="00726F06"/>
    <w:rsid w:val="007D0D57"/>
    <w:rsid w:val="0080545B"/>
    <w:rsid w:val="00865A10"/>
    <w:rsid w:val="00890613"/>
    <w:rsid w:val="008D26AB"/>
    <w:rsid w:val="00932C43"/>
    <w:rsid w:val="009B4E28"/>
    <w:rsid w:val="00A63451"/>
    <w:rsid w:val="00A8690F"/>
    <w:rsid w:val="00AD0A06"/>
    <w:rsid w:val="00AE3BB3"/>
    <w:rsid w:val="00B72591"/>
    <w:rsid w:val="00BA19A1"/>
    <w:rsid w:val="00BC38D4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32EED"/>
    <w:rsid w:val="00D519C5"/>
    <w:rsid w:val="00D616BA"/>
    <w:rsid w:val="00DA0267"/>
    <w:rsid w:val="00DC6D16"/>
    <w:rsid w:val="00DD57DA"/>
    <w:rsid w:val="00E027E0"/>
    <w:rsid w:val="00E26FF1"/>
    <w:rsid w:val="00E27E43"/>
    <w:rsid w:val="00E57148"/>
    <w:rsid w:val="00ED7332"/>
    <w:rsid w:val="00EF4F53"/>
    <w:rsid w:val="00F11CD0"/>
    <w:rsid w:val="00F324E1"/>
    <w:rsid w:val="00F77D55"/>
    <w:rsid w:val="00FB216A"/>
    <w:rsid w:val="02F74F86"/>
    <w:rsid w:val="043E06DE"/>
    <w:rsid w:val="04F2770F"/>
    <w:rsid w:val="07657F38"/>
    <w:rsid w:val="090507D3"/>
    <w:rsid w:val="092C6D5F"/>
    <w:rsid w:val="099A76A2"/>
    <w:rsid w:val="0A8E7BE6"/>
    <w:rsid w:val="0B1E3585"/>
    <w:rsid w:val="0BC840AE"/>
    <w:rsid w:val="0CFE10BE"/>
    <w:rsid w:val="0D2131AD"/>
    <w:rsid w:val="0DA651AB"/>
    <w:rsid w:val="0ECB61A8"/>
    <w:rsid w:val="10753425"/>
    <w:rsid w:val="10843601"/>
    <w:rsid w:val="11916C6D"/>
    <w:rsid w:val="1B471AE5"/>
    <w:rsid w:val="1B5D75E4"/>
    <w:rsid w:val="1C953936"/>
    <w:rsid w:val="21B631A5"/>
    <w:rsid w:val="21C06A17"/>
    <w:rsid w:val="23AA66A7"/>
    <w:rsid w:val="23FB0AE8"/>
    <w:rsid w:val="24D27B28"/>
    <w:rsid w:val="268B30A3"/>
    <w:rsid w:val="288B6AA6"/>
    <w:rsid w:val="29294796"/>
    <w:rsid w:val="2BFE4EA6"/>
    <w:rsid w:val="2D39016F"/>
    <w:rsid w:val="2EF91626"/>
    <w:rsid w:val="2FC676B4"/>
    <w:rsid w:val="30375BD2"/>
    <w:rsid w:val="30A92E3B"/>
    <w:rsid w:val="30B876A3"/>
    <w:rsid w:val="32B77D69"/>
    <w:rsid w:val="335E6577"/>
    <w:rsid w:val="356D2137"/>
    <w:rsid w:val="356F523C"/>
    <w:rsid w:val="359B244B"/>
    <w:rsid w:val="35C00B7E"/>
    <w:rsid w:val="35C070A7"/>
    <w:rsid w:val="362D1B29"/>
    <w:rsid w:val="36CF4F6B"/>
    <w:rsid w:val="3876316A"/>
    <w:rsid w:val="3A054AC9"/>
    <w:rsid w:val="3A5B2759"/>
    <w:rsid w:val="3A6B1746"/>
    <w:rsid w:val="3B0F784F"/>
    <w:rsid w:val="3F2A4366"/>
    <w:rsid w:val="3F936BB3"/>
    <w:rsid w:val="458D26B7"/>
    <w:rsid w:val="45EE109C"/>
    <w:rsid w:val="49281C84"/>
    <w:rsid w:val="49694116"/>
    <w:rsid w:val="498A1F75"/>
    <w:rsid w:val="49AB449D"/>
    <w:rsid w:val="4A2D0673"/>
    <w:rsid w:val="4A783AB7"/>
    <w:rsid w:val="4DCF2866"/>
    <w:rsid w:val="51942273"/>
    <w:rsid w:val="52BD598A"/>
    <w:rsid w:val="56B91573"/>
    <w:rsid w:val="5A367288"/>
    <w:rsid w:val="5BEC6464"/>
    <w:rsid w:val="5C3468B5"/>
    <w:rsid w:val="5ED84B4E"/>
    <w:rsid w:val="5FE46715"/>
    <w:rsid w:val="62643421"/>
    <w:rsid w:val="642A326D"/>
    <w:rsid w:val="681E750B"/>
    <w:rsid w:val="683A67CF"/>
    <w:rsid w:val="68486415"/>
    <w:rsid w:val="68564B9A"/>
    <w:rsid w:val="68817EE4"/>
    <w:rsid w:val="6A6F4FC4"/>
    <w:rsid w:val="6CC37F33"/>
    <w:rsid w:val="6E474D43"/>
    <w:rsid w:val="707E5785"/>
    <w:rsid w:val="70874519"/>
    <w:rsid w:val="70D26324"/>
    <w:rsid w:val="73325D4D"/>
    <w:rsid w:val="740752C3"/>
    <w:rsid w:val="7658178E"/>
    <w:rsid w:val="77F51365"/>
    <w:rsid w:val="79802251"/>
    <w:rsid w:val="7E377C09"/>
    <w:rsid w:val="7E9C22F5"/>
    <w:rsid w:val="7ED530BD"/>
    <w:rsid w:val="7F6C4F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page number"/>
    <w:basedOn w:val="7"/>
    <w:unhideWhenUsed/>
    <w:qFormat/>
    <w:uiPriority w:val="99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缩进 字符"/>
    <w:basedOn w:val="7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184</Words>
  <Characters>1051</Characters>
  <Lines>8</Lines>
  <Paragraphs>2</Paragraphs>
  <TotalTime>32</TotalTime>
  <ScaleCrop>false</ScaleCrop>
  <LinksUpToDate>false</LinksUpToDate>
  <CharactersWithSpaces>1233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2018-07-23T08:42:00Z</dcterms:created>
  <dc:creator>Suda</dc:creator>
  <cp:lastModifiedBy>Administrator</cp:lastModifiedBy>
  <dcterms:modified xsi:type="dcterms:W3CDTF">2023-07-11T01:16:38Z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