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3F5" w:rsidRDefault="00E213F5" w:rsidP="00E213F5">
      <w:pPr>
        <w:spacing w:after="0" w:line="540" w:lineRule="exact"/>
        <w:jc w:val="left"/>
        <w:outlineLvl w:val="0"/>
        <w:rPr>
          <w:rFonts w:ascii="黑体" w:eastAsia="黑体" w:hAnsi="黑体" w:cs="仿宋_GB2312"/>
          <w:sz w:val="28"/>
          <w:szCs w:val="28"/>
        </w:rPr>
      </w:pPr>
      <w:bookmarkStart w:id="0" w:name="_Toc456965826"/>
      <w:r>
        <w:rPr>
          <w:rFonts w:ascii="黑体" w:eastAsia="黑体" w:hAnsi="黑体" w:cs="仿宋_GB2312" w:hint="eastAsia"/>
          <w:sz w:val="28"/>
          <w:szCs w:val="28"/>
        </w:rPr>
        <w:t>附件4</w:t>
      </w:r>
    </w:p>
    <w:p w:rsidR="00E213F5" w:rsidRDefault="00E213F5" w:rsidP="00E213F5">
      <w:pPr>
        <w:spacing w:after="0" w:line="540" w:lineRule="exact"/>
        <w:ind w:firstLine="640"/>
        <w:jc w:val="center"/>
        <w:outlineLvl w:val="0"/>
        <w:rPr>
          <w:rFonts w:ascii="宋体" w:hAnsi="宋体" w:cs="仿宋_GB2312"/>
          <w:b/>
          <w:bCs/>
          <w:sz w:val="44"/>
          <w:szCs w:val="44"/>
        </w:rPr>
      </w:pPr>
    </w:p>
    <w:p w:rsidR="00E213F5" w:rsidRDefault="00E213F5" w:rsidP="00E213F5">
      <w:pPr>
        <w:spacing w:after="0" w:line="540" w:lineRule="exact"/>
        <w:ind w:firstLine="640"/>
        <w:jc w:val="center"/>
        <w:outlineLvl w:val="0"/>
        <w:rPr>
          <w:rFonts w:ascii="宋体" w:hAnsi="宋体" w:cs="仿宋_GB2312"/>
          <w:b/>
          <w:bCs/>
          <w:sz w:val="44"/>
          <w:szCs w:val="44"/>
        </w:rPr>
      </w:pPr>
      <w:r>
        <w:rPr>
          <w:rFonts w:ascii="宋体" w:hAnsi="宋体" w:cs="仿宋_GB2312" w:hint="eastAsia"/>
          <w:b/>
          <w:bCs/>
          <w:sz w:val="44"/>
          <w:szCs w:val="44"/>
        </w:rPr>
        <w:t>和平区公安局2022年整体支出</w:t>
      </w:r>
    </w:p>
    <w:p w:rsidR="00E213F5" w:rsidRDefault="00E213F5" w:rsidP="00E213F5">
      <w:pPr>
        <w:spacing w:after="0" w:line="540" w:lineRule="exact"/>
        <w:ind w:firstLine="640"/>
        <w:jc w:val="center"/>
        <w:outlineLvl w:val="0"/>
        <w:rPr>
          <w:rFonts w:ascii="宋体" w:hAnsi="宋体" w:cs="仿宋_GB2312"/>
          <w:b/>
          <w:bCs/>
          <w:sz w:val="44"/>
          <w:szCs w:val="44"/>
        </w:rPr>
      </w:pPr>
      <w:r>
        <w:rPr>
          <w:rFonts w:ascii="宋体" w:hAnsi="宋体" w:cs="仿宋_GB2312" w:hint="eastAsia"/>
          <w:b/>
          <w:bCs/>
          <w:sz w:val="44"/>
          <w:szCs w:val="44"/>
        </w:rPr>
        <w:t>绩效自评报告</w:t>
      </w:r>
    </w:p>
    <w:p w:rsidR="00E213F5" w:rsidRDefault="00E213F5" w:rsidP="00E213F5">
      <w:pPr>
        <w:spacing w:after="0" w:line="540" w:lineRule="exact"/>
        <w:ind w:firstLine="640"/>
        <w:outlineLvl w:val="0"/>
        <w:rPr>
          <w:rFonts w:ascii="楷体_GB2312" w:eastAsia="楷体_GB2312" w:hAnsi="楷体_GB2312" w:cs="楷体_GB2312"/>
          <w:b/>
          <w:bCs/>
          <w:sz w:val="32"/>
          <w:szCs w:val="32"/>
        </w:rPr>
      </w:pPr>
    </w:p>
    <w:p w:rsidR="00E213F5" w:rsidRDefault="00E213F5" w:rsidP="00E213F5">
      <w:pPr>
        <w:spacing w:after="0" w:line="540" w:lineRule="exact"/>
        <w:ind w:firstLine="640"/>
        <w:outlineLvl w:val="0"/>
        <w:rPr>
          <w:rFonts w:ascii="黑体" w:eastAsia="黑体" w:hAnsi="黑体" w:cs="仿宋_GB2312"/>
          <w:b/>
          <w:bCs/>
          <w:sz w:val="32"/>
          <w:szCs w:val="32"/>
        </w:rPr>
      </w:pPr>
      <w:r>
        <w:rPr>
          <w:rFonts w:ascii="黑体" w:eastAsia="黑体" w:hAnsi="黑体" w:cs="仿宋_GB2312" w:hint="eastAsia"/>
          <w:b/>
          <w:bCs/>
          <w:sz w:val="32"/>
          <w:szCs w:val="32"/>
        </w:rPr>
        <w:t>一、部门概述</w:t>
      </w:r>
      <w:bookmarkEnd w:id="0"/>
    </w:p>
    <w:p w:rsidR="00E213F5" w:rsidRDefault="00E213F5" w:rsidP="00E213F5">
      <w:pPr>
        <w:spacing w:after="0" w:line="540" w:lineRule="exact"/>
        <w:ind w:firstLineChars="200" w:firstLine="643"/>
        <w:outlineLvl w:val="1"/>
        <w:rPr>
          <w:rFonts w:ascii="楷体_GB2312" w:eastAsia="楷体_GB2312" w:hAnsi="仿宋" w:cs="仿宋_GB2312"/>
          <w:b/>
          <w:sz w:val="32"/>
          <w:szCs w:val="32"/>
        </w:rPr>
      </w:pPr>
      <w:bookmarkStart w:id="1" w:name="_Toc456965827"/>
      <w:r>
        <w:rPr>
          <w:rFonts w:ascii="楷体_GB2312" w:eastAsia="楷体_GB2312" w:hAnsi="仿宋" w:cs="仿宋_GB2312" w:hint="eastAsia"/>
          <w:b/>
          <w:sz w:val="32"/>
          <w:szCs w:val="32"/>
        </w:rPr>
        <w:t>（一）部门职能</w:t>
      </w:r>
      <w:bookmarkEnd w:id="1"/>
    </w:p>
    <w:p w:rsidR="00E213F5" w:rsidRDefault="00E213F5" w:rsidP="00E213F5">
      <w:pPr>
        <w:spacing w:after="0" w:line="540" w:lineRule="exact"/>
        <w:ind w:firstLineChars="200" w:firstLine="640"/>
        <w:outlineLvl w:val="1"/>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天津市公安局和平分局主要职责是维护和平区社会治安秩序，预防和制止各种违法犯罪活动；防范、打击恐怖活动；管理公共信息网络安全，消防、危险物品管理，户籍、身份证管理、治安管理、禁毒管理，经济侦查、刑事侦查等；负责看守所和拘留所的管理，承担执行受审、拘留和逮捕任务，防范、制止和打击各种违法犯罪活动，为我区经济建设保驾护航。</w:t>
      </w:r>
    </w:p>
    <w:p w:rsidR="00E213F5" w:rsidRDefault="00E213F5" w:rsidP="00E213F5">
      <w:pPr>
        <w:spacing w:after="0" w:line="540" w:lineRule="exact"/>
        <w:ind w:firstLineChars="200" w:firstLine="643"/>
        <w:outlineLvl w:val="1"/>
        <w:rPr>
          <w:rFonts w:ascii="楷体_GB2312" w:eastAsia="楷体_GB2312" w:hAnsi="仿宋" w:cs="仿宋_GB2312"/>
          <w:b/>
          <w:sz w:val="32"/>
          <w:szCs w:val="32"/>
        </w:rPr>
      </w:pPr>
      <w:bookmarkStart w:id="2" w:name="_Toc456965828"/>
      <w:r>
        <w:rPr>
          <w:rFonts w:ascii="楷体_GB2312" w:eastAsia="楷体_GB2312" w:hAnsi="仿宋" w:cs="仿宋_GB2312" w:hint="eastAsia"/>
          <w:b/>
          <w:sz w:val="32"/>
          <w:szCs w:val="32"/>
        </w:rPr>
        <w:t>（二）机构</w:t>
      </w:r>
      <w:bookmarkEnd w:id="2"/>
      <w:r>
        <w:rPr>
          <w:rFonts w:ascii="楷体_GB2312" w:eastAsia="楷体_GB2312" w:hAnsi="仿宋" w:cs="仿宋_GB2312" w:hint="eastAsia"/>
          <w:b/>
          <w:sz w:val="32"/>
          <w:szCs w:val="32"/>
        </w:rPr>
        <w:t>及人员情况</w:t>
      </w:r>
    </w:p>
    <w:p w:rsidR="00E213F5" w:rsidRDefault="00E213F5" w:rsidP="00E213F5">
      <w:pPr>
        <w:spacing w:after="0" w:line="540" w:lineRule="exact"/>
        <w:ind w:firstLine="640"/>
        <w:rPr>
          <w:rFonts w:ascii="仿宋" w:eastAsia="仿宋" w:hAnsi="仿宋"/>
          <w:sz w:val="32"/>
          <w:szCs w:val="32"/>
        </w:rPr>
      </w:pPr>
      <w:bookmarkStart w:id="3" w:name="_Toc456965830"/>
      <w:bookmarkStart w:id="4" w:name="_Toc456965831"/>
      <w:r>
        <w:rPr>
          <w:rFonts w:ascii="仿宋" w:eastAsia="仿宋" w:hAnsi="仿宋" w:hint="eastAsia"/>
          <w:sz w:val="32"/>
          <w:szCs w:val="32"/>
        </w:rPr>
        <w:t>天津市公安局和平分局内设处、科、室、队、所13个，派出所机构9个，共计22个职能处室,和上一年比没有变化。</w:t>
      </w:r>
    </w:p>
    <w:p w:rsidR="00E213F5" w:rsidRDefault="00E213F5" w:rsidP="00E213F5">
      <w:pPr>
        <w:spacing w:after="0" w:line="540" w:lineRule="exact"/>
        <w:ind w:firstLineChars="200" w:firstLine="640"/>
        <w:outlineLvl w:val="1"/>
        <w:rPr>
          <w:rFonts w:ascii="仿宋_GB2312" w:eastAsia="仿宋" w:hAnsi="仿宋"/>
          <w:sz w:val="32"/>
          <w:szCs w:val="32"/>
        </w:rPr>
      </w:pPr>
      <w:r>
        <w:rPr>
          <w:rFonts w:ascii="仿宋" w:eastAsia="仿宋" w:hAnsi="仿宋" w:hint="eastAsia"/>
          <w:sz w:val="32"/>
          <w:szCs w:val="32"/>
        </w:rPr>
        <w:t>天津市公安局和平分局编制人数1236人，实际在编人</w:t>
      </w:r>
      <w:r w:rsidRPr="009356B4">
        <w:rPr>
          <w:rFonts w:ascii="仿宋" w:eastAsia="仿宋" w:hAnsi="仿宋" w:hint="eastAsia"/>
          <w:sz w:val="32"/>
          <w:szCs w:val="32"/>
        </w:rPr>
        <w:t>数11</w:t>
      </w:r>
      <w:r w:rsidR="009356B4" w:rsidRPr="009356B4">
        <w:rPr>
          <w:rFonts w:ascii="仿宋" w:eastAsia="仿宋" w:hAnsi="仿宋"/>
          <w:sz w:val="32"/>
          <w:szCs w:val="32"/>
        </w:rPr>
        <w:t>0</w:t>
      </w:r>
      <w:r w:rsidRPr="009356B4">
        <w:rPr>
          <w:rFonts w:ascii="仿宋" w:eastAsia="仿宋" w:hAnsi="仿宋" w:hint="eastAsia"/>
          <w:sz w:val="32"/>
          <w:szCs w:val="32"/>
        </w:rPr>
        <w:t>4人，离休人员6人，退休人员</w:t>
      </w:r>
      <w:r w:rsidR="009356B4" w:rsidRPr="009356B4">
        <w:rPr>
          <w:rFonts w:ascii="仿宋" w:eastAsia="仿宋" w:hAnsi="仿宋"/>
          <w:sz w:val="32"/>
          <w:szCs w:val="32"/>
        </w:rPr>
        <w:t>484</w:t>
      </w:r>
      <w:r w:rsidRPr="009356B4">
        <w:rPr>
          <w:rFonts w:ascii="仿宋" w:eastAsia="仿宋" w:hAnsi="仿宋" w:hint="eastAsia"/>
          <w:sz w:val="32"/>
          <w:szCs w:val="32"/>
        </w:rPr>
        <w:t>人。</w:t>
      </w:r>
    </w:p>
    <w:bookmarkEnd w:id="3"/>
    <w:p w:rsidR="00E213F5" w:rsidRDefault="00E213F5" w:rsidP="00E213F5">
      <w:pPr>
        <w:spacing w:after="0" w:line="540" w:lineRule="exact"/>
        <w:ind w:firstLine="640"/>
        <w:rPr>
          <w:rFonts w:ascii="黑体" w:eastAsia="黑体" w:hAnsi="黑体"/>
          <w:sz w:val="32"/>
          <w:szCs w:val="32"/>
        </w:rPr>
      </w:pPr>
      <w:r>
        <w:rPr>
          <w:rFonts w:ascii="黑体" w:eastAsia="黑体" w:hAnsi="黑体" w:hint="eastAsia"/>
          <w:sz w:val="32"/>
          <w:szCs w:val="32"/>
        </w:rPr>
        <w:t>二、部门预算、预算执行及管理情况</w:t>
      </w:r>
    </w:p>
    <w:p w:rsidR="00E213F5" w:rsidRDefault="00E213F5" w:rsidP="00E213F5">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（一）</w:t>
      </w:r>
      <w:r>
        <w:rPr>
          <w:rFonts w:ascii="楷体_GB2312" w:eastAsia="楷体_GB2312" w:hAnsi="仿宋" w:cs="仿宋_GB2312" w:hint="eastAsia"/>
          <w:b/>
          <w:sz w:val="32"/>
          <w:szCs w:val="32"/>
        </w:rPr>
        <w:t>年度预决算情况</w:t>
      </w:r>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2022年年初预算财政拨款48287.</w:t>
      </w:r>
      <w:r w:rsidR="007C71AB">
        <w:rPr>
          <w:rFonts w:ascii="仿宋_GB2312" w:eastAsia="仿宋_GB2312" w:hAnsi="仿宋"/>
          <w:sz w:val="32"/>
          <w:szCs w:val="32"/>
        </w:rPr>
        <w:t>4</w:t>
      </w:r>
      <w:r>
        <w:rPr>
          <w:rFonts w:ascii="仿宋_GB2312" w:eastAsia="仿宋_GB2312" w:hAnsi="仿宋" w:hint="eastAsia"/>
          <w:sz w:val="32"/>
          <w:szCs w:val="32"/>
        </w:rPr>
        <w:t>万元，其中：基本支出45335.</w:t>
      </w:r>
      <w:r w:rsidR="007C71AB">
        <w:rPr>
          <w:rFonts w:ascii="仿宋_GB2312" w:eastAsia="仿宋_GB2312" w:hAnsi="仿宋"/>
          <w:sz w:val="32"/>
          <w:szCs w:val="32"/>
        </w:rPr>
        <w:t>3</w:t>
      </w:r>
      <w:r>
        <w:rPr>
          <w:rFonts w:ascii="仿宋_GB2312" w:eastAsia="仿宋_GB2312" w:hAnsi="仿宋" w:hint="eastAsia"/>
          <w:sz w:val="32"/>
          <w:szCs w:val="32"/>
        </w:rPr>
        <w:t>万元，项目支出</w:t>
      </w:r>
      <w:r w:rsidR="007C71AB">
        <w:rPr>
          <w:rFonts w:ascii="仿宋_GB2312" w:eastAsia="仿宋_GB2312" w:hAnsi="仿宋" w:hint="eastAsia"/>
          <w:sz w:val="32"/>
          <w:szCs w:val="32"/>
        </w:rPr>
        <w:t>2952.1</w:t>
      </w:r>
      <w:r>
        <w:rPr>
          <w:rFonts w:ascii="仿宋_GB2312" w:eastAsia="仿宋_GB2312" w:hAnsi="仿宋" w:hint="eastAsia"/>
          <w:sz w:val="32"/>
          <w:szCs w:val="32"/>
        </w:rPr>
        <w:t>万元。上年财政拨款结转结余472.3万元，其中：基本支出</w:t>
      </w:r>
      <w:r w:rsidR="007C71AB">
        <w:rPr>
          <w:rFonts w:ascii="仿宋_GB2312" w:eastAsia="仿宋_GB2312" w:hAnsi="仿宋" w:hint="eastAsia"/>
          <w:sz w:val="32"/>
          <w:szCs w:val="32"/>
        </w:rPr>
        <w:t>313.3</w:t>
      </w:r>
      <w:r>
        <w:rPr>
          <w:rFonts w:ascii="仿宋_GB2312" w:eastAsia="仿宋_GB2312" w:hAnsi="仿宋" w:hint="eastAsia"/>
          <w:sz w:val="32"/>
          <w:szCs w:val="32"/>
        </w:rPr>
        <w:t>万元，项目支出</w:t>
      </w:r>
      <w:r w:rsidR="007C71AB">
        <w:rPr>
          <w:rFonts w:ascii="仿宋_GB2312" w:eastAsia="仿宋_GB2312" w:hAnsi="仿宋" w:hint="eastAsia"/>
          <w:sz w:val="32"/>
          <w:szCs w:val="32"/>
        </w:rPr>
        <w:t>159.0</w:t>
      </w:r>
      <w:r>
        <w:rPr>
          <w:rFonts w:ascii="仿宋_GB2312" w:eastAsia="仿宋_GB2312" w:hAnsi="仿宋" w:hint="eastAsia"/>
          <w:sz w:val="32"/>
          <w:szCs w:val="32"/>
        </w:rPr>
        <w:t>万元；</w:t>
      </w:r>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lastRenderedPageBreak/>
        <w:t>2022年决算财政拨款支出</w:t>
      </w:r>
      <w:r w:rsidR="007C71AB">
        <w:rPr>
          <w:rFonts w:ascii="仿宋_GB2312" w:eastAsia="仿宋_GB2312" w:hAnsi="仿宋"/>
          <w:sz w:val="32"/>
          <w:szCs w:val="32"/>
        </w:rPr>
        <w:t>53821.1</w:t>
      </w:r>
      <w:r>
        <w:rPr>
          <w:rFonts w:ascii="仿宋_GB2312" w:eastAsia="仿宋_GB2312" w:hAnsi="仿宋" w:hint="eastAsia"/>
          <w:sz w:val="32"/>
          <w:szCs w:val="32"/>
        </w:rPr>
        <w:t>万元，其中基本支出</w:t>
      </w:r>
      <w:r w:rsidR="007C71AB">
        <w:rPr>
          <w:rFonts w:ascii="仿宋_GB2312" w:eastAsia="仿宋_GB2312" w:hAnsi="仿宋"/>
          <w:sz w:val="32"/>
          <w:szCs w:val="32"/>
        </w:rPr>
        <w:t>51189.4</w:t>
      </w:r>
      <w:r>
        <w:rPr>
          <w:rFonts w:ascii="仿宋_GB2312" w:eastAsia="仿宋_GB2312" w:hAnsi="仿宋" w:hint="eastAsia"/>
          <w:sz w:val="32"/>
          <w:szCs w:val="32"/>
        </w:rPr>
        <w:t>万元，项目支出</w:t>
      </w:r>
      <w:r w:rsidR="007C71AB">
        <w:rPr>
          <w:rFonts w:ascii="仿宋_GB2312" w:eastAsia="仿宋_GB2312" w:hAnsi="仿宋"/>
          <w:sz w:val="32"/>
          <w:szCs w:val="32"/>
        </w:rPr>
        <w:t>2631.7</w:t>
      </w:r>
      <w:r>
        <w:rPr>
          <w:rFonts w:ascii="仿宋_GB2312" w:eastAsia="仿宋_GB2312" w:hAnsi="仿宋" w:hint="eastAsia"/>
          <w:sz w:val="32"/>
          <w:szCs w:val="32"/>
        </w:rPr>
        <w:t>万元</w:t>
      </w:r>
      <w:r w:rsidR="002F5883">
        <w:rPr>
          <w:rFonts w:ascii="仿宋_GB2312" w:eastAsia="仿宋_GB2312" w:hAnsi="仿宋" w:hint="eastAsia"/>
          <w:sz w:val="32"/>
          <w:szCs w:val="32"/>
        </w:rPr>
        <w:t>，</w:t>
      </w:r>
      <w:r w:rsidR="002F5883">
        <w:rPr>
          <w:rFonts w:ascii="仿宋_GB2312" w:eastAsia="仿宋_GB2312" w:hAnsi="仿宋"/>
          <w:sz w:val="32"/>
          <w:szCs w:val="32"/>
        </w:rPr>
        <w:t>其他资金</w:t>
      </w:r>
      <w:r w:rsidR="002F5883">
        <w:rPr>
          <w:rFonts w:ascii="仿宋_GB2312" w:eastAsia="仿宋_GB2312" w:hAnsi="仿宋" w:hint="eastAsia"/>
          <w:sz w:val="32"/>
          <w:szCs w:val="32"/>
        </w:rPr>
        <w:t>160.2万元</w:t>
      </w:r>
      <w:r>
        <w:rPr>
          <w:rFonts w:ascii="仿宋_GB2312" w:eastAsia="仿宋_GB2312" w:hAnsi="仿宋" w:hint="eastAsia"/>
          <w:sz w:val="32"/>
          <w:szCs w:val="32"/>
        </w:rPr>
        <w:t>。年末结转结余</w:t>
      </w:r>
      <w:r w:rsidR="007C71AB">
        <w:rPr>
          <w:rFonts w:ascii="仿宋_GB2312" w:eastAsia="仿宋_GB2312" w:hAnsi="仿宋"/>
          <w:sz w:val="32"/>
          <w:szCs w:val="32"/>
        </w:rPr>
        <w:t>296.8</w:t>
      </w:r>
      <w:r>
        <w:rPr>
          <w:rFonts w:ascii="仿宋_GB2312" w:eastAsia="仿宋_GB2312" w:hAnsi="仿宋" w:hint="eastAsia"/>
          <w:sz w:val="32"/>
          <w:szCs w:val="32"/>
        </w:rPr>
        <w:t>万元，其中基本支出</w:t>
      </w:r>
      <w:r w:rsidR="007C71AB">
        <w:rPr>
          <w:rFonts w:ascii="仿宋_GB2312" w:eastAsia="仿宋_GB2312" w:hAnsi="仿宋"/>
          <w:sz w:val="32"/>
          <w:szCs w:val="32"/>
        </w:rPr>
        <w:t>296.8</w:t>
      </w:r>
      <w:r>
        <w:rPr>
          <w:rFonts w:ascii="仿宋_GB2312" w:eastAsia="仿宋_GB2312" w:hAnsi="仿宋" w:hint="eastAsia"/>
          <w:sz w:val="32"/>
          <w:szCs w:val="32"/>
        </w:rPr>
        <w:t>万元，项目支出</w:t>
      </w:r>
      <w:r w:rsidR="007C71AB">
        <w:rPr>
          <w:rFonts w:ascii="仿宋_GB2312" w:eastAsia="仿宋_GB2312" w:hAnsi="仿宋"/>
          <w:sz w:val="32"/>
          <w:szCs w:val="32"/>
        </w:rPr>
        <w:t>0</w:t>
      </w:r>
      <w:r>
        <w:rPr>
          <w:rFonts w:ascii="仿宋_GB2312" w:eastAsia="仿宋_GB2312" w:hAnsi="仿宋" w:hint="eastAsia"/>
          <w:sz w:val="32"/>
          <w:szCs w:val="32"/>
        </w:rPr>
        <w:t>万元。</w:t>
      </w:r>
    </w:p>
    <w:p w:rsidR="00E213F5" w:rsidRDefault="00E213F5" w:rsidP="00E213F5">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（二）年度主要任务完成情况</w:t>
      </w:r>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任务1：</w:t>
      </w:r>
      <w:r w:rsidR="002F5883" w:rsidRPr="002F5883">
        <w:rPr>
          <w:rFonts w:ascii="仿宋_GB2312" w:eastAsia="仿宋_GB2312" w:hAnsi="仿宋" w:hint="eastAsia"/>
          <w:sz w:val="32"/>
          <w:szCs w:val="32"/>
        </w:rPr>
        <w:t>坚持政治建警从严治警，抓好队伍正规化建设，确保民警能力素质明显提升。确保辖区安全稳定，按照“节点警务”的要求</w:t>
      </w:r>
      <w:r w:rsidR="002F5883" w:rsidRPr="002F5883">
        <w:rPr>
          <w:rFonts w:ascii="仿宋_GB2312" w:eastAsia="仿宋_GB2312" w:hAnsi="仿宋"/>
          <w:sz w:val="32"/>
          <w:szCs w:val="32"/>
        </w:rPr>
        <w:t>,全力社会稳定，确保两节、两会、圣诞等大型安保万无一失；坚持打防并举,严厉打击违法犯罪，集中打击涉毒、涉枪、涉黑涉恶、继续开展防电信诈骗雷霆行动，推进平安和平建设,实现发案数下降,打处破案数上升；群众满意率提高。规范执法流程，加强教育培训，提高办案质量，确保办案程序合法，执法公平公正，做好监管工作。深</w:t>
      </w:r>
      <w:r w:rsidR="002F5883">
        <w:rPr>
          <w:rFonts w:ascii="仿宋_GB2312" w:eastAsia="仿宋_GB2312" w:hAnsi="仿宋"/>
          <w:sz w:val="32"/>
          <w:szCs w:val="32"/>
        </w:rPr>
        <w:t>化公安改革创新，公平正义、廉洁高效，全面提升工作效率和整体形象</w:t>
      </w:r>
      <w:r>
        <w:rPr>
          <w:rFonts w:ascii="仿宋_GB2312" w:eastAsia="仿宋_GB2312" w:hAnsi="仿宋" w:hint="eastAsia"/>
          <w:sz w:val="32"/>
          <w:szCs w:val="32"/>
        </w:rPr>
        <w:t>。</w:t>
      </w:r>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任务2：</w:t>
      </w:r>
      <w:r w:rsidR="002F5883" w:rsidRPr="002F5883">
        <w:rPr>
          <w:rFonts w:ascii="仿宋_GB2312" w:eastAsia="仿宋_GB2312" w:hAnsi="仿宋" w:hint="eastAsia"/>
          <w:sz w:val="32"/>
          <w:szCs w:val="32"/>
        </w:rPr>
        <w:t>通过保障在</w:t>
      </w:r>
      <w:r w:rsidR="002F5883">
        <w:rPr>
          <w:rFonts w:ascii="仿宋_GB2312" w:eastAsia="仿宋_GB2312" w:hAnsi="仿宋" w:hint="eastAsia"/>
          <w:sz w:val="32"/>
          <w:szCs w:val="32"/>
        </w:rPr>
        <w:t>职民警及离退休人员工资、补贴、办案经费等支出，保障单位基本运转</w:t>
      </w:r>
      <w:r>
        <w:rPr>
          <w:rFonts w:ascii="仿宋_GB2312" w:eastAsia="仿宋_GB2312" w:hAnsi="仿宋" w:hint="eastAsia"/>
          <w:sz w:val="32"/>
          <w:szCs w:val="32"/>
        </w:rPr>
        <w:t>。</w:t>
      </w:r>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总计：项目支出年初预算</w:t>
      </w:r>
      <w:r w:rsidRPr="007C71AB">
        <w:rPr>
          <w:rFonts w:ascii="仿宋_GB2312" w:eastAsia="仿宋_GB2312" w:hAnsi="仿宋" w:hint="eastAsia"/>
          <w:sz w:val="32"/>
          <w:szCs w:val="32"/>
        </w:rPr>
        <w:t>金额</w:t>
      </w:r>
      <w:r w:rsidR="007C71AB">
        <w:rPr>
          <w:rFonts w:ascii="仿宋_GB2312" w:eastAsia="仿宋_GB2312" w:hAnsi="仿宋"/>
          <w:sz w:val="32"/>
          <w:szCs w:val="32"/>
        </w:rPr>
        <w:t>2952.1</w:t>
      </w:r>
      <w:r w:rsidRPr="007C71AB">
        <w:rPr>
          <w:rFonts w:ascii="仿宋_GB2312" w:eastAsia="仿宋_GB2312" w:hAnsi="仿宋" w:hint="eastAsia"/>
          <w:sz w:val="32"/>
          <w:szCs w:val="32"/>
        </w:rPr>
        <w:t>万元，全年预算金额</w:t>
      </w:r>
      <w:r w:rsidR="002F5883">
        <w:rPr>
          <w:rFonts w:ascii="仿宋_GB2312" w:eastAsia="仿宋_GB2312" w:hAnsi="仿宋"/>
          <w:sz w:val="32"/>
          <w:szCs w:val="32"/>
        </w:rPr>
        <w:t>3400.7</w:t>
      </w:r>
      <w:r w:rsidRPr="007C71AB">
        <w:rPr>
          <w:rFonts w:ascii="仿宋_GB2312" w:eastAsia="仿宋_GB2312" w:hAnsi="仿宋" w:hint="eastAsia"/>
          <w:sz w:val="32"/>
          <w:szCs w:val="32"/>
        </w:rPr>
        <w:t>万元，执行数</w:t>
      </w:r>
      <w:r w:rsidR="002F5883">
        <w:rPr>
          <w:rFonts w:ascii="仿宋_GB2312" w:eastAsia="仿宋_GB2312" w:hAnsi="仿宋"/>
          <w:sz w:val="32"/>
          <w:szCs w:val="32"/>
        </w:rPr>
        <w:t>2471.5</w:t>
      </w:r>
      <w:r w:rsidRPr="007C71AB">
        <w:rPr>
          <w:rFonts w:ascii="仿宋_GB2312" w:eastAsia="仿宋_GB2312" w:hAnsi="仿宋" w:hint="eastAsia"/>
          <w:sz w:val="32"/>
          <w:szCs w:val="32"/>
        </w:rPr>
        <w:t>万元</w:t>
      </w:r>
      <w:r>
        <w:rPr>
          <w:rFonts w:ascii="仿宋_GB2312" w:eastAsia="仿宋_GB2312" w:hAnsi="仿宋" w:hint="eastAsia"/>
          <w:sz w:val="32"/>
          <w:szCs w:val="32"/>
        </w:rPr>
        <w:t>，执行率</w:t>
      </w:r>
      <w:r w:rsidR="002F5883">
        <w:rPr>
          <w:rFonts w:ascii="仿宋_GB2312" w:eastAsia="仿宋_GB2312" w:hAnsi="仿宋"/>
          <w:sz w:val="32"/>
          <w:szCs w:val="32"/>
        </w:rPr>
        <w:t>72.7</w:t>
      </w:r>
      <w:r>
        <w:rPr>
          <w:rFonts w:ascii="仿宋_GB2312" w:eastAsia="仿宋_GB2312" w:hAnsi="仿宋" w:hint="eastAsia"/>
          <w:sz w:val="32"/>
          <w:szCs w:val="32"/>
        </w:rPr>
        <w:t>%。</w:t>
      </w:r>
    </w:p>
    <w:p w:rsidR="00E213F5" w:rsidRDefault="00E213F5" w:rsidP="00E213F5">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（三）部门财务管理情况</w:t>
      </w:r>
    </w:p>
    <w:p w:rsidR="00E213F5" w:rsidRDefault="00E213F5" w:rsidP="00E213F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安和平分局经费管理实行统一领导、分级负责、归口管理的原则，制定出内控财务制度、经费管理和审批权限等规定，警保室作为经费管理具体实施部门。分局警保室财务部门管辖经费、业务费、党费、工会、见义勇为等账户，设立内部稽核人员，有会计、出纳专人负责账簿及银行收支等</w:t>
      </w:r>
      <w:r>
        <w:rPr>
          <w:rFonts w:ascii="仿宋_GB2312" w:eastAsia="仿宋_GB2312" w:hAnsi="仿宋_GB2312" w:cs="仿宋_GB2312" w:hint="eastAsia"/>
          <w:sz w:val="32"/>
          <w:szCs w:val="32"/>
        </w:rPr>
        <w:lastRenderedPageBreak/>
        <w:t>业务的管理工作。</w:t>
      </w:r>
    </w:p>
    <w:p w:rsidR="00E213F5" w:rsidRDefault="00E213F5" w:rsidP="00E213F5">
      <w:pPr>
        <w:spacing w:after="0" w:line="540" w:lineRule="exact"/>
        <w:ind w:firstLine="640"/>
        <w:rPr>
          <w:rFonts w:ascii="仿宋_GB2312" w:eastAsia="仿宋_GB2312" w:hAnsi="黑体" w:cs="Times New Roman"/>
          <w:b/>
          <w:sz w:val="32"/>
          <w:szCs w:val="32"/>
        </w:rPr>
      </w:pPr>
      <w:r>
        <w:rPr>
          <w:rFonts w:ascii="仿宋_GB2312" w:eastAsia="仿宋_GB2312" w:hAnsi="仿宋_GB2312" w:cs="仿宋_GB2312" w:hint="eastAsia"/>
          <w:sz w:val="32"/>
          <w:szCs w:val="32"/>
        </w:rPr>
        <w:t>分局在财务工作上虽已建章立制各项规定，但在资金界定范围构成要素等方面的审批权限及绩效评价效果方面欠缺统筹管理的系统性，未能彰显出内控制度的全面性</w:t>
      </w:r>
      <w:r>
        <w:rPr>
          <w:rFonts w:ascii="仿宋_GB2312" w:eastAsia="仿宋_GB2312" w:hAnsi="仿宋" w:hint="eastAsia"/>
          <w:sz w:val="32"/>
          <w:szCs w:val="32"/>
        </w:rPr>
        <w:t>。</w:t>
      </w:r>
    </w:p>
    <w:p w:rsidR="00E213F5" w:rsidRDefault="00E213F5" w:rsidP="00E213F5">
      <w:pPr>
        <w:pStyle w:val="a3"/>
        <w:spacing w:before="0" w:beforeAutospacing="0" w:after="0" w:afterAutospacing="0" w:line="540" w:lineRule="exact"/>
        <w:ind w:firstLineChars="200" w:firstLine="643"/>
        <w:jc w:val="both"/>
        <w:rPr>
          <w:rFonts w:ascii="黑体" w:eastAsia="黑体" w:hAnsi="黑体" w:cs="Times New Roman"/>
          <w:b/>
          <w:color w:val="auto"/>
          <w:kern w:val="2"/>
          <w:sz w:val="32"/>
          <w:szCs w:val="32"/>
        </w:rPr>
      </w:pPr>
      <w:bookmarkStart w:id="5" w:name="_Toc268005759"/>
      <w:bookmarkStart w:id="6" w:name="_Toc456965846"/>
      <w:bookmarkStart w:id="7" w:name="_Toc263686375"/>
      <w:bookmarkEnd w:id="4"/>
      <w:r>
        <w:rPr>
          <w:rFonts w:ascii="黑体" w:eastAsia="黑体" w:hAnsi="黑体" w:cs="Times New Roman" w:hint="eastAsia"/>
          <w:b/>
          <w:color w:val="auto"/>
          <w:kern w:val="2"/>
          <w:sz w:val="32"/>
          <w:szCs w:val="32"/>
        </w:rPr>
        <w:t>三、</w:t>
      </w:r>
      <w:bookmarkEnd w:id="5"/>
      <w:r>
        <w:rPr>
          <w:rFonts w:ascii="黑体" w:eastAsia="黑体" w:hAnsi="黑体" w:cs="Times New Roman" w:hint="eastAsia"/>
          <w:b/>
          <w:color w:val="auto"/>
          <w:kern w:val="2"/>
          <w:sz w:val="32"/>
          <w:szCs w:val="32"/>
        </w:rPr>
        <w:t>整体支出绩效自评情况</w:t>
      </w:r>
    </w:p>
    <w:p w:rsidR="00E213F5" w:rsidRDefault="00E213F5" w:rsidP="00E213F5">
      <w:pPr>
        <w:spacing w:after="0" w:line="540" w:lineRule="exact"/>
        <w:ind w:firstLineChars="200" w:firstLine="643"/>
        <w:outlineLvl w:val="1"/>
        <w:rPr>
          <w:rFonts w:ascii="楷体_GB2312" w:eastAsia="楷体_GB2312" w:hAnsi="仿宋" w:cs="仿宋_GB2312"/>
          <w:b/>
          <w:sz w:val="32"/>
          <w:szCs w:val="32"/>
        </w:rPr>
      </w:pPr>
      <w:bookmarkStart w:id="8" w:name="_Toc268005760"/>
      <w:r>
        <w:rPr>
          <w:rFonts w:ascii="楷体_GB2312" w:eastAsia="楷体_GB2312" w:hAnsi="仿宋" w:cs="仿宋_GB2312" w:hint="eastAsia"/>
          <w:b/>
          <w:sz w:val="32"/>
          <w:szCs w:val="32"/>
        </w:rPr>
        <w:t>（一）</w:t>
      </w:r>
      <w:bookmarkEnd w:id="8"/>
      <w:r>
        <w:rPr>
          <w:rFonts w:ascii="楷体_GB2312" w:eastAsia="楷体_GB2312" w:hAnsi="仿宋" w:cs="仿宋_GB2312" w:hint="eastAsia"/>
          <w:b/>
          <w:sz w:val="32"/>
          <w:szCs w:val="32"/>
        </w:rPr>
        <w:t>年度整体支出绩效目标完成情况自评</w:t>
      </w:r>
    </w:p>
    <w:p w:rsidR="00E213F5" w:rsidRDefault="00E213F5" w:rsidP="00E213F5">
      <w:pPr>
        <w:spacing w:after="0" w:line="540" w:lineRule="exact"/>
        <w:rPr>
          <w:rFonts w:ascii="仿宋_GB2312" w:eastAsia="仿宋_GB2312" w:hAnsi="仿宋"/>
          <w:sz w:val="32"/>
          <w:szCs w:val="32"/>
        </w:rPr>
      </w:pPr>
      <w:bookmarkStart w:id="9" w:name="_Toc268005761"/>
      <w:r>
        <w:rPr>
          <w:rFonts w:ascii="仿宋_GB2312" w:eastAsia="仿宋_GB2312" w:hAnsi="仿宋" w:hint="eastAsia"/>
          <w:sz w:val="32"/>
          <w:szCs w:val="32"/>
        </w:rPr>
        <w:t xml:space="preserve">    2022年支出均按时间如期进行，整体执行率为</w:t>
      </w:r>
      <w:r w:rsidR="002F5883">
        <w:rPr>
          <w:rFonts w:ascii="仿宋_GB2312" w:eastAsia="仿宋_GB2312" w:hAnsi="仿宋"/>
          <w:sz w:val="32"/>
          <w:szCs w:val="32"/>
        </w:rPr>
        <w:t>98.3</w:t>
      </w:r>
      <w:r>
        <w:rPr>
          <w:rFonts w:ascii="仿宋_GB2312" w:eastAsia="仿宋_GB2312" w:hAnsi="仿宋" w:hint="eastAsia"/>
          <w:sz w:val="32"/>
          <w:szCs w:val="32"/>
        </w:rPr>
        <w:t xml:space="preserve">%，属优秀等级。 </w:t>
      </w:r>
    </w:p>
    <w:p w:rsidR="00E213F5" w:rsidRDefault="00E213F5" w:rsidP="00E213F5">
      <w:pPr>
        <w:spacing w:after="0" w:line="540" w:lineRule="exact"/>
        <w:ind w:firstLineChars="200" w:firstLine="643"/>
        <w:outlineLvl w:val="1"/>
        <w:rPr>
          <w:rFonts w:ascii="楷体_GB2312" w:eastAsia="楷体_GB2312" w:hAnsi="仿宋" w:cs="仿宋_GB2312"/>
          <w:b/>
          <w:sz w:val="32"/>
          <w:szCs w:val="32"/>
        </w:rPr>
      </w:pPr>
      <w:r>
        <w:rPr>
          <w:rFonts w:ascii="楷体_GB2312" w:eastAsia="楷体_GB2312" w:hAnsi="仿宋" w:cs="仿宋_GB2312" w:hint="eastAsia"/>
          <w:b/>
          <w:sz w:val="32"/>
          <w:szCs w:val="32"/>
        </w:rPr>
        <w:t>（二）</w:t>
      </w:r>
      <w:bookmarkEnd w:id="9"/>
      <w:r>
        <w:rPr>
          <w:rFonts w:ascii="楷体_GB2312" w:eastAsia="楷体_GB2312" w:hAnsi="仿宋" w:cs="仿宋_GB2312" w:hint="eastAsia"/>
          <w:b/>
          <w:sz w:val="32"/>
          <w:szCs w:val="32"/>
        </w:rPr>
        <w:t>绩效目标完成情况</w:t>
      </w:r>
      <w:bookmarkStart w:id="10" w:name="_GoBack"/>
      <w:bookmarkEnd w:id="10"/>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目标1：</w:t>
      </w:r>
      <w:r w:rsidR="002F5883" w:rsidRPr="002F5883">
        <w:rPr>
          <w:rFonts w:ascii="仿宋_GB2312" w:eastAsia="仿宋_GB2312" w:hAnsi="仿宋" w:hint="eastAsia"/>
          <w:sz w:val="32"/>
          <w:szCs w:val="32"/>
        </w:rPr>
        <w:t>完成了</w:t>
      </w:r>
      <w:r w:rsidR="002F5883" w:rsidRPr="002F5883">
        <w:rPr>
          <w:rFonts w:ascii="仿宋_GB2312" w:eastAsia="仿宋_GB2312" w:hAnsi="仿宋"/>
          <w:sz w:val="32"/>
          <w:szCs w:val="32"/>
        </w:rPr>
        <w:t>1278起刑事案件的侦破，5820起治安案件的查处，提高了办案质量，推进了平安和平建设,</w:t>
      </w:r>
      <w:r w:rsidR="002F5883">
        <w:rPr>
          <w:rFonts w:ascii="仿宋_GB2312" w:eastAsia="仿宋_GB2312" w:hAnsi="仿宋"/>
          <w:sz w:val="32"/>
          <w:szCs w:val="32"/>
        </w:rPr>
        <w:t>深化了公安改革创新，全面提升了工作效率和整体形象</w:t>
      </w:r>
      <w:r>
        <w:rPr>
          <w:rFonts w:ascii="仿宋_GB2312" w:eastAsia="仿宋_GB2312" w:hAnsi="仿宋" w:hint="eastAsia"/>
          <w:sz w:val="32"/>
          <w:szCs w:val="32"/>
        </w:rPr>
        <w:t>。</w:t>
      </w:r>
    </w:p>
    <w:p w:rsidR="00E213F5" w:rsidRDefault="00E213F5" w:rsidP="00E213F5">
      <w:pPr>
        <w:spacing w:after="0" w:line="540" w:lineRule="exact"/>
        <w:ind w:firstLine="640"/>
        <w:rPr>
          <w:rFonts w:ascii="仿宋_GB2312" w:eastAsia="仿宋_GB2312" w:hAnsi="仿宋"/>
          <w:sz w:val="32"/>
          <w:szCs w:val="32"/>
        </w:rPr>
      </w:pPr>
      <w:r>
        <w:rPr>
          <w:rFonts w:ascii="仿宋_GB2312" w:eastAsia="仿宋_GB2312" w:hAnsi="仿宋" w:hint="eastAsia"/>
          <w:sz w:val="32"/>
          <w:szCs w:val="32"/>
        </w:rPr>
        <w:t>目标2：</w:t>
      </w:r>
      <w:r w:rsidR="002F5883" w:rsidRPr="002F5883">
        <w:rPr>
          <w:rFonts w:ascii="仿宋_GB2312" w:eastAsia="仿宋_GB2312" w:hAnsi="仿宋" w:hint="eastAsia"/>
          <w:sz w:val="32"/>
          <w:szCs w:val="32"/>
        </w:rPr>
        <w:t>完成了在职民警及离退休人员工资、补贴、办案经费的支出，保障了单位基本运转。</w:t>
      </w:r>
    </w:p>
    <w:p w:rsidR="00E213F5" w:rsidRDefault="00E213F5" w:rsidP="00E213F5">
      <w:pPr>
        <w:spacing w:after="0" w:line="540" w:lineRule="exact"/>
        <w:ind w:firstLine="640"/>
        <w:rPr>
          <w:rFonts w:ascii="楷体" w:eastAsia="楷体" w:hAnsi="楷体"/>
          <w:b/>
          <w:sz w:val="32"/>
          <w:szCs w:val="32"/>
        </w:rPr>
      </w:pPr>
    </w:p>
    <w:p w:rsidR="00E213F5" w:rsidRDefault="00E213F5" w:rsidP="00E213F5">
      <w:pPr>
        <w:spacing w:after="0" w:line="540" w:lineRule="exact"/>
        <w:ind w:firstLine="640"/>
        <w:rPr>
          <w:rFonts w:ascii="楷体" w:eastAsia="楷体" w:hAnsi="楷体"/>
          <w:b/>
          <w:sz w:val="32"/>
          <w:szCs w:val="32"/>
        </w:rPr>
      </w:pPr>
    </w:p>
    <w:p w:rsidR="00E213F5" w:rsidRDefault="00E213F5" w:rsidP="00E213F5">
      <w:pPr>
        <w:spacing w:after="0" w:line="540" w:lineRule="exact"/>
        <w:ind w:firstLine="640"/>
        <w:rPr>
          <w:rFonts w:ascii="楷体" w:eastAsia="楷体" w:hAnsi="楷体"/>
          <w:b/>
          <w:sz w:val="32"/>
          <w:szCs w:val="32"/>
        </w:rPr>
      </w:pPr>
      <w:r>
        <w:rPr>
          <w:rFonts w:ascii="楷体" w:eastAsia="楷体" w:hAnsi="楷体" w:hint="eastAsia"/>
          <w:b/>
          <w:sz w:val="32"/>
          <w:szCs w:val="32"/>
        </w:rPr>
        <w:t>（三）自评得分</w:t>
      </w:r>
      <w:bookmarkEnd w:id="6"/>
      <w:bookmarkEnd w:id="7"/>
    </w:p>
    <w:p w:rsidR="00E213F5" w:rsidRDefault="00E213F5" w:rsidP="00E213F5">
      <w:pPr>
        <w:widowControl/>
        <w:spacing w:after="0" w:line="540" w:lineRule="exact"/>
        <w:jc w:val="center"/>
        <w:rPr>
          <w:rFonts w:ascii="楷体" w:eastAsia="楷体" w:hAnsi="楷体"/>
          <w:sz w:val="28"/>
          <w:szCs w:val="28"/>
        </w:rPr>
      </w:pPr>
      <w:r>
        <w:rPr>
          <w:rFonts w:ascii="楷体" w:eastAsia="楷体" w:hAnsi="楷体" w:hint="eastAsia"/>
          <w:sz w:val="28"/>
          <w:szCs w:val="28"/>
        </w:rPr>
        <w:t>表1：部门整体支出绩效评分表</w:t>
      </w:r>
    </w:p>
    <w:tbl>
      <w:tblPr>
        <w:tblW w:w="8439" w:type="dxa"/>
        <w:tblInd w:w="97" w:type="dxa"/>
        <w:tblLook w:val="04A0" w:firstRow="1" w:lastRow="0" w:firstColumn="1" w:lastColumn="0" w:noHBand="0" w:noVBand="1"/>
      </w:tblPr>
      <w:tblGrid>
        <w:gridCol w:w="862"/>
        <w:gridCol w:w="2122"/>
        <w:gridCol w:w="2556"/>
        <w:gridCol w:w="850"/>
        <w:gridCol w:w="1134"/>
        <w:gridCol w:w="915"/>
      </w:tblGrid>
      <w:tr w:rsidR="00E213F5" w:rsidTr="00E213F5">
        <w:trPr>
          <w:trHeight w:val="582"/>
        </w:trPr>
        <w:tc>
          <w:tcPr>
            <w:tcW w:w="6390" w:type="dxa"/>
            <w:gridSpan w:val="4"/>
            <w:tcBorders>
              <w:top w:val="single" w:sz="4" w:space="0" w:color="auto"/>
              <w:left w:val="single" w:sz="4" w:space="0" w:color="auto"/>
              <w:bottom w:val="single" w:sz="4" w:space="0" w:color="auto"/>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评价指标</w:t>
            </w:r>
          </w:p>
        </w:tc>
        <w:tc>
          <w:tcPr>
            <w:tcW w:w="1134" w:type="dxa"/>
            <w:vMerge w:val="restart"/>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指标值</w:t>
            </w:r>
          </w:p>
        </w:tc>
        <w:tc>
          <w:tcPr>
            <w:tcW w:w="915" w:type="dxa"/>
            <w:vMerge w:val="restart"/>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自评得分</w:t>
            </w:r>
          </w:p>
        </w:tc>
      </w:tr>
      <w:tr w:rsidR="00E213F5" w:rsidTr="00E213F5">
        <w:trPr>
          <w:trHeight w:val="695"/>
        </w:trPr>
        <w:tc>
          <w:tcPr>
            <w:tcW w:w="862" w:type="dxa"/>
            <w:tcBorders>
              <w:top w:val="single" w:sz="4" w:space="0" w:color="auto"/>
              <w:left w:val="single" w:sz="4" w:space="0" w:color="auto"/>
              <w:bottom w:val="single" w:sz="4" w:space="0" w:color="auto"/>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一级指标</w:t>
            </w:r>
          </w:p>
        </w:tc>
        <w:tc>
          <w:tcPr>
            <w:tcW w:w="2122" w:type="dxa"/>
            <w:tcBorders>
              <w:top w:val="single" w:sz="4" w:space="0" w:color="auto"/>
              <w:left w:val="nil"/>
              <w:bottom w:val="single" w:sz="4" w:space="0" w:color="auto"/>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二级指标</w:t>
            </w:r>
          </w:p>
        </w:tc>
        <w:tc>
          <w:tcPr>
            <w:tcW w:w="3406" w:type="dxa"/>
            <w:gridSpan w:val="2"/>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三级指标</w:t>
            </w:r>
          </w:p>
        </w:tc>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r>
      <w:tr w:rsidR="00E213F5" w:rsidTr="00E213F5">
        <w:trPr>
          <w:trHeight w:val="575"/>
        </w:trPr>
        <w:tc>
          <w:tcPr>
            <w:tcW w:w="862" w:type="dxa"/>
            <w:tcBorders>
              <w:top w:val="single" w:sz="4" w:space="0" w:color="auto"/>
              <w:left w:val="single" w:sz="4" w:space="0" w:color="auto"/>
              <w:bottom w:val="single" w:sz="4" w:space="0" w:color="auto"/>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122" w:type="dxa"/>
            <w:tcBorders>
              <w:top w:val="nil"/>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2556" w:type="dxa"/>
            <w:tcBorders>
              <w:top w:val="nil"/>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名称</w:t>
            </w:r>
          </w:p>
        </w:tc>
        <w:tc>
          <w:tcPr>
            <w:tcW w:w="850" w:type="dxa"/>
            <w:tcBorders>
              <w:top w:val="nil"/>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分值</w:t>
            </w:r>
          </w:p>
        </w:tc>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r>
      <w:tr w:rsidR="00E213F5" w:rsidTr="00E213F5">
        <w:trPr>
          <w:trHeight w:val="560"/>
        </w:trPr>
        <w:tc>
          <w:tcPr>
            <w:tcW w:w="862" w:type="dxa"/>
            <w:vMerge w:val="restart"/>
            <w:tcBorders>
              <w:top w:val="single" w:sz="4" w:space="0" w:color="auto"/>
              <w:left w:val="single" w:sz="4" w:space="0" w:color="auto"/>
              <w:bottom w:val="single" w:sz="4" w:space="0" w:color="000000"/>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投入（</w:t>
            </w:r>
            <w:r>
              <w:rPr>
                <w:sz w:val="22"/>
                <w:szCs w:val="22"/>
              </w:rPr>
              <w:t>15</w:t>
            </w:r>
            <w:r>
              <w:rPr>
                <w:rFonts w:hint="eastAsia"/>
                <w:sz w:val="22"/>
                <w:szCs w:val="22"/>
              </w:rPr>
              <w:lastRenderedPageBreak/>
              <w:t>分）</w:t>
            </w:r>
          </w:p>
        </w:tc>
        <w:tc>
          <w:tcPr>
            <w:tcW w:w="2122" w:type="dxa"/>
            <w:vMerge w:val="restart"/>
            <w:tcBorders>
              <w:top w:val="single" w:sz="4" w:space="0" w:color="auto"/>
              <w:left w:val="single" w:sz="4" w:space="0" w:color="auto"/>
              <w:bottom w:val="single" w:sz="4" w:space="0" w:color="000000"/>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lastRenderedPageBreak/>
              <w:t>目标设定（</w:t>
            </w:r>
            <w:r>
              <w:rPr>
                <w:sz w:val="22"/>
                <w:szCs w:val="22"/>
              </w:rPr>
              <w:t>5</w:t>
            </w:r>
            <w:r>
              <w:rPr>
                <w:rFonts w:hint="eastAsia"/>
                <w:sz w:val="22"/>
                <w:szCs w:val="22"/>
              </w:rPr>
              <w:t>分）</w:t>
            </w:r>
          </w:p>
        </w:tc>
        <w:tc>
          <w:tcPr>
            <w:tcW w:w="2556" w:type="dxa"/>
            <w:tcBorders>
              <w:top w:val="single" w:sz="4" w:space="0" w:color="auto"/>
              <w:left w:val="nil"/>
              <w:bottom w:val="nil"/>
              <w:right w:val="single" w:sz="4" w:space="0" w:color="auto"/>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绩效目标合理性</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合理</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E213F5" w:rsidTr="00E213F5">
        <w:trPr>
          <w:trHeight w:val="554"/>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绩效指标明确性</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明确</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E213F5" w:rsidTr="00E213F5">
        <w:trPr>
          <w:trHeight w:val="55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122" w:type="dxa"/>
            <w:vMerge w:val="restart"/>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预算配置（</w:t>
            </w:r>
            <w:r>
              <w:rPr>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在职人员控制率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E213F5" w:rsidTr="00E213F5">
        <w:trPr>
          <w:trHeight w:val="55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c>
          <w:tcPr>
            <w:tcW w:w="2556" w:type="dxa"/>
            <w:tcBorders>
              <w:top w:val="single" w:sz="4" w:space="0" w:color="auto"/>
              <w:left w:val="nil"/>
              <w:bottom w:val="nil"/>
              <w:right w:val="single" w:sz="4" w:space="0" w:color="auto"/>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“三公经费”变动率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631FFF" w:rsidRDefault="00631FFF" w:rsidP="00631FFF">
            <w:pPr>
              <w:widowControl/>
              <w:spacing w:after="0" w:line="540" w:lineRule="exact"/>
              <w:jc w:val="center"/>
              <w:rPr>
                <w:rFonts w:ascii="宋体" w:hAnsi="宋体" w:cs="宋体"/>
                <w:kern w:val="0"/>
                <w:sz w:val="24"/>
              </w:rPr>
            </w:pPr>
            <w:r>
              <w:rPr>
                <w:rFonts w:ascii="宋体" w:hAnsi="宋体" w:cs="宋体" w:hint="eastAsia"/>
                <w:kern w:val="0"/>
                <w:sz w:val="24"/>
              </w:rPr>
              <w:t>23.95</w:t>
            </w:r>
            <w:r>
              <w:rPr>
                <w:rFonts w:ascii="宋体" w:hAnsi="宋体" w:cs="宋体"/>
                <w:kern w:val="0"/>
                <w:sz w:val="24"/>
              </w:rPr>
              <w:t>%</w:t>
            </w:r>
          </w:p>
        </w:tc>
        <w:tc>
          <w:tcPr>
            <w:tcW w:w="915" w:type="dxa"/>
            <w:tcBorders>
              <w:top w:val="single" w:sz="4" w:space="0" w:color="auto"/>
              <w:left w:val="nil"/>
              <w:bottom w:val="nil"/>
              <w:right w:val="single" w:sz="4" w:space="0" w:color="auto"/>
            </w:tcBorders>
            <w:vAlign w:val="center"/>
            <w:hideMark/>
          </w:tcPr>
          <w:p w:rsidR="00E213F5" w:rsidRDefault="00BD1E49">
            <w:pPr>
              <w:widowControl/>
              <w:spacing w:after="0" w:line="540" w:lineRule="exact"/>
              <w:jc w:val="center"/>
              <w:rPr>
                <w:rFonts w:ascii="宋体" w:hAnsi="宋体" w:cs="宋体"/>
                <w:kern w:val="0"/>
                <w:sz w:val="24"/>
              </w:rPr>
            </w:pPr>
            <w:r>
              <w:rPr>
                <w:rFonts w:ascii="宋体" w:hAnsi="宋体" w:cs="宋体"/>
                <w:kern w:val="0"/>
                <w:sz w:val="24"/>
              </w:rPr>
              <w:t>0</w:t>
            </w:r>
          </w:p>
        </w:tc>
      </w:tr>
      <w:tr w:rsidR="00E213F5" w:rsidTr="00E213F5">
        <w:trPr>
          <w:trHeight w:val="556"/>
        </w:trPr>
        <w:tc>
          <w:tcPr>
            <w:tcW w:w="862" w:type="dxa"/>
            <w:vMerge w:val="restart"/>
            <w:tcBorders>
              <w:top w:val="single" w:sz="4" w:space="0" w:color="auto"/>
              <w:left w:val="single" w:sz="4" w:space="0" w:color="auto"/>
              <w:bottom w:val="single" w:sz="4" w:space="0" w:color="000000"/>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过程（</w:t>
            </w:r>
            <w:r>
              <w:rPr>
                <w:sz w:val="22"/>
                <w:szCs w:val="22"/>
              </w:rPr>
              <w:t>45</w:t>
            </w:r>
            <w:r>
              <w:rPr>
                <w:rFonts w:hint="eastAsia"/>
                <w:sz w:val="22"/>
                <w:szCs w:val="22"/>
              </w:rPr>
              <w:t>分）</w:t>
            </w:r>
          </w:p>
        </w:tc>
        <w:tc>
          <w:tcPr>
            <w:tcW w:w="2122" w:type="dxa"/>
            <w:vMerge w:val="restart"/>
            <w:tcBorders>
              <w:top w:val="single" w:sz="4" w:space="0" w:color="auto"/>
              <w:left w:val="single" w:sz="4" w:space="0" w:color="auto"/>
              <w:bottom w:val="single" w:sz="4" w:space="0" w:color="auto"/>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预算执行（</w:t>
            </w:r>
            <w:r>
              <w:rPr>
                <w:sz w:val="22"/>
                <w:szCs w:val="22"/>
              </w:rPr>
              <w:t>16</w:t>
            </w:r>
            <w:r>
              <w:rPr>
                <w:rFonts w:hint="eastAsia"/>
                <w:sz w:val="22"/>
                <w:szCs w:val="22"/>
              </w:rPr>
              <w:t>分）</w:t>
            </w:r>
          </w:p>
        </w:tc>
        <w:tc>
          <w:tcPr>
            <w:tcW w:w="2556" w:type="dxa"/>
            <w:tcBorders>
              <w:top w:val="single" w:sz="4" w:space="0" w:color="auto"/>
              <w:left w:val="nil"/>
              <w:bottom w:val="nil"/>
              <w:right w:val="single" w:sz="4" w:space="0" w:color="auto"/>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预算执行率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E213F5" w:rsidTr="00E213F5">
        <w:trPr>
          <w:trHeight w:val="565"/>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single" w:sz="4" w:space="0" w:color="auto"/>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结转结余率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nil"/>
              <w:right w:val="single" w:sz="4" w:space="0" w:color="auto"/>
            </w:tcBorders>
            <w:vAlign w:val="center"/>
          </w:tcPr>
          <w:p w:rsidR="00E213F5" w:rsidRDefault="00631FFF">
            <w:pPr>
              <w:widowControl/>
              <w:spacing w:after="0" w:line="540" w:lineRule="exact"/>
              <w:jc w:val="center"/>
              <w:rPr>
                <w:rFonts w:ascii="宋体" w:hAnsi="宋体" w:cs="宋体"/>
                <w:kern w:val="0"/>
                <w:sz w:val="24"/>
              </w:rPr>
            </w:pPr>
            <w:r>
              <w:rPr>
                <w:rFonts w:ascii="宋体" w:hAnsi="宋体" w:cs="宋体" w:hint="eastAsia"/>
                <w:kern w:val="0"/>
                <w:sz w:val="24"/>
              </w:rPr>
              <w:t>0.55</w:t>
            </w:r>
            <w:r>
              <w:rPr>
                <w:rFonts w:ascii="宋体" w:hAnsi="宋体" w:cs="宋体"/>
                <w:kern w:val="0"/>
                <w:sz w:val="24"/>
              </w:rPr>
              <w:t>%</w:t>
            </w:r>
          </w:p>
        </w:tc>
        <w:tc>
          <w:tcPr>
            <w:tcW w:w="915" w:type="dxa"/>
            <w:tcBorders>
              <w:top w:val="single" w:sz="4" w:space="0" w:color="auto"/>
              <w:left w:val="nil"/>
              <w:bottom w:val="nil"/>
              <w:right w:val="single" w:sz="4" w:space="0" w:color="auto"/>
            </w:tcBorders>
            <w:vAlign w:val="center"/>
          </w:tcPr>
          <w:p w:rsidR="00E213F5" w:rsidRDefault="00631FFF">
            <w:pPr>
              <w:widowControl/>
              <w:spacing w:after="0" w:line="540" w:lineRule="exact"/>
              <w:jc w:val="center"/>
              <w:rPr>
                <w:rFonts w:ascii="宋体" w:hAnsi="宋体" w:cs="宋体"/>
                <w:kern w:val="0"/>
                <w:sz w:val="24"/>
              </w:rPr>
            </w:pPr>
            <w:r>
              <w:rPr>
                <w:rFonts w:ascii="宋体" w:hAnsi="宋体" w:cs="宋体"/>
                <w:kern w:val="0"/>
                <w:sz w:val="24"/>
              </w:rPr>
              <w:t>5</w:t>
            </w:r>
          </w:p>
        </w:tc>
      </w:tr>
      <w:tr w:rsidR="00E213F5" w:rsidTr="00E213F5">
        <w:trPr>
          <w:trHeight w:val="57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single" w:sz="4" w:space="0" w:color="auto"/>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556"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结转结余变动率</w:t>
            </w:r>
          </w:p>
        </w:tc>
        <w:tc>
          <w:tcPr>
            <w:tcW w:w="850"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5</w:t>
            </w:r>
          </w:p>
        </w:tc>
        <w:tc>
          <w:tcPr>
            <w:tcW w:w="1134" w:type="dxa"/>
            <w:tcBorders>
              <w:top w:val="single" w:sz="4" w:space="0" w:color="auto"/>
              <w:left w:val="nil"/>
              <w:bottom w:val="single" w:sz="4" w:space="0" w:color="auto"/>
              <w:right w:val="single" w:sz="4" w:space="0" w:color="auto"/>
            </w:tcBorders>
            <w:vAlign w:val="center"/>
          </w:tcPr>
          <w:p w:rsidR="00E213F5" w:rsidRDefault="003765D5">
            <w:pPr>
              <w:widowControl/>
              <w:spacing w:after="0" w:line="540" w:lineRule="exact"/>
              <w:jc w:val="center"/>
              <w:rPr>
                <w:rFonts w:ascii="宋体" w:hAnsi="宋体" w:cs="宋体"/>
                <w:kern w:val="0"/>
                <w:sz w:val="24"/>
              </w:rPr>
            </w:pPr>
            <w:r>
              <w:rPr>
                <w:rFonts w:ascii="宋体" w:hAnsi="宋体" w:cs="宋体" w:hint="eastAsia"/>
                <w:kern w:val="0"/>
                <w:sz w:val="24"/>
              </w:rPr>
              <w:t>-37.15</w:t>
            </w:r>
            <w:r>
              <w:rPr>
                <w:rFonts w:ascii="宋体" w:hAnsi="宋体" w:cs="宋体"/>
                <w:kern w:val="0"/>
                <w:sz w:val="24"/>
              </w:rPr>
              <w:t>%</w:t>
            </w:r>
          </w:p>
        </w:tc>
        <w:tc>
          <w:tcPr>
            <w:tcW w:w="915" w:type="dxa"/>
            <w:tcBorders>
              <w:top w:val="single" w:sz="4" w:space="0" w:color="auto"/>
              <w:left w:val="nil"/>
              <w:bottom w:val="single" w:sz="4" w:space="0" w:color="auto"/>
              <w:right w:val="single" w:sz="4" w:space="0" w:color="auto"/>
            </w:tcBorders>
            <w:vAlign w:val="center"/>
          </w:tcPr>
          <w:p w:rsidR="00E213F5" w:rsidRDefault="003765D5">
            <w:pPr>
              <w:widowControl/>
              <w:spacing w:after="0" w:line="540" w:lineRule="exact"/>
              <w:jc w:val="center"/>
              <w:rPr>
                <w:rFonts w:ascii="宋体" w:hAnsi="宋体" w:cs="宋体"/>
                <w:kern w:val="0"/>
                <w:sz w:val="24"/>
              </w:rPr>
            </w:pPr>
            <w:r>
              <w:rPr>
                <w:rFonts w:ascii="宋体" w:hAnsi="宋体" w:cs="宋体" w:hint="eastAsia"/>
                <w:kern w:val="0"/>
                <w:sz w:val="24"/>
              </w:rPr>
              <w:t>5</w:t>
            </w:r>
          </w:p>
        </w:tc>
      </w:tr>
      <w:tr w:rsidR="00E213F5" w:rsidTr="00E213F5">
        <w:trPr>
          <w:trHeight w:val="554"/>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122" w:type="dxa"/>
            <w:vMerge w:val="restart"/>
            <w:tcBorders>
              <w:top w:val="single" w:sz="4" w:space="0" w:color="auto"/>
              <w:left w:val="single" w:sz="4" w:space="0" w:color="auto"/>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预算管理（</w:t>
            </w:r>
            <w:r>
              <w:rPr>
                <w:sz w:val="22"/>
                <w:szCs w:val="22"/>
              </w:rPr>
              <w:t>18</w:t>
            </w:r>
            <w:r>
              <w:rPr>
                <w:rFonts w:hint="eastAsia"/>
                <w:sz w:val="22"/>
                <w:szCs w:val="22"/>
              </w:rPr>
              <w:t>分）</w:t>
            </w:r>
          </w:p>
        </w:tc>
        <w:tc>
          <w:tcPr>
            <w:tcW w:w="2556"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资金管理制度健全性</w:t>
            </w:r>
          </w:p>
        </w:tc>
        <w:tc>
          <w:tcPr>
            <w:tcW w:w="850"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健全</w:t>
            </w:r>
          </w:p>
        </w:tc>
        <w:tc>
          <w:tcPr>
            <w:tcW w:w="915"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E213F5" w:rsidTr="00E213F5">
        <w:trPr>
          <w:trHeight w:val="548"/>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nil"/>
              <w:right w:val="single" w:sz="4" w:space="0" w:color="auto"/>
            </w:tcBorders>
            <w:vAlign w:val="center"/>
            <w:hideMark/>
          </w:tcPr>
          <w:p w:rsidR="00E213F5" w:rsidRDefault="00E213F5">
            <w:pPr>
              <w:widowControl/>
              <w:spacing w:after="0" w:line="240" w:lineRule="auto"/>
              <w:jc w:val="left"/>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资金使用合规性</w:t>
            </w:r>
          </w:p>
        </w:tc>
        <w:tc>
          <w:tcPr>
            <w:tcW w:w="850"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合规</w:t>
            </w:r>
          </w:p>
        </w:tc>
        <w:tc>
          <w:tcPr>
            <w:tcW w:w="915"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E213F5" w:rsidTr="00E213F5">
        <w:trPr>
          <w:trHeight w:val="57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nil"/>
              <w:right w:val="single" w:sz="4" w:space="0" w:color="auto"/>
            </w:tcBorders>
            <w:vAlign w:val="center"/>
            <w:hideMark/>
          </w:tcPr>
          <w:p w:rsidR="00E213F5" w:rsidRDefault="00E213F5">
            <w:pPr>
              <w:widowControl/>
              <w:spacing w:after="0" w:line="240" w:lineRule="auto"/>
              <w:jc w:val="left"/>
              <w:rPr>
                <w:rFonts w:ascii="宋体" w:hAnsi="宋体" w:cs="宋体"/>
                <w:kern w:val="0"/>
                <w:sz w:val="24"/>
              </w:rPr>
            </w:pPr>
          </w:p>
        </w:tc>
        <w:tc>
          <w:tcPr>
            <w:tcW w:w="2556"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预决算信息公开性</w:t>
            </w:r>
          </w:p>
        </w:tc>
        <w:tc>
          <w:tcPr>
            <w:tcW w:w="850"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公开</w:t>
            </w:r>
          </w:p>
        </w:tc>
        <w:tc>
          <w:tcPr>
            <w:tcW w:w="915" w:type="dxa"/>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6</w:t>
            </w:r>
          </w:p>
        </w:tc>
      </w:tr>
      <w:tr w:rsidR="00E213F5" w:rsidTr="00E213F5">
        <w:trPr>
          <w:trHeight w:val="564"/>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nil"/>
              <w:right w:val="single" w:sz="4" w:space="0" w:color="auto"/>
            </w:tcBorders>
            <w:vAlign w:val="center"/>
            <w:hideMark/>
          </w:tcPr>
          <w:p w:rsidR="00E213F5" w:rsidRDefault="00E213F5">
            <w:pPr>
              <w:widowControl/>
              <w:spacing w:after="0" w:line="240" w:lineRule="auto"/>
              <w:jc w:val="left"/>
              <w:rPr>
                <w:rFonts w:ascii="宋体" w:hAnsi="宋体" w:cs="宋体"/>
                <w:kern w:val="0"/>
                <w:sz w:val="24"/>
              </w:rPr>
            </w:pPr>
          </w:p>
        </w:tc>
        <w:tc>
          <w:tcPr>
            <w:tcW w:w="2556"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基础信息完善性</w:t>
            </w:r>
          </w:p>
        </w:tc>
        <w:tc>
          <w:tcPr>
            <w:tcW w:w="850"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完善</w:t>
            </w:r>
          </w:p>
        </w:tc>
        <w:tc>
          <w:tcPr>
            <w:tcW w:w="915"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E213F5" w:rsidTr="00E213F5">
        <w:trPr>
          <w:trHeight w:val="56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122" w:type="dxa"/>
            <w:vMerge w:val="restart"/>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资产管理（</w:t>
            </w:r>
            <w:r>
              <w:rPr>
                <w:sz w:val="22"/>
                <w:szCs w:val="22"/>
              </w:rPr>
              <w:t>11</w:t>
            </w:r>
            <w:r>
              <w:rPr>
                <w:rFonts w:hint="eastAsia"/>
                <w:sz w:val="22"/>
                <w:szCs w:val="22"/>
              </w:rPr>
              <w:t>分）</w:t>
            </w: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资产管理完整性</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完整</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E213F5" w:rsidTr="00E213F5">
        <w:trPr>
          <w:trHeight w:val="54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固定资产利用率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4</w:t>
            </w:r>
          </w:p>
        </w:tc>
      </w:tr>
      <w:tr w:rsidR="00E213F5" w:rsidTr="00E213F5">
        <w:trPr>
          <w:trHeight w:val="69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E213F5" w:rsidRDefault="00E213F5">
            <w:pPr>
              <w:widowControl/>
              <w:spacing w:after="0" w:line="240" w:lineRule="auto"/>
              <w:jc w:val="left"/>
              <w:rPr>
                <w:rFonts w:ascii="宋体" w:hAnsi="宋体" w:cs="宋体"/>
                <w:kern w:val="0"/>
                <w:sz w:val="24"/>
              </w:rPr>
            </w:pP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办公设备购置标准</w:t>
            </w:r>
            <w:r>
              <w:rPr>
                <w:sz w:val="22"/>
                <w:szCs w:val="22"/>
              </w:rPr>
              <w:t xml:space="preserve">    </w:t>
            </w:r>
            <w:r>
              <w:rPr>
                <w:rFonts w:hint="eastAsia"/>
                <w:sz w:val="22"/>
                <w:szCs w:val="22"/>
              </w:rPr>
              <w:t>合规率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3</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95%</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3</w:t>
            </w:r>
          </w:p>
        </w:tc>
      </w:tr>
      <w:tr w:rsidR="00E213F5" w:rsidTr="00E213F5">
        <w:trPr>
          <w:trHeight w:val="420"/>
        </w:trPr>
        <w:tc>
          <w:tcPr>
            <w:tcW w:w="862" w:type="dxa"/>
            <w:vMerge w:val="restart"/>
            <w:tcBorders>
              <w:top w:val="single" w:sz="4" w:space="0" w:color="auto"/>
              <w:left w:val="single" w:sz="4" w:space="0" w:color="auto"/>
              <w:bottom w:val="nil"/>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产出（</w:t>
            </w:r>
            <w:r>
              <w:rPr>
                <w:sz w:val="22"/>
                <w:szCs w:val="22"/>
              </w:rPr>
              <w:t>20</w:t>
            </w:r>
            <w:r>
              <w:rPr>
                <w:rFonts w:hint="eastAsia"/>
                <w:sz w:val="22"/>
                <w:szCs w:val="22"/>
              </w:rPr>
              <w:t>分）</w:t>
            </w:r>
          </w:p>
        </w:tc>
        <w:tc>
          <w:tcPr>
            <w:tcW w:w="2122" w:type="dxa"/>
            <w:vMerge w:val="restart"/>
            <w:tcBorders>
              <w:top w:val="single" w:sz="4" w:space="0" w:color="auto"/>
              <w:left w:val="single" w:sz="4" w:space="0" w:color="auto"/>
              <w:bottom w:val="nil"/>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责任履行（</w:t>
            </w:r>
            <w:r>
              <w:rPr>
                <w:sz w:val="22"/>
                <w:szCs w:val="22"/>
              </w:rPr>
              <w:t>20</w:t>
            </w:r>
            <w:r>
              <w:rPr>
                <w:rFonts w:hint="eastAsia"/>
                <w:sz w:val="22"/>
                <w:szCs w:val="22"/>
              </w:rPr>
              <w:t>分）</w:t>
            </w:r>
          </w:p>
        </w:tc>
        <w:tc>
          <w:tcPr>
            <w:tcW w:w="2556" w:type="dxa"/>
            <w:tcBorders>
              <w:top w:val="single" w:sz="4" w:space="0" w:color="auto"/>
              <w:left w:val="nil"/>
              <w:bottom w:val="nil"/>
              <w:right w:val="single" w:sz="4" w:space="0" w:color="auto"/>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年度任务完成率</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9</w:t>
            </w:r>
          </w:p>
        </w:tc>
      </w:tr>
      <w:tr w:rsidR="00E213F5" w:rsidTr="00E213F5">
        <w:trPr>
          <w:trHeight w:val="561"/>
        </w:trPr>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556"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年度绩效目标完成率</w:t>
            </w:r>
          </w:p>
        </w:tc>
        <w:tc>
          <w:tcPr>
            <w:tcW w:w="850"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9</w:t>
            </w:r>
          </w:p>
        </w:tc>
        <w:tc>
          <w:tcPr>
            <w:tcW w:w="1134"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100%</w:t>
            </w:r>
          </w:p>
        </w:tc>
        <w:tc>
          <w:tcPr>
            <w:tcW w:w="915"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9</w:t>
            </w:r>
          </w:p>
        </w:tc>
      </w:tr>
      <w:tr w:rsidR="00E213F5" w:rsidTr="00E213F5">
        <w:trPr>
          <w:trHeight w:val="608"/>
        </w:trPr>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0" w:type="auto"/>
            <w:vMerge/>
            <w:tcBorders>
              <w:top w:val="single" w:sz="4" w:space="0" w:color="auto"/>
              <w:left w:val="single" w:sz="4" w:space="0" w:color="auto"/>
              <w:bottom w:val="nil"/>
              <w:right w:val="single" w:sz="4" w:space="0" w:color="000000"/>
            </w:tcBorders>
            <w:vAlign w:val="center"/>
            <w:hideMark/>
          </w:tcPr>
          <w:p w:rsidR="00E213F5" w:rsidRDefault="00E213F5">
            <w:pPr>
              <w:widowControl/>
              <w:spacing w:after="0" w:line="240" w:lineRule="auto"/>
              <w:jc w:val="left"/>
              <w:rPr>
                <w:rFonts w:ascii="宋体" w:hAnsi="宋体" w:cs="宋体"/>
                <w:sz w:val="22"/>
                <w:szCs w:val="22"/>
              </w:rPr>
            </w:pPr>
          </w:p>
        </w:tc>
        <w:tc>
          <w:tcPr>
            <w:tcW w:w="2556"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hint="eastAsia"/>
                <w:sz w:val="22"/>
                <w:szCs w:val="22"/>
              </w:rPr>
              <w:t>是否开展项目绩效自评</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2</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已开展</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2</w:t>
            </w:r>
          </w:p>
        </w:tc>
      </w:tr>
      <w:tr w:rsidR="00E213F5" w:rsidTr="00E213F5">
        <w:trPr>
          <w:trHeight w:val="1069"/>
        </w:trPr>
        <w:tc>
          <w:tcPr>
            <w:tcW w:w="862" w:type="dxa"/>
            <w:tcBorders>
              <w:top w:val="single" w:sz="4" w:space="0" w:color="auto"/>
              <w:left w:val="single" w:sz="4" w:space="0" w:color="auto"/>
              <w:bottom w:val="single" w:sz="4" w:space="0" w:color="auto"/>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效果（</w:t>
            </w:r>
            <w:r>
              <w:rPr>
                <w:sz w:val="22"/>
                <w:szCs w:val="22"/>
              </w:rPr>
              <w:t>10</w:t>
            </w:r>
            <w:r>
              <w:rPr>
                <w:rFonts w:hint="eastAsia"/>
                <w:sz w:val="22"/>
                <w:szCs w:val="22"/>
              </w:rPr>
              <w:t>分）</w:t>
            </w:r>
          </w:p>
        </w:tc>
        <w:tc>
          <w:tcPr>
            <w:tcW w:w="2122" w:type="dxa"/>
            <w:tcBorders>
              <w:top w:val="single" w:sz="4" w:space="0" w:color="auto"/>
              <w:left w:val="nil"/>
              <w:bottom w:val="single" w:sz="4" w:space="0" w:color="auto"/>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履职效益（</w:t>
            </w:r>
            <w:r>
              <w:rPr>
                <w:sz w:val="22"/>
                <w:szCs w:val="22"/>
              </w:rPr>
              <w:t>10</w:t>
            </w:r>
            <w:r>
              <w:rPr>
                <w:rFonts w:hint="eastAsia"/>
                <w:sz w:val="22"/>
                <w:szCs w:val="22"/>
              </w:rPr>
              <w:t>分）</w:t>
            </w:r>
          </w:p>
        </w:tc>
        <w:tc>
          <w:tcPr>
            <w:tcW w:w="2556" w:type="dxa"/>
            <w:tcBorders>
              <w:top w:val="single" w:sz="4" w:space="0" w:color="auto"/>
              <w:left w:val="nil"/>
              <w:bottom w:val="nil"/>
              <w:right w:val="single" w:sz="4" w:space="0" w:color="auto"/>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部门整体效益</w:t>
            </w:r>
          </w:p>
        </w:tc>
        <w:tc>
          <w:tcPr>
            <w:tcW w:w="850"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95%</w:t>
            </w:r>
          </w:p>
        </w:tc>
        <w:tc>
          <w:tcPr>
            <w:tcW w:w="915" w:type="dxa"/>
            <w:tcBorders>
              <w:top w:val="single" w:sz="4" w:space="0" w:color="auto"/>
              <w:left w:val="nil"/>
              <w:bottom w:val="nil"/>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w:t>
            </w:r>
          </w:p>
        </w:tc>
      </w:tr>
      <w:tr w:rsidR="00E213F5" w:rsidTr="00E213F5">
        <w:trPr>
          <w:trHeight w:val="1188"/>
        </w:trPr>
        <w:tc>
          <w:tcPr>
            <w:tcW w:w="862" w:type="dxa"/>
            <w:tcBorders>
              <w:top w:val="single" w:sz="4" w:space="0" w:color="auto"/>
              <w:left w:val="single" w:sz="4" w:space="0" w:color="auto"/>
              <w:bottom w:val="single" w:sz="4" w:space="0" w:color="auto"/>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满意度（</w:t>
            </w:r>
            <w:r>
              <w:rPr>
                <w:sz w:val="22"/>
                <w:szCs w:val="22"/>
              </w:rPr>
              <w:t>10</w:t>
            </w:r>
            <w:r>
              <w:rPr>
                <w:rFonts w:hint="eastAsia"/>
                <w:sz w:val="22"/>
                <w:szCs w:val="22"/>
              </w:rPr>
              <w:t>分）</w:t>
            </w:r>
          </w:p>
        </w:tc>
        <w:tc>
          <w:tcPr>
            <w:tcW w:w="2122" w:type="dxa"/>
            <w:tcBorders>
              <w:top w:val="single" w:sz="4" w:space="0" w:color="auto"/>
              <w:left w:val="nil"/>
              <w:bottom w:val="single" w:sz="4" w:space="0" w:color="auto"/>
              <w:right w:val="single" w:sz="4" w:space="0" w:color="000000"/>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社会公众或服务对象满意度（</w:t>
            </w:r>
            <w:r>
              <w:rPr>
                <w:sz w:val="22"/>
                <w:szCs w:val="22"/>
              </w:rPr>
              <w:t>10</w:t>
            </w:r>
            <w:r>
              <w:rPr>
                <w:rFonts w:hint="eastAsia"/>
                <w:sz w:val="22"/>
                <w:szCs w:val="22"/>
              </w:rPr>
              <w:t>分）</w:t>
            </w:r>
          </w:p>
        </w:tc>
        <w:tc>
          <w:tcPr>
            <w:tcW w:w="2556" w:type="dxa"/>
            <w:tcBorders>
              <w:top w:val="single" w:sz="4" w:space="0" w:color="auto"/>
              <w:left w:val="nil"/>
              <w:bottom w:val="single" w:sz="4" w:space="0" w:color="auto"/>
              <w:right w:val="single" w:sz="4" w:space="0" w:color="auto"/>
            </w:tcBorders>
            <w:vAlign w:val="center"/>
            <w:hideMark/>
          </w:tcPr>
          <w:p w:rsidR="00E213F5" w:rsidRDefault="00E213F5">
            <w:pPr>
              <w:spacing w:line="540" w:lineRule="exact"/>
              <w:jc w:val="center"/>
              <w:rPr>
                <w:rFonts w:ascii="宋体" w:hAnsi="宋体" w:cs="宋体"/>
                <w:sz w:val="22"/>
                <w:szCs w:val="22"/>
              </w:rPr>
            </w:pPr>
            <w:r>
              <w:rPr>
                <w:rFonts w:hint="eastAsia"/>
                <w:sz w:val="22"/>
                <w:szCs w:val="22"/>
              </w:rPr>
              <w:t>社会公众或服务对象</w:t>
            </w:r>
            <w:r>
              <w:rPr>
                <w:sz w:val="22"/>
                <w:szCs w:val="22"/>
              </w:rPr>
              <w:t xml:space="preserve">  </w:t>
            </w:r>
            <w:r>
              <w:rPr>
                <w:rFonts w:hint="eastAsia"/>
                <w:sz w:val="22"/>
                <w:szCs w:val="22"/>
              </w:rPr>
              <w:t>满意度</w:t>
            </w:r>
          </w:p>
        </w:tc>
        <w:tc>
          <w:tcPr>
            <w:tcW w:w="850"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10</w:t>
            </w:r>
          </w:p>
        </w:tc>
        <w:tc>
          <w:tcPr>
            <w:tcW w:w="1134" w:type="dxa"/>
            <w:tcBorders>
              <w:top w:val="single" w:sz="4" w:space="0" w:color="auto"/>
              <w:left w:val="nil"/>
              <w:bottom w:val="single" w:sz="4" w:space="0" w:color="auto"/>
              <w:right w:val="single" w:sz="4" w:space="0" w:color="auto"/>
            </w:tcBorders>
            <w:vAlign w:val="center"/>
            <w:hideMark/>
          </w:tcPr>
          <w:p w:rsidR="00E213F5" w:rsidRDefault="00005B94">
            <w:pPr>
              <w:widowControl/>
              <w:spacing w:after="0" w:line="540" w:lineRule="exact"/>
              <w:jc w:val="center"/>
              <w:rPr>
                <w:rFonts w:ascii="宋体" w:hAnsi="宋体" w:cs="宋体"/>
                <w:kern w:val="0"/>
                <w:sz w:val="24"/>
              </w:rPr>
            </w:pPr>
            <w:r>
              <w:rPr>
                <w:rFonts w:ascii="宋体" w:hAnsi="宋体" w:cs="宋体" w:hint="eastAsia"/>
                <w:kern w:val="0"/>
                <w:sz w:val="24"/>
              </w:rPr>
              <w:t>9</w:t>
            </w:r>
            <w:r>
              <w:rPr>
                <w:rFonts w:ascii="宋体" w:hAnsi="宋体" w:cs="宋体"/>
                <w:kern w:val="0"/>
                <w:sz w:val="24"/>
              </w:rPr>
              <w:t>5</w:t>
            </w:r>
            <w:r w:rsidR="00E213F5">
              <w:rPr>
                <w:rFonts w:ascii="宋体" w:hAnsi="宋体" w:cs="宋体" w:hint="eastAsia"/>
                <w:kern w:val="0"/>
                <w:sz w:val="24"/>
              </w:rPr>
              <w:t>%</w:t>
            </w:r>
          </w:p>
        </w:tc>
        <w:tc>
          <w:tcPr>
            <w:tcW w:w="915" w:type="dxa"/>
            <w:tcBorders>
              <w:top w:val="single" w:sz="4" w:space="0" w:color="auto"/>
              <w:left w:val="nil"/>
              <w:bottom w:val="single" w:sz="4" w:space="0" w:color="auto"/>
              <w:right w:val="single" w:sz="4" w:space="0" w:color="auto"/>
            </w:tcBorders>
            <w:vAlign w:val="center"/>
            <w:hideMark/>
          </w:tcPr>
          <w:p w:rsidR="00E213F5" w:rsidRDefault="003765D5">
            <w:pPr>
              <w:widowControl/>
              <w:spacing w:after="0" w:line="540" w:lineRule="exact"/>
              <w:jc w:val="center"/>
              <w:rPr>
                <w:rFonts w:ascii="宋体" w:hAnsi="宋体" w:cs="宋体"/>
                <w:kern w:val="0"/>
                <w:sz w:val="24"/>
              </w:rPr>
            </w:pPr>
            <w:r>
              <w:rPr>
                <w:rFonts w:ascii="宋体" w:hAnsi="宋体" w:cs="宋体"/>
                <w:kern w:val="0"/>
                <w:sz w:val="24"/>
              </w:rPr>
              <w:t>10</w:t>
            </w:r>
          </w:p>
        </w:tc>
      </w:tr>
      <w:tr w:rsidR="00E213F5" w:rsidTr="00E213F5">
        <w:trPr>
          <w:trHeight w:val="690"/>
        </w:trPr>
        <w:tc>
          <w:tcPr>
            <w:tcW w:w="7524" w:type="dxa"/>
            <w:gridSpan w:val="5"/>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lastRenderedPageBreak/>
              <w:t>绩效自评综合得分</w:t>
            </w:r>
          </w:p>
        </w:tc>
        <w:tc>
          <w:tcPr>
            <w:tcW w:w="915" w:type="dxa"/>
            <w:tcBorders>
              <w:top w:val="single" w:sz="4" w:space="0" w:color="auto"/>
              <w:left w:val="nil"/>
              <w:bottom w:val="single" w:sz="4" w:space="0" w:color="auto"/>
              <w:right w:val="single" w:sz="4" w:space="0" w:color="auto"/>
            </w:tcBorders>
            <w:vAlign w:val="center"/>
          </w:tcPr>
          <w:p w:rsidR="00E213F5" w:rsidRDefault="00BD1E49">
            <w:pPr>
              <w:widowControl/>
              <w:spacing w:after="0" w:line="540" w:lineRule="exact"/>
              <w:jc w:val="center"/>
              <w:rPr>
                <w:rFonts w:ascii="宋体" w:hAnsi="宋体" w:cs="宋体"/>
                <w:kern w:val="0"/>
                <w:sz w:val="24"/>
              </w:rPr>
            </w:pPr>
            <w:r>
              <w:rPr>
                <w:rFonts w:ascii="宋体" w:hAnsi="宋体" w:cs="宋体"/>
                <w:kern w:val="0"/>
                <w:sz w:val="24"/>
              </w:rPr>
              <w:t>95</w:t>
            </w:r>
          </w:p>
        </w:tc>
      </w:tr>
      <w:tr w:rsidR="00E213F5" w:rsidTr="00E213F5">
        <w:trPr>
          <w:trHeight w:val="700"/>
        </w:trPr>
        <w:tc>
          <w:tcPr>
            <w:tcW w:w="7524" w:type="dxa"/>
            <w:gridSpan w:val="5"/>
            <w:tcBorders>
              <w:top w:val="single" w:sz="4" w:space="0" w:color="auto"/>
              <w:left w:val="single" w:sz="4" w:space="0" w:color="auto"/>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自评等次</w:t>
            </w:r>
          </w:p>
        </w:tc>
        <w:tc>
          <w:tcPr>
            <w:tcW w:w="915" w:type="dxa"/>
            <w:tcBorders>
              <w:top w:val="single" w:sz="4" w:space="0" w:color="auto"/>
              <w:left w:val="nil"/>
              <w:bottom w:val="single" w:sz="4" w:space="0" w:color="auto"/>
              <w:right w:val="single" w:sz="4" w:space="0" w:color="auto"/>
            </w:tcBorders>
            <w:vAlign w:val="center"/>
            <w:hideMark/>
          </w:tcPr>
          <w:p w:rsidR="00E213F5" w:rsidRDefault="00E213F5">
            <w:pPr>
              <w:widowControl/>
              <w:spacing w:after="0" w:line="540" w:lineRule="exact"/>
              <w:jc w:val="center"/>
              <w:rPr>
                <w:rFonts w:ascii="宋体" w:hAnsi="宋体" w:cs="宋体"/>
                <w:kern w:val="0"/>
                <w:sz w:val="24"/>
              </w:rPr>
            </w:pPr>
            <w:r>
              <w:rPr>
                <w:rFonts w:ascii="宋体" w:hAnsi="宋体" w:cs="宋体" w:hint="eastAsia"/>
                <w:kern w:val="0"/>
                <w:sz w:val="24"/>
              </w:rPr>
              <w:t>优</w:t>
            </w:r>
          </w:p>
        </w:tc>
      </w:tr>
    </w:tbl>
    <w:p w:rsidR="00E213F5" w:rsidRDefault="00E213F5" w:rsidP="00E213F5">
      <w:pPr>
        <w:spacing w:after="0" w:line="540" w:lineRule="exact"/>
        <w:ind w:firstLine="640"/>
        <w:rPr>
          <w:rFonts w:ascii="黑体" w:eastAsia="黑体" w:hAnsi="黑体" w:cs="Times New Roman"/>
          <w:b/>
          <w:sz w:val="32"/>
          <w:szCs w:val="32"/>
        </w:rPr>
      </w:pPr>
      <w:bookmarkStart w:id="11" w:name="_Toc171765188"/>
      <w:bookmarkStart w:id="12" w:name="_Toc268005765"/>
      <w:bookmarkStart w:id="13" w:name="_Toc171764863"/>
      <w:bookmarkStart w:id="14" w:name="_Toc263686390"/>
      <w:bookmarkStart w:id="15" w:name="_Toc171772698"/>
      <w:r>
        <w:rPr>
          <w:rFonts w:ascii="黑体" w:eastAsia="黑体" w:hAnsi="黑体" w:cs="Times New Roman" w:hint="eastAsia"/>
          <w:b/>
          <w:sz w:val="32"/>
          <w:szCs w:val="32"/>
        </w:rPr>
        <w:t>四、存在问题和改进措施</w:t>
      </w:r>
    </w:p>
    <w:p w:rsidR="00E213F5" w:rsidRDefault="00E213F5" w:rsidP="00E213F5">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（一）存在问题</w:t>
      </w:r>
    </w:p>
    <w:p w:rsidR="00E213F5" w:rsidRDefault="002F5883" w:rsidP="00E213F5">
      <w:pPr>
        <w:spacing w:after="0" w:line="54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财政统筹调配，下一步将积极与财政沟通，落实资金到位；</w:t>
      </w:r>
      <w:r w:rsidRPr="002F5883">
        <w:rPr>
          <w:rFonts w:ascii="仿宋_GB2312" w:eastAsia="仿宋_GB2312" w:hAnsi="仿宋" w:hint="eastAsia"/>
          <w:sz w:val="32"/>
          <w:szCs w:val="32"/>
        </w:rPr>
        <w:t>部分年度指标值设置较低</w:t>
      </w:r>
      <w:r>
        <w:rPr>
          <w:rFonts w:ascii="仿宋_GB2312" w:eastAsia="仿宋_GB2312" w:hAnsi="仿宋" w:hint="eastAsia"/>
          <w:sz w:val="32"/>
          <w:szCs w:val="32"/>
        </w:rPr>
        <w:t>。</w:t>
      </w:r>
    </w:p>
    <w:p w:rsidR="00E213F5" w:rsidRDefault="00E213F5" w:rsidP="00E213F5">
      <w:pPr>
        <w:spacing w:after="0" w:line="540" w:lineRule="exact"/>
        <w:ind w:firstLine="640"/>
        <w:rPr>
          <w:rFonts w:ascii="楷体_GB2312" w:eastAsia="楷体_GB2312" w:hAnsi="仿宋"/>
          <w:b/>
          <w:sz w:val="32"/>
          <w:szCs w:val="32"/>
        </w:rPr>
      </w:pPr>
      <w:r>
        <w:rPr>
          <w:rFonts w:ascii="楷体_GB2312" w:eastAsia="楷体_GB2312" w:hAnsi="仿宋" w:hint="eastAsia"/>
          <w:b/>
          <w:sz w:val="32"/>
          <w:szCs w:val="32"/>
        </w:rPr>
        <w:t>（二）改进措施</w:t>
      </w:r>
    </w:p>
    <w:bookmarkEnd w:id="11"/>
    <w:bookmarkEnd w:id="12"/>
    <w:bookmarkEnd w:id="13"/>
    <w:bookmarkEnd w:id="14"/>
    <w:bookmarkEnd w:id="15"/>
    <w:p w:rsidR="00E213F5" w:rsidRDefault="002F5883" w:rsidP="00E213F5">
      <w:pPr>
        <w:pStyle w:val="a3"/>
        <w:spacing w:before="0" w:beforeAutospacing="0" w:after="0" w:afterAutospacing="0" w:line="540" w:lineRule="exact"/>
        <w:ind w:firstLineChars="200" w:firstLine="640"/>
        <w:jc w:val="both"/>
        <w:rPr>
          <w:rFonts w:ascii="仿宋_GB2312" w:eastAsia="仿宋_GB2312" w:hAnsi="仿宋"/>
          <w:sz w:val="32"/>
          <w:szCs w:val="32"/>
        </w:rPr>
      </w:pPr>
      <w:r w:rsidRPr="002F5883">
        <w:rPr>
          <w:rFonts w:ascii="仿宋_GB2312" w:eastAsia="仿宋_GB2312" w:hAnsi="仿宋" w:hint="eastAsia"/>
          <w:sz w:val="32"/>
          <w:szCs w:val="32"/>
        </w:rPr>
        <w:t>今后将细化预算编制工作，认真做好预算的编制，在日常预算管理过程中，进一步加强预算支出的审核、跟踪及预算执行情况分析，规范财务运行，加强预算支出管理</w:t>
      </w:r>
      <w:r>
        <w:rPr>
          <w:rFonts w:ascii="仿宋_GB2312" w:eastAsia="仿宋_GB2312" w:hAnsi="仿宋" w:hint="eastAsia"/>
          <w:sz w:val="32"/>
          <w:szCs w:val="32"/>
        </w:rPr>
        <w:t>。</w:t>
      </w:r>
    </w:p>
    <w:p w:rsidR="00E213F5" w:rsidRDefault="00E213F5" w:rsidP="00E213F5">
      <w:pPr>
        <w:pStyle w:val="a3"/>
        <w:spacing w:before="0" w:beforeAutospacing="0" w:after="0" w:afterAutospacing="0" w:line="540" w:lineRule="exact"/>
        <w:ind w:firstLineChars="200" w:firstLine="643"/>
        <w:jc w:val="both"/>
        <w:rPr>
          <w:rFonts w:ascii="仿宋_GB2312" w:eastAsia="仿宋_GB2312" w:hAnsi="仿宋"/>
          <w:sz w:val="32"/>
          <w:szCs w:val="32"/>
        </w:rPr>
      </w:pPr>
      <w:r>
        <w:rPr>
          <w:rFonts w:ascii="黑体" w:eastAsia="黑体" w:hAnsi="黑体" w:cs="Times New Roman" w:hint="eastAsia"/>
          <w:b/>
          <w:color w:val="auto"/>
          <w:kern w:val="2"/>
          <w:sz w:val="32"/>
          <w:szCs w:val="32"/>
        </w:rPr>
        <w:t>五、其他需要说明的情况</w:t>
      </w:r>
    </w:p>
    <w:p w:rsidR="00E213F5" w:rsidRDefault="00E213F5" w:rsidP="00E213F5">
      <w:pPr>
        <w:spacing w:after="0"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无</w:t>
      </w:r>
    </w:p>
    <w:p w:rsidR="00E213F5" w:rsidRDefault="00E213F5" w:rsidP="00E213F5">
      <w:pPr>
        <w:spacing w:after="0" w:line="540" w:lineRule="exact"/>
        <w:ind w:firstLineChars="200" w:firstLine="640"/>
        <w:rPr>
          <w:rFonts w:ascii="仿宋" w:eastAsia="仿宋" w:hAnsi="仿宋"/>
          <w:sz w:val="32"/>
          <w:szCs w:val="32"/>
        </w:rPr>
      </w:pPr>
    </w:p>
    <w:p w:rsidR="00617211" w:rsidRDefault="00617211"/>
    <w:sectPr w:rsidR="006172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97A" w:rsidRDefault="00D1197A" w:rsidP="00005B94">
      <w:pPr>
        <w:spacing w:after="0" w:line="240" w:lineRule="auto"/>
      </w:pPr>
      <w:r>
        <w:separator/>
      </w:r>
    </w:p>
  </w:endnote>
  <w:endnote w:type="continuationSeparator" w:id="0">
    <w:p w:rsidR="00D1197A" w:rsidRDefault="00D1197A" w:rsidP="00005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97A" w:rsidRDefault="00D1197A" w:rsidP="00005B94">
      <w:pPr>
        <w:spacing w:after="0" w:line="240" w:lineRule="auto"/>
      </w:pPr>
      <w:r>
        <w:separator/>
      </w:r>
    </w:p>
  </w:footnote>
  <w:footnote w:type="continuationSeparator" w:id="0">
    <w:p w:rsidR="00D1197A" w:rsidRDefault="00D1197A" w:rsidP="00005B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479"/>
    <w:rsid w:val="00005B94"/>
    <w:rsid w:val="002F5883"/>
    <w:rsid w:val="003765D5"/>
    <w:rsid w:val="00420479"/>
    <w:rsid w:val="00617211"/>
    <w:rsid w:val="00631FFF"/>
    <w:rsid w:val="007C71AB"/>
    <w:rsid w:val="009356B4"/>
    <w:rsid w:val="00BD1E49"/>
    <w:rsid w:val="00D1197A"/>
    <w:rsid w:val="00E213F5"/>
    <w:rsid w:val="00EE535B"/>
    <w:rsid w:val="00FE3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2C43A"/>
  <w15:chartTrackingRefBased/>
  <w15:docId w15:val="{B7F1C3BC-4F70-4257-A59F-842642A1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3F5"/>
    <w:pPr>
      <w:widowControl w:val="0"/>
      <w:spacing w:after="200" w:line="276" w:lineRule="auto"/>
      <w:jc w:val="both"/>
    </w:pPr>
    <w:rPr>
      <w:rFonts w:eastAsia="宋体"/>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qFormat/>
    <w:rsid w:val="00E213F5"/>
    <w:pPr>
      <w:widowControl/>
      <w:spacing w:before="100" w:beforeAutospacing="1" w:after="100" w:afterAutospacing="1"/>
      <w:jc w:val="left"/>
    </w:pPr>
    <w:rPr>
      <w:rFonts w:ascii="宋体" w:hAnsi="宋体" w:cs="宋体"/>
      <w:color w:val="000000"/>
      <w:kern w:val="0"/>
      <w:sz w:val="24"/>
    </w:rPr>
  </w:style>
  <w:style w:type="paragraph" w:styleId="a4">
    <w:name w:val="header"/>
    <w:basedOn w:val="a"/>
    <w:link w:val="a5"/>
    <w:uiPriority w:val="99"/>
    <w:unhideWhenUsed/>
    <w:rsid w:val="00005B94"/>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005B94"/>
    <w:rPr>
      <w:rFonts w:eastAsia="宋体"/>
      <w:sz w:val="18"/>
      <w:szCs w:val="18"/>
    </w:rPr>
  </w:style>
  <w:style w:type="paragraph" w:styleId="a6">
    <w:name w:val="footer"/>
    <w:basedOn w:val="a"/>
    <w:link w:val="a7"/>
    <w:uiPriority w:val="99"/>
    <w:unhideWhenUsed/>
    <w:rsid w:val="00005B94"/>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rsid w:val="00005B94"/>
    <w:rPr>
      <w:rFonts w:eastAsia="宋体"/>
      <w:sz w:val="18"/>
      <w:szCs w:val="18"/>
    </w:rPr>
  </w:style>
  <w:style w:type="paragraph" w:styleId="a8">
    <w:name w:val="Balloon Text"/>
    <w:basedOn w:val="a"/>
    <w:link w:val="a9"/>
    <w:uiPriority w:val="99"/>
    <w:semiHidden/>
    <w:unhideWhenUsed/>
    <w:rsid w:val="002F5883"/>
    <w:pPr>
      <w:spacing w:after="0" w:line="240" w:lineRule="auto"/>
    </w:pPr>
    <w:rPr>
      <w:sz w:val="18"/>
      <w:szCs w:val="18"/>
    </w:rPr>
  </w:style>
  <w:style w:type="character" w:customStyle="1" w:styleId="a9">
    <w:name w:val="批注框文本 字符"/>
    <w:basedOn w:val="a0"/>
    <w:link w:val="a8"/>
    <w:uiPriority w:val="99"/>
    <w:semiHidden/>
    <w:rsid w:val="002F5883"/>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47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HP1210-JBH</dc:creator>
  <cp:keywords/>
  <dc:description/>
  <cp:lastModifiedBy>hpcw-jbh</cp:lastModifiedBy>
  <cp:revision>9</cp:revision>
  <cp:lastPrinted>2023-07-14T07:12:00Z</cp:lastPrinted>
  <dcterms:created xsi:type="dcterms:W3CDTF">2023-07-04T03:22:00Z</dcterms:created>
  <dcterms:modified xsi:type="dcterms:W3CDTF">2023-07-14T07:12:00Z</dcterms:modified>
</cp:coreProperties>
</file>