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bookmarkStart w:id="0" w:name="_Toc456965826"/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和平区投资促进服务办公室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2022年整体支出绩效自评报告</w:t>
      </w:r>
    </w:p>
    <w:p>
      <w:pPr>
        <w:spacing w:after="0" w:line="540" w:lineRule="exact"/>
        <w:ind w:firstLine="64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区投促办的主要职能为贯彻执行国家和市有关招商引资、投资促进方面的法律法规和方针政策，制定相关规范性文件并组织实施；根据国民经济和社会发展总体规划，研究拟订全区招商引资、投资促进发展规划、年度计划并组织实施；负责全区招商引资、投资促进工作；负责区委、区政府有关招商引资、投资促进等具体部署的推动落实；负责国（境）内外招商引资项目信息收集、研判、跟踪等工作，组织推介全区重点区域、重点产业、重点招商引资项目；牵头负责全区重点招商引资项目洽谈、推动落地等工作；分析全区重点招商引资项目推进过程中的矛盾和问题，并提出解决意见和建议；负责本部门安全生产工作，并在职责范围内为本区安全生产工作提供支持保障等。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2" w:name="_Toc456965828"/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" w:eastAsia="仿宋_GB2312"/>
          <w:sz w:val="32"/>
          <w:szCs w:val="32"/>
        </w:rPr>
      </w:pPr>
      <w:bookmarkStart w:id="3" w:name="_Toc456965830"/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和平区</w:t>
      </w:r>
      <w:r>
        <w:rPr>
          <w:rFonts w:hint="eastAsia" w:ascii="仿宋_GB2312" w:eastAsia="仿宋_GB2312"/>
          <w:bCs/>
          <w:kern w:val="0"/>
          <w:sz w:val="32"/>
          <w:szCs w:val="32"/>
        </w:rPr>
        <w:t>投资促进服务办公室</w:t>
      </w:r>
      <w:r>
        <w:rPr>
          <w:rFonts w:eastAsia="仿宋_GB2312"/>
          <w:sz w:val="30"/>
          <w:szCs w:val="30"/>
        </w:rPr>
        <w:t>内设</w:t>
      </w:r>
      <w:r>
        <w:rPr>
          <w:rFonts w:hint="eastAsia"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个职能</w:t>
      </w:r>
      <w:r>
        <w:rPr>
          <w:rFonts w:hint="eastAsia" w:eastAsia="仿宋_GB2312"/>
          <w:sz w:val="30"/>
          <w:szCs w:val="30"/>
        </w:rPr>
        <w:t>科</w:t>
      </w:r>
      <w:r>
        <w:rPr>
          <w:rFonts w:eastAsia="仿宋_GB2312"/>
          <w:sz w:val="30"/>
          <w:szCs w:val="30"/>
        </w:rPr>
        <w:t>室；</w:t>
      </w:r>
      <w:r>
        <w:rPr>
          <w:rFonts w:hint="eastAsia" w:eastAsia="仿宋_GB2312"/>
          <w:sz w:val="30"/>
          <w:szCs w:val="30"/>
        </w:rPr>
        <w:t>无</w:t>
      </w:r>
      <w:r>
        <w:rPr>
          <w:rFonts w:eastAsia="仿宋_GB2312"/>
          <w:sz w:val="30"/>
          <w:szCs w:val="30"/>
        </w:rPr>
        <w:t>下辖预算单位</w:t>
      </w:r>
      <w:r>
        <w:rPr>
          <w:rFonts w:hint="eastAsia" w:eastAsia="仿宋_GB2312"/>
          <w:sz w:val="30"/>
          <w:szCs w:val="30"/>
        </w:rPr>
        <w:t>，在职人员17人，退休人员2人。</w:t>
      </w:r>
    </w:p>
    <w:bookmarkEnd w:id="3"/>
    <w:p>
      <w:pPr>
        <w:spacing w:after="0" w:line="540" w:lineRule="exact"/>
        <w:ind w:firstLine="640"/>
        <w:rPr>
          <w:rFonts w:ascii="黑体" w:hAnsi="黑体" w:eastAsia="黑体"/>
          <w:sz w:val="32"/>
          <w:szCs w:val="32"/>
        </w:rPr>
      </w:pPr>
      <w:bookmarkStart w:id="4" w:name="_Toc456965831"/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2022年年初预算财政拨款765.4万元，其中：基本支出453.2万元，项目支出312.2万元。上年财政拨款结转结余</w:t>
      </w:r>
      <w:bookmarkStart w:id="15" w:name="_GoBack"/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22.5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万元；</w:t>
      </w:r>
      <w:bookmarkEnd w:id="15"/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2022年决算财政拨款支出1106.2万元，其中基本支出538.7万元，项目支出545.0万元，其他资金支出22.5万元。年末结转结余0万元，其中基本支出0万元，项目支出0万元。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（二）年度主要任务完成情况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任务1：通过使用人员办公经费，保障单位各项工作正常开展,年初预算金额565.7万元，全年预算金额574.5万元，执行数574.5万元，执行率100%,我单位通过使用人员办公经费，保障了单位各项工作正常开展。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任务2：通过开展招商引资相关工作，推动区域经济发展，年初预算金额199.7万元，全年预算金额531.7万元，执行数531.7万元，执行率100%,今年，我单位开展了组织招商活动、赴外省市招商、盘活空置楼宇等招商引资工作，引进优质企业1160家，实现内资到位额71.07亿元，盘活了163009.45平方米空置楼宇面积，促进了区域经济发展。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总计：年初预算金额765.4万元，全年预算金额1106.2万元，执行数1106.2万元，执行率100%。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（三）部门财务管理情况</w:t>
      </w:r>
    </w:p>
    <w:p>
      <w:pPr>
        <w:spacing w:after="0" w:line="540" w:lineRule="exact"/>
        <w:ind w:firstLine="640"/>
        <w:rPr>
          <w:rFonts w:ascii="仿宋_GB2312" w:hAnsi="黑体" w:eastAsia="仿宋_GB2312" w:cs="Times New Roman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按照《会计法》、《行政单位会计制度》、《政府采购制度》及单位内部《财务制度》的要求开展各项财务工作，严格落实财务管理主体责任，各项收入和支出全部纳入部门预算管理，按要求执行资产管理各项制度，实行资产全过程管理，能够做到账实相符，充分发挥资产效益。</w:t>
      </w:r>
    </w:p>
    <w:bookmarkEnd w:id="4"/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bookmarkStart w:id="5" w:name="_Toc268005759"/>
      <w:bookmarkStart w:id="6" w:name="_Toc263686375"/>
      <w:bookmarkStart w:id="7" w:name="_Toc456965846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5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8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8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rPr>
          <w:rFonts w:ascii="仿宋_GB2312" w:hAnsi="仿宋" w:eastAsia="仿宋_GB2312"/>
          <w:sz w:val="32"/>
          <w:szCs w:val="32"/>
        </w:rPr>
      </w:pPr>
      <w:bookmarkStart w:id="9" w:name="_Toc268005761"/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我单位根据绩效管理相关要求，对我单位2022年各项资金使用情况进行了全面绩效自评，通过自评，2022年我单位各项业务工作目标已基本完成，整体支出资金使用率</w:t>
      </w:r>
      <w:r>
        <w:rPr>
          <w:rFonts w:hint="eastAsia" w:ascii="仿宋_GB2312" w:hAnsi="仿宋" w:eastAsia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，绩效自评得分95，已达成年度目标。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</w:t>
      </w:r>
      <w:bookmarkEnd w:id="9"/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任务1：通过使用人员办公经费，保障单位各项工作正常开展,全年工资保障人数17人，单位正常运转率100%，工资发放及时率100%，人员公用经费支出574.5万元，通过使用人员办公经费，保障了单位各项工作正常开展，均已完成年度指标值。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任务2：通过开展招商引资相关工作，推动区域经济发展，今年，我单位开展了组织招商活动、赴外省市招商、盘活空置楼宇等招商引资工作，引进优质企业1160家，实现内资到位额71.07亿元，盘活了163009.45平方米空置楼宇面积，促进了区域经济发展。</w:t>
      </w: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</w:p>
    <w:bookmarkEnd w:id="6"/>
    <w:bookmarkEnd w:id="7"/>
    <w:p>
      <w:pPr>
        <w:widowControl/>
        <w:spacing w:after="0" w:line="54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表1：部门整体支出绩效评分表</w:t>
      </w:r>
    </w:p>
    <w:tbl>
      <w:tblPr>
        <w:tblStyle w:val="8"/>
        <w:tblW w:w="8439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134"/>
        <w:gridCol w:w="9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投入（15分）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目标设定（5分）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明确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94%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-6%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过程（45分）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预算执行（16分）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100%（上年度无结余）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预算管理（18分）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合规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已公开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完善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资产管理（11分）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完整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    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产出（20分）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责任履行（20分）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开展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  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95%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bookmarkStart w:id="10" w:name="_Toc171765188"/>
      <w:bookmarkStart w:id="11" w:name="_Toc268005765"/>
      <w:bookmarkStart w:id="12" w:name="_Toc171764863"/>
      <w:bookmarkStart w:id="13" w:name="_Toc263686390"/>
      <w:bookmarkStart w:id="14" w:name="_Toc171772698"/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p>
      <w:pPr>
        <w:spacing w:after="0" w:line="540" w:lineRule="exact"/>
        <w:ind w:firstLine="64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本年度我单位结转结余资金9.94元，上年度无结余，使结转结余变动率达到100%。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bookmarkEnd w:id="10"/>
    <w:bookmarkEnd w:id="11"/>
    <w:bookmarkEnd w:id="12"/>
    <w:bookmarkEnd w:id="13"/>
    <w:bookmarkEnd w:id="14"/>
    <w:p>
      <w:pPr>
        <w:pStyle w:val="5"/>
        <w:spacing w:before="0" w:beforeAutospacing="0" w:after="0" w:afterAutospacing="0" w:line="540" w:lineRule="exact"/>
        <w:ind w:firstLine="640" w:firstLineChars="200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今后我单位将严格按照实际用款额申请资金，在时间条件允许的情况下及时将结余资金退回区财政，争取做到年末无结转结余资金。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仿宋" w:hAnsi="仿宋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spacing w:after="0" w:line="5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无。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rStyle w:val="7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rPr>
                              <w:rStyle w:val="7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1</w:t>
                          </w:r>
                          <w:r>
                            <w:rPr>
                              <w:rStyle w:val="7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rStyle w:val="7"/>
                      </w:rP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rPr>
                        <w:rStyle w:val="7"/>
                      </w:rPr>
                      <w:fldChar w:fldCharType="separate"/>
                    </w:r>
                    <w:r>
                      <w:rPr>
                        <w:rStyle w:val="7"/>
                      </w:rPr>
                      <w:t>1</w:t>
                    </w:r>
                    <w:r>
                      <w:rPr>
                        <w:rStyle w:val="7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1YTFhMjBhYzM4Y2MxODkzN2RjZGU2ZGE4NDUzNzgifQ=="/>
  </w:docVars>
  <w:rsids>
    <w:rsidRoot w:val="000B725D"/>
    <w:rsid w:val="000366C0"/>
    <w:rsid w:val="00096ED1"/>
    <w:rsid w:val="000B725D"/>
    <w:rsid w:val="000D28FF"/>
    <w:rsid w:val="000F506F"/>
    <w:rsid w:val="0012248D"/>
    <w:rsid w:val="00144D63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492B98"/>
    <w:rsid w:val="004B3AEF"/>
    <w:rsid w:val="00532CEC"/>
    <w:rsid w:val="005529C7"/>
    <w:rsid w:val="00576418"/>
    <w:rsid w:val="005877E2"/>
    <w:rsid w:val="005A75D7"/>
    <w:rsid w:val="005D1600"/>
    <w:rsid w:val="00715F70"/>
    <w:rsid w:val="00726F06"/>
    <w:rsid w:val="007313B3"/>
    <w:rsid w:val="007D0D57"/>
    <w:rsid w:val="00804B6F"/>
    <w:rsid w:val="0080545B"/>
    <w:rsid w:val="00865A10"/>
    <w:rsid w:val="00890613"/>
    <w:rsid w:val="008D26AB"/>
    <w:rsid w:val="00932C43"/>
    <w:rsid w:val="009B4E28"/>
    <w:rsid w:val="00A63451"/>
    <w:rsid w:val="00A8690F"/>
    <w:rsid w:val="00AD0A06"/>
    <w:rsid w:val="00AE3BB3"/>
    <w:rsid w:val="00B72591"/>
    <w:rsid w:val="00BA19A1"/>
    <w:rsid w:val="00BC38D4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32EED"/>
    <w:rsid w:val="00D519C5"/>
    <w:rsid w:val="00D616BA"/>
    <w:rsid w:val="00DA0267"/>
    <w:rsid w:val="00DC6D16"/>
    <w:rsid w:val="00DD57DA"/>
    <w:rsid w:val="00E027E0"/>
    <w:rsid w:val="00E26FF1"/>
    <w:rsid w:val="00E27E43"/>
    <w:rsid w:val="00E57148"/>
    <w:rsid w:val="00ED7332"/>
    <w:rsid w:val="00EF4F53"/>
    <w:rsid w:val="00F11CD0"/>
    <w:rsid w:val="00F324E1"/>
    <w:rsid w:val="00F77D55"/>
    <w:rsid w:val="00FB216A"/>
    <w:rsid w:val="02F74F86"/>
    <w:rsid w:val="043E06DE"/>
    <w:rsid w:val="04F2770F"/>
    <w:rsid w:val="090507D3"/>
    <w:rsid w:val="0A8E7BE6"/>
    <w:rsid w:val="0B1E3585"/>
    <w:rsid w:val="0D2131AD"/>
    <w:rsid w:val="0DA651AB"/>
    <w:rsid w:val="0ECB61A8"/>
    <w:rsid w:val="11916C6D"/>
    <w:rsid w:val="1713092A"/>
    <w:rsid w:val="1B471AE5"/>
    <w:rsid w:val="1B5D75E4"/>
    <w:rsid w:val="1B8701CF"/>
    <w:rsid w:val="21B631A5"/>
    <w:rsid w:val="21C06A17"/>
    <w:rsid w:val="23AA66A7"/>
    <w:rsid w:val="24D27B28"/>
    <w:rsid w:val="268B30A3"/>
    <w:rsid w:val="2BEE5AF9"/>
    <w:rsid w:val="2EF91626"/>
    <w:rsid w:val="30375BD2"/>
    <w:rsid w:val="30A92E3B"/>
    <w:rsid w:val="356F523C"/>
    <w:rsid w:val="359B244B"/>
    <w:rsid w:val="35C00B7E"/>
    <w:rsid w:val="35C070A7"/>
    <w:rsid w:val="385A3EC8"/>
    <w:rsid w:val="3876316A"/>
    <w:rsid w:val="3A054AC9"/>
    <w:rsid w:val="3A5B2759"/>
    <w:rsid w:val="3F936BB3"/>
    <w:rsid w:val="45EE109C"/>
    <w:rsid w:val="498A1F75"/>
    <w:rsid w:val="49AB449D"/>
    <w:rsid w:val="4A2D0673"/>
    <w:rsid w:val="4A783AB7"/>
    <w:rsid w:val="4DCF2866"/>
    <w:rsid w:val="52BD598A"/>
    <w:rsid w:val="56B91573"/>
    <w:rsid w:val="5C3468B5"/>
    <w:rsid w:val="5FE46715"/>
    <w:rsid w:val="640C6632"/>
    <w:rsid w:val="642A326D"/>
    <w:rsid w:val="681E750B"/>
    <w:rsid w:val="68564B9A"/>
    <w:rsid w:val="68817EE4"/>
    <w:rsid w:val="6CC37F33"/>
    <w:rsid w:val="70874519"/>
    <w:rsid w:val="731A328C"/>
    <w:rsid w:val="73325D4D"/>
    <w:rsid w:val="740752C3"/>
    <w:rsid w:val="7658178E"/>
    <w:rsid w:val="77F51365"/>
    <w:rsid w:val="7E377C09"/>
    <w:rsid w:val="7EBA6954"/>
    <w:rsid w:val="7ED530BD"/>
    <w:rsid w:val="7F6C4F4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7">
    <w:name w:val="page number"/>
    <w:basedOn w:val="6"/>
    <w:unhideWhenUsed/>
    <w:qFormat/>
    <w:uiPriority w:val="99"/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正文文本缩进 Char"/>
    <w:basedOn w:val="6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327</Words>
  <Characters>1865</Characters>
  <Lines>15</Lines>
  <Paragraphs>4</Paragraphs>
  <TotalTime>0</TotalTime>
  <ScaleCrop>false</ScaleCrop>
  <LinksUpToDate>false</LinksUpToDate>
  <CharactersWithSpaces>2188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2018-07-23T08:42:00Z</dcterms:created>
  <dc:creator>Suda</dc:creator>
  <cp:lastModifiedBy>Zhaiwu</cp:lastModifiedBy>
  <cp:lastPrinted>2023-06-23T07:48:00Z</cp:lastPrinted>
  <dcterms:modified xsi:type="dcterms:W3CDTF">2023-08-29T02:57:55Z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38A4858FD1E44653AD8CF5C8625AC879_13</vt:lpwstr>
  </property>
</Properties>
</file>