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927" w:firstLineChars="200"/>
        <w:jc w:val="both"/>
        <w:rPr>
          <w:rFonts w:ascii="宋体" w:hAnsi="宋体"/>
          <w:b/>
          <w:bCs/>
          <w:sz w:val="44"/>
          <w:szCs w:val="44"/>
          <w:lang w:eastAsia="zh-CN"/>
        </w:rPr>
      </w:pPr>
      <w:bookmarkStart w:id="0" w:name="_GoBack"/>
      <w:bookmarkEnd w:id="0"/>
      <w:r>
        <w:rPr>
          <w:rFonts w:ascii="宋体" w:hAnsi="宋体"/>
          <w:b/>
          <w:bCs/>
          <w:w w:val="105"/>
          <w:sz w:val="44"/>
          <w:szCs w:val="44"/>
          <w:lang w:val="en" w:eastAsia="zh-CN"/>
        </w:rPr>
        <w:t>大楼运行经费</w:t>
      </w:r>
      <w:r>
        <w:rPr>
          <w:rFonts w:hint="eastAsia" w:ascii="宋体" w:hAnsi="宋体"/>
          <w:b/>
          <w:bCs/>
          <w:spacing w:val="-15"/>
          <w:w w:val="105"/>
          <w:sz w:val="44"/>
          <w:szCs w:val="44"/>
          <w:lang w:eastAsia="zh-CN"/>
        </w:rPr>
        <w:t>支出绩效自评报告</w:t>
      </w:r>
    </w:p>
    <w:p>
      <w:pPr>
        <w:spacing w:line="600" w:lineRule="exact"/>
        <w:ind w:firstLine="656" w:firstLineChars="200"/>
        <w:jc w:val="center"/>
        <w:rPr>
          <w:rFonts w:ascii="黑体" w:hAnsi="黑体" w:eastAsia="黑体"/>
          <w:spacing w:val="-4"/>
          <w:w w:val="105"/>
          <w:sz w:val="32"/>
          <w:szCs w:val="32"/>
          <w:lang w:eastAsia="zh-CN"/>
        </w:rPr>
      </w:pPr>
    </w:p>
    <w:p>
      <w:pPr>
        <w:spacing w:line="600" w:lineRule="exact"/>
        <w:ind w:firstLine="656" w:firstLineChars="200"/>
        <w:jc w:val="both"/>
        <w:rPr>
          <w:rFonts w:ascii="黑体" w:hAnsi="黑体" w:eastAsia="黑体"/>
          <w:sz w:val="32"/>
          <w:szCs w:val="32"/>
          <w:lang w:eastAsia="zh-CN"/>
        </w:rPr>
      </w:pPr>
      <w:r>
        <w:rPr>
          <w:rFonts w:ascii="黑体" w:hAnsi="黑体" w:eastAsia="黑体"/>
          <w:spacing w:val="-4"/>
          <w:w w:val="105"/>
          <w:sz w:val="32"/>
          <w:szCs w:val="32"/>
          <w:lang w:eastAsia="zh-CN"/>
        </w:rPr>
        <w:t>一、基本情况</w:t>
      </w:r>
    </w:p>
    <w:p>
      <w:pPr>
        <w:spacing w:line="600" w:lineRule="exact"/>
        <w:ind w:firstLine="640" w:firstLineChars="20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（一）项目概况。包括项目背景、主要内容及实施情况、资金投入和使用情况等。</w:t>
      </w:r>
    </w:p>
    <w:p>
      <w:pPr>
        <w:spacing w:line="600" w:lineRule="exact"/>
        <w:ind w:firstLine="640" w:firstLineChars="20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大楼运行经费是为保障区委区政府办公楼各部门办公安全、有效、正常运转，保证大楼公共资产的安全使用，特申请设立该项目。主要用于大楼的设施设备维护、检测、维保及常规性支出，包括大楼设备维修维护、消防维保、垃圾处理、燃气安全、安防系统维护等支出。大楼运行经费年初预算数为50</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万元，全年预算数为</w:t>
      </w:r>
      <w:r>
        <w:rPr>
          <w:rFonts w:hint="default" w:ascii="Times New Roman" w:hAnsi="Times New Roman" w:eastAsia="仿宋_GB2312"/>
          <w:sz w:val="32"/>
          <w:szCs w:val="32"/>
          <w:lang w:val="en" w:eastAsia="zh-CN"/>
        </w:rPr>
        <w:t>265.8</w:t>
      </w:r>
      <w:r>
        <w:rPr>
          <w:rFonts w:hint="eastAsia" w:ascii="Times New Roman" w:hAnsi="Times New Roman" w:eastAsia="仿宋_GB2312"/>
          <w:sz w:val="32"/>
          <w:szCs w:val="32"/>
          <w:lang w:eastAsia="zh-CN"/>
        </w:rPr>
        <w:t>万元，全年执行数为</w:t>
      </w:r>
      <w:r>
        <w:rPr>
          <w:rFonts w:hint="eastAsia" w:ascii="Times New Roman" w:hAnsi="Times New Roman" w:eastAsia="仿宋_GB2312"/>
          <w:sz w:val="32"/>
          <w:szCs w:val="32"/>
          <w:lang w:val="en-US" w:eastAsia="zh-CN"/>
        </w:rPr>
        <w:t>2</w:t>
      </w:r>
      <w:r>
        <w:rPr>
          <w:rFonts w:hint="default" w:ascii="Times New Roman" w:hAnsi="Times New Roman" w:eastAsia="仿宋_GB2312"/>
          <w:sz w:val="32"/>
          <w:szCs w:val="32"/>
          <w:lang w:val="en" w:eastAsia="zh-CN"/>
        </w:rPr>
        <w:t>65.8</w:t>
      </w:r>
      <w:r>
        <w:rPr>
          <w:rFonts w:hint="eastAsia" w:ascii="Times New Roman" w:hAnsi="Times New Roman" w:eastAsia="仿宋_GB2312"/>
          <w:sz w:val="32"/>
          <w:szCs w:val="32"/>
          <w:lang w:eastAsia="zh-CN"/>
        </w:rPr>
        <w:t>万元。</w:t>
      </w:r>
    </w:p>
    <w:p>
      <w:p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全年预算数为</w:t>
      </w:r>
      <w:r>
        <w:rPr>
          <w:rFonts w:hint="default" w:ascii="Times New Roman" w:hAnsi="Times New Roman" w:eastAsia="仿宋_GB2312"/>
          <w:sz w:val="32"/>
          <w:szCs w:val="32"/>
          <w:lang w:val="en" w:eastAsia="zh-CN"/>
        </w:rPr>
        <w:t>265.8</w:t>
      </w:r>
      <w:r>
        <w:rPr>
          <w:rFonts w:hint="eastAsia" w:ascii="Times New Roman" w:hAnsi="Times New Roman" w:eastAsia="仿宋_GB2312"/>
          <w:sz w:val="32"/>
          <w:szCs w:val="32"/>
          <w:lang w:eastAsia="zh-CN"/>
        </w:rPr>
        <w:t>万元，用于大楼的设施设备检测、设备维保及常规性支出</w:t>
      </w:r>
      <w:r>
        <w:rPr>
          <w:rFonts w:hint="eastAsia" w:ascii="Times New Roman" w:hAnsi="Times New Roman" w:eastAsia="仿宋_GB2312"/>
          <w:sz w:val="32"/>
          <w:szCs w:val="32"/>
          <w:lang w:val="en-US" w:eastAsia="zh-CN"/>
        </w:rPr>
        <w:t>26</w:t>
      </w:r>
      <w:r>
        <w:rPr>
          <w:rFonts w:hint="default" w:ascii="Times New Roman" w:hAnsi="Times New Roman" w:eastAsia="仿宋_GB2312"/>
          <w:sz w:val="32"/>
          <w:szCs w:val="32"/>
          <w:lang w:val="en" w:eastAsia="zh-CN"/>
        </w:rPr>
        <w:t>5.8</w:t>
      </w:r>
      <w:r>
        <w:rPr>
          <w:rFonts w:hint="eastAsia" w:ascii="Times New Roman" w:hAnsi="Times New Roman" w:eastAsia="仿宋_GB2312"/>
          <w:sz w:val="32"/>
          <w:szCs w:val="32"/>
          <w:lang w:eastAsia="zh-CN"/>
        </w:rPr>
        <w:t>万元。不存在截留、挤占、挪用专项资金等情况，资金开支范围、标准及支付进度等符合规定，支付依据充分，资金使用范围与预算相符。</w:t>
      </w:r>
    </w:p>
    <w:p>
      <w:pPr>
        <w:numPr>
          <w:ilvl w:val="0"/>
          <w:numId w:val="1"/>
        </w:num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项目绩效目标。包括总体目标和阶段性目标。</w:t>
      </w:r>
    </w:p>
    <w:p>
      <w:pPr>
        <w:spacing w:line="600" w:lineRule="exact"/>
        <w:ind w:firstLine="64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年初预期目标：通过做好大楼运行经费支付，保障办公楼正常运行。</w:t>
      </w:r>
    </w:p>
    <w:p>
      <w:pPr>
        <w:spacing w:line="600" w:lineRule="exact"/>
        <w:ind w:firstLine="64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年度实际完成情况：为确保区委区政府办公大楼安全、有效、正常运转，保证大楼公共财产的安全。通过对区委区政府办公楼设备设施维修维护及物业管理等方面进行监督，保证区委区政府办公大楼正常运转，为正常办公提供保障。</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二、绩效评价工作开展情况</w:t>
      </w:r>
    </w:p>
    <w:p>
      <w:pPr>
        <w:spacing w:line="600" w:lineRule="exact"/>
        <w:ind w:firstLine="640" w:firstLineChars="200"/>
        <w:jc w:val="both"/>
        <w:rPr>
          <w:rFonts w:hint="eastAsia" w:ascii="仿宋_GB2312" w:hAnsi="Times New Roman" w:eastAsia="仿宋_GB2312"/>
          <w:sz w:val="32"/>
          <w:szCs w:val="32"/>
          <w:lang w:eastAsia="zh-CN"/>
        </w:rPr>
      </w:pPr>
      <w:r>
        <w:rPr>
          <w:rFonts w:hint="eastAsia" w:ascii="Times New Roman" w:hAnsi="Times New Roman" w:eastAsia="仿宋_GB2312"/>
          <w:sz w:val="32"/>
          <w:szCs w:val="32"/>
          <w:lang w:eastAsia="zh-CN"/>
        </w:rPr>
        <w:t>（一）</w:t>
      </w:r>
      <w:r>
        <w:rPr>
          <w:rFonts w:ascii="Times New Roman" w:hAnsi="Times New Roman" w:eastAsia="仿宋_GB2312"/>
          <w:sz w:val="32"/>
          <w:szCs w:val="32"/>
          <w:lang w:eastAsia="zh-CN"/>
        </w:rPr>
        <w:t>绩效评价</w:t>
      </w:r>
      <w:r>
        <w:rPr>
          <w:rFonts w:ascii="Times New Roman" w:hAnsi="Times New Roman" w:eastAsia="仿宋_GB2312"/>
          <w:spacing w:val="-91"/>
          <w:sz w:val="32"/>
          <w:szCs w:val="32"/>
          <w:lang w:eastAsia="zh-CN"/>
        </w:rPr>
        <w:t xml:space="preserve"> </w:t>
      </w:r>
      <w:r>
        <w:rPr>
          <w:rFonts w:ascii="Times New Roman" w:hAnsi="Times New Roman" w:eastAsia="仿宋_GB2312"/>
          <w:spacing w:val="-10"/>
          <w:sz w:val="32"/>
          <w:szCs w:val="32"/>
          <w:lang w:eastAsia="zh-CN"/>
        </w:rPr>
        <w:t>目的</w:t>
      </w:r>
      <w:r>
        <w:rPr>
          <w:rFonts w:hint="eastAsia" w:ascii="仿宋_GB2312" w:hAnsi="Times New Roman" w:eastAsia="仿宋_GB2312"/>
          <w:sz w:val="32"/>
          <w:szCs w:val="32"/>
          <w:lang w:eastAsia="zh-CN"/>
        </w:rPr>
        <w:t>、对象和范围。</w:t>
      </w:r>
    </w:p>
    <w:p>
      <w:pPr>
        <w:spacing w:line="600" w:lineRule="exact"/>
        <w:ind w:firstLine="640" w:firstLineChars="200"/>
        <w:jc w:val="both"/>
        <w:rPr>
          <w:rFonts w:hint="eastAsia" w:ascii="仿宋_GB2312" w:hAnsi="Times New Roman" w:eastAsia="仿宋_GB2312"/>
          <w:sz w:val="32"/>
          <w:szCs w:val="32"/>
          <w:lang w:eastAsia="zh-CN"/>
        </w:rPr>
      </w:pPr>
      <w:r>
        <w:rPr>
          <w:rFonts w:ascii="Times New Roman" w:hAnsi="Times New Roman" w:eastAsia="仿宋_GB2312"/>
          <w:sz w:val="32"/>
          <w:szCs w:val="32"/>
          <w:lang w:eastAsia="zh-CN"/>
        </w:rPr>
        <w:t>绩效评价</w:t>
      </w:r>
      <w:r>
        <w:rPr>
          <w:rFonts w:ascii="Times New Roman" w:hAnsi="Times New Roman" w:eastAsia="仿宋_GB2312"/>
          <w:spacing w:val="-91"/>
          <w:sz w:val="32"/>
          <w:szCs w:val="32"/>
          <w:lang w:eastAsia="zh-CN"/>
        </w:rPr>
        <w:t xml:space="preserve"> </w:t>
      </w:r>
      <w:r>
        <w:rPr>
          <w:rFonts w:ascii="Times New Roman" w:hAnsi="Times New Roman" w:eastAsia="仿宋_GB2312"/>
          <w:spacing w:val="-10"/>
          <w:sz w:val="32"/>
          <w:szCs w:val="32"/>
          <w:lang w:eastAsia="zh-CN"/>
        </w:rPr>
        <w:t>目的</w:t>
      </w:r>
      <w:r>
        <w:rPr>
          <w:rFonts w:hint="eastAsia" w:ascii="Times New Roman" w:hAnsi="Times New Roman" w:eastAsia="仿宋_GB2312"/>
          <w:spacing w:val="-10"/>
          <w:sz w:val="32"/>
          <w:szCs w:val="32"/>
          <w:lang w:eastAsia="zh-CN"/>
        </w:rPr>
        <w:t>：</w:t>
      </w:r>
      <w:r>
        <w:rPr>
          <w:rFonts w:hint="eastAsia" w:ascii="仿宋_GB2312" w:hAnsi="Times New Roman" w:eastAsia="仿宋_GB2312"/>
          <w:sz w:val="32"/>
          <w:szCs w:val="32"/>
          <w:lang w:eastAsia="zh-CN"/>
        </w:rPr>
        <w:t>通过对大楼运行经费项目资金的绩效评价，了解该专项经费进展，资金使用及执行情况，取得的成效，总结经验，发现问题，提出改进的意见和建议。对项目运行过程中的成本费用进行分析对比，为下年预算资金安排提供参考依据。</w:t>
      </w:r>
    </w:p>
    <w:p>
      <w:pPr>
        <w:spacing w:line="600" w:lineRule="exact"/>
        <w:ind w:firstLine="640" w:firstLineChars="20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评价对象：大楼运行经费。</w:t>
      </w:r>
    </w:p>
    <w:p>
      <w:pPr>
        <w:spacing w:line="600" w:lineRule="exact"/>
        <w:ind w:firstLine="640" w:firstLineChars="200"/>
        <w:jc w:val="both"/>
        <w:rPr>
          <w:rFonts w:ascii="仿宋_GB2312" w:hAnsi="Times New Roman" w:eastAsia="仿宋_GB2312"/>
          <w:sz w:val="32"/>
          <w:szCs w:val="32"/>
          <w:lang w:eastAsia="zh-CN"/>
        </w:rPr>
      </w:pPr>
      <w:r>
        <w:rPr>
          <w:rFonts w:hint="eastAsia" w:ascii="仿宋_GB2312" w:hAnsi="Times New Roman" w:eastAsia="仿宋_GB2312"/>
          <w:sz w:val="32"/>
          <w:szCs w:val="32"/>
          <w:lang w:eastAsia="zh-CN"/>
        </w:rPr>
        <w:t>评价范围：202</w:t>
      </w:r>
      <w:r>
        <w:rPr>
          <w:rFonts w:hint="eastAsia" w:ascii="仿宋_GB2312" w:hAnsi="Times New Roman" w:eastAsia="仿宋_GB2312"/>
          <w:sz w:val="32"/>
          <w:szCs w:val="32"/>
          <w:lang w:val="en-US" w:eastAsia="zh-CN"/>
        </w:rPr>
        <w:t>1</w:t>
      </w:r>
      <w:r>
        <w:rPr>
          <w:rFonts w:hint="eastAsia" w:ascii="仿宋_GB2312" w:hAnsi="Times New Roman" w:eastAsia="仿宋_GB2312"/>
          <w:sz w:val="32"/>
          <w:szCs w:val="32"/>
          <w:lang w:eastAsia="zh-CN"/>
        </w:rPr>
        <w:t>年度大楼运行经费项目所涉及的全部支出内容。</w:t>
      </w:r>
    </w:p>
    <w:p>
      <w:pPr>
        <w:numPr>
          <w:ilvl w:val="0"/>
          <w:numId w:val="0"/>
        </w:numPr>
        <w:spacing w:line="600" w:lineRule="exact"/>
        <w:ind w:firstLine="654" w:firstLineChars="200"/>
        <w:jc w:val="both"/>
        <w:rPr>
          <w:rFonts w:hint="eastAsia" w:ascii="仿宋_GB2312" w:hAnsi="Times New Roman" w:eastAsia="仿宋_GB2312"/>
          <w:sz w:val="32"/>
          <w:szCs w:val="32"/>
          <w:lang w:eastAsia="zh-CN"/>
        </w:rPr>
      </w:pPr>
      <w:r>
        <w:rPr>
          <w:rFonts w:hint="default" w:ascii="仿宋_GB2312" w:hAnsi="Times New Roman" w:eastAsia="仿宋_GB2312"/>
          <w:spacing w:val="-1"/>
          <w:w w:val="103"/>
          <w:sz w:val="32"/>
          <w:szCs w:val="32"/>
          <w:lang w:val="en" w:eastAsia="zh-CN"/>
        </w:rPr>
        <w:t>(</w:t>
      </w:r>
      <w:r>
        <w:rPr>
          <w:rFonts w:hint="eastAsia" w:ascii="仿宋_GB2312" w:hAnsi="Times New Roman" w:eastAsia="仿宋_GB2312"/>
          <w:spacing w:val="-1"/>
          <w:w w:val="103"/>
          <w:sz w:val="32"/>
          <w:szCs w:val="32"/>
          <w:lang w:val="en" w:eastAsia="zh-CN"/>
        </w:rPr>
        <w:t>二）</w:t>
      </w:r>
      <w:r>
        <w:rPr>
          <w:rFonts w:hint="eastAsia" w:ascii="仿宋_GB2312" w:hAnsi="Times New Roman" w:eastAsia="仿宋_GB2312"/>
          <w:spacing w:val="-1"/>
          <w:w w:val="103"/>
          <w:sz w:val="32"/>
          <w:szCs w:val="32"/>
          <w:lang w:eastAsia="zh-CN"/>
        </w:rPr>
        <w:t>绩效评价原则</w:t>
      </w:r>
      <w:r>
        <w:rPr>
          <w:rFonts w:hint="eastAsia" w:ascii="仿宋_GB2312" w:hAnsi="Times New Roman" w:eastAsia="仿宋_GB2312"/>
          <w:spacing w:val="-106"/>
          <w:w w:val="103"/>
          <w:sz w:val="32"/>
          <w:szCs w:val="32"/>
          <w:lang w:eastAsia="zh-CN"/>
        </w:rPr>
        <w:t xml:space="preserve"> </w:t>
      </w:r>
      <w:r>
        <w:rPr>
          <w:rFonts w:hint="eastAsia" w:ascii="仿宋_GB2312" w:hAnsi="Times New Roman" w:eastAsia="仿宋_GB2312"/>
          <w:spacing w:val="-7"/>
          <w:w w:val="103"/>
          <w:sz w:val="32"/>
          <w:szCs w:val="32"/>
          <w:lang w:eastAsia="zh-CN"/>
        </w:rPr>
        <w:t>、评价指标体系</w:t>
      </w:r>
      <w:r>
        <w:rPr>
          <w:rFonts w:hint="eastAsia" w:ascii="仿宋_GB2312" w:hAnsi="Times New Roman" w:eastAsia="仿宋_GB2312"/>
          <w:spacing w:val="-2"/>
          <w:w w:val="103"/>
          <w:sz w:val="32"/>
          <w:szCs w:val="32"/>
          <w:lang w:eastAsia="zh-CN"/>
        </w:rPr>
        <w:t>（</w:t>
      </w:r>
      <w:r>
        <w:rPr>
          <w:rFonts w:hint="eastAsia" w:ascii="仿宋_GB2312" w:hAnsi="Times New Roman" w:eastAsia="仿宋_GB2312"/>
          <w:w w:val="104"/>
          <w:sz w:val="32"/>
          <w:szCs w:val="32"/>
          <w:lang w:eastAsia="zh-CN"/>
        </w:rPr>
        <w:t>附表说明</w:t>
      </w:r>
      <w:r>
        <w:rPr>
          <w:rFonts w:hint="eastAsia" w:ascii="仿宋_GB2312" w:hAnsi="Times New Roman" w:eastAsia="仿宋_GB2312"/>
          <w:spacing w:val="-2"/>
          <w:w w:val="103"/>
          <w:sz w:val="32"/>
          <w:szCs w:val="32"/>
          <w:lang w:eastAsia="zh-CN"/>
        </w:rPr>
        <w:t>）</w:t>
      </w:r>
      <w:r>
        <w:rPr>
          <w:rFonts w:hint="eastAsia" w:ascii="Times New Roman" w:hAnsi="Times New Roman" w:eastAsia="仿宋_GB2312"/>
          <w:sz w:val="32"/>
          <w:szCs w:val="32"/>
          <w:lang w:eastAsia="zh-CN"/>
        </w:rPr>
        <w:t>、评价方法、评价标准</w:t>
      </w:r>
      <w:r>
        <w:rPr>
          <w:rFonts w:hint="eastAsia" w:ascii="仿宋_GB2312" w:hAnsi="Times New Roman" w:eastAsia="仿宋_GB2312"/>
          <w:sz w:val="32"/>
          <w:szCs w:val="32"/>
          <w:lang w:eastAsia="zh-CN"/>
        </w:rPr>
        <w:t>等。</w:t>
      </w:r>
    </w:p>
    <w:p>
      <w:pPr>
        <w:spacing w:line="600" w:lineRule="exact"/>
        <w:ind w:firstLine="64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绩效评价基本原则：遵循科学规范、公正公开、绩效相关原则。</w:t>
      </w:r>
    </w:p>
    <w:p>
      <w:pPr>
        <w:spacing w:line="600" w:lineRule="exact"/>
        <w:ind w:firstLine="64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评价指标体系：参照相关规定制定。</w:t>
      </w:r>
    </w:p>
    <w:p>
      <w:pPr>
        <w:spacing w:line="600" w:lineRule="exact"/>
        <w:ind w:firstLine="640"/>
        <w:jc w:val="both"/>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eastAsia="zh-CN"/>
        </w:rPr>
        <w:t>项目资金：年度资金总额：年初预算数</w:t>
      </w:r>
      <w:r>
        <w:rPr>
          <w:rFonts w:hint="eastAsia" w:ascii="仿宋_GB2312" w:hAnsi="Times New Roman" w:eastAsia="仿宋_GB2312"/>
          <w:sz w:val="32"/>
          <w:szCs w:val="32"/>
          <w:lang w:val="en-US" w:eastAsia="zh-CN"/>
        </w:rPr>
        <w:t>500万元，全年预算数</w:t>
      </w:r>
      <w:r>
        <w:rPr>
          <w:rFonts w:hint="default" w:ascii="仿宋_GB2312" w:hAnsi="Times New Roman" w:eastAsia="仿宋_GB2312"/>
          <w:sz w:val="32"/>
          <w:szCs w:val="32"/>
          <w:lang w:val="en" w:eastAsia="zh-CN"/>
        </w:rPr>
        <w:t>265.8</w:t>
      </w:r>
      <w:r>
        <w:rPr>
          <w:rFonts w:hint="eastAsia" w:ascii="仿宋_GB2312" w:hAnsi="Times New Roman" w:eastAsia="仿宋_GB2312"/>
          <w:sz w:val="32"/>
          <w:szCs w:val="32"/>
          <w:lang w:val="en-US" w:eastAsia="zh-CN"/>
        </w:rPr>
        <w:t>万元。其中：当年财政拨款（区级资金）</w:t>
      </w:r>
      <w:r>
        <w:rPr>
          <w:rFonts w:hint="eastAsia" w:ascii="仿宋_GB2312" w:hAnsi="Times New Roman" w:eastAsia="仿宋_GB2312"/>
          <w:sz w:val="32"/>
          <w:szCs w:val="32"/>
          <w:lang w:eastAsia="zh-CN"/>
        </w:rPr>
        <w:t>年初预算数</w:t>
      </w:r>
      <w:r>
        <w:rPr>
          <w:rFonts w:hint="eastAsia" w:ascii="仿宋_GB2312" w:hAnsi="Times New Roman" w:eastAsia="仿宋_GB2312"/>
          <w:sz w:val="32"/>
          <w:szCs w:val="32"/>
          <w:lang w:val="en-US" w:eastAsia="zh-CN"/>
        </w:rPr>
        <w:t>500万元，全年预算数</w:t>
      </w:r>
      <w:r>
        <w:rPr>
          <w:rFonts w:hint="default" w:ascii="仿宋_GB2312" w:hAnsi="Times New Roman" w:eastAsia="仿宋_GB2312"/>
          <w:sz w:val="32"/>
          <w:szCs w:val="32"/>
          <w:lang w:val="en" w:eastAsia="zh-CN"/>
        </w:rPr>
        <w:t>265.8</w:t>
      </w:r>
      <w:r>
        <w:rPr>
          <w:rFonts w:hint="eastAsia" w:ascii="仿宋_GB2312" w:hAnsi="Times New Roman" w:eastAsia="仿宋_GB2312"/>
          <w:sz w:val="32"/>
          <w:szCs w:val="32"/>
          <w:lang w:val="en-US" w:eastAsia="zh-CN"/>
        </w:rPr>
        <w:t>万元，全年执行数</w:t>
      </w:r>
      <w:r>
        <w:rPr>
          <w:rFonts w:hint="default" w:ascii="仿宋_GB2312" w:hAnsi="Times New Roman" w:eastAsia="仿宋_GB2312"/>
          <w:sz w:val="32"/>
          <w:szCs w:val="32"/>
          <w:lang w:val="en" w:eastAsia="zh-CN"/>
        </w:rPr>
        <w:t>265.8</w:t>
      </w:r>
      <w:r>
        <w:rPr>
          <w:rFonts w:hint="eastAsia" w:ascii="仿宋_GB2312" w:hAnsi="Times New Roman" w:eastAsia="仿宋_GB2312"/>
          <w:sz w:val="32"/>
          <w:szCs w:val="32"/>
          <w:lang w:val="en-US" w:eastAsia="zh-CN"/>
        </w:rPr>
        <w:t>万元，得分10分，执行率100%，无偏差。</w:t>
      </w:r>
    </w:p>
    <w:p>
      <w:pPr>
        <w:spacing w:line="600" w:lineRule="exact"/>
        <w:ind w:firstLine="640"/>
        <w:jc w:val="both"/>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绩效指标：1.产出指标中（1）数量指标：保障办公楼数量，年度指标值=1栋楼，实际完成值为1栋楼，得分10分，无偏差。（2）质量指标：保障办公楼运维达标，年度指标值≥90％，实际完成值为100％，得分10分，无偏差。（3）时效指标：办公楼运维保障及时率，年度指标值为≥90％，实际完成值为100％，得分10分，无偏差。（4）成本指标：大楼运行经费，年度指标值为≤265.8万元，实际完成值265.8万元，得分20分，无偏差。2.效益指标中社会效益指标：保障办公楼良好办公环境，在年度指标值中使得得到有效保障，实际完成值得到有效保障，基本达成预期预期效益，得分30分，无偏差。3.满意度指标中服务对象满意度指标：大楼单位满意度在年度指标值中≥90％，实际完成值为100％，得分10分，无偏差。</w:t>
      </w:r>
    </w:p>
    <w:p>
      <w:pPr>
        <w:spacing w:line="600" w:lineRule="exact"/>
        <w:ind w:firstLine="64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评价方法：根据大楼运行经费支出绩效评价体系项目绩效评价表进行评分，数据分析、询问查证等方法。</w:t>
      </w:r>
    </w:p>
    <w:p>
      <w:pPr>
        <w:spacing w:line="600" w:lineRule="exact"/>
        <w:ind w:firstLine="64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评价标准：按照财政部门相关规定及本单位相关制度为标准。</w:t>
      </w:r>
    </w:p>
    <w:p>
      <w:pPr>
        <w:numPr>
          <w:ilvl w:val="0"/>
          <w:numId w:val="1"/>
        </w:numPr>
        <w:spacing w:line="600" w:lineRule="exact"/>
        <w:ind w:firstLine="640" w:firstLineChars="200"/>
        <w:jc w:val="both"/>
        <w:rPr>
          <w:rFonts w:ascii="Times New Roman" w:hAnsi="Times New Roman" w:eastAsia="仿宋_GB2312"/>
          <w:sz w:val="32"/>
          <w:szCs w:val="32"/>
          <w:lang w:eastAsia="zh-CN"/>
        </w:rPr>
      </w:pPr>
      <w:r>
        <w:rPr>
          <w:rFonts w:ascii="Times New Roman" w:hAnsi="Times New Roman" w:eastAsia="仿宋_GB2312"/>
          <w:sz w:val="32"/>
          <w:szCs w:val="32"/>
          <w:lang w:eastAsia="zh-CN"/>
        </w:rPr>
        <w:t>绩效评价工作过程。</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区政府办公室领导高度重视绩效评价工作，按照文件要求进行工作部署，绩效评价人员认真有序开展绩效评价，收集数据，参考自评报告和自评情况的审核，对大楼运行经费项目绩效进行分析评价。</w:t>
      </w:r>
    </w:p>
    <w:p>
      <w:pPr>
        <w:numPr>
          <w:ilvl w:val="0"/>
          <w:numId w:val="2"/>
        </w:num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综合评价情况及评价结论</w:t>
      </w:r>
    </w:p>
    <w:p>
      <w:pPr>
        <w:spacing w:line="600" w:lineRule="exact"/>
        <w:jc w:val="both"/>
        <w:rPr>
          <w:rFonts w:hint="default" w:ascii="Times New Roman" w:hAnsi="Times New Roman" w:eastAsia="仿宋_GB2312"/>
          <w:sz w:val="32"/>
          <w:szCs w:val="32"/>
          <w:lang w:val="en-US" w:eastAsia="zh-CN"/>
        </w:rPr>
      </w:pPr>
      <w:r>
        <w:rPr>
          <w:rFonts w:hint="eastAsia" w:ascii="黑体" w:hAnsi="黑体" w:eastAsia="黑体"/>
          <w:spacing w:val="-4"/>
          <w:w w:val="105"/>
          <w:sz w:val="32"/>
          <w:szCs w:val="32"/>
          <w:lang w:eastAsia="zh-CN"/>
        </w:rPr>
        <w:t xml:space="preserve">  </w:t>
      </w:r>
      <w:r>
        <w:rPr>
          <w:rFonts w:hint="eastAsia" w:ascii="Times New Roman" w:hAnsi="Times New Roman" w:eastAsia="仿宋_GB2312"/>
          <w:sz w:val="32"/>
          <w:szCs w:val="32"/>
          <w:lang w:eastAsia="zh-CN"/>
        </w:rPr>
        <w:t xml:space="preserve">  为了做好绩效评价工作，认真有序开展绩效评价，对大楼运行经费项目绩效进行分析评价。评价认为：202</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lang w:eastAsia="zh-CN"/>
        </w:rPr>
        <w:t>年经过努力，区委区政府办公大楼安全有序平稳运行，未发生安全责任事故。大楼供水、供电、消防、变电等设备运转正常，办公环境良好，院落整洁。评价分数为</w:t>
      </w:r>
      <w:r>
        <w:rPr>
          <w:rFonts w:hint="eastAsia" w:ascii="Times New Roman" w:hAnsi="Times New Roman" w:eastAsia="仿宋_GB2312"/>
          <w:sz w:val="32"/>
          <w:szCs w:val="32"/>
          <w:lang w:val="en-US" w:eastAsia="zh-CN"/>
        </w:rPr>
        <w:t>100分，等级为优。</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四、绩效评价指标分析</w:t>
      </w:r>
    </w:p>
    <w:p>
      <w:p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（一）</w:t>
      </w:r>
      <w:r>
        <w:rPr>
          <w:rFonts w:ascii="Times New Roman" w:hAnsi="Times New Roman" w:eastAsia="仿宋_GB2312"/>
          <w:sz w:val="32"/>
          <w:szCs w:val="32"/>
          <w:lang w:eastAsia="zh-CN"/>
        </w:rPr>
        <w:t>项目决策情况</w:t>
      </w:r>
      <w:r>
        <w:rPr>
          <w:rFonts w:ascii="Times New Roman" w:hAnsi="Times New Roman" w:eastAsia="仿宋_GB2312"/>
          <w:spacing w:val="-115"/>
          <w:sz w:val="32"/>
          <w:szCs w:val="32"/>
          <w:lang w:eastAsia="zh-CN"/>
        </w:rPr>
        <w:t xml:space="preserve"> </w:t>
      </w:r>
      <w:r>
        <w:rPr>
          <w:rFonts w:ascii="Times New Roman" w:hAnsi="Times New Roman" w:eastAsia="仿宋_GB2312"/>
          <w:sz w:val="32"/>
          <w:szCs w:val="32"/>
          <w:lang w:eastAsia="zh-CN"/>
        </w:rPr>
        <w:t>。</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申报经过区政府办公室党组会研究讨论，大楼运行经费项目立项规范。纳入年度部门预算，编报部门预算报表，经批准后由区财政局下达预算指标。</w:t>
      </w:r>
    </w:p>
    <w:p>
      <w:pPr>
        <w:numPr>
          <w:ilvl w:val="0"/>
          <w:numId w:val="3"/>
        </w:numPr>
        <w:spacing w:line="600" w:lineRule="exact"/>
        <w:ind w:firstLine="640" w:firstLineChars="200"/>
        <w:jc w:val="both"/>
        <w:rPr>
          <w:rFonts w:ascii="Times New Roman" w:hAnsi="Times New Roman" w:eastAsia="仿宋_GB2312"/>
          <w:sz w:val="32"/>
          <w:szCs w:val="32"/>
          <w:lang w:eastAsia="zh-CN"/>
        </w:rPr>
      </w:pPr>
      <w:r>
        <w:rPr>
          <w:rFonts w:ascii="Times New Roman" w:hAnsi="Times New Roman" w:eastAsia="仿宋_GB2312"/>
          <w:sz w:val="32"/>
          <w:szCs w:val="32"/>
          <w:lang w:eastAsia="zh-CN"/>
        </w:rPr>
        <w:t>项目过程情况</w:t>
      </w:r>
      <w:r>
        <w:rPr>
          <w:rFonts w:ascii="Times New Roman" w:hAnsi="Times New Roman" w:eastAsia="仿宋_GB2312"/>
          <w:spacing w:val="-106"/>
          <w:sz w:val="32"/>
          <w:szCs w:val="32"/>
          <w:lang w:eastAsia="zh-CN"/>
        </w:rPr>
        <w:t xml:space="preserve"> </w:t>
      </w:r>
      <w:r>
        <w:rPr>
          <w:rFonts w:ascii="Times New Roman" w:hAnsi="Times New Roman" w:eastAsia="仿宋_GB2312"/>
          <w:sz w:val="32"/>
          <w:szCs w:val="32"/>
          <w:lang w:eastAsia="zh-CN"/>
        </w:rPr>
        <w:t>。</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本项目严格按照区政府办公室财务管理制度、固有资产管理制度及相关资金管理制度进行报账。</w:t>
      </w:r>
    </w:p>
    <w:p>
      <w:pPr>
        <w:numPr>
          <w:ilvl w:val="0"/>
          <w:numId w:val="3"/>
        </w:numPr>
        <w:spacing w:line="600" w:lineRule="exact"/>
        <w:ind w:firstLine="640" w:firstLineChars="200"/>
        <w:jc w:val="both"/>
        <w:rPr>
          <w:rFonts w:ascii="Times New Roman" w:hAnsi="Times New Roman" w:eastAsia="仿宋_GB2312"/>
          <w:sz w:val="32"/>
          <w:szCs w:val="32"/>
          <w:lang w:eastAsia="zh-CN"/>
        </w:rPr>
      </w:pPr>
      <w:r>
        <w:rPr>
          <w:rFonts w:ascii="Times New Roman" w:hAnsi="Times New Roman" w:eastAsia="仿宋_GB2312"/>
          <w:sz w:val="32"/>
          <w:szCs w:val="32"/>
          <w:lang w:eastAsia="zh-CN"/>
        </w:rPr>
        <w:t>项目产出情况</w:t>
      </w:r>
      <w:r>
        <w:rPr>
          <w:rFonts w:ascii="Times New Roman" w:hAnsi="Times New Roman" w:eastAsia="仿宋_GB2312"/>
          <w:spacing w:val="-115"/>
          <w:sz w:val="32"/>
          <w:szCs w:val="32"/>
          <w:lang w:eastAsia="zh-CN"/>
        </w:rPr>
        <w:t xml:space="preserve"> </w:t>
      </w:r>
      <w:r>
        <w:rPr>
          <w:rFonts w:ascii="Times New Roman" w:hAnsi="Times New Roman" w:eastAsia="仿宋_GB2312"/>
          <w:sz w:val="32"/>
          <w:szCs w:val="32"/>
          <w:lang w:eastAsia="zh-CN"/>
        </w:rPr>
        <w:t>。</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对大楼进行日常的零星维修和定期对消防、变电等设备进行维护保养。零星维修完成后可再次投入使用，保证消防全年的维修及维护，确保正常使用，并按时检查各楼层设备是否完好，对有问题的设备进行维修和更换。</w:t>
      </w:r>
    </w:p>
    <w:p>
      <w:pPr>
        <w:numPr>
          <w:ilvl w:val="0"/>
          <w:numId w:val="3"/>
        </w:numPr>
        <w:spacing w:line="600" w:lineRule="exact"/>
        <w:ind w:firstLine="640" w:firstLineChars="200"/>
        <w:jc w:val="both"/>
        <w:rPr>
          <w:rFonts w:hint="eastAsia" w:ascii="Times New Roman" w:hAnsi="Times New Roman" w:eastAsia="仿宋_GB2312"/>
          <w:sz w:val="32"/>
          <w:szCs w:val="32"/>
          <w:lang w:eastAsia="zh-CN"/>
        </w:rPr>
      </w:pPr>
      <w:r>
        <w:rPr>
          <w:rFonts w:ascii="Times New Roman" w:hAnsi="Times New Roman" w:eastAsia="仿宋_GB2312"/>
          <w:sz w:val="32"/>
          <w:szCs w:val="32"/>
          <w:lang w:eastAsia="zh-CN"/>
        </w:rPr>
        <w:t>项目效益情况</w:t>
      </w:r>
      <w:r>
        <w:rPr>
          <w:rFonts w:hint="eastAsia" w:ascii="Times New Roman" w:hAnsi="Times New Roman" w:eastAsia="仿宋_GB2312"/>
          <w:sz w:val="32"/>
          <w:szCs w:val="32"/>
          <w:lang w:eastAsia="zh-CN"/>
        </w:rPr>
        <w:t>。</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202</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lang w:eastAsia="zh-CN"/>
        </w:rPr>
        <w:t xml:space="preserve">年经过努力，区委区政府办公大楼安全有序平稳运行。通过对区委区政府办公大楼设备设施维修维护及物业管理进行监督，保证区委区政府办公大楼正常运转，为正常办公提供保障。 </w:t>
      </w:r>
    </w:p>
    <w:p>
      <w:pPr>
        <w:spacing w:line="600" w:lineRule="exact"/>
        <w:ind w:firstLine="642" w:firstLineChars="196"/>
        <w:jc w:val="both"/>
        <w:rPr>
          <w:rFonts w:ascii="黑体" w:hAnsi="黑体" w:eastAsia="黑体"/>
          <w:spacing w:val="-4"/>
          <w:w w:val="105"/>
          <w:sz w:val="32"/>
          <w:szCs w:val="32"/>
          <w:lang w:eastAsia="zh-CN"/>
        </w:rPr>
      </w:pPr>
      <w:r>
        <w:rPr>
          <w:rFonts w:hint="eastAsia" w:ascii="黑体" w:hAnsi="黑体" w:eastAsia="黑体"/>
          <w:spacing w:val="-4"/>
          <w:w w:val="105"/>
          <w:sz w:val="32"/>
          <w:szCs w:val="32"/>
          <w:lang w:eastAsia="zh-CN"/>
        </w:rPr>
        <w:t>五、</w:t>
      </w:r>
      <w:r>
        <w:rPr>
          <w:rFonts w:ascii="黑体" w:hAnsi="黑体" w:eastAsia="黑体"/>
          <w:spacing w:val="-4"/>
          <w:w w:val="105"/>
          <w:sz w:val="32"/>
          <w:szCs w:val="32"/>
          <w:lang w:eastAsia="zh-CN"/>
        </w:rPr>
        <w:t>主要经验及做法</w:t>
      </w:r>
      <w:r>
        <w:rPr>
          <w:rFonts w:hint="eastAsia" w:ascii="黑体" w:hAnsi="黑体" w:eastAsia="黑体"/>
          <w:spacing w:val="-4"/>
          <w:w w:val="105"/>
          <w:sz w:val="32"/>
          <w:szCs w:val="32"/>
          <w:lang w:eastAsia="zh-CN"/>
        </w:rPr>
        <w:t>、</w:t>
      </w:r>
      <w:r>
        <w:rPr>
          <w:rFonts w:ascii="黑体" w:hAnsi="黑体" w:eastAsia="黑体"/>
          <w:spacing w:val="-4"/>
          <w:w w:val="105"/>
          <w:sz w:val="32"/>
          <w:szCs w:val="32"/>
          <w:lang w:eastAsia="zh-CN"/>
        </w:rPr>
        <w:t xml:space="preserve">存在的问题及原因分析 </w:t>
      </w:r>
    </w:p>
    <w:p>
      <w:pPr>
        <w:spacing w:line="600" w:lineRule="exact"/>
        <w:jc w:val="both"/>
        <w:rPr>
          <w:rFonts w:ascii="Times New Roman" w:hAnsi="Times New Roman" w:eastAsia="仿宋_GB2312"/>
          <w:sz w:val="32"/>
          <w:szCs w:val="32"/>
          <w:lang w:eastAsia="zh-CN"/>
        </w:rPr>
      </w:pPr>
      <w:r>
        <w:rPr>
          <w:rFonts w:hint="eastAsia" w:ascii="黑体" w:hAnsi="黑体" w:eastAsia="黑体"/>
          <w:spacing w:val="-4"/>
          <w:w w:val="105"/>
          <w:sz w:val="32"/>
          <w:szCs w:val="32"/>
          <w:lang w:eastAsia="zh-CN"/>
        </w:rPr>
        <w:t xml:space="preserve">    </w:t>
      </w:r>
      <w:r>
        <w:rPr>
          <w:rFonts w:hint="eastAsia" w:ascii="Times New Roman" w:hAnsi="Times New Roman" w:eastAsia="仿宋_GB2312"/>
          <w:sz w:val="32"/>
          <w:szCs w:val="32"/>
          <w:lang w:eastAsia="zh-CN"/>
        </w:rPr>
        <w:t>通过对大楼内的各项设备进行了日常维修维护，对发现的问题都能及时处理，未发现过因故障或者损坏而不能使用的情况，保证设施的正常使用。对大楼内的公共环境垃圾处理、墙体楼面渗漏等进行日常维护管理和修整，消除脏乱差，保障了区委区政府办公大楼良好的办公环境。但大楼内部设备设施使用年限较久，仍需翻修、更新，项目经费仍显不足。</w:t>
      </w:r>
    </w:p>
    <w:p>
      <w:pPr>
        <w:spacing w:line="600" w:lineRule="exact"/>
        <w:ind w:firstLine="642" w:firstLineChars="196"/>
        <w:jc w:val="both"/>
        <w:rPr>
          <w:rFonts w:ascii="黑体" w:hAnsi="黑体" w:eastAsia="黑体"/>
          <w:spacing w:val="-4"/>
          <w:w w:val="105"/>
          <w:sz w:val="32"/>
          <w:szCs w:val="32"/>
          <w:lang w:eastAsia="zh-CN"/>
        </w:rPr>
      </w:pPr>
      <w:r>
        <w:rPr>
          <w:rFonts w:hint="eastAsia" w:ascii="黑体" w:hAnsi="黑体" w:eastAsia="黑体"/>
          <w:spacing w:val="-4"/>
          <w:w w:val="105"/>
          <w:sz w:val="32"/>
          <w:szCs w:val="32"/>
          <w:lang w:eastAsia="zh-CN"/>
        </w:rPr>
        <w:t>六、</w:t>
      </w:r>
      <w:r>
        <w:rPr>
          <w:rFonts w:ascii="黑体" w:hAnsi="黑体" w:eastAsia="黑体"/>
          <w:spacing w:val="-4"/>
          <w:w w:val="105"/>
          <w:sz w:val="32"/>
          <w:szCs w:val="32"/>
          <w:lang w:eastAsia="zh-CN"/>
        </w:rPr>
        <w:t>有关建议</w:t>
      </w:r>
    </w:p>
    <w:p>
      <w:pPr>
        <w:spacing w:line="600" w:lineRule="exact"/>
        <w:jc w:val="both"/>
        <w:rPr>
          <w:rFonts w:ascii="黑体" w:hAnsi="黑体" w:eastAsia="黑体"/>
          <w:spacing w:val="-4"/>
          <w:w w:val="105"/>
          <w:sz w:val="32"/>
          <w:szCs w:val="32"/>
          <w:lang w:eastAsia="zh-CN"/>
        </w:rPr>
      </w:pPr>
      <w:r>
        <w:rPr>
          <w:rFonts w:hint="eastAsia" w:ascii="Times New Roman" w:hAnsi="Times New Roman" w:eastAsia="仿宋_GB2312"/>
          <w:sz w:val="32"/>
          <w:szCs w:val="32"/>
          <w:lang w:eastAsia="zh-CN"/>
        </w:rPr>
        <w:t xml:space="preserve">    建议增加大楼运行经费投入，以保障办公楼正常运行。</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七、其他需要说明的问题</w:t>
      </w:r>
    </w:p>
    <w:p>
      <w:p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无</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B29DDA"/>
    <w:multiLevelType w:val="singleLevel"/>
    <w:tmpl w:val="BFB29DDA"/>
    <w:lvl w:ilvl="0" w:tentative="0">
      <w:start w:val="3"/>
      <w:numFmt w:val="chineseCounting"/>
      <w:suff w:val="nothing"/>
      <w:lvlText w:val="%1、"/>
      <w:lvlJc w:val="left"/>
      <w:rPr>
        <w:rFonts w:hint="eastAsia"/>
      </w:rPr>
    </w:lvl>
  </w:abstractNum>
  <w:abstractNum w:abstractNumId="1">
    <w:nsid w:val="D6785922"/>
    <w:multiLevelType w:val="singleLevel"/>
    <w:tmpl w:val="D6785922"/>
    <w:lvl w:ilvl="0" w:tentative="0">
      <w:start w:val="2"/>
      <w:numFmt w:val="chineseCounting"/>
      <w:suff w:val="nothing"/>
      <w:lvlText w:val="（%1）"/>
      <w:lvlJc w:val="left"/>
      <w:rPr>
        <w:rFonts w:hint="eastAsia"/>
      </w:rPr>
    </w:lvl>
  </w:abstractNum>
  <w:abstractNum w:abstractNumId="2">
    <w:nsid w:val="DFBD15AD"/>
    <w:multiLevelType w:val="singleLevel"/>
    <w:tmpl w:val="DFBD15AD"/>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F3A"/>
    <w:rsid w:val="00036DA0"/>
    <w:rsid w:val="00166827"/>
    <w:rsid w:val="001834D3"/>
    <w:rsid w:val="0018594E"/>
    <w:rsid w:val="001F559F"/>
    <w:rsid w:val="002115F8"/>
    <w:rsid w:val="0023167C"/>
    <w:rsid w:val="003B571A"/>
    <w:rsid w:val="00407AD1"/>
    <w:rsid w:val="00456E71"/>
    <w:rsid w:val="00470900"/>
    <w:rsid w:val="00492BA2"/>
    <w:rsid w:val="00524052"/>
    <w:rsid w:val="00561D01"/>
    <w:rsid w:val="005D0F6C"/>
    <w:rsid w:val="005F4DFB"/>
    <w:rsid w:val="00612D97"/>
    <w:rsid w:val="006C1B32"/>
    <w:rsid w:val="00840F2D"/>
    <w:rsid w:val="00904B0D"/>
    <w:rsid w:val="00B002CD"/>
    <w:rsid w:val="00BA5423"/>
    <w:rsid w:val="00CA1D5C"/>
    <w:rsid w:val="00D01E63"/>
    <w:rsid w:val="00D02C5B"/>
    <w:rsid w:val="00D10FF2"/>
    <w:rsid w:val="00D27F3A"/>
    <w:rsid w:val="00DD1C2D"/>
    <w:rsid w:val="00E85715"/>
    <w:rsid w:val="07FC3A15"/>
    <w:rsid w:val="0EF906F7"/>
    <w:rsid w:val="16FF2D2B"/>
    <w:rsid w:val="3DE93384"/>
    <w:rsid w:val="3EFF3EFE"/>
    <w:rsid w:val="3FE1D654"/>
    <w:rsid w:val="4ECF3F5C"/>
    <w:rsid w:val="564151F1"/>
    <w:rsid w:val="5CBF9D96"/>
    <w:rsid w:val="5FDFBF34"/>
    <w:rsid w:val="78D56702"/>
    <w:rsid w:val="7BFBCBC6"/>
    <w:rsid w:val="7DB3155D"/>
    <w:rsid w:val="7F7BB82E"/>
    <w:rsid w:val="9FD957A7"/>
    <w:rsid w:val="AE755B8E"/>
    <w:rsid w:val="B77DBCDE"/>
    <w:rsid w:val="BBF71203"/>
    <w:rsid w:val="BF1B0200"/>
    <w:rsid w:val="BFCD768B"/>
    <w:rsid w:val="C7670753"/>
    <w:rsid w:val="D3AD7F22"/>
    <w:rsid w:val="DB6E9953"/>
    <w:rsid w:val="DD72947A"/>
    <w:rsid w:val="DDFB04F8"/>
    <w:rsid w:val="DF9D9B8E"/>
    <w:rsid w:val="DFB71962"/>
    <w:rsid w:val="E3DD5F2E"/>
    <w:rsid w:val="E4CC652F"/>
    <w:rsid w:val="EFFBE48B"/>
    <w:rsid w:val="F3DFF5E8"/>
    <w:rsid w:val="F3ED76FF"/>
    <w:rsid w:val="F7EC65C6"/>
    <w:rsid w:val="FBDE046C"/>
    <w:rsid w:val="FBE55E54"/>
    <w:rsid w:val="FBF5BFDF"/>
    <w:rsid w:val="FEF79259"/>
    <w:rsid w:val="FEFE6C21"/>
    <w:rsid w:val="FFBF13C2"/>
    <w:rsid w:val="FFFCCA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1"/>
    <w:pPr>
      <w:widowControl w:val="0"/>
    </w:pPr>
    <w:rPr>
      <w:sz w:val="22"/>
      <w:szCs w:val="22"/>
      <w:lang w:val="en-US" w:eastAsia="en-US" w:bidi="ar-SA"/>
    </w:rPr>
  </w:style>
  <w:style w:type="paragraph" w:styleId="2">
    <w:name w:val="heading 1"/>
    <w:basedOn w:val="1"/>
    <w:link w:val="7"/>
    <w:qFormat/>
    <w:uiPriority w:val="1"/>
    <w:pPr>
      <w:outlineLvl w:val="0"/>
    </w:pPr>
    <w:rPr>
      <w:rFonts w:ascii="宋体" w:hAnsi="宋体"/>
      <w:sz w:val="33"/>
      <w:szCs w:val="33"/>
    </w:rPr>
  </w:style>
  <w:style w:type="character" w:default="1" w:styleId="6">
    <w:name w:val="Default Paragraph Font"/>
    <w:unhideWhenUsed/>
    <w:uiPriority w:val="1"/>
  </w:style>
  <w:style w:type="table" w:default="1" w:styleId="5">
    <w:name w:val="Normal Table"/>
    <w:unhideWhenUsed/>
    <w:uiPriority w:val="99"/>
    <w:tblPr>
      <w:tblStyle w:val="5"/>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link w:val="2"/>
    <w:uiPriority w:val="1"/>
    <w:rPr>
      <w:rFonts w:ascii="宋体" w:hAnsi="宋体" w:eastAsia="宋体"/>
      <w:kern w:val="0"/>
      <w:sz w:val="33"/>
      <w:szCs w:val="33"/>
      <w:lang w:eastAsia="en-US"/>
    </w:rPr>
  </w:style>
  <w:style w:type="character" w:customStyle="1" w:styleId="8">
    <w:name w:val="页脚 Char"/>
    <w:link w:val="3"/>
    <w:uiPriority w:val="99"/>
    <w:rPr>
      <w:kern w:val="0"/>
      <w:sz w:val="18"/>
      <w:szCs w:val="18"/>
      <w:lang w:eastAsia="en-US"/>
    </w:rPr>
  </w:style>
  <w:style w:type="character" w:customStyle="1" w:styleId="9">
    <w:name w:val="页眉 Char"/>
    <w:link w:val="4"/>
    <w:uiPriority w:val="99"/>
    <w:rPr>
      <w:kern w:val="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1963</Words>
  <Characters>2039</Characters>
  <Lines>11</Lines>
  <Paragraphs>3</Paragraphs>
  <TotalTime>22.6666666666667</TotalTime>
  <ScaleCrop>false</ScaleCrop>
  <LinksUpToDate>false</LinksUpToDate>
  <CharactersWithSpaces>2078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2020-11-03T05:00:00Z</dcterms:created>
  <dc:creator>于喆</dc:creator>
  <cp:lastModifiedBy>爱丁堡的冬天</cp:lastModifiedBy>
  <cp:lastPrinted>2020-08-11T00:24:00Z</cp:lastPrinted>
  <dcterms:modified xsi:type="dcterms:W3CDTF">2022-06-28T09:30:56Z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E82AD4C9A37746D5A8B495E232740B86</vt:lpwstr>
  </property>
</Properties>
</file>