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b/>
          <w:bCs/>
          <w:w w:val="105"/>
          <w:sz w:val="44"/>
          <w:szCs w:val="44"/>
          <w:lang w:eastAsia="zh-CN"/>
        </w:rPr>
      </w:pPr>
    </w:p>
    <w:p>
      <w:pPr>
        <w:spacing w:line="600" w:lineRule="exact"/>
        <w:jc w:val="center"/>
        <w:rPr>
          <w:rFonts w:ascii="宋体" w:hAnsi="宋体"/>
          <w:b/>
          <w:bCs/>
          <w:sz w:val="44"/>
          <w:szCs w:val="44"/>
          <w:lang w:eastAsia="zh-CN"/>
        </w:rPr>
      </w:pPr>
      <w:r>
        <w:rPr>
          <w:rFonts w:hint="eastAsia" w:ascii="宋体" w:hAnsi="宋体"/>
          <w:b/>
          <w:bCs/>
          <w:w w:val="105"/>
          <w:sz w:val="44"/>
          <w:szCs w:val="44"/>
          <w:lang w:eastAsia="zh-CN"/>
        </w:rPr>
        <w:t>成都道</w:t>
      </w:r>
      <w:r>
        <w:rPr>
          <w:rFonts w:hint="eastAsia" w:ascii="宋体" w:hAnsi="宋体"/>
          <w:b/>
          <w:bCs/>
          <w:w w:val="105"/>
          <w:sz w:val="44"/>
          <w:szCs w:val="44"/>
          <w:lang w:val="en-US" w:eastAsia="zh-CN"/>
        </w:rPr>
        <w:t>36号</w:t>
      </w:r>
      <w:r>
        <w:rPr>
          <w:rFonts w:hint="eastAsia" w:ascii="宋体" w:hAnsi="宋体"/>
          <w:b/>
          <w:bCs/>
          <w:w w:val="105"/>
          <w:sz w:val="44"/>
          <w:szCs w:val="44"/>
          <w:lang w:eastAsia="zh-CN"/>
        </w:rPr>
        <w:t>项</w:t>
      </w:r>
      <w:r>
        <w:rPr>
          <w:rFonts w:hint="eastAsia" w:ascii="宋体" w:hAnsi="宋体"/>
          <w:b/>
          <w:bCs/>
          <w:spacing w:val="-128"/>
          <w:w w:val="105"/>
          <w:sz w:val="44"/>
          <w:szCs w:val="44"/>
          <w:lang w:eastAsia="zh-CN"/>
        </w:rPr>
        <w:t xml:space="preserve"> </w:t>
      </w:r>
      <w:r>
        <w:rPr>
          <w:rFonts w:hint="eastAsia" w:ascii="宋体" w:hAnsi="宋体"/>
          <w:b/>
          <w:bCs/>
          <w:spacing w:val="-15"/>
          <w:w w:val="105"/>
          <w:sz w:val="44"/>
          <w:szCs w:val="44"/>
          <w:lang w:eastAsia="zh-CN"/>
        </w:rPr>
        <w:t>目支出绩效自评报告</w:t>
      </w:r>
    </w:p>
    <w:p>
      <w:pPr>
        <w:spacing w:line="600" w:lineRule="exact"/>
        <w:ind w:firstLine="656" w:firstLineChars="200"/>
        <w:jc w:val="center"/>
        <w:rPr>
          <w:rFonts w:ascii="黑体" w:hAnsi="黑体" w:eastAsia="黑体"/>
          <w:spacing w:val="-4"/>
          <w:w w:val="105"/>
          <w:sz w:val="32"/>
          <w:szCs w:val="32"/>
          <w:lang w:eastAsia="zh-CN"/>
        </w:rPr>
      </w:pPr>
    </w:p>
    <w:p>
      <w:pPr>
        <w:spacing w:line="560" w:lineRule="exact"/>
        <w:ind w:firstLine="656" w:firstLineChars="200"/>
        <w:rPr>
          <w:rFonts w:ascii="黑体" w:hAnsi="黑体" w:eastAsia="黑体"/>
          <w:sz w:val="32"/>
          <w:szCs w:val="32"/>
          <w:lang w:eastAsia="zh-CN"/>
        </w:rPr>
      </w:pPr>
      <w:r>
        <w:rPr>
          <w:rFonts w:ascii="黑体" w:hAnsi="黑体" w:eastAsia="黑体"/>
          <w:spacing w:val="-4"/>
          <w:w w:val="105"/>
          <w:sz w:val="32"/>
          <w:szCs w:val="32"/>
          <w:lang w:eastAsia="zh-CN"/>
        </w:rPr>
        <w:t>一、基本情况</w:t>
      </w:r>
    </w:p>
    <w:p>
      <w:pPr>
        <w:spacing w:line="560" w:lineRule="exact"/>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（一）项目概况</w:t>
      </w:r>
    </w:p>
    <w:p>
      <w:pPr>
        <w:tabs>
          <w:tab w:val="center" w:pos="4213"/>
          <w:tab w:val="left" w:pos="7320"/>
        </w:tabs>
        <w:spacing w:line="560" w:lineRule="exact"/>
        <w:ind w:firstLine="640"/>
        <w:rPr>
          <w:rFonts w:ascii="Times New Roman" w:hAnsi="Times New Roman" w:eastAsia="仿宋_GB2312"/>
          <w:sz w:val="32"/>
          <w:szCs w:val="32"/>
          <w:lang w:eastAsia="zh-CN"/>
        </w:rPr>
      </w:pPr>
      <w:r>
        <w:rPr>
          <w:rFonts w:hint="eastAsia" w:eastAsia="仿宋_GB2312"/>
          <w:sz w:val="32"/>
          <w:szCs w:val="32"/>
          <w:lang w:eastAsia="zh-CN"/>
        </w:rPr>
        <w:t>为妥善保护修缮和利用成都道36号风貌建筑，确保日后办公使用安全，和平区人民政府办公室聘请天津市房屋质量安全鉴定检测中心有限公司对其维修、装修前进行必要的安全鉴定，鉴定费用共计</w:t>
      </w:r>
      <w:r>
        <w:rPr>
          <w:rFonts w:hint="eastAsia" w:eastAsia="仿宋_GB2312"/>
          <w:sz w:val="32"/>
          <w:szCs w:val="32"/>
          <w:lang w:val="en-US" w:eastAsia="zh-CN"/>
        </w:rPr>
        <w:t>48000元整，目前已支付48000元。</w:t>
      </w:r>
      <w:r>
        <w:rPr>
          <w:rFonts w:hint="eastAsia" w:eastAsia="仿宋_GB2312"/>
          <w:sz w:val="32"/>
          <w:szCs w:val="32"/>
          <w:lang w:eastAsia="zh-CN"/>
        </w:rPr>
        <w:t>。</w:t>
      </w:r>
    </w:p>
    <w:p>
      <w:pPr>
        <w:spacing w:line="560" w:lineRule="exact"/>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（二）项目绩效目标</w:t>
      </w:r>
    </w:p>
    <w:p>
      <w:pPr>
        <w:spacing w:line="560" w:lineRule="exact"/>
        <w:ind w:firstLine="640" w:firstLineChars="200"/>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总体目标：了解该建筑现状主体结构的安全状态，妥善保护修缮和利用成都道36号风貌建筑；阶段性目标：确保日后办公使用安全，在对其维修、装修前进行必要的安全鉴定。</w:t>
      </w:r>
      <w:r>
        <w:rPr>
          <w:rFonts w:ascii="Times New Roman" w:hAnsi="Times New Roman" w:eastAsia="仿宋_GB2312"/>
          <w:sz w:val="32"/>
          <w:szCs w:val="32"/>
          <w:lang w:eastAsia="zh-CN"/>
        </w:rPr>
        <w:t xml:space="preserve"> </w:t>
      </w:r>
    </w:p>
    <w:p>
      <w:pPr>
        <w:spacing w:line="560" w:lineRule="exact"/>
        <w:ind w:firstLine="656" w:firstLineChars="200"/>
        <w:rPr>
          <w:rFonts w:ascii="黑体" w:hAnsi="黑体" w:eastAsia="黑体"/>
          <w:spacing w:val="-4"/>
          <w:w w:val="105"/>
          <w:sz w:val="32"/>
          <w:szCs w:val="32"/>
          <w:lang w:eastAsia="zh-CN"/>
        </w:rPr>
      </w:pPr>
      <w:r>
        <w:rPr>
          <w:rFonts w:ascii="黑体" w:hAnsi="黑体" w:eastAsia="黑体"/>
          <w:spacing w:val="-4"/>
          <w:w w:val="105"/>
          <w:sz w:val="32"/>
          <w:szCs w:val="32"/>
          <w:lang w:eastAsia="zh-CN"/>
        </w:rPr>
        <w:t>二、绩效评价工作开展情况</w:t>
      </w:r>
    </w:p>
    <w:p>
      <w:pPr>
        <w:spacing w:line="560" w:lineRule="exact"/>
        <w:ind w:firstLine="640" w:firstLineChars="200"/>
        <w:rPr>
          <w:rFonts w:hint="eastAsia" w:ascii="仿宋_GB2312" w:hAnsi="Times New Roman" w:eastAsia="仿宋_GB2312"/>
          <w:sz w:val="32"/>
          <w:szCs w:val="32"/>
          <w:lang w:eastAsia="zh-CN"/>
        </w:rPr>
      </w:pPr>
      <w:r>
        <w:rPr>
          <w:rFonts w:hint="eastAsia" w:ascii="Times New Roman" w:hAnsi="Times New Roman" w:eastAsia="仿宋_GB2312"/>
          <w:sz w:val="32"/>
          <w:szCs w:val="32"/>
          <w:lang w:eastAsia="zh-CN"/>
        </w:rPr>
        <w:t>（一）</w:t>
      </w:r>
      <w:r>
        <w:rPr>
          <w:rFonts w:ascii="Times New Roman" w:hAnsi="Times New Roman" w:eastAsia="仿宋_GB2312"/>
          <w:sz w:val="32"/>
          <w:szCs w:val="32"/>
          <w:lang w:eastAsia="zh-CN"/>
        </w:rPr>
        <w:t>绩效评价</w:t>
      </w:r>
      <w:r>
        <w:rPr>
          <w:rFonts w:ascii="Times New Roman" w:hAnsi="Times New Roman" w:eastAsia="仿宋_GB2312"/>
          <w:spacing w:val="-91"/>
          <w:sz w:val="32"/>
          <w:szCs w:val="32"/>
          <w:lang w:eastAsia="zh-CN"/>
        </w:rPr>
        <w:t xml:space="preserve"> </w:t>
      </w:r>
      <w:r>
        <w:rPr>
          <w:rFonts w:ascii="Times New Roman" w:hAnsi="Times New Roman" w:eastAsia="仿宋_GB2312"/>
          <w:spacing w:val="-10"/>
          <w:sz w:val="32"/>
          <w:szCs w:val="32"/>
          <w:lang w:eastAsia="zh-CN"/>
        </w:rPr>
        <w:t>目的</w:t>
      </w:r>
      <w:r>
        <w:rPr>
          <w:rFonts w:hint="eastAsia" w:ascii="仿宋_GB2312" w:hAnsi="Times New Roman" w:eastAsia="仿宋_GB2312"/>
          <w:sz w:val="32"/>
          <w:szCs w:val="32"/>
          <w:lang w:eastAsia="zh-CN"/>
        </w:rPr>
        <w:t>、对象和范围</w:t>
      </w:r>
    </w:p>
    <w:p>
      <w:pPr>
        <w:spacing w:line="560" w:lineRule="exact"/>
        <w:ind w:firstLine="640" w:firstLineChars="200"/>
        <w:rPr>
          <w:rFonts w:ascii="Times New Roman" w:hAnsi="Times New Roman" w:eastAsia="仿宋_GB2312"/>
          <w:sz w:val="32"/>
          <w:szCs w:val="32"/>
          <w:lang w:eastAsia="zh-CN"/>
        </w:rPr>
      </w:pPr>
      <w:r>
        <w:rPr>
          <w:rFonts w:hint="eastAsia" w:ascii="仿宋_GB2312" w:hAnsi="Times New Roman" w:eastAsia="仿宋_GB2312"/>
          <w:sz w:val="32"/>
          <w:szCs w:val="32"/>
          <w:lang w:eastAsia="zh-CN"/>
        </w:rPr>
        <w:t>为强化预算支出责任，提高财政资金使用效率，发现项目实施过程中存在的不足，为准确掌握成都道</w:t>
      </w:r>
      <w:r>
        <w:rPr>
          <w:rFonts w:hint="eastAsia" w:ascii="仿宋_GB2312" w:hAnsi="Times New Roman" w:eastAsia="仿宋_GB2312"/>
          <w:sz w:val="32"/>
          <w:szCs w:val="32"/>
          <w:lang w:val="en-US" w:eastAsia="zh-CN"/>
        </w:rPr>
        <w:t>36号建筑现状主体结构安全情况，</w:t>
      </w:r>
      <w:r>
        <w:rPr>
          <w:rFonts w:hint="eastAsia" w:ascii="仿宋_GB2312" w:hAnsi="Times New Roman" w:eastAsia="仿宋_GB2312"/>
          <w:sz w:val="32"/>
          <w:szCs w:val="32"/>
          <w:lang w:eastAsia="zh-CN"/>
        </w:rPr>
        <w:t>对成都道</w:t>
      </w:r>
      <w:r>
        <w:rPr>
          <w:rFonts w:hint="eastAsia" w:ascii="仿宋_GB2312" w:hAnsi="Times New Roman" w:eastAsia="仿宋_GB2312"/>
          <w:sz w:val="32"/>
          <w:szCs w:val="32"/>
          <w:lang w:val="en-US" w:eastAsia="zh-CN"/>
        </w:rPr>
        <w:t>36号房屋鉴定工程</w:t>
      </w:r>
      <w:r>
        <w:rPr>
          <w:rFonts w:hint="eastAsia" w:ascii="仿宋_GB2312" w:hAnsi="Times New Roman" w:eastAsia="仿宋_GB2312"/>
          <w:sz w:val="32"/>
          <w:szCs w:val="32"/>
          <w:lang w:eastAsia="zh-CN"/>
        </w:rPr>
        <w:t>项目进行绩效评价。</w:t>
      </w:r>
    </w:p>
    <w:p>
      <w:pPr>
        <w:spacing w:line="560" w:lineRule="exact"/>
        <w:ind w:firstLine="627" w:firstLineChars="196"/>
        <w:rPr>
          <w:rFonts w:hint="eastAsia" w:ascii="仿宋_GB2312" w:hAnsi="Times New Roman" w:eastAsia="仿宋_GB2312"/>
          <w:sz w:val="32"/>
          <w:szCs w:val="32"/>
          <w:lang w:eastAsia="zh-CN"/>
        </w:rPr>
      </w:pPr>
      <w:r>
        <w:rPr>
          <w:rFonts w:hint="eastAsia" w:ascii="Times New Roman" w:hAnsi="Times New Roman" w:eastAsia="仿宋_GB2312"/>
          <w:sz w:val="32"/>
          <w:szCs w:val="32"/>
          <w:lang w:eastAsia="zh-CN"/>
        </w:rPr>
        <w:t>（二）</w:t>
      </w:r>
      <w:r>
        <w:rPr>
          <w:rFonts w:hint="eastAsia" w:ascii="仿宋_GB2312" w:hAnsi="Times New Roman" w:eastAsia="仿宋_GB2312"/>
          <w:spacing w:val="-1"/>
          <w:w w:val="103"/>
          <w:sz w:val="32"/>
          <w:szCs w:val="32"/>
          <w:lang w:eastAsia="zh-CN"/>
        </w:rPr>
        <w:t>绩效评价原则</w:t>
      </w:r>
      <w:r>
        <w:rPr>
          <w:rFonts w:hint="eastAsia" w:ascii="仿宋_GB2312" w:hAnsi="Times New Roman" w:eastAsia="仿宋_GB2312"/>
          <w:spacing w:val="-106"/>
          <w:w w:val="103"/>
          <w:sz w:val="32"/>
          <w:szCs w:val="32"/>
          <w:lang w:eastAsia="zh-CN"/>
        </w:rPr>
        <w:t xml:space="preserve"> </w:t>
      </w:r>
      <w:r>
        <w:rPr>
          <w:rFonts w:hint="eastAsia" w:ascii="仿宋_GB2312" w:hAnsi="Times New Roman" w:eastAsia="仿宋_GB2312"/>
          <w:spacing w:val="-7"/>
          <w:w w:val="103"/>
          <w:sz w:val="32"/>
          <w:szCs w:val="32"/>
          <w:lang w:eastAsia="zh-CN"/>
        </w:rPr>
        <w:t>、评价指标体系</w:t>
      </w:r>
      <w:r>
        <w:rPr>
          <w:rFonts w:hint="eastAsia" w:ascii="仿宋_GB2312" w:hAnsi="Times New Roman" w:eastAsia="仿宋_GB2312"/>
          <w:spacing w:val="-2"/>
          <w:w w:val="103"/>
          <w:sz w:val="32"/>
          <w:szCs w:val="32"/>
          <w:lang w:eastAsia="zh-CN"/>
        </w:rPr>
        <w:t>（</w:t>
      </w:r>
      <w:r>
        <w:rPr>
          <w:rFonts w:hint="eastAsia" w:ascii="仿宋_GB2312" w:hAnsi="Times New Roman" w:eastAsia="仿宋_GB2312"/>
          <w:w w:val="104"/>
          <w:sz w:val="32"/>
          <w:szCs w:val="32"/>
          <w:lang w:eastAsia="zh-CN"/>
        </w:rPr>
        <w:t>附表说明</w:t>
      </w:r>
      <w:r>
        <w:rPr>
          <w:rFonts w:hint="eastAsia" w:ascii="仿宋_GB2312" w:hAnsi="Times New Roman" w:eastAsia="仿宋_GB2312"/>
          <w:spacing w:val="-2"/>
          <w:w w:val="103"/>
          <w:sz w:val="32"/>
          <w:szCs w:val="32"/>
          <w:lang w:eastAsia="zh-CN"/>
        </w:rPr>
        <w:t>）</w:t>
      </w:r>
      <w:r>
        <w:rPr>
          <w:rFonts w:hint="eastAsia" w:ascii="Times New Roman" w:hAnsi="Times New Roman" w:eastAsia="仿宋_GB2312"/>
          <w:sz w:val="32"/>
          <w:szCs w:val="32"/>
          <w:lang w:eastAsia="zh-CN"/>
        </w:rPr>
        <w:t>、评价方法、评价标准</w:t>
      </w:r>
      <w:r>
        <w:rPr>
          <w:rFonts w:hint="eastAsia" w:ascii="仿宋_GB2312" w:hAnsi="Times New Roman" w:eastAsia="仿宋_GB2312"/>
          <w:sz w:val="32"/>
          <w:szCs w:val="32"/>
          <w:lang w:eastAsia="zh-CN"/>
        </w:rPr>
        <w:t>等</w:t>
      </w:r>
    </w:p>
    <w:p>
      <w:pPr>
        <w:spacing w:line="560" w:lineRule="exact"/>
        <w:ind w:firstLine="627" w:firstLineChars="196"/>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坚持评价客观真实的原则，确保数据真实、准确，内容全面；落实项目责任，提高项目资金使用效率。</w:t>
      </w:r>
    </w:p>
    <w:p>
      <w:pPr>
        <w:spacing w:line="560" w:lineRule="exact"/>
        <w:ind w:firstLine="627" w:firstLineChars="196"/>
        <w:rPr>
          <w:rFonts w:hint="eastAsia" w:ascii="Times New Roman" w:hAnsi="Times New Roman" w:eastAsia="仿宋_GB2312"/>
          <w:sz w:val="32"/>
          <w:szCs w:val="32"/>
          <w:lang w:eastAsia="zh-CN"/>
        </w:rPr>
      </w:pPr>
    </w:p>
    <w:tbl>
      <w:tblPr>
        <w:tblStyle w:val="5"/>
        <w:tblW w:w="8520" w:type="dxa"/>
        <w:tblInd w:w="93" w:type="dxa"/>
        <w:tblLayout w:type="autofit"/>
        <w:tblCellMar>
          <w:top w:w="0" w:type="dxa"/>
          <w:left w:w="108" w:type="dxa"/>
          <w:bottom w:w="0" w:type="dxa"/>
          <w:right w:w="108" w:type="dxa"/>
        </w:tblCellMar>
      </w:tblPr>
      <w:tblGrid>
        <w:gridCol w:w="1540"/>
        <w:gridCol w:w="2100"/>
        <w:gridCol w:w="2440"/>
        <w:gridCol w:w="2440"/>
      </w:tblGrid>
      <w:tr>
        <w:tblPrEx>
          <w:tblCellMar>
            <w:top w:w="0" w:type="dxa"/>
            <w:left w:w="108" w:type="dxa"/>
            <w:bottom w:w="0" w:type="dxa"/>
            <w:right w:w="108" w:type="dxa"/>
          </w:tblCellMar>
        </w:tblPrEx>
        <w:trPr>
          <w:trHeight w:val="660" w:hRule="atLeast"/>
        </w:trPr>
        <w:tc>
          <w:tcPr>
            <w:tcW w:w="1540" w:type="dxa"/>
            <w:tcBorders>
              <w:top w:val="single" w:color="auto" w:sz="4" w:space="0"/>
              <w:left w:val="single" w:color="auto" w:sz="4" w:space="0"/>
              <w:bottom w:val="single" w:color="auto" w:sz="4" w:space="0"/>
              <w:right w:val="nil"/>
            </w:tcBorders>
            <w:noWrap w:val="0"/>
            <w:vAlign w:val="center"/>
          </w:tcPr>
          <w:p>
            <w:pPr>
              <w:widowControl/>
              <w:spacing w:line="560" w:lineRule="exact"/>
              <w:rPr>
                <w:rFonts w:ascii="宋体" w:hAnsi="宋体" w:cs="宋体"/>
                <w:color w:val="000000"/>
                <w:sz w:val="24"/>
                <w:szCs w:val="24"/>
                <w:lang w:eastAsia="zh-CN"/>
              </w:rPr>
            </w:pPr>
            <w:r>
              <w:rPr>
                <w:rFonts w:hint="eastAsia" w:ascii="宋体" w:hAnsi="宋体" w:cs="宋体"/>
                <w:color w:val="000000"/>
                <w:sz w:val="24"/>
                <w:szCs w:val="24"/>
                <w:lang w:eastAsia="zh-CN"/>
              </w:rPr>
              <w:t>一级指标</w:t>
            </w:r>
          </w:p>
        </w:tc>
        <w:tc>
          <w:tcPr>
            <w:tcW w:w="2100" w:type="dxa"/>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rPr>
                <w:rFonts w:ascii="宋体" w:hAnsi="宋体" w:cs="宋体"/>
                <w:color w:val="000000"/>
                <w:sz w:val="24"/>
                <w:szCs w:val="24"/>
                <w:lang w:eastAsia="zh-CN"/>
              </w:rPr>
            </w:pPr>
            <w:r>
              <w:rPr>
                <w:rFonts w:hint="eastAsia" w:ascii="宋体" w:hAnsi="宋体" w:cs="宋体"/>
                <w:color w:val="000000"/>
                <w:sz w:val="24"/>
                <w:szCs w:val="24"/>
                <w:lang w:eastAsia="zh-CN"/>
              </w:rPr>
              <w:t>二级指标</w:t>
            </w:r>
          </w:p>
        </w:tc>
        <w:tc>
          <w:tcPr>
            <w:tcW w:w="2440" w:type="dxa"/>
            <w:tcBorders>
              <w:top w:val="single" w:color="auto" w:sz="4" w:space="0"/>
              <w:left w:val="nil"/>
              <w:bottom w:val="single" w:color="auto" w:sz="4" w:space="0"/>
              <w:right w:val="single" w:color="auto" w:sz="4" w:space="0"/>
            </w:tcBorders>
            <w:noWrap/>
            <w:vAlign w:val="center"/>
          </w:tcPr>
          <w:p>
            <w:pPr>
              <w:widowControl/>
              <w:spacing w:line="560" w:lineRule="exact"/>
              <w:rPr>
                <w:rFonts w:ascii="宋体" w:hAnsi="宋体" w:cs="宋体"/>
                <w:color w:val="000000"/>
                <w:sz w:val="24"/>
                <w:szCs w:val="24"/>
                <w:lang w:eastAsia="zh-CN"/>
              </w:rPr>
            </w:pPr>
            <w:r>
              <w:rPr>
                <w:rFonts w:hint="eastAsia" w:ascii="宋体" w:hAnsi="宋体" w:cs="宋体"/>
                <w:color w:val="000000"/>
                <w:sz w:val="24"/>
                <w:szCs w:val="24"/>
                <w:lang w:eastAsia="zh-CN"/>
              </w:rPr>
              <w:t>三级指标</w:t>
            </w:r>
          </w:p>
        </w:tc>
        <w:tc>
          <w:tcPr>
            <w:tcW w:w="2440" w:type="dxa"/>
            <w:tcBorders>
              <w:top w:val="single" w:color="auto" w:sz="4" w:space="0"/>
              <w:left w:val="nil"/>
              <w:bottom w:val="single" w:color="auto" w:sz="4" w:space="0"/>
              <w:right w:val="single" w:color="auto" w:sz="4" w:space="0"/>
            </w:tcBorders>
            <w:noWrap w:val="0"/>
            <w:vAlign w:val="center"/>
          </w:tcPr>
          <w:p>
            <w:pPr>
              <w:widowControl/>
              <w:spacing w:line="560" w:lineRule="exact"/>
              <w:rPr>
                <w:rFonts w:ascii="宋体" w:hAnsi="宋体" w:cs="宋体"/>
                <w:color w:val="000000"/>
                <w:sz w:val="24"/>
                <w:szCs w:val="24"/>
                <w:lang w:eastAsia="zh-CN"/>
              </w:rPr>
            </w:pPr>
            <w:r>
              <w:rPr>
                <w:rFonts w:hint="eastAsia" w:ascii="宋体" w:hAnsi="宋体" w:cs="宋体"/>
                <w:color w:val="000000"/>
                <w:sz w:val="24"/>
                <w:szCs w:val="24"/>
                <w:lang w:eastAsia="zh-CN"/>
              </w:rPr>
              <w:t>年度指标值(A)</w:t>
            </w:r>
          </w:p>
        </w:tc>
      </w:tr>
      <w:tr>
        <w:tblPrEx>
          <w:tblCellMar>
            <w:top w:w="0" w:type="dxa"/>
            <w:left w:w="108" w:type="dxa"/>
            <w:bottom w:w="0" w:type="dxa"/>
            <w:right w:w="108" w:type="dxa"/>
          </w:tblCellMar>
        </w:tblPrEx>
        <w:trPr>
          <w:trHeight w:val="1722" w:hRule="atLeast"/>
        </w:trPr>
        <w:tc>
          <w:tcPr>
            <w:tcW w:w="1540" w:type="dxa"/>
            <w:vMerge w:val="restart"/>
            <w:tcBorders>
              <w:top w:val="nil"/>
              <w:left w:val="single" w:color="auto" w:sz="4" w:space="0"/>
              <w:bottom w:val="single" w:color="000000" w:sz="4" w:space="0"/>
              <w:right w:val="nil"/>
            </w:tcBorders>
            <w:noWrap w:val="0"/>
            <w:vAlign w:val="center"/>
          </w:tcPr>
          <w:p>
            <w:pPr>
              <w:widowControl/>
              <w:spacing w:line="560" w:lineRule="exact"/>
              <w:rPr>
                <w:rFonts w:ascii="宋体" w:hAnsi="宋体" w:cs="宋体"/>
                <w:sz w:val="24"/>
                <w:szCs w:val="24"/>
                <w:lang w:eastAsia="zh-CN"/>
              </w:rPr>
            </w:pPr>
            <w:r>
              <w:rPr>
                <w:rFonts w:hint="eastAsia" w:ascii="宋体" w:hAnsi="宋体" w:cs="宋体"/>
                <w:sz w:val="24"/>
                <w:szCs w:val="24"/>
                <w:lang w:eastAsia="zh-CN"/>
              </w:rPr>
              <w:t>产出指标</w:t>
            </w:r>
            <w:r>
              <w:rPr>
                <w:rFonts w:hint="eastAsia" w:ascii="宋体" w:hAnsi="宋体" w:cs="宋体"/>
                <w:sz w:val="24"/>
                <w:szCs w:val="24"/>
                <w:lang w:eastAsia="zh-CN"/>
              </w:rPr>
              <w:br w:type="textWrapping"/>
            </w:r>
          </w:p>
        </w:tc>
        <w:tc>
          <w:tcPr>
            <w:tcW w:w="2100" w:type="dxa"/>
            <w:tcBorders>
              <w:top w:val="nil"/>
              <w:left w:val="single" w:color="auto" w:sz="4" w:space="0"/>
              <w:bottom w:val="single" w:color="auto" w:sz="4" w:space="0"/>
              <w:right w:val="single" w:color="auto" w:sz="4" w:space="0"/>
            </w:tcBorders>
            <w:noWrap w:val="0"/>
            <w:vAlign w:val="center"/>
          </w:tcPr>
          <w:p>
            <w:pPr>
              <w:widowControl/>
              <w:spacing w:line="560" w:lineRule="exact"/>
              <w:rPr>
                <w:rFonts w:ascii="宋体" w:hAnsi="宋体" w:cs="宋体"/>
                <w:sz w:val="24"/>
                <w:szCs w:val="24"/>
                <w:lang w:eastAsia="zh-CN"/>
              </w:rPr>
            </w:pPr>
            <w:r>
              <w:rPr>
                <w:rFonts w:hint="eastAsia" w:ascii="宋体" w:hAnsi="宋体" w:cs="宋体"/>
                <w:sz w:val="24"/>
                <w:szCs w:val="24"/>
                <w:lang w:eastAsia="zh-CN"/>
              </w:rPr>
              <w:t>数量指标</w:t>
            </w:r>
          </w:p>
        </w:tc>
        <w:tc>
          <w:tcPr>
            <w:tcW w:w="2440" w:type="dxa"/>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宋体" w:hAnsi="宋体" w:cs="宋体"/>
                <w:color w:val="000000"/>
                <w:sz w:val="24"/>
                <w:szCs w:val="24"/>
                <w:lang w:eastAsia="zh-CN"/>
              </w:rPr>
            </w:pPr>
            <w:r>
              <w:rPr>
                <w:rFonts w:hint="eastAsia" w:ascii="宋体" w:hAnsi="宋体" w:eastAsia="宋体" w:cs="宋体"/>
                <w:i w:val="0"/>
                <w:color w:val="000000"/>
                <w:kern w:val="0"/>
                <w:sz w:val="24"/>
                <w:szCs w:val="24"/>
                <w:u w:val="none"/>
                <w:lang w:val="en-US" w:eastAsia="zh-CN" w:bidi="ar"/>
              </w:rPr>
              <w:t>完成对成都道36号建筑本体及附属建筑的安全性鉴定</w:t>
            </w:r>
          </w:p>
        </w:tc>
        <w:tc>
          <w:tcPr>
            <w:tcW w:w="244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sz w:val="24"/>
                <w:szCs w:val="24"/>
                <w:lang w:eastAsia="zh-CN"/>
              </w:rPr>
            </w:pPr>
            <w:r>
              <w:rPr>
                <w:rFonts w:hint="eastAsia" w:ascii="宋体" w:hAnsi="宋体" w:eastAsia="宋体" w:cs="宋体"/>
                <w:i w:val="0"/>
                <w:color w:val="000000"/>
                <w:kern w:val="0"/>
                <w:sz w:val="24"/>
                <w:szCs w:val="24"/>
                <w:u w:val="none"/>
                <w:lang w:val="en-US" w:eastAsia="zh-CN" w:bidi="ar"/>
              </w:rPr>
              <w:t>≥2</w:t>
            </w:r>
          </w:p>
        </w:tc>
      </w:tr>
      <w:tr>
        <w:tblPrEx>
          <w:tblCellMar>
            <w:top w:w="0" w:type="dxa"/>
            <w:left w:w="108" w:type="dxa"/>
            <w:bottom w:w="0" w:type="dxa"/>
            <w:right w:w="108" w:type="dxa"/>
          </w:tblCellMar>
        </w:tblPrEx>
        <w:trPr>
          <w:trHeight w:val="405" w:hRule="atLeast"/>
        </w:trPr>
        <w:tc>
          <w:tcPr>
            <w:tcW w:w="1540" w:type="dxa"/>
            <w:vMerge w:val="continue"/>
            <w:tcBorders>
              <w:top w:val="nil"/>
              <w:left w:val="single" w:color="auto" w:sz="4" w:space="0"/>
              <w:bottom w:val="single" w:color="000000" w:sz="4" w:space="0"/>
              <w:right w:val="nil"/>
            </w:tcBorders>
            <w:noWrap w:val="0"/>
            <w:vAlign w:val="center"/>
          </w:tcPr>
          <w:p>
            <w:pPr>
              <w:widowControl/>
              <w:spacing w:line="560" w:lineRule="exact"/>
              <w:rPr>
                <w:rFonts w:ascii="宋体" w:hAnsi="宋体" w:cs="宋体"/>
                <w:sz w:val="24"/>
                <w:szCs w:val="24"/>
                <w:lang w:eastAsia="zh-CN"/>
              </w:rPr>
            </w:pPr>
          </w:p>
        </w:tc>
        <w:tc>
          <w:tcPr>
            <w:tcW w:w="2100" w:type="dxa"/>
            <w:tcBorders>
              <w:top w:val="nil"/>
              <w:left w:val="single" w:color="auto" w:sz="4" w:space="0"/>
              <w:bottom w:val="single" w:color="auto" w:sz="4" w:space="0"/>
              <w:right w:val="single" w:color="auto" w:sz="4" w:space="0"/>
            </w:tcBorders>
            <w:noWrap w:val="0"/>
            <w:vAlign w:val="center"/>
          </w:tcPr>
          <w:p>
            <w:pPr>
              <w:widowControl/>
              <w:spacing w:line="560" w:lineRule="exact"/>
              <w:rPr>
                <w:rFonts w:ascii="宋体" w:hAnsi="宋体" w:cs="宋体"/>
                <w:sz w:val="24"/>
                <w:szCs w:val="24"/>
                <w:lang w:eastAsia="zh-CN"/>
              </w:rPr>
            </w:pPr>
            <w:r>
              <w:rPr>
                <w:rFonts w:hint="eastAsia" w:ascii="宋体" w:hAnsi="宋体" w:cs="宋体"/>
                <w:sz w:val="24"/>
                <w:szCs w:val="24"/>
                <w:lang w:eastAsia="zh-CN"/>
              </w:rPr>
              <w:t>质量指标</w:t>
            </w:r>
          </w:p>
        </w:tc>
        <w:tc>
          <w:tcPr>
            <w:tcW w:w="2440" w:type="dxa"/>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宋体" w:hAnsi="宋体" w:cs="宋体"/>
                <w:color w:val="000000"/>
                <w:sz w:val="24"/>
                <w:szCs w:val="24"/>
                <w:lang w:eastAsia="zh-CN"/>
              </w:rPr>
            </w:pPr>
            <w:r>
              <w:rPr>
                <w:rFonts w:hint="eastAsia" w:ascii="宋体" w:hAnsi="宋体" w:eastAsia="宋体" w:cs="宋体"/>
                <w:i w:val="0"/>
                <w:color w:val="000000"/>
                <w:kern w:val="0"/>
                <w:sz w:val="24"/>
                <w:szCs w:val="24"/>
                <w:u w:val="none"/>
                <w:lang w:val="en-US" w:eastAsia="zh-CN" w:bidi="ar"/>
              </w:rPr>
              <w:t>入场进行安全性评估鉴定并出具技术鉴定报告</w:t>
            </w:r>
          </w:p>
        </w:tc>
        <w:tc>
          <w:tcPr>
            <w:tcW w:w="244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000000"/>
                <w:sz w:val="24"/>
                <w:szCs w:val="24"/>
                <w:lang w:eastAsia="zh-CN"/>
              </w:rPr>
            </w:pPr>
            <w:r>
              <w:rPr>
                <w:rFonts w:hint="eastAsia" w:ascii="宋体" w:hAnsi="宋体" w:eastAsia="宋体" w:cs="宋体"/>
                <w:i w:val="0"/>
                <w:color w:val="000000"/>
                <w:kern w:val="0"/>
                <w:sz w:val="24"/>
                <w:szCs w:val="24"/>
                <w:u w:val="none"/>
                <w:lang w:val="en-US" w:eastAsia="zh-CN" w:bidi="ar"/>
              </w:rPr>
              <w:t>≥90%</w:t>
            </w:r>
          </w:p>
        </w:tc>
      </w:tr>
      <w:tr>
        <w:tblPrEx>
          <w:tblCellMar>
            <w:top w:w="0" w:type="dxa"/>
            <w:left w:w="108" w:type="dxa"/>
            <w:bottom w:w="0" w:type="dxa"/>
            <w:right w:w="108" w:type="dxa"/>
          </w:tblCellMar>
        </w:tblPrEx>
        <w:trPr>
          <w:trHeight w:val="405" w:hRule="atLeast"/>
        </w:trPr>
        <w:tc>
          <w:tcPr>
            <w:tcW w:w="1540" w:type="dxa"/>
            <w:vMerge w:val="continue"/>
            <w:tcBorders>
              <w:top w:val="nil"/>
              <w:left w:val="single" w:color="auto" w:sz="4" w:space="0"/>
              <w:bottom w:val="single" w:color="000000" w:sz="4" w:space="0"/>
              <w:right w:val="nil"/>
            </w:tcBorders>
            <w:noWrap w:val="0"/>
            <w:vAlign w:val="center"/>
          </w:tcPr>
          <w:p>
            <w:pPr>
              <w:widowControl/>
              <w:spacing w:line="560" w:lineRule="exact"/>
              <w:rPr>
                <w:rFonts w:ascii="宋体" w:hAnsi="宋体" w:cs="宋体"/>
                <w:sz w:val="24"/>
                <w:szCs w:val="24"/>
                <w:lang w:eastAsia="zh-CN"/>
              </w:rPr>
            </w:pPr>
          </w:p>
        </w:tc>
        <w:tc>
          <w:tcPr>
            <w:tcW w:w="2100" w:type="dxa"/>
            <w:tcBorders>
              <w:top w:val="nil"/>
              <w:left w:val="single" w:color="auto" w:sz="4" w:space="0"/>
              <w:bottom w:val="single" w:color="auto" w:sz="4" w:space="0"/>
              <w:right w:val="single" w:color="auto" w:sz="4" w:space="0"/>
            </w:tcBorders>
            <w:noWrap w:val="0"/>
            <w:vAlign w:val="center"/>
          </w:tcPr>
          <w:p>
            <w:pPr>
              <w:widowControl/>
              <w:spacing w:line="560" w:lineRule="exact"/>
              <w:rPr>
                <w:rFonts w:ascii="宋体" w:hAnsi="宋体" w:cs="宋体"/>
                <w:sz w:val="24"/>
                <w:szCs w:val="24"/>
                <w:lang w:eastAsia="zh-CN"/>
              </w:rPr>
            </w:pPr>
            <w:r>
              <w:rPr>
                <w:rFonts w:hint="eastAsia" w:ascii="宋体" w:hAnsi="宋体" w:cs="宋体"/>
                <w:sz w:val="24"/>
                <w:szCs w:val="24"/>
                <w:lang w:eastAsia="zh-CN"/>
              </w:rPr>
              <w:t>时效指标</w:t>
            </w:r>
          </w:p>
        </w:tc>
        <w:tc>
          <w:tcPr>
            <w:tcW w:w="2440" w:type="dxa"/>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宋体" w:hAnsi="宋体" w:cs="宋体"/>
                <w:color w:val="000000"/>
                <w:sz w:val="24"/>
                <w:szCs w:val="24"/>
                <w:lang w:eastAsia="zh-CN"/>
              </w:rPr>
            </w:pPr>
            <w:r>
              <w:rPr>
                <w:rFonts w:hint="eastAsia" w:ascii="宋体" w:hAnsi="宋体" w:eastAsia="宋体" w:cs="宋体"/>
                <w:i w:val="0"/>
                <w:color w:val="000000"/>
                <w:kern w:val="0"/>
                <w:sz w:val="24"/>
                <w:szCs w:val="24"/>
                <w:u w:val="none"/>
                <w:lang w:val="en-US" w:eastAsia="zh-CN" w:bidi="ar"/>
              </w:rPr>
              <w:t>确保在对成都道36号维修、装修前完成鉴定评估工作</w:t>
            </w:r>
          </w:p>
        </w:tc>
        <w:tc>
          <w:tcPr>
            <w:tcW w:w="244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sz w:val="24"/>
                <w:szCs w:val="24"/>
                <w:lang w:eastAsia="zh-CN"/>
              </w:rPr>
            </w:pPr>
            <w:r>
              <w:rPr>
                <w:rFonts w:hint="eastAsia" w:ascii="宋体" w:hAnsi="宋体" w:eastAsia="宋体" w:cs="宋体"/>
                <w:i w:val="0"/>
                <w:color w:val="000000"/>
                <w:kern w:val="0"/>
                <w:sz w:val="24"/>
                <w:szCs w:val="24"/>
                <w:u w:val="none"/>
                <w:lang w:val="en-US" w:eastAsia="zh-CN" w:bidi="ar"/>
              </w:rPr>
              <w:t>≥90%</w:t>
            </w:r>
          </w:p>
        </w:tc>
      </w:tr>
      <w:tr>
        <w:tblPrEx>
          <w:tblCellMar>
            <w:top w:w="0" w:type="dxa"/>
            <w:left w:w="108" w:type="dxa"/>
            <w:bottom w:w="0" w:type="dxa"/>
            <w:right w:w="108" w:type="dxa"/>
          </w:tblCellMar>
        </w:tblPrEx>
        <w:trPr>
          <w:trHeight w:val="405" w:hRule="atLeast"/>
        </w:trPr>
        <w:tc>
          <w:tcPr>
            <w:tcW w:w="1540" w:type="dxa"/>
            <w:vMerge w:val="continue"/>
            <w:tcBorders>
              <w:top w:val="nil"/>
              <w:left w:val="single" w:color="auto" w:sz="4" w:space="0"/>
              <w:bottom w:val="single" w:color="000000" w:sz="4" w:space="0"/>
              <w:right w:val="nil"/>
            </w:tcBorders>
            <w:noWrap w:val="0"/>
            <w:vAlign w:val="center"/>
          </w:tcPr>
          <w:p>
            <w:pPr>
              <w:widowControl/>
              <w:spacing w:line="560" w:lineRule="exact"/>
              <w:rPr>
                <w:rFonts w:ascii="宋体" w:hAnsi="宋体" w:cs="宋体"/>
                <w:sz w:val="24"/>
                <w:szCs w:val="24"/>
                <w:lang w:eastAsia="zh-CN"/>
              </w:rPr>
            </w:pPr>
          </w:p>
        </w:tc>
        <w:tc>
          <w:tcPr>
            <w:tcW w:w="2100" w:type="dxa"/>
            <w:tcBorders>
              <w:top w:val="nil"/>
              <w:left w:val="single" w:color="auto" w:sz="4" w:space="0"/>
              <w:bottom w:val="single" w:color="auto" w:sz="4" w:space="0"/>
              <w:right w:val="single" w:color="auto" w:sz="4" w:space="0"/>
            </w:tcBorders>
            <w:noWrap w:val="0"/>
            <w:vAlign w:val="center"/>
          </w:tcPr>
          <w:p>
            <w:pPr>
              <w:widowControl/>
              <w:spacing w:line="560" w:lineRule="exact"/>
              <w:rPr>
                <w:rFonts w:ascii="宋体" w:hAnsi="宋体" w:cs="宋体"/>
                <w:sz w:val="24"/>
                <w:szCs w:val="24"/>
                <w:lang w:eastAsia="zh-CN"/>
              </w:rPr>
            </w:pPr>
            <w:r>
              <w:rPr>
                <w:rFonts w:hint="eastAsia" w:ascii="宋体" w:hAnsi="宋体" w:cs="宋体"/>
                <w:sz w:val="24"/>
                <w:szCs w:val="24"/>
                <w:lang w:eastAsia="zh-CN"/>
              </w:rPr>
              <w:t>成本指标</w:t>
            </w:r>
          </w:p>
        </w:tc>
        <w:tc>
          <w:tcPr>
            <w:tcW w:w="2440" w:type="dxa"/>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宋体" w:hAnsi="宋体" w:cs="宋体"/>
                <w:color w:val="000000"/>
                <w:sz w:val="24"/>
                <w:szCs w:val="24"/>
                <w:lang w:eastAsia="zh-CN"/>
              </w:rPr>
            </w:pPr>
            <w:r>
              <w:rPr>
                <w:rFonts w:hint="eastAsia" w:ascii="宋体" w:hAnsi="宋体" w:eastAsia="宋体" w:cs="宋体"/>
                <w:i w:val="0"/>
                <w:color w:val="000000"/>
                <w:kern w:val="0"/>
                <w:sz w:val="24"/>
                <w:szCs w:val="24"/>
                <w:u w:val="none"/>
                <w:lang w:val="en-US" w:eastAsia="zh-CN" w:bidi="ar"/>
              </w:rPr>
              <w:t>不高于市场统一报价</w:t>
            </w:r>
          </w:p>
        </w:tc>
        <w:tc>
          <w:tcPr>
            <w:tcW w:w="244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sz w:val="24"/>
                <w:szCs w:val="24"/>
                <w:lang w:eastAsia="zh-CN"/>
              </w:rPr>
            </w:pPr>
            <w:r>
              <w:rPr>
                <w:rFonts w:hint="eastAsia" w:ascii="宋体" w:hAnsi="宋体" w:eastAsia="宋体" w:cs="宋体"/>
                <w:i w:val="0"/>
                <w:color w:val="000000"/>
                <w:kern w:val="0"/>
                <w:sz w:val="24"/>
                <w:szCs w:val="24"/>
                <w:u w:val="none"/>
                <w:lang w:val="en-US" w:eastAsia="zh-CN" w:bidi="ar"/>
              </w:rPr>
              <w:t>≤4.8万元</w:t>
            </w:r>
          </w:p>
        </w:tc>
      </w:tr>
      <w:tr>
        <w:tblPrEx>
          <w:tblCellMar>
            <w:top w:w="0" w:type="dxa"/>
            <w:left w:w="108" w:type="dxa"/>
            <w:bottom w:w="0" w:type="dxa"/>
            <w:right w:w="108" w:type="dxa"/>
          </w:tblCellMar>
        </w:tblPrEx>
        <w:trPr>
          <w:trHeight w:val="405" w:hRule="atLeast"/>
        </w:trPr>
        <w:tc>
          <w:tcPr>
            <w:tcW w:w="1540" w:type="dxa"/>
            <w:vMerge w:val="continue"/>
            <w:tcBorders>
              <w:top w:val="nil"/>
              <w:left w:val="single" w:color="auto" w:sz="4" w:space="0"/>
              <w:bottom w:val="single" w:color="000000" w:sz="4" w:space="0"/>
              <w:right w:val="nil"/>
            </w:tcBorders>
            <w:noWrap w:val="0"/>
            <w:vAlign w:val="center"/>
          </w:tcPr>
          <w:p>
            <w:pPr>
              <w:widowControl/>
              <w:spacing w:line="560" w:lineRule="exact"/>
              <w:rPr>
                <w:rFonts w:ascii="宋体" w:hAnsi="宋体" w:cs="宋体"/>
                <w:sz w:val="24"/>
                <w:szCs w:val="24"/>
                <w:lang w:eastAsia="zh-CN"/>
              </w:rPr>
            </w:pPr>
          </w:p>
        </w:tc>
        <w:tc>
          <w:tcPr>
            <w:tcW w:w="2100" w:type="dxa"/>
            <w:tcBorders>
              <w:top w:val="nil"/>
              <w:left w:val="single" w:color="auto" w:sz="4" w:space="0"/>
              <w:bottom w:val="single" w:color="auto" w:sz="4" w:space="0"/>
              <w:right w:val="single" w:color="auto" w:sz="4" w:space="0"/>
            </w:tcBorders>
            <w:noWrap w:val="0"/>
            <w:vAlign w:val="center"/>
          </w:tcPr>
          <w:p>
            <w:pPr>
              <w:widowControl/>
              <w:spacing w:line="560" w:lineRule="exact"/>
              <w:rPr>
                <w:rFonts w:ascii="宋体" w:hAnsi="宋体" w:cs="宋体"/>
                <w:sz w:val="24"/>
                <w:szCs w:val="24"/>
                <w:lang w:eastAsia="zh-CN"/>
              </w:rPr>
            </w:pPr>
            <w:r>
              <w:rPr>
                <w:rFonts w:hint="eastAsia" w:ascii="宋体" w:hAnsi="宋体" w:cs="宋体"/>
                <w:sz w:val="24"/>
                <w:szCs w:val="24"/>
                <w:lang w:eastAsia="zh-CN"/>
              </w:rPr>
              <w:t>社会效益指标</w:t>
            </w:r>
          </w:p>
        </w:tc>
        <w:tc>
          <w:tcPr>
            <w:tcW w:w="2440" w:type="dxa"/>
            <w:tcBorders>
              <w:top w:val="nil"/>
              <w:left w:val="nil"/>
              <w:bottom w:val="single" w:color="auto" w:sz="4" w:space="0"/>
              <w:right w:val="single" w:color="auto" w:sz="4" w:space="0"/>
            </w:tcBorders>
            <w:noWrap/>
            <w:vAlign w:val="center"/>
          </w:tcPr>
          <w:p>
            <w:pPr>
              <w:widowControl/>
              <w:spacing w:line="560" w:lineRule="exact"/>
              <w:jc w:val="center"/>
              <w:rPr>
                <w:rFonts w:ascii="宋体" w:hAnsi="宋体" w:cs="宋体"/>
                <w:sz w:val="24"/>
                <w:szCs w:val="24"/>
                <w:lang w:eastAsia="zh-CN"/>
              </w:rPr>
            </w:pPr>
            <w:r>
              <w:rPr>
                <w:rFonts w:hint="eastAsia" w:ascii="宋体" w:hAnsi="宋体" w:cs="宋体"/>
                <w:sz w:val="24"/>
                <w:szCs w:val="24"/>
                <w:lang w:eastAsia="zh-CN"/>
              </w:rPr>
              <w:t>出具评估鉴定报告</w:t>
            </w:r>
          </w:p>
        </w:tc>
        <w:tc>
          <w:tcPr>
            <w:tcW w:w="2440" w:type="dxa"/>
            <w:tcBorders>
              <w:top w:val="nil"/>
              <w:left w:val="nil"/>
              <w:bottom w:val="single" w:color="auto" w:sz="4" w:space="0"/>
              <w:right w:val="single" w:color="auto" w:sz="4" w:space="0"/>
            </w:tcBorders>
            <w:noWrap w:val="0"/>
            <w:vAlign w:val="center"/>
          </w:tcPr>
          <w:p>
            <w:pPr>
              <w:widowControl/>
              <w:spacing w:line="560" w:lineRule="exact"/>
              <w:rPr>
                <w:rFonts w:ascii="宋体" w:hAnsi="宋体" w:cs="宋体"/>
                <w:sz w:val="24"/>
                <w:szCs w:val="24"/>
                <w:lang w:eastAsia="zh-CN"/>
              </w:rPr>
            </w:pPr>
            <w:r>
              <w:rPr>
                <w:rFonts w:hint="eastAsia" w:ascii="宋体" w:hAnsi="宋体" w:cs="宋体"/>
                <w:sz w:val="24"/>
                <w:szCs w:val="24"/>
                <w:lang w:eastAsia="zh-CN"/>
              </w:rPr>
              <w:t>=1份</w:t>
            </w:r>
          </w:p>
        </w:tc>
      </w:tr>
      <w:tr>
        <w:tblPrEx>
          <w:tblCellMar>
            <w:top w:w="0" w:type="dxa"/>
            <w:left w:w="108" w:type="dxa"/>
            <w:bottom w:w="0" w:type="dxa"/>
            <w:right w:w="108" w:type="dxa"/>
          </w:tblCellMar>
        </w:tblPrEx>
        <w:trPr>
          <w:trHeight w:val="405" w:hRule="atLeast"/>
        </w:trPr>
        <w:tc>
          <w:tcPr>
            <w:tcW w:w="1540" w:type="dxa"/>
            <w:tcBorders>
              <w:top w:val="nil"/>
              <w:left w:val="single" w:color="auto" w:sz="4" w:space="0"/>
              <w:bottom w:val="single" w:color="000000" w:sz="4" w:space="0"/>
              <w:right w:val="single" w:color="auto" w:sz="4" w:space="0"/>
            </w:tcBorders>
            <w:noWrap w:val="0"/>
            <w:vAlign w:val="center"/>
          </w:tcPr>
          <w:p>
            <w:pPr>
              <w:widowControl/>
              <w:spacing w:line="560" w:lineRule="exact"/>
              <w:rPr>
                <w:rFonts w:ascii="宋体" w:hAnsi="宋体" w:cs="宋体"/>
                <w:sz w:val="24"/>
                <w:szCs w:val="24"/>
                <w:lang w:eastAsia="zh-CN"/>
              </w:rPr>
            </w:pPr>
            <w:r>
              <w:rPr>
                <w:rFonts w:hint="eastAsia" w:ascii="宋体" w:hAnsi="宋体" w:cs="宋体"/>
                <w:sz w:val="24"/>
                <w:szCs w:val="24"/>
                <w:lang w:eastAsia="zh-CN"/>
              </w:rPr>
              <w:t>满意度指标</w:t>
            </w:r>
            <w:r>
              <w:rPr>
                <w:rFonts w:hint="eastAsia" w:ascii="宋体" w:hAnsi="宋体" w:cs="宋体"/>
                <w:sz w:val="24"/>
                <w:szCs w:val="24"/>
                <w:lang w:eastAsia="zh-CN"/>
              </w:rPr>
              <w:br w:type="textWrapping"/>
            </w:r>
          </w:p>
        </w:tc>
        <w:tc>
          <w:tcPr>
            <w:tcW w:w="2100" w:type="dxa"/>
            <w:tcBorders>
              <w:top w:val="nil"/>
              <w:left w:val="single" w:color="auto" w:sz="4" w:space="0"/>
              <w:bottom w:val="single" w:color="000000" w:sz="4" w:space="0"/>
              <w:right w:val="single" w:color="auto" w:sz="4" w:space="0"/>
            </w:tcBorders>
            <w:noWrap w:val="0"/>
            <w:vAlign w:val="center"/>
          </w:tcPr>
          <w:p>
            <w:pPr>
              <w:widowControl/>
              <w:spacing w:line="560" w:lineRule="exact"/>
              <w:rPr>
                <w:rFonts w:ascii="宋体" w:hAnsi="宋体" w:cs="宋体"/>
                <w:sz w:val="24"/>
                <w:szCs w:val="24"/>
                <w:lang w:eastAsia="zh-CN"/>
              </w:rPr>
            </w:pPr>
            <w:r>
              <w:rPr>
                <w:rFonts w:hint="eastAsia" w:ascii="宋体" w:hAnsi="宋体" w:cs="宋体"/>
                <w:sz w:val="24"/>
                <w:szCs w:val="24"/>
                <w:lang w:eastAsia="zh-CN"/>
              </w:rPr>
              <w:t>服务对象</w:t>
            </w:r>
            <w:bookmarkStart w:id="0" w:name="_GoBack"/>
            <w:bookmarkEnd w:id="0"/>
            <w:r>
              <w:rPr>
                <w:rFonts w:hint="eastAsia" w:ascii="宋体" w:hAnsi="宋体" w:cs="宋体"/>
                <w:sz w:val="24"/>
                <w:szCs w:val="24"/>
                <w:lang w:eastAsia="zh-CN"/>
              </w:rPr>
              <w:br w:type="textWrapping"/>
            </w:r>
            <w:r>
              <w:rPr>
                <w:rFonts w:hint="eastAsia" w:ascii="宋体" w:hAnsi="宋体" w:cs="宋体"/>
                <w:sz w:val="24"/>
                <w:szCs w:val="24"/>
                <w:lang w:eastAsia="zh-CN"/>
              </w:rPr>
              <w:t>满意度指标</w:t>
            </w:r>
          </w:p>
        </w:tc>
        <w:tc>
          <w:tcPr>
            <w:tcW w:w="2440" w:type="dxa"/>
            <w:tcBorders>
              <w:top w:val="nil"/>
              <w:left w:val="nil"/>
              <w:bottom w:val="single" w:color="auto" w:sz="4" w:space="0"/>
              <w:right w:val="single" w:color="auto" w:sz="4" w:space="0"/>
            </w:tcBorders>
            <w:noWrap/>
            <w:vAlign w:val="center"/>
          </w:tcPr>
          <w:p>
            <w:pPr>
              <w:widowControl/>
              <w:spacing w:line="560" w:lineRule="exact"/>
              <w:rPr>
                <w:rFonts w:ascii="宋体" w:hAnsi="宋体" w:cs="宋体"/>
                <w:color w:val="000000"/>
                <w:sz w:val="24"/>
                <w:szCs w:val="24"/>
                <w:lang w:eastAsia="zh-CN"/>
              </w:rPr>
            </w:pPr>
            <w:r>
              <w:rPr>
                <w:rFonts w:hint="eastAsia" w:ascii="宋体" w:hAnsi="宋体" w:cs="宋体"/>
                <w:color w:val="000000"/>
                <w:sz w:val="24"/>
                <w:szCs w:val="24"/>
                <w:lang w:eastAsia="zh-CN"/>
              </w:rPr>
              <w:t>使用人员满意度</w:t>
            </w:r>
          </w:p>
        </w:tc>
        <w:tc>
          <w:tcPr>
            <w:tcW w:w="2440" w:type="dxa"/>
            <w:tcBorders>
              <w:top w:val="nil"/>
              <w:left w:val="nil"/>
              <w:bottom w:val="single" w:color="auto" w:sz="4" w:space="0"/>
              <w:right w:val="single" w:color="auto" w:sz="4" w:space="0"/>
            </w:tcBorders>
            <w:noWrap/>
            <w:vAlign w:val="center"/>
          </w:tcPr>
          <w:p>
            <w:pPr>
              <w:widowControl/>
              <w:spacing w:line="560" w:lineRule="exact"/>
              <w:rPr>
                <w:rFonts w:ascii="宋体" w:hAnsi="宋体" w:cs="宋体"/>
                <w:color w:val="000000"/>
                <w:sz w:val="24"/>
                <w:szCs w:val="24"/>
                <w:lang w:eastAsia="zh-CN"/>
              </w:rPr>
            </w:pPr>
            <w:r>
              <w:rPr>
                <w:rFonts w:hint="eastAsia" w:ascii="宋体" w:hAnsi="宋体" w:cs="宋体"/>
                <w:color w:val="000000"/>
                <w:sz w:val="24"/>
                <w:szCs w:val="24"/>
                <w:lang w:eastAsia="zh-CN"/>
              </w:rPr>
              <w:t>≥90%</w:t>
            </w:r>
          </w:p>
        </w:tc>
      </w:tr>
    </w:tbl>
    <w:p>
      <w:pPr>
        <w:spacing w:line="560" w:lineRule="exact"/>
        <w:ind w:firstLine="640" w:firstLineChars="200"/>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绩效评价工作由项目负责科室对该项目绩效进行自评，对绩效评价指标体系进行综合评分，评价标准根据《中共和平区委 和平区人民政府印发&lt;关于全面推进预算绩效管理的实施方案》的通知&gt;（津和党发</w:t>
      </w:r>
      <w:r>
        <w:rPr>
          <w:rFonts w:hint="eastAsia" w:ascii="仿宋_GB2312" w:hAnsi="Times New Roman" w:eastAsia="仿宋_GB2312"/>
          <w:sz w:val="32"/>
          <w:szCs w:val="32"/>
          <w:lang w:eastAsia="zh-CN"/>
        </w:rPr>
        <w:t>〔</w:t>
      </w:r>
      <w:r>
        <w:rPr>
          <w:rFonts w:hint="eastAsia" w:ascii="Times New Roman" w:hAnsi="Times New Roman" w:eastAsia="仿宋_GB2312"/>
          <w:sz w:val="32"/>
          <w:szCs w:val="32"/>
          <w:lang w:eastAsia="zh-CN"/>
        </w:rPr>
        <w:t>2019</w:t>
      </w:r>
      <w:r>
        <w:rPr>
          <w:rFonts w:hint="eastAsia" w:ascii="仿宋_GB2312" w:hAnsi="Times New Roman" w:eastAsia="仿宋_GB2312"/>
          <w:sz w:val="32"/>
          <w:szCs w:val="32"/>
          <w:lang w:eastAsia="zh-CN"/>
        </w:rPr>
        <w:t>〕</w:t>
      </w:r>
      <w:r>
        <w:rPr>
          <w:rFonts w:hint="eastAsia" w:ascii="Times New Roman" w:hAnsi="Times New Roman" w:eastAsia="仿宋_GB2312"/>
          <w:sz w:val="32"/>
          <w:szCs w:val="32"/>
          <w:lang w:eastAsia="zh-CN"/>
        </w:rPr>
        <w:t>23号）要求，以及纳入2021年度绩效目标管理的项目中当年的绩效目标设定，结合该项目特点进行评价。</w:t>
      </w:r>
    </w:p>
    <w:p>
      <w:pPr>
        <w:spacing w:line="560" w:lineRule="exact"/>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（三）</w:t>
      </w:r>
      <w:r>
        <w:rPr>
          <w:rFonts w:ascii="Times New Roman" w:hAnsi="Times New Roman" w:eastAsia="仿宋_GB2312"/>
          <w:sz w:val="32"/>
          <w:szCs w:val="32"/>
          <w:lang w:eastAsia="zh-CN"/>
        </w:rPr>
        <w:t>绩效评价工作过程</w:t>
      </w:r>
    </w:p>
    <w:p>
      <w:pPr>
        <w:spacing w:line="560" w:lineRule="exact"/>
        <w:ind w:firstLine="640" w:firstLineChars="200"/>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做好前期准备工作，了解《中共和平区委 和平区人民政府印发&lt;关于全面推进预算绩效管理的实施方案》的通知&gt;（津和党发</w:t>
      </w:r>
      <w:r>
        <w:rPr>
          <w:rFonts w:hint="eastAsia" w:ascii="仿宋_GB2312" w:hAnsi="Times New Roman" w:eastAsia="仿宋_GB2312"/>
          <w:sz w:val="32"/>
          <w:szCs w:val="32"/>
          <w:lang w:eastAsia="zh-CN"/>
        </w:rPr>
        <w:t>〔</w:t>
      </w:r>
      <w:r>
        <w:rPr>
          <w:rFonts w:hint="eastAsia" w:ascii="Times New Roman" w:hAnsi="Times New Roman" w:eastAsia="仿宋_GB2312"/>
          <w:sz w:val="32"/>
          <w:szCs w:val="32"/>
          <w:lang w:eastAsia="zh-CN"/>
        </w:rPr>
        <w:t>2019</w:t>
      </w:r>
      <w:r>
        <w:rPr>
          <w:rFonts w:hint="eastAsia" w:ascii="仿宋_GB2312" w:hAnsi="Times New Roman" w:eastAsia="仿宋_GB2312"/>
          <w:sz w:val="32"/>
          <w:szCs w:val="32"/>
          <w:lang w:eastAsia="zh-CN"/>
        </w:rPr>
        <w:t>〕</w:t>
      </w:r>
      <w:r>
        <w:rPr>
          <w:rFonts w:hint="eastAsia" w:ascii="Times New Roman" w:hAnsi="Times New Roman" w:eastAsia="仿宋_GB2312"/>
          <w:sz w:val="32"/>
          <w:szCs w:val="32"/>
          <w:lang w:eastAsia="zh-CN"/>
        </w:rPr>
        <w:t>23号）要求，梳理、汇总2021年项目资料，填写项目支出绩效自评表，编写项目绩效自评报告。</w:t>
      </w:r>
    </w:p>
    <w:p>
      <w:pPr>
        <w:spacing w:line="560" w:lineRule="exact"/>
        <w:ind w:firstLine="656" w:firstLineChars="200"/>
        <w:rPr>
          <w:rFonts w:hint="eastAsia" w:ascii="黑体" w:hAnsi="黑体" w:eastAsia="黑体"/>
          <w:spacing w:val="-4"/>
          <w:w w:val="105"/>
          <w:sz w:val="32"/>
          <w:szCs w:val="32"/>
          <w:lang w:eastAsia="zh-CN"/>
        </w:rPr>
      </w:pPr>
      <w:r>
        <w:rPr>
          <w:rFonts w:ascii="黑体" w:hAnsi="黑体" w:eastAsia="黑体"/>
          <w:spacing w:val="-4"/>
          <w:w w:val="105"/>
          <w:sz w:val="32"/>
          <w:szCs w:val="32"/>
          <w:lang w:eastAsia="zh-CN"/>
        </w:rPr>
        <w:t>三、综合评价情况及评价结论</w:t>
      </w:r>
    </w:p>
    <w:p>
      <w:pPr>
        <w:spacing w:line="560" w:lineRule="exact"/>
        <w:ind w:firstLine="627" w:firstLineChars="196"/>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总体来看，通过项目的实施各项指标达到或者超过了预期目标，按时完成了房屋技术鉴定报告。</w:t>
      </w:r>
      <w:r>
        <w:rPr>
          <w:rFonts w:eastAsia="仿宋_GB2312"/>
          <w:sz w:val="32"/>
          <w:szCs w:val="32"/>
          <w:lang w:eastAsia="zh-CN"/>
        </w:rPr>
        <w:t>本项目绩效目标完成情况</w:t>
      </w:r>
      <w:r>
        <w:rPr>
          <w:rFonts w:hint="eastAsia" w:eastAsia="仿宋_GB2312"/>
          <w:sz w:val="32"/>
          <w:szCs w:val="32"/>
          <w:lang w:eastAsia="zh-CN"/>
        </w:rPr>
        <w:t>评价</w:t>
      </w:r>
      <w:r>
        <w:rPr>
          <w:rFonts w:eastAsia="仿宋_GB2312"/>
          <w:sz w:val="32"/>
          <w:szCs w:val="32"/>
          <w:lang w:eastAsia="zh-CN"/>
        </w:rPr>
        <w:t>得分为</w:t>
      </w:r>
      <w:r>
        <w:rPr>
          <w:rFonts w:hint="eastAsia" w:eastAsia="仿宋_GB2312"/>
          <w:sz w:val="32"/>
          <w:szCs w:val="32"/>
          <w:lang w:eastAsia="zh-CN"/>
        </w:rPr>
        <w:t>10</w:t>
      </w:r>
      <w:r>
        <w:rPr>
          <w:rFonts w:hint="eastAsia" w:eastAsia="仿宋_GB2312"/>
          <w:sz w:val="32"/>
          <w:szCs w:val="32"/>
          <w:lang w:val="en-US" w:eastAsia="zh-CN"/>
        </w:rPr>
        <w:t>0</w:t>
      </w:r>
      <w:r>
        <w:rPr>
          <w:rFonts w:eastAsia="仿宋_GB2312"/>
          <w:sz w:val="32"/>
          <w:szCs w:val="32"/>
          <w:lang w:eastAsia="zh-CN"/>
        </w:rPr>
        <w:t>分，自评结果为优。</w:t>
      </w:r>
    </w:p>
    <w:p>
      <w:pPr>
        <w:spacing w:line="560" w:lineRule="exact"/>
        <w:ind w:firstLine="656" w:firstLineChars="200"/>
        <w:rPr>
          <w:rFonts w:ascii="黑体" w:hAnsi="黑体" w:eastAsia="黑体"/>
          <w:spacing w:val="-4"/>
          <w:w w:val="105"/>
          <w:sz w:val="32"/>
          <w:szCs w:val="32"/>
          <w:lang w:eastAsia="zh-CN"/>
        </w:rPr>
      </w:pPr>
      <w:r>
        <w:rPr>
          <w:rFonts w:ascii="黑体" w:hAnsi="黑体" w:eastAsia="黑体"/>
          <w:spacing w:val="-4"/>
          <w:w w:val="105"/>
          <w:sz w:val="32"/>
          <w:szCs w:val="32"/>
          <w:lang w:eastAsia="zh-CN"/>
        </w:rPr>
        <w:t>四、绩效评价指标分析</w:t>
      </w:r>
    </w:p>
    <w:p>
      <w:pPr>
        <w:spacing w:line="560" w:lineRule="exact"/>
        <w:ind w:firstLine="640" w:firstLineChars="200"/>
        <w:rPr>
          <w:rFonts w:hint="eastAsia" w:ascii="Times New Roman" w:hAnsi="Times New Roman" w:eastAsia="仿宋_GB2312"/>
          <w:spacing w:val="-115"/>
          <w:sz w:val="32"/>
          <w:szCs w:val="32"/>
          <w:lang w:eastAsia="zh-CN"/>
        </w:rPr>
      </w:pPr>
      <w:r>
        <w:rPr>
          <w:rFonts w:hint="eastAsia" w:ascii="Times New Roman" w:hAnsi="Times New Roman" w:eastAsia="仿宋_GB2312"/>
          <w:sz w:val="32"/>
          <w:szCs w:val="32"/>
          <w:lang w:eastAsia="zh-CN"/>
        </w:rPr>
        <w:t>（一）</w:t>
      </w:r>
      <w:r>
        <w:rPr>
          <w:rFonts w:ascii="Times New Roman" w:hAnsi="Times New Roman" w:eastAsia="仿宋_GB2312"/>
          <w:sz w:val="32"/>
          <w:szCs w:val="32"/>
          <w:lang w:eastAsia="zh-CN"/>
        </w:rPr>
        <w:t>项目决策情况</w:t>
      </w:r>
      <w:r>
        <w:rPr>
          <w:rFonts w:ascii="Times New Roman" w:hAnsi="Times New Roman" w:eastAsia="仿宋_GB2312"/>
          <w:spacing w:val="-115"/>
          <w:sz w:val="32"/>
          <w:szCs w:val="32"/>
          <w:lang w:eastAsia="zh-CN"/>
        </w:rPr>
        <w:t xml:space="preserve"> </w:t>
      </w:r>
    </w:p>
    <w:p>
      <w:pPr>
        <w:spacing w:line="560" w:lineRule="exact"/>
        <w:ind w:firstLine="640" w:firstLineChars="200"/>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立项方面，年初列入单位预算，项目采购计划、资金支付经过主任办公会集体决策，项目绩效目标和指标设立方面，主要依据项目内容和信息化项目特点进行填报。</w:t>
      </w:r>
    </w:p>
    <w:p>
      <w:pPr>
        <w:spacing w:line="560" w:lineRule="exact"/>
        <w:ind w:firstLine="640" w:firstLineChars="200"/>
        <w:rPr>
          <w:rFonts w:hint="eastAsia" w:ascii="Times New Roman" w:hAnsi="Times New Roman" w:eastAsia="仿宋_GB2312"/>
          <w:spacing w:val="-106"/>
          <w:sz w:val="32"/>
          <w:szCs w:val="32"/>
          <w:lang w:eastAsia="zh-CN"/>
        </w:rPr>
      </w:pPr>
      <w:r>
        <w:rPr>
          <w:rFonts w:hint="eastAsia" w:ascii="Times New Roman" w:hAnsi="Times New Roman" w:eastAsia="仿宋_GB2312"/>
          <w:sz w:val="32"/>
          <w:szCs w:val="32"/>
          <w:lang w:eastAsia="zh-CN"/>
        </w:rPr>
        <w:t>（二）</w:t>
      </w:r>
      <w:r>
        <w:rPr>
          <w:rFonts w:ascii="Times New Roman" w:hAnsi="Times New Roman" w:eastAsia="仿宋_GB2312"/>
          <w:sz w:val="32"/>
          <w:szCs w:val="32"/>
          <w:lang w:eastAsia="zh-CN"/>
        </w:rPr>
        <w:t>项目过程情况</w:t>
      </w:r>
      <w:r>
        <w:rPr>
          <w:rFonts w:ascii="Times New Roman" w:hAnsi="Times New Roman" w:eastAsia="仿宋_GB2312"/>
          <w:spacing w:val="-106"/>
          <w:sz w:val="32"/>
          <w:szCs w:val="32"/>
          <w:lang w:eastAsia="zh-CN"/>
        </w:rPr>
        <w:t xml:space="preserve"> </w:t>
      </w:r>
    </w:p>
    <w:p>
      <w:pPr>
        <w:spacing w:line="560" w:lineRule="exact"/>
        <w:ind w:firstLine="640" w:firstLineChars="200"/>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该项目经主任办公会研究同意，严格按照要求签订合同，财务手续完善，按照财务管理要求，项目进度款支付，符合经费管理开支办法的规定。</w:t>
      </w:r>
    </w:p>
    <w:p>
      <w:pPr>
        <w:spacing w:line="560" w:lineRule="exact"/>
        <w:ind w:firstLine="640" w:firstLineChars="200"/>
        <w:rPr>
          <w:rFonts w:hint="eastAsia" w:ascii="Times New Roman" w:hAnsi="Times New Roman" w:eastAsia="仿宋_GB2312"/>
          <w:spacing w:val="-115"/>
          <w:sz w:val="32"/>
          <w:szCs w:val="32"/>
          <w:lang w:eastAsia="zh-CN"/>
        </w:rPr>
      </w:pPr>
      <w:r>
        <w:rPr>
          <w:rFonts w:hint="eastAsia" w:ascii="Times New Roman" w:hAnsi="Times New Roman" w:eastAsia="仿宋_GB2312"/>
          <w:sz w:val="32"/>
          <w:szCs w:val="32"/>
          <w:lang w:eastAsia="zh-CN"/>
        </w:rPr>
        <w:t>（三）</w:t>
      </w:r>
      <w:r>
        <w:rPr>
          <w:rFonts w:ascii="Times New Roman" w:hAnsi="Times New Roman" w:eastAsia="仿宋_GB2312"/>
          <w:spacing w:val="-44"/>
          <w:w w:val="80"/>
          <w:sz w:val="32"/>
          <w:szCs w:val="32"/>
          <w:lang w:eastAsia="zh-CN"/>
        </w:rPr>
        <w:t xml:space="preserve"> </w:t>
      </w:r>
      <w:r>
        <w:rPr>
          <w:rFonts w:ascii="Times New Roman" w:hAnsi="Times New Roman" w:eastAsia="仿宋_GB2312"/>
          <w:sz w:val="32"/>
          <w:szCs w:val="32"/>
          <w:lang w:eastAsia="zh-CN"/>
        </w:rPr>
        <w:t>项目产出情况</w:t>
      </w:r>
      <w:r>
        <w:rPr>
          <w:rFonts w:ascii="Times New Roman" w:hAnsi="Times New Roman" w:eastAsia="仿宋_GB2312"/>
          <w:spacing w:val="-115"/>
          <w:sz w:val="32"/>
          <w:szCs w:val="32"/>
          <w:lang w:eastAsia="zh-CN"/>
        </w:rPr>
        <w:t xml:space="preserve"> </w:t>
      </w:r>
    </w:p>
    <w:p>
      <w:pPr>
        <w:spacing w:line="560" w:lineRule="exact"/>
        <w:ind w:firstLine="640" w:firstLineChars="200"/>
        <w:rPr>
          <w:rFonts w:ascii="Times New Roman" w:hAnsi="Times New Roman" w:eastAsia="仿宋_GB2312"/>
          <w:sz w:val="32"/>
          <w:szCs w:val="32"/>
          <w:lang w:eastAsia="zh-CN"/>
        </w:rPr>
      </w:pPr>
      <w:r>
        <w:rPr>
          <w:rFonts w:hint="eastAsia" w:eastAsia="仿宋_GB2312"/>
          <w:sz w:val="32"/>
          <w:szCs w:val="32"/>
          <w:lang w:eastAsia="zh-CN"/>
        </w:rPr>
        <w:t>天津市房屋质量安全鉴定检测中心有限公司出具了房屋技术鉴定报告。</w:t>
      </w:r>
    </w:p>
    <w:p>
      <w:pPr>
        <w:spacing w:line="560" w:lineRule="exact"/>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（四）</w:t>
      </w:r>
      <w:r>
        <w:rPr>
          <w:rFonts w:ascii="Times New Roman" w:hAnsi="Times New Roman" w:eastAsia="仿宋_GB2312"/>
          <w:sz w:val="32"/>
          <w:szCs w:val="32"/>
          <w:lang w:eastAsia="zh-CN"/>
        </w:rPr>
        <w:t>项目效益情况</w:t>
      </w:r>
    </w:p>
    <w:p>
      <w:pPr>
        <w:spacing w:line="560" w:lineRule="exact"/>
        <w:ind w:firstLine="640" w:firstLineChars="200"/>
        <w:rPr>
          <w:rFonts w:eastAsia="仿宋_GB2312"/>
          <w:sz w:val="32"/>
          <w:szCs w:val="32"/>
          <w:lang w:eastAsia="zh-CN"/>
        </w:rPr>
      </w:pPr>
      <w:r>
        <w:rPr>
          <w:rFonts w:hint="eastAsia" w:eastAsia="仿宋_GB2312"/>
          <w:sz w:val="32"/>
          <w:szCs w:val="32"/>
          <w:lang w:eastAsia="zh-CN"/>
        </w:rPr>
        <w:t>初步了解了成都道</w:t>
      </w:r>
      <w:r>
        <w:rPr>
          <w:rFonts w:hint="eastAsia" w:eastAsia="仿宋_GB2312"/>
          <w:sz w:val="32"/>
          <w:szCs w:val="32"/>
          <w:lang w:val="en-US" w:eastAsia="zh-CN"/>
        </w:rPr>
        <w:t>36号建筑现状主体结构安全状况，为今后进一步修缮利用提供了技术保障</w:t>
      </w:r>
      <w:r>
        <w:rPr>
          <w:rFonts w:hint="eastAsia" w:eastAsia="仿宋_GB2312"/>
          <w:sz w:val="32"/>
          <w:szCs w:val="32"/>
          <w:lang w:eastAsia="zh-CN"/>
        </w:rPr>
        <w:t>。</w:t>
      </w:r>
    </w:p>
    <w:p>
      <w:pPr>
        <w:spacing w:line="560" w:lineRule="exact"/>
        <w:ind w:firstLine="656" w:firstLineChars="200"/>
        <w:rPr>
          <w:rFonts w:hint="eastAsia" w:ascii="黑体" w:hAnsi="黑体" w:eastAsia="黑体"/>
          <w:spacing w:val="-4"/>
          <w:w w:val="105"/>
          <w:sz w:val="32"/>
          <w:szCs w:val="32"/>
          <w:lang w:eastAsia="zh-CN"/>
        </w:rPr>
      </w:pPr>
      <w:r>
        <w:rPr>
          <w:rFonts w:ascii="黑体" w:hAnsi="黑体" w:eastAsia="黑体"/>
          <w:spacing w:val="-4"/>
          <w:w w:val="105"/>
          <w:sz w:val="32"/>
          <w:szCs w:val="32"/>
          <w:lang w:eastAsia="zh-CN"/>
        </w:rPr>
        <w:t>五、主要经验及做法</w:t>
      </w:r>
      <w:r>
        <w:rPr>
          <w:rFonts w:hint="eastAsia" w:ascii="黑体" w:hAnsi="黑体" w:eastAsia="黑体"/>
          <w:spacing w:val="-4"/>
          <w:w w:val="105"/>
          <w:sz w:val="32"/>
          <w:szCs w:val="32"/>
          <w:lang w:eastAsia="zh-CN"/>
        </w:rPr>
        <w:t>、</w:t>
      </w:r>
      <w:r>
        <w:rPr>
          <w:rFonts w:ascii="黑体" w:hAnsi="黑体" w:eastAsia="黑体"/>
          <w:spacing w:val="-4"/>
          <w:w w:val="105"/>
          <w:sz w:val="32"/>
          <w:szCs w:val="32"/>
          <w:lang w:eastAsia="zh-CN"/>
        </w:rPr>
        <w:t xml:space="preserve">存在的问题及原因分析 </w:t>
      </w:r>
    </w:p>
    <w:p>
      <w:pPr>
        <w:spacing w:line="560" w:lineRule="exact"/>
        <w:ind w:firstLine="640" w:firstLineChars="200"/>
        <w:rPr>
          <w:rFonts w:hint="eastAsia" w:eastAsia="仿宋_GB2312"/>
          <w:sz w:val="32"/>
          <w:szCs w:val="32"/>
          <w:lang w:eastAsia="zh-CN"/>
        </w:rPr>
      </w:pPr>
      <w:r>
        <w:rPr>
          <w:rFonts w:hint="eastAsia" w:eastAsia="仿宋_GB2312"/>
          <w:sz w:val="32"/>
          <w:szCs w:val="32"/>
          <w:lang w:eastAsia="zh-CN"/>
        </w:rPr>
        <w:t>一是科学编制预算，保障重点支出。按照“统筹兼顾、勤俭节约、讲求绩效”的原则编制年度预算，确保预算编制科学合理，程序规范。二是注重绩效管理，提高管理效益。严格制定绩效目标审核，加强绩效目标运行过程监控，发现问题及时解决和整改。三是强化绩效评价结果运用，以评价结果作为以后年度预算安排、改进预算管理的重要依据，提高资金使用效益，达到节本增效目的。</w:t>
      </w:r>
    </w:p>
    <w:p>
      <w:pPr>
        <w:spacing w:line="560" w:lineRule="exact"/>
        <w:ind w:firstLine="656" w:firstLineChars="200"/>
        <w:rPr>
          <w:rFonts w:hint="eastAsia" w:ascii="黑体" w:hAnsi="黑体" w:eastAsia="黑体"/>
          <w:spacing w:val="-4"/>
          <w:w w:val="105"/>
          <w:sz w:val="32"/>
          <w:szCs w:val="32"/>
          <w:lang w:eastAsia="zh-CN"/>
        </w:rPr>
      </w:pPr>
      <w:r>
        <w:rPr>
          <w:rFonts w:ascii="黑体" w:hAnsi="黑体" w:eastAsia="黑体"/>
          <w:spacing w:val="-4"/>
          <w:w w:val="105"/>
          <w:sz w:val="32"/>
          <w:szCs w:val="32"/>
          <w:lang w:eastAsia="zh-CN"/>
        </w:rPr>
        <w:t>六、有关建议</w:t>
      </w:r>
    </w:p>
    <w:p>
      <w:pPr>
        <w:spacing w:line="560" w:lineRule="exact"/>
        <w:ind w:firstLine="640" w:firstLineChars="200"/>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强化预算约束，按照精细化管理的要求抓好项目预算编制工作，同时采取有效措施，严格预算执行。</w:t>
      </w:r>
    </w:p>
    <w:p>
      <w:pPr>
        <w:spacing w:line="560" w:lineRule="exact"/>
        <w:ind w:firstLine="656" w:firstLineChars="200"/>
        <w:rPr>
          <w:rFonts w:ascii="黑体" w:hAnsi="黑体" w:eastAsia="黑体"/>
          <w:spacing w:val="-4"/>
          <w:w w:val="105"/>
          <w:sz w:val="32"/>
          <w:szCs w:val="32"/>
          <w:lang w:eastAsia="zh-CN"/>
        </w:rPr>
      </w:pPr>
      <w:r>
        <w:rPr>
          <w:rFonts w:ascii="黑体" w:hAnsi="黑体" w:eastAsia="黑体"/>
          <w:spacing w:val="-4"/>
          <w:w w:val="105"/>
          <w:sz w:val="32"/>
          <w:szCs w:val="32"/>
          <w:lang w:eastAsia="zh-CN"/>
        </w:rPr>
        <w:t>七、其他需要说明的问题</w:t>
      </w:r>
    </w:p>
    <w:p>
      <w:pPr>
        <w:spacing w:line="560" w:lineRule="exact"/>
        <w:ind w:firstLine="640" w:firstLineChars="200"/>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无其他需要说明的问题。</w:t>
      </w:r>
    </w:p>
    <w:p>
      <w:pPr>
        <w:spacing w:line="560" w:lineRule="exact"/>
        <w:ind w:firstLine="640" w:firstLineChars="200"/>
        <w:rPr>
          <w:rFonts w:ascii="Times New Roman" w:hAnsi="Times New Roman" w:eastAsia="仿宋_GB2312"/>
          <w:sz w:val="32"/>
          <w:szCs w:val="32"/>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0NGQyMTljZjQ3ZjBjY2EwMWU3NzI3NmE2MjllYzEifQ=="/>
  </w:docVars>
  <w:rsids>
    <w:rsidRoot w:val="00D27F3A"/>
    <w:rsid w:val="00155AD6"/>
    <w:rsid w:val="001834D3"/>
    <w:rsid w:val="0018594E"/>
    <w:rsid w:val="001F559F"/>
    <w:rsid w:val="002115F8"/>
    <w:rsid w:val="0023167C"/>
    <w:rsid w:val="00265B31"/>
    <w:rsid w:val="003B571A"/>
    <w:rsid w:val="00407AD1"/>
    <w:rsid w:val="00456E71"/>
    <w:rsid w:val="00470900"/>
    <w:rsid w:val="00524052"/>
    <w:rsid w:val="005D0F6C"/>
    <w:rsid w:val="005F4DFB"/>
    <w:rsid w:val="0061608D"/>
    <w:rsid w:val="006C1B32"/>
    <w:rsid w:val="007F35CC"/>
    <w:rsid w:val="00884D21"/>
    <w:rsid w:val="00904B0D"/>
    <w:rsid w:val="00933126"/>
    <w:rsid w:val="00A363D4"/>
    <w:rsid w:val="00A907AA"/>
    <w:rsid w:val="00B002CD"/>
    <w:rsid w:val="00B326E6"/>
    <w:rsid w:val="00BA5423"/>
    <w:rsid w:val="00CA1D5C"/>
    <w:rsid w:val="00D02C5B"/>
    <w:rsid w:val="00D10FF2"/>
    <w:rsid w:val="00D20482"/>
    <w:rsid w:val="00D27F3A"/>
    <w:rsid w:val="00E85715"/>
    <w:rsid w:val="00F45346"/>
    <w:rsid w:val="11EC7623"/>
    <w:rsid w:val="39FFB446"/>
    <w:rsid w:val="3EF46B4E"/>
    <w:rsid w:val="564151F1"/>
    <w:rsid w:val="77771440"/>
    <w:rsid w:val="7E9A1360"/>
    <w:rsid w:val="BE8F4920"/>
    <w:rsid w:val="DBBB1486"/>
    <w:rsid w:val="DD7F129C"/>
    <w:rsid w:val="DF6E7737"/>
    <w:rsid w:val="FFEB4F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imes New Roman" w:hAnsi="Times New Roman" w:eastAsia="宋体" w:cs="Times New Roman"/>
      <w:sz w:val="22"/>
      <w:szCs w:val="22"/>
      <w:lang w:val="en-US" w:eastAsia="en-US" w:bidi="ar-SA"/>
    </w:rPr>
  </w:style>
  <w:style w:type="paragraph" w:styleId="2">
    <w:name w:val="heading 1"/>
    <w:basedOn w:val="1"/>
    <w:next w:val="1"/>
    <w:link w:val="7"/>
    <w:qFormat/>
    <w:uiPriority w:val="1"/>
    <w:pPr>
      <w:outlineLvl w:val="0"/>
    </w:pPr>
    <w:rPr>
      <w:rFonts w:ascii="宋体" w:hAnsi="宋体"/>
      <w:sz w:val="33"/>
      <w:szCs w:val="33"/>
    </w:rPr>
  </w:style>
  <w:style w:type="character" w:default="1" w:styleId="6">
    <w:name w:val="Default Paragraph Font"/>
    <w:unhideWhenUsed/>
    <w:qFormat/>
    <w:uiPriority w:val="1"/>
  </w:style>
  <w:style w:type="table" w:default="1" w:styleId="5">
    <w:name w:val="Normal Table"/>
    <w:unhideWhenUsed/>
    <w:uiPriority w:val="99"/>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link w:val="2"/>
    <w:uiPriority w:val="1"/>
    <w:rPr>
      <w:rFonts w:ascii="宋体" w:hAnsi="宋体" w:eastAsia="宋体"/>
      <w:kern w:val="0"/>
      <w:sz w:val="33"/>
      <w:szCs w:val="33"/>
      <w:lang w:eastAsia="en-US"/>
    </w:rPr>
  </w:style>
  <w:style w:type="character" w:customStyle="1" w:styleId="8">
    <w:name w:val="页脚 Char"/>
    <w:link w:val="3"/>
    <w:uiPriority w:val="99"/>
    <w:rPr>
      <w:kern w:val="0"/>
      <w:sz w:val="18"/>
      <w:szCs w:val="18"/>
      <w:lang w:eastAsia="en-US"/>
    </w:rPr>
  </w:style>
  <w:style w:type="character" w:customStyle="1" w:styleId="9">
    <w:name w:val="页眉 Char"/>
    <w:link w:val="4"/>
    <w:uiPriority w:val="99"/>
    <w:rPr>
      <w:kern w:val="0"/>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1428</Words>
  <Characters>1471</Characters>
  <Lines>11</Lines>
  <Paragraphs>3</Paragraphs>
  <TotalTime>12</TotalTime>
  <ScaleCrop>false</ScaleCrop>
  <LinksUpToDate>false</LinksUpToDate>
  <CharactersWithSpaces>1484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2020-10-31T13:00:00Z</dcterms:created>
  <dc:creator>于喆</dc:creator>
  <cp:lastModifiedBy>爱丁堡的冬天</cp:lastModifiedBy>
  <cp:lastPrinted>2020-08-08T08:24:00Z</cp:lastPrinted>
  <dcterms:modified xsi:type="dcterms:W3CDTF">2022-06-28T00:34:55Z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37D588FCCDDC4EE88BA21C2C7F924216</vt:lpwstr>
  </property>
</Properties>
</file>