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40" w:lineRule="exact"/>
        <w:jc w:val="left"/>
        <w:outlineLvl w:val="0"/>
        <w:rPr>
          <w:rFonts w:ascii="黑体" w:hAnsi="黑体" w:eastAsia="黑体" w:cs="仿宋_GB2312"/>
          <w:sz w:val="28"/>
          <w:szCs w:val="28"/>
        </w:rPr>
      </w:pPr>
      <w:bookmarkStart w:id="0" w:name="_Toc456965826"/>
      <w:r>
        <w:rPr>
          <w:rFonts w:hint="eastAsia" w:ascii="黑体" w:hAnsi="黑体" w:eastAsia="黑体" w:cs="仿宋_GB2312"/>
          <w:sz w:val="28"/>
          <w:szCs w:val="28"/>
        </w:rPr>
        <w:t>附件</w:t>
      </w:r>
      <w:r>
        <w:rPr>
          <w:rFonts w:ascii="黑体" w:hAnsi="黑体" w:eastAsia="黑体" w:cs="仿宋_GB2312"/>
          <w:sz w:val="28"/>
          <w:szCs w:val="28"/>
        </w:rPr>
        <w:t>4</w:t>
      </w:r>
    </w:p>
    <w:p>
      <w:pPr>
        <w:spacing w:after="0" w:line="540" w:lineRule="exact"/>
        <w:ind w:firstLine="640"/>
        <w:jc w:val="center"/>
        <w:outlineLvl w:val="0"/>
        <w:rPr>
          <w:rFonts w:ascii="宋体" w:hAnsi="宋体" w:cs="仿宋_GB2312"/>
          <w:b/>
          <w:bCs/>
          <w:sz w:val="44"/>
          <w:szCs w:val="44"/>
        </w:rPr>
      </w:pPr>
    </w:p>
    <w:p>
      <w:pPr>
        <w:spacing w:after="0" w:line="540" w:lineRule="exact"/>
        <w:ind w:firstLine="640"/>
        <w:jc w:val="center"/>
        <w:outlineLvl w:val="0"/>
        <w:rPr>
          <w:rFonts w:hint="eastAsia" w:ascii="宋体" w:hAnsi="宋体" w:cs="仿宋_GB2312"/>
          <w:b/>
          <w:bCs/>
          <w:sz w:val="44"/>
          <w:szCs w:val="44"/>
        </w:rPr>
      </w:pPr>
      <w:r>
        <w:rPr>
          <w:rFonts w:hint="eastAsia" w:ascii="宋体" w:hAnsi="宋体" w:cs="仿宋_GB2312"/>
          <w:b/>
          <w:bCs/>
          <w:sz w:val="44"/>
          <w:szCs w:val="44"/>
        </w:rPr>
        <w:t>和平区</w:t>
      </w:r>
      <w:r>
        <w:rPr>
          <w:rFonts w:hint="eastAsia" w:ascii="宋体" w:hAnsi="宋体" w:cs="仿宋_GB2312"/>
          <w:b/>
          <w:bCs/>
          <w:sz w:val="44"/>
          <w:szCs w:val="44"/>
          <w:lang w:eastAsia="zh-CN"/>
        </w:rPr>
        <w:t>人民</w:t>
      </w:r>
      <w:r>
        <w:rPr>
          <w:rFonts w:hint="eastAsia" w:ascii="宋体" w:hAnsi="宋体" w:cs="仿宋_GB2312"/>
          <w:b/>
          <w:bCs/>
          <w:sz w:val="44"/>
          <w:szCs w:val="44"/>
        </w:rPr>
        <w:t>政府办公室202</w:t>
      </w:r>
      <w:r>
        <w:rPr>
          <w:rFonts w:ascii="宋体" w:hAnsi="宋体" w:cs="仿宋_GB2312"/>
          <w:b/>
          <w:bCs/>
          <w:sz w:val="44"/>
          <w:szCs w:val="44"/>
        </w:rPr>
        <w:t>1</w:t>
      </w:r>
      <w:r>
        <w:rPr>
          <w:rFonts w:hint="eastAsia" w:ascii="宋体" w:hAnsi="宋体" w:cs="仿宋_GB2312"/>
          <w:b/>
          <w:bCs/>
          <w:sz w:val="44"/>
          <w:szCs w:val="44"/>
        </w:rPr>
        <w:t>年</w:t>
      </w:r>
    </w:p>
    <w:p>
      <w:pPr>
        <w:spacing w:after="0" w:line="540" w:lineRule="exact"/>
        <w:ind w:firstLine="640"/>
        <w:jc w:val="center"/>
        <w:outlineLvl w:val="0"/>
        <w:rPr>
          <w:rFonts w:ascii="宋体" w:hAnsi="宋体" w:cs="仿宋_GB2312"/>
          <w:b/>
          <w:bCs/>
          <w:sz w:val="44"/>
          <w:szCs w:val="44"/>
        </w:rPr>
      </w:pPr>
      <w:r>
        <w:rPr>
          <w:rFonts w:hint="eastAsia" w:ascii="宋体" w:hAnsi="宋体" w:cs="仿宋_GB2312"/>
          <w:b/>
          <w:bCs/>
          <w:sz w:val="44"/>
          <w:szCs w:val="44"/>
        </w:rPr>
        <w:t>整体支出绩效自评报告</w:t>
      </w:r>
    </w:p>
    <w:p>
      <w:pPr>
        <w:spacing w:after="0" w:line="540" w:lineRule="exact"/>
        <w:ind w:firstLine="640"/>
        <w:outlineLvl w:val="0"/>
        <w:rPr>
          <w:rFonts w:ascii="楷体_GB2312" w:hAnsi="楷体_GB2312" w:eastAsia="楷体_GB2312" w:cs="楷体_GB2312"/>
          <w:b/>
          <w:bCs/>
          <w:sz w:val="32"/>
          <w:szCs w:val="32"/>
        </w:rPr>
      </w:pPr>
    </w:p>
    <w:p>
      <w:pPr>
        <w:spacing w:after="0" w:line="540" w:lineRule="exact"/>
        <w:ind w:firstLine="640"/>
        <w:outlineLvl w:val="0"/>
        <w:rPr>
          <w:rFonts w:ascii="黑体" w:hAnsi="黑体" w:eastAsia="黑体" w:cs="仿宋_GB2312"/>
          <w:b/>
          <w:bCs/>
          <w:sz w:val="32"/>
          <w:szCs w:val="32"/>
        </w:rPr>
      </w:pPr>
      <w:r>
        <w:rPr>
          <w:rFonts w:hint="eastAsia" w:ascii="黑体" w:hAnsi="黑体" w:eastAsia="黑体" w:cs="仿宋_GB2312"/>
          <w:b/>
          <w:bCs/>
          <w:sz w:val="32"/>
          <w:szCs w:val="32"/>
        </w:rPr>
        <w:t>一、部门概述</w:t>
      </w:r>
      <w:bookmarkEnd w:id="0"/>
    </w:p>
    <w:p>
      <w:pPr>
        <w:spacing w:after="0" w:line="540" w:lineRule="exact"/>
        <w:ind w:firstLine="643" w:firstLineChars="200"/>
        <w:outlineLvl w:val="1"/>
        <w:rPr>
          <w:rFonts w:ascii="楷体_GB2312" w:hAnsi="仿宋" w:eastAsia="楷体_GB2312" w:cs="仿宋_GB2312"/>
          <w:b/>
          <w:sz w:val="32"/>
          <w:szCs w:val="32"/>
        </w:rPr>
      </w:pPr>
      <w:bookmarkStart w:id="1" w:name="_Toc456965827"/>
      <w:r>
        <w:rPr>
          <w:rFonts w:hint="eastAsia" w:ascii="楷体_GB2312" w:hAnsi="仿宋" w:eastAsia="楷体_GB2312" w:cs="仿宋_GB2312"/>
          <w:b/>
          <w:sz w:val="32"/>
          <w:szCs w:val="32"/>
        </w:rPr>
        <w:t>（一）部门职能</w:t>
      </w:r>
      <w:bookmarkEnd w:id="1"/>
    </w:p>
    <w:p>
      <w:pPr>
        <w:spacing w:line="580" w:lineRule="exact"/>
        <w:ind w:firstLine="600" w:firstLineChars="200"/>
        <w:rPr>
          <w:rFonts w:eastAsia="仿宋_GB2312"/>
          <w:sz w:val="30"/>
          <w:szCs w:val="30"/>
        </w:rPr>
      </w:pPr>
      <w:bookmarkStart w:id="2" w:name="_Toc456965828"/>
      <w:r>
        <w:rPr>
          <w:rFonts w:hint="eastAsia" w:eastAsia="仿宋_GB2312"/>
          <w:sz w:val="30"/>
          <w:szCs w:val="30"/>
        </w:rPr>
        <w:t>和平区人民政府办公室：负责协助区政府领导同志处理区政府日常工作。</w:t>
      </w:r>
    </w:p>
    <w:p>
      <w:pPr>
        <w:spacing w:line="580" w:lineRule="exact"/>
        <w:ind w:firstLine="600" w:firstLineChars="200"/>
        <w:rPr>
          <w:rFonts w:eastAsia="仿宋_GB2312"/>
          <w:sz w:val="30"/>
          <w:szCs w:val="30"/>
        </w:rPr>
      </w:pPr>
      <w:r>
        <w:rPr>
          <w:rFonts w:hint="eastAsia" w:eastAsia="仿宋_GB2312"/>
          <w:sz w:val="30"/>
          <w:szCs w:val="30"/>
        </w:rPr>
        <w:t>和平区人民政府研究室：负责全区经济社会发展调查研究；起草区政府重要文件及区政府领导同志重要讲话。</w:t>
      </w:r>
    </w:p>
    <w:p>
      <w:pPr>
        <w:spacing w:line="580" w:lineRule="exact"/>
        <w:ind w:firstLine="600" w:firstLineChars="200"/>
        <w:rPr>
          <w:rFonts w:eastAsia="仿宋_GB2312"/>
          <w:sz w:val="30"/>
          <w:szCs w:val="30"/>
        </w:rPr>
      </w:pPr>
      <w:r>
        <w:rPr>
          <w:rFonts w:hint="eastAsia" w:eastAsia="仿宋_GB2312"/>
          <w:sz w:val="30"/>
          <w:szCs w:val="30"/>
        </w:rPr>
        <w:t>和平区人民政府信访办公室：受理办理群众来信、来访、来电、网上信访事项，协调解决信访问题，维护群众利益。</w:t>
      </w:r>
    </w:p>
    <w:p>
      <w:pPr>
        <w:spacing w:after="0" w:line="540" w:lineRule="exact"/>
        <w:ind w:firstLine="643" w:firstLineChars="200"/>
        <w:outlineLvl w:val="1"/>
        <w:rPr>
          <w:rFonts w:ascii="楷体_GB2312" w:hAnsi="仿宋" w:eastAsia="楷体_GB2312" w:cs="仿宋_GB2312"/>
          <w:b/>
          <w:sz w:val="32"/>
          <w:szCs w:val="32"/>
        </w:rPr>
      </w:pPr>
      <w:r>
        <w:rPr>
          <w:rFonts w:hint="eastAsia" w:ascii="楷体_GB2312" w:hAnsi="仿宋" w:eastAsia="楷体_GB2312" w:cs="仿宋_GB2312"/>
          <w:b/>
          <w:sz w:val="32"/>
          <w:szCs w:val="32"/>
        </w:rPr>
        <w:t>（二）机构</w:t>
      </w:r>
      <w:bookmarkEnd w:id="2"/>
      <w:r>
        <w:rPr>
          <w:rFonts w:hint="eastAsia" w:ascii="楷体_GB2312" w:hAnsi="仿宋" w:eastAsia="楷体_GB2312" w:cs="仿宋_GB2312"/>
          <w:b/>
          <w:sz w:val="32"/>
          <w:szCs w:val="32"/>
        </w:rPr>
        <w:t>及人员情况</w:t>
      </w:r>
    </w:p>
    <w:p>
      <w:pPr>
        <w:spacing w:after="0" w:line="540" w:lineRule="exact"/>
        <w:ind w:firstLine="640" w:firstLineChars="200"/>
        <w:outlineLvl w:val="1"/>
        <w:rPr>
          <w:rFonts w:hint="eastAsia" w:ascii="仿宋_GB2312" w:hAnsi="仿宋" w:eastAsia="仿宋_GB2312"/>
          <w:sz w:val="32"/>
          <w:szCs w:val="32"/>
        </w:rPr>
      </w:pPr>
      <w:bookmarkStart w:id="3" w:name="_Toc456965830"/>
      <w:r>
        <w:rPr>
          <w:rFonts w:hint="eastAsia" w:ascii="仿宋_GB2312" w:hAnsi="仿宋" w:eastAsia="仿宋_GB2312"/>
          <w:sz w:val="32"/>
          <w:szCs w:val="32"/>
        </w:rPr>
        <w:t>2</w:t>
      </w:r>
      <w:r>
        <w:rPr>
          <w:rFonts w:ascii="仿宋_GB2312" w:hAnsi="仿宋" w:eastAsia="仿宋_GB2312"/>
          <w:sz w:val="32"/>
          <w:szCs w:val="32"/>
        </w:rPr>
        <w:t>021</w:t>
      </w:r>
      <w:r>
        <w:rPr>
          <w:rFonts w:hint="eastAsia" w:ascii="仿宋_GB2312" w:hAnsi="仿宋" w:eastAsia="仿宋_GB2312"/>
          <w:sz w:val="32"/>
          <w:szCs w:val="32"/>
        </w:rPr>
        <w:t>年末</w:t>
      </w:r>
      <w:r>
        <w:rPr>
          <w:rFonts w:ascii="仿宋_GB2312" w:hAnsi="仿宋" w:eastAsia="仿宋_GB2312"/>
          <w:sz w:val="32"/>
          <w:szCs w:val="32"/>
        </w:rPr>
        <w:t>，在职人员</w:t>
      </w:r>
      <w:r>
        <w:rPr>
          <w:rFonts w:hint="eastAsia" w:ascii="仿宋_GB2312" w:hAnsi="仿宋" w:eastAsia="仿宋_GB2312"/>
          <w:sz w:val="32"/>
          <w:szCs w:val="32"/>
        </w:rPr>
        <w:t>75人</w:t>
      </w:r>
      <w:r>
        <w:rPr>
          <w:rFonts w:ascii="仿宋_GB2312" w:hAnsi="仿宋" w:eastAsia="仿宋_GB2312"/>
          <w:sz w:val="32"/>
          <w:szCs w:val="32"/>
        </w:rPr>
        <w:t>，离休</w:t>
      </w:r>
      <w:r>
        <w:rPr>
          <w:rFonts w:hint="eastAsia" w:ascii="仿宋_GB2312" w:hAnsi="仿宋" w:eastAsia="仿宋_GB2312"/>
          <w:sz w:val="32"/>
          <w:szCs w:val="32"/>
        </w:rPr>
        <w:t>1人</w:t>
      </w:r>
      <w:r>
        <w:rPr>
          <w:rFonts w:ascii="仿宋_GB2312" w:hAnsi="仿宋" w:eastAsia="仿宋_GB2312"/>
          <w:sz w:val="32"/>
          <w:szCs w:val="32"/>
        </w:rPr>
        <w:t>。</w:t>
      </w:r>
    </w:p>
    <w:bookmarkEnd w:id="3"/>
    <w:p>
      <w:pPr>
        <w:spacing w:after="0" w:line="540" w:lineRule="exact"/>
        <w:ind w:firstLine="640"/>
        <w:rPr>
          <w:rFonts w:ascii="黑体" w:hAnsi="黑体" w:eastAsia="黑体"/>
          <w:sz w:val="32"/>
          <w:szCs w:val="32"/>
        </w:rPr>
      </w:pPr>
      <w:bookmarkStart w:id="4" w:name="_Toc456965831"/>
      <w:r>
        <w:rPr>
          <w:rFonts w:hint="eastAsia" w:ascii="黑体" w:hAnsi="黑体" w:eastAsia="黑体"/>
          <w:sz w:val="32"/>
          <w:szCs w:val="32"/>
        </w:rPr>
        <w:t>二、部门预算、预算执行及管理情况</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（一）</w:t>
      </w:r>
      <w:r>
        <w:rPr>
          <w:rFonts w:hint="eastAsia" w:ascii="楷体_GB2312" w:hAnsi="仿宋" w:eastAsia="楷体_GB2312" w:cs="仿宋_GB2312"/>
          <w:b/>
          <w:sz w:val="32"/>
          <w:szCs w:val="32"/>
        </w:rPr>
        <w:t>年度预决算情况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2021年年初预算财政拨款2</w:t>
      </w:r>
      <w:r>
        <w:rPr>
          <w:rFonts w:ascii="仿宋_GB2312" w:hAnsi="仿宋" w:eastAsia="仿宋_GB2312"/>
          <w:sz w:val="32"/>
          <w:szCs w:val="32"/>
        </w:rPr>
        <w:t>773</w:t>
      </w:r>
      <w:r>
        <w:rPr>
          <w:rFonts w:hint="eastAsia" w:ascii="仿宋_GB2312" w:hAnsi="仿宋" w:eastAsia="仿宋_GB2312"/>
          <w:sz w:val="32"/>
          <w:szCs w:val="32"/>
        </w:rPr>
        <w:t>万元，其中：基本支出</w:t>
      </w:r>
      <w:r>
        <w:rPr>
          <w:rFonts w:ascii="仿宋_GB2312" w:hAnsi="仿宋" w:eastAsia="仿宋_GB2312"/>
          <w:sz w:val="32"/>
          <w:szCs w:val="32"/>
        </w:rPr>
        <w:t>2156</w:t>
      </w:r>
      <w:r>
        <w:rPr>
          <w:rFonts w:hint="eastAsia" w:ascii="仿宋_GB2312" w:hAnsi="仿宋" w:eastAsia="仿宋_GB2312"/>
          <w:sz w:val="32"/>
          <w:szCs w:val="32"/>
        </w:rPr>
        <w:t>万元，项目支出</w:t>
      </w:r>
      <w:r>
        <w:rPr>
          <w:rFonts w:ascii="仿宋_GB2312" w:hAnsi="仿宋" w:eastAsia="仿宋_GB2312"/>
          <w:sz w:val="32"/>
          <w:szCs w:val="32"/>
        </w:rPr>
        <w:t>617</w:t>
      </w:r>
      <w:r>
        <w:rPr>
          <w:rFonts w:hint="eastAsia" w:ascii="仿宋_GB2312" w:hAnsi="仿宋" w:eastAsia="仿宋_GB2312"/>
          <w:sz w:val="32"/>
          <w:szCs w:val="32"/>
        </w:rPr>
        <w:t>万元。上年财政拨款结转结余</w:t>
      </w:r>
      <w:r>
        <w:rPr>
          <w:rFonts w:ascii="仿宋_GB2312" w:hAnsi="仿宋" w:eastAsia="仿宋_GB2312"/>
          <w:sz w:val="32"/>
          <w:szCs w:val="32"/>
        </w:rPr>
        <w:t>0</w:t>
      </w:r>
      <w:r>
        <w:rPr>
          <w:rFonts w:hint="eastAsia" w:ascii="仿宋_GB2312" w:hAnsi="仿宋" w:eastAsia="仿宋_GB2312"/>
          <w:sz w:val="32"/>
          <w:szCs w:val="32"/>
        </w:rPr>
        <w:t>万元，其中：基本支出</w:t>
      </w:r>
      <w:r>
        <w:rPr>
          <w:rFonts w:ascii="仿宋_GB2312" w:hAnsi="仿宋" w:eastAsia="仿宋_GB2312"/>
          <w:sz w:val="32"/>
          <w:szCs w:val="32"/>
        </w:rPr>
        <w:t>0</w:t>
      </w:r>
      <w:r>
        <w:rPr>
          <w:rFonts w:hint="eastAsia" w:ascii="仿宋_GB2312" w:hAnsi="仿宋" w:eastAsia="仿宋_GB2312"/>
          <w:sz w:val="32"/>
          <w:szCs w:val="32"/>
        </w:rPr>
        <w:t>万元，项目支出</w:t>
      </w:r>
      <w:r>
        <w:rPr>
          <w:rFonts w:ascii="仿宋_GB2312" w:hAnsi="仿宋" w:eastAsia="仿宋_GB2312"/>
          <w:sz w:val="32"/>
          <w:szCs w:val="32"/>
        </w:rPr>
        <w:t>0</w:t>
      </w:r>
      <w:r>
        <w:rPr>
          <w:rFonts w:hint="eastAsia" w:ascii="仿宋_GB2312" w:hAnsi="仿宋" w:eastAsia="仿宋_GB2312"/>
          <w:sz w:val="32"/>
          <w:szCs w:val="32"/>
        </w:rPr>
        <w:t>万元；</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2021年决算财政拨款支出</w:t>
      </w:r>
      <w:r>
        <w:rPr>
          <w:rFonts w:ascii="仿宋_GB2312" w:hAnsi="仿宋" w:eastAsia="仿宋_GB2312"/>
          <w:sz w:val="32"/>
          <w:szCs w:val="32"/>
        </w:rPr>
        <w:t>2639.72</w:t>
      </w:r>
      <w:r>
        <w:rPr>
          <w:rFonts w:hint="eastAsia" w:ascii="仿宋_GB2312" w:hAnsi="仿宋" w:eastAsia="仿宋_GB2312"/>
          <w:sz w:val="32"/>
          <w:szCs w:val="32"/>
        </w:rPr>
        <w:t>万元，其中基本支出</w:t>
      </w:r>
      <w:r>
        <w:rPr>
          <w:rFonts w:ascii="仿宋_GB2312" w:hAnsi="仿宋" w:eastAsia="仿宋_GB2312"/>
          <w:sz w:val="32"/>
          <w:szCs w:val="32"/>
        </w:rPr>
        <w:t>2255.99</w:t>
      </w:r>
      <w:r>
        <w:rPr>
          <w:rFonts w:hint="eastAsia" w:ascii="仿宋_GB2312" w:hAnsi="仿宋" w:eastAsia="仿宋_GB2312"/>
          <w:sz w:val="32"/>
          <w:szCs w:val="32"/>
        </w:rPr>
        <w:t>万元，项目支出</w:t>
      </w:r>
      <w:r>
        <w:rPr>
          <w:rFonts w:ascii="仿宋_GB2312" w:hAnsi="仿宋" w:eastAsia="仿宋_GB2312"/>
          <w:sz w:val="32"/>
          <w:szCs w:val="32"/>
        </w:rPr>
        <w:t>383.72</w:t>
      </w:r>
      <w:r>
        <w:rPr>
          <w:rFonts w:hint="eastAsia" w:ascii="仿宋_GB2312" w:hAnsi="仿宋" w:eastAsia="仿宋_GB2312"/>
          <w:sz w:val="32"/>
          <w:szCs w:val="32"/>
        </w:rPr>
        <w:t>万元。年末结转结余</w:t>
      </w:r>
      <w:r>
        <w:rPr>
          <w:rFonts w:ascii="仿宋_GB2312" w:hAnsi="仿宋" w:eastAsia="仿宋_GB2312"/>
          <w:sz w:val="32"/>
          <w:szCs w:val="32"/>
        </w:rPr>
        <w:t>3.99</w:t>
      </w:r>
      <w:r>
        <w:rPr>
          <w:rFonts w:hint="eastAsia" w:ascii="仿宋_GB2312" w:hAnsi="仿宋" w:eastAsia="仿宋_GB2312"/>
          <w:sz w:val="32"/>
          <w:szCs w:val="32"/>
        </w:rPr>
        <w:t>万元，其中基本支出</w:t>
      </w:r>
      <w:r>
        <w:rPr>
          <w:rFonts w:ascii="仿宋_GB2312" w:hAnsi="仿宋" w:eastAsia="仿宋_GB2312"/>
          <w:sz w:val="32"/>
          <w:szCs w:val="32"/>
        </w:rPr>
        <w:t>3.99</w:t>
      </w:r>
      <w:r>
        <w:rPr>
          <w:rFonts w:hint="eastAsia" w:ascii="仿宋_GB2312" w:hAnsi="仿宋" w:eastAsia="仿宋_GB2312"/>
          <w:sz w:val="32"/>
          <w:szCs w:val="32"/>
        </w:rPr>
        <w:t>万元，项目支出</w:t>
      </w:r>
      <w:r>
        <w:rPr>
          <w:rFonts w:ascii="仿宋_GB2312" w:hAnsi="仿宋" w:eastAsia="仿宋_GB2312"/>
          <w:sz w:val="32"/>
          <w:szCs w:val="32"/>
        </w:rPr>
        <w:t>0</w:t>
      </w:r>
      <w:r>
        <w:rPr>
          <w:rFonts w:hint="eastAsia" w:ascii="仿宋_GB2312" w:hAnsi="仿宋" w:eastAsia="仿宋_GB2312"/>
          <w:sz w:val="32"/>
          <w:szCs w:val="32"/>
        </w:rPr>
        <w:t>万元。</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（二）年度主要任务完成情况</w:t>
      </w:r>
    </w:p>
    <w:p>
      <w:pPr>
        <w:spacing w:line="360" w:lineRule="auto"/>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年度绩效目标</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rPr>
        <w:t>通过支付政务活动相关费用，保障单位正常运转</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2、通过做好大楼运行经费支付，保障办公楼正常运行。</w:t>
      </w:r>
    </w:p>
    <w:p>
      <w:pPr>
        <w:spacing w:line="540" w:lineRule="exact"/>
        <w:ind w:firstLine="640" w:firstLineChars="200"/>
        <w:rPr>
          <w:rFonts w:hint="default" w:ascii="仿宋_GB2312" w:hAnsi="仿宋" w:eastAsia="仿宋_GB2312"/>
          <w:sz w:val="32"/>
          <w:szCs w:val="32"/>
          <w:lang w:val="en-US"/>
        </w:rPr>
      </w:pPr>
      <w:r>
        <w:rPr>
          <w:rFonts w:hint="eastAsia" w:ascii="仿宋_GB2312" w:hAnsi="仿宋" w:eastAsia="仿宋_GB2312"/>
          <w:sz w:val="32"/>
          <w:szCs w:val="32"/>
        </w:rPr>
        <w:t>实际完成情况</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及时支付政务活动相关费用，保障了单位正常运转。2、为确保区委区政府办公大楼安全、有效、正常运转，保证大楼公共财产的安全。通过对区委区政府办公楼设备设施维修维护及物业管理等方面进行监督，保证区委区政府办公大楼正常运转，为正常办公提供保障。</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（三）部门财务管理情况</w:t>
      </w:r>
      <w:bookmarkStart w:id="15" w:name="_GoBack"/>
      <w:bookmarkEnd w:id="15"/>
    </w:p>
    <w:bookmarkEnd w:id="4"/>
    <w:p>
      <w:pPr>
        <w:spacing w:after="0" w:line="540" w:lineRule="exact"/>
        <w:ind w:firstLine="640"/>
        <w:rPr>
          <w:rFonts w:ascii="黑体" w:hAnsi="黑体" w:eastAsia="黑体" w:cs="Times New Roman"/>
          <w:b/>
          <w:sz w:val="32"/>
          <w:szCs w:val="32"/>
        </w:rPr>
      </w:pPr>
      <w:bookmarkStart w:id="5" w:name="_Toc268005759"/>
      <w:bookmarkStart w:id="6" w:name="_Toc456965846"/>
      <w:bookmarkStart w:id="7" w:name="_Toc263686375"/>
      <w:r>
        <w:rPr>
          <w:rFonts w:hint="eastAsia" w:ascii="仿宋" w:hAnsi="仿宋" w:eastAsia="仿宋"/>
          <w:sz w:val="32"/>
          <w:szCs w:val="32"/>
        </w:rPr>
        <w:t>本单位严格准守</w:t>
      </w:r>
      <w:r>
        <w:rPr>
          <w:rFonts w:ascii="仿宋" w:hAnsi="仿宋" w:eastAsia="仿宋"/>
          <w:sz w:val="32"/>
          <w:szCs w:val="32"/>
        </w:rPr>
        <w:t>“</w:t>
      </w:r>
      <w:r>
        <w:rPr>
          <w:rFonts w:hint="eastAsia" w:ascii="仿宋" w:hAnsi="仿宋" w:eastAsia="仿宋"/>
          <w:sz w:val="32"/>
          <w:szCs w:val="32"/>
        </w:rPr>
        <w:t>三重一大</w:t>
      </w:r>
      <w:r>
        <w:rPr>
          <w:rFonts w:ascii="仿宋" w:hAnsi="仿宋" w:eastAsia="仿宋"/>
          <w:sz w:val="32"/>
          <w:szCs w:val="32"/>
        </w:rPr>
        <w:t>”，</w:t>
      </w:r>
      <w:r>
        <w:rPr>
          <w:rFonts w:hint="eastAsia" w:ascii="仿宋" w:hAnsi="仿宋" w:eastAsia="仿宋"/>
          <w:sz w:val="32"/>
          <w:szCs w:val="32"/>
        </w:rPr>
        <w:t>严格执行</w:t>
      </w:r>
      <w:r>
        <w:rPr>
          <w:rFonts w:ascii="仿宋" w:hAnsi="仿宋" w:eastAsia="仿宋"/>
          <w:sz w:val="32"/>
          <w:szCs w:val="32"/>
        </w:rPr>
        <w:t>《</w:t>
      </w:r>
      <w:r>
        <w:rPr>
          <w:rFonts w:hint="eastAsia" w:ascii="仿宋" w:hAnsi="仿宋" w:eastAsia="仿宋"/>
          <w:sz w:val="32"/>
          <w:szCs w:val="32"/>
        </w:rPr>
        <w:t>会计</w:t>
      </w:r>
      <w:r>
        <w:rPr>
          <w:rFonts w:ascii="仿宋" w:hAnsi="仿宋" w:eastAsia="仿宋"/>
          <w:sz w:val="32"/>
          <w:szCs w:val="32"/>
        </w:rPr>
        <w:t>基础工作规范》</w:t>
      </w:r>
      <w:r>
        <w:rPr>
          <w:rFonts w:hint="eastAsia" w:ascii="仿宋" w:hAnsi="仿宋" w:eastAsia="仿宋"/>
          <w:sz w:val="32"/>
          <w:szCs w:val="32"/>
        </w:rPr>
        <w:t>，</w:t>
      </w:r>
      <w:r>
        <w:rPr>
          <w:rFonts w:ascii="仿宋" w:hAnsi="仿宋" w:eastAsia="仿宋"/>
          <w:sz w:val="32"/>
          <w:szCs w:val="32"/>
        </w:rPr>
        <w:t>遵守各项</w:t>
      </w:r>
      <w:r>
        <w:rPr>
          <w:rFonts w:hint="eastAsia" w:ascii="仿宋" w:hAnsi="仿宋" w:eastAsia="仿宋"/>
          <w:sz w:val="32"/>
          <w:szCs w:val="32"/>
        </w:rPr>
        <w:t>财务管理制度</w:t>
      </w:r>
      <w:r>
        <w:rPr>
          <w:rFonts w:ascii="仿宋" w:hAnsi="仿宋" w:eastAsia="仿宋"/>
          <w:sz w:val="32"/>
          <w:szCs w:val="32"/>
        </w:rPr>
        <w:t>和</w:t>
      </w:r>
      <w:r>
        <w:rPr>
          <w:rFonts w:hint="eastAsia" w:ascii="仿宋" w:hAnsi="仿宋" w:eastAsia="仿宋"/>
          <w:sz w:val="32"/>
          <w:szCs w:val="32"/>
        </w:rPr>
        <w:t>管理办法</w:t>
      </w:r>
      <w:r>
        <w:rPr>
          <w:rFonts w:ascii="仿宋" w:hAnsi="仿宋" w:eastAsia="仿宋"/>
          <w:sz w:val="32"/>
          <w:szCs w:val="32"/>
        </w:rPr>
        <w:t>，确保会计资料</w:t>
      </w:r>
      <w:r>
        <w:rPr>
          <w:rFonts w:hint="eastAsia" w:ascii="仿宋" w:hAnsi="仿宋" w:eastAsia="仿宋"/>
          <w:sz w:val="32"/>
          <w:szCs w:val="32"/>
        </w:rPr>
        <w:t>真实</w:t>
      </w:r>
      <w:r>
        <w:rPr>
          <w:rFonts w:ascii="仿宋" w:hAnsi="仿宋" w:eastAsia="仿宋"/>
          <w:sz w:val="32"/>
          <w:szCs w:val="32"/>
        </w:rPr>
        <w:t>、准确、完整。严格</w:t>
      </w:r>
      <w:r>
        <w:rPr>
          <w:rFonts w:hint="eastAsia" w:ascii="仿宋" w:hAnsi="仿宋" w:eastAsia="仿宋"/>
          <w:sz w:val="32"/>
          <w:szCs w:val="32"/>
        </w:rPr>
        <w:t>按照</w:t>
      </w:r>
      <w:r>
        <w:rPr>
          <w:rFonts w:ascii="仿宋" w:hAnsi="仿宋" w:eastAsia="仿宋"/>
          <w:sz w:val="32"/>
          <w:szCs w:val="32"/>
        </w:rPr>
        <w:t>规定设置会计科目，进行会计核算，妥善保管会计凭证、</w:t>
      </w:r>
      <w:r>
        <w:rPr>
          <w:rFonts w:hint="eastAsia" w:ascii="仿宋" w:hAnsi="仿宋" w:eastAsia="仿宋"/>
          <w:sz w:val="32"/>
          <w:szCs w:val="32"/>
        </w:rPr>
        <w:t>账簿</w:t>
      </w:r>
      <w:r>
        <w:rPr>
          <w:rFonts w:ascii="仿宋" w:hAnsi="仿宋" w:eastAsia="仿宋"/>
          <w:sz w:val="32"/>
          <w:szCs w:val="32"/>
        </w:rPr>
        <w:t>、报表。</w:t>
      </w:r>
    </w:p>
    <w:p>
      <w:pPr>
        <w:pStyle w:val="5"/>
        <w:spacing w:before="0" w:beforeAutospacing="0" w:after="0" w:afterAutospacing="0" w:line="540" w:lineRule="exact"/>
        <w:ind w:firstLine="643" w:firstLineChars="200"/>
        <w:jc w:val="both"/>
        <w:rPr>
          <w:rFonts w:ascii="黑体" w:hAnsi="黑体" w:eastAsia="黑体" w:cs="Times New Roman"/>
          <w:b/>
          <w:color w:val="auto"/>
          <w:kern w:val="2"/>
          <w:sz w:val="32"/>
          <w:szCs w:val="32"/>
        </w:rPr>
      </w:pPr>
      <w:r>
        <w:rPr>
          <w:rFonts w:hint="eastAsia" w:ascii="黑体" w:hAnsi="黑体" w:eastAsia="黑体" w:cs="Times New Roman"/>
          <w:b/>
          <w:color w:val="auto"/>
          <w:kern w:val="2"/>
          <w:sz w:val="32"/>
          <w:szCs w:val="32"/>
        </w:rPr>
        <w:t>三、</w:t>
      </w:r>
      <w:bookmarkEnd w:id="5"/>
      <w:r>
        <w:rPr>
          <w:rFonts w:hint="eastAsia" w:ascii="黑体" w:hAnsi="黑体" w:eastAsia="黑体" w:cs="Times New Roman"/>
          <w:b/>
          <w:color w:val="auto"/>
          <w:kern w:val="2"/>
          <w:sz w:val="32"/>
          <w:szCs w:val="32"/>
        </w:rPr>
        <w:t>整体支出绩效自评情况</w:t>
      </w:r>
    </w:p>
    <w:p>
      <w:pPr>
        <w:spacing w:after="0" w:line="540" w:lineRule="exact"/>
        <w:ind w:firstLine="643" w:firstLineChars="200"/>
        <w:outlineLvl w:val="1"/>
        <w:rPr>
          <w:rFonts w:ascii="楷体_GB2312" w:hAnsi="仿宋" w:eastAsia="楷体_GB2312" w:cs="仿宋_GB2312"/>
          <w:b/>
          <w:sz w:val="32"/>
          <w:szCs w:val="32"/>
        </w:rPr>
      </w:pPr>
      <w:bookmarkStart w:id="8" w:name="_Toc268005760"/>
      <w:r>
        <w:rPr>
          <w:rFonts w:hint="eastAsia" w:ascii="楷体_GB2312" w:hAnsi="仿宋" w:eastAsia="楷体_GB2312" w:cs="仿宋_GB2312"/>
          <w:b/>
          <w:sz w:val="32"/>
          <w:szCs w:val="32"/>
        </w:rPr>
        <w:t>（一）</w:t>
      </w:r>
      <w:bookmarkEnd w:id="8"/>
      <w:r>
        <w:rPr>
          <w:rFonts w:hint="eastAsia" w:ascii="楷体_GB2312" w:hAnsi="仿宋" w:eastAsia="楷体_GB2312" w:cs="仿宋_GB2312"/>
          <w:b/>
          <w:sz w:val="32"/>
          <w:szCs w:val="32"/>
        </w:rPr>
        <w:t>年度整体支出绩效目标完成情况自评</w:t>
      </w:r>
    </w:p>
    <w:p>
      <w:pPr>
        <w:spacing w:after="0" w:line="540" w:lineRule="exact"/>
        <w:rPr>
          <w:rFonts w:hint="eastAsia" w:ascii="仿宋" w:hAnsi="仿宋" w:eastAsia="仿宋"/>
          <w:sz w:val="32"/>
          <w:szCs w:val="32"/>
        </w:rPr>
      </w:pPr>
      <w:bookmarkStart w:id="9" w:name="_Toc268005761"/>
      <w:r>
        <w:rPr>
          <w:rFonts w:hint="eastAsia" w:ascii="仿宋_GB2312" w:hAnsi="仿宋" w:eastAsia="仿宋_GB2312"/>
          <w:sz w:val="32"/>
          <w:szCs w:val="32"/>
        </w:rPr>
        <w:t xml:space="preserve">    </w:t>
      </w:r>
      <w:r>
        <w:rPr>
          <w:rFonts w:hint="eastAsia" w:ascii="仿宋" w:hAnsi="仿宋" w:eastAsia="仿宋"/>
          <w:sz w:val="32"/>
          <w:szCs w:val="32"/>
        </w:rPr>
        <w:t>工作经费安排严格按照年初预算来执行，有效防止了超预算；认真学习财经法规，严格执行财经纪律，防止了违法违纪行为的发生。</w:t>
      </w:r>
    </w:p>
    <w:p>
      <w:pPr>
        <w:spacing w:after="0" w:line="540" w:lineRule="exact"/>
        <w:ind w:firstLine="643" w:firstLineChars="200"/>
        <w:outlineLvl w:val="1"/>
        <w:rPr>
          <w:rFonts w:ascii="楷体_GB2312" w:hAnsi="仿宋" w:eastAsia="楷体_GB2312" w:cs="仿宋_GB2312"/>
          <w:b/>
          <w:sz w:val="32"/>
          <w:szCs w:val="32"/>
        </w:rPr>
      </w:pPr>
      <w:r>
        <w:rPr>
          <w:rFonts w:hint="eastAsia" w:ascii="楷体_GB2312" w:hAnsi="仿宋" w:eastAsia="楷体_GB2312" w:cs="仿宋_GB2312"/>
          <w:b/>
          <w:sz w:val="32"/>
          <w:szCs w:val="32"/>
        </w:rPr>
        <w:t>（二）</w:t>
      </w:r>
      <w:bookmarkEnd w:id="9"/>
      <w:r>
        <w:rPr>
          <w:rFonts w:hint="eastAsia" w:ascii="楷体_GB2312" w:hAnsi="仿宋" w:eastAsia="楷体_GB2312" w:cs="仿宋_GB2312"/>
          <w:b/>
          <w:sz w:val="32"/>
          <w:szCs w:val="32"/>
        </w:rPr>
        <w:t>绩效目标完成情况</w:t>
      </w:r>
    </w:p>
    <w:p>
      <w:pPr>
        <w:spacing w:after="0" w:line="540" w:lineRule="exact"/>
        <w:ind w:firstLine="64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021</w:t>
      </w:r>
      <w:r>
        <w:rPr>
          <w:rFonts w:hint="eastAsia" w:ascii="仿宋" w:hAnsi="仿宋" w:eastAsia="仿宋"/>
          <w:sz w:val="32"/>
          <w:szCs w:val="32"/>
        </w:rPr>
        <w:t>年度</w:t>
      </w:r>
      <w:r>
        <w:rPr>
          <w:rFonts w:ascii="仿宋" w:hAnsi="仿宋" w:eastAsia="仿宋"/>
          <w:sz w:val="32"/>
          <w:szCs w:val="32"/>
        </w:rPr>
        <w:t>，</w:t>
      </w:r>
      <w:r>
        <w:rPr>
          <w:rFonts w:hint="eastAsia" w:ascii="仿宋" w:hAnsi="仿宋" w:eastAsia="仿宋"/>
          <w:sz w:val="32"/>
          <w:szCs w:val="32"/>
        </w:rPr>
        <w:t>保障了机关有效运转。严格按照厉行节约的要求，精打细算，规范机关管理工作，提高服务质量，降低运行成本，合理配置，提高保障能力。保障了干部待遇按政策发放落实。</w:t>
      </w:r>
    </w:p>
    <w:p>
      <w:pPr>
        <w:spacing w:after="0" w:line="540" w:lineRule="exact"/>
        <w:ind w:firstLine="640"/>
        <w:rPr>
          <w:rFonts w:hint="eastAsia" w:ascii="楷体" w:hAnsi="楷体" w:eastAsia="楷体"/>
          <w:b/>
          <w:sz w:val="32"/>
          <w:szCs w:val="32"/>
        </w:rPr>
      </w:pPr>
      <w:r>
        <w:rPr>
          <w:rFonts w:hint="eastAsia" w:ascii="楷体" w:hAnsi="楷体" w:eastAsia="楷体"/>
          <w:b/>
          <w:sz w:val="32"/>
          <w:szCs w:val="32"/>
        </w:rPr>
        <w:t>（三）自评得分</w:t>
      </w:r>
      <w:bookmarkEnd w:id="6"/>
      <w:bookmarkEnd w:id="7"/>
    </w:p>
    <w:p>
      <w:pPr>
        <w:widowControl/>
        <w:spacing w:after="0" w:line="540" w:lineRule="exact"/>
        <w:jc w:val="center"/>
        <w:rPr>
          <w:rFonts w:ascii="楷体" w:hAnsi="楷体" w:eastAsia="楷体"/>
          <w:sz w:val="28"/>
          <w:szCs w:val="28"/>
        </w:rPr>
      </w:pPr>
      <w:r>
        <w:rPr>
          <w:rFonts w:hint="eastAsia" w:ascii="楷体" w:hAnsi="楷体" w:eastAsia="楷体"/>
          <w:sz w:val="28"/>
          <w:szCs w:val="28"/>
        </w:rPr>
        <w:t>表1：部门整体支出绩效评分表</w:t>
      </w:r>
    </w:p>
    <w:tbl>
      <w:tblPr>
        <w:tblStyle w:val="6"/>
        <w:tblW w:w="8439" w:type="dxa"/>
        <w:tblInd w:w="97" w:type="dxa"/>
        <w:tblLayout w:type="autofit"/>
        <w:tblCellMar>
          <w:top w:w="0" w:type="dxa"/>
          <w:left w:w="108" w:type="dxa"/>
          <w:bottom w:w="0" w:type="dxa"/>
          <w:right w:w="108" w:type="dxa"/>
        </w:tblCellMar>
      </w:tblPr>
      <w:tblGrid>
        <w:gridCol w:w="862"/>
        <w:gridCol w:w="2122"/>
        <w:gridCol w:w="2556"/>
        <w:gridCol w:w="850"/>
        <w:gridCol w:w="1134"/>
        <w:gridCol w:w="915"/>
      </w:tblGrid>
      <w:tr>
        <w:tblPrEx>
          <w:tblCellMar>
            <w:top w:w="0" w:type="dxa"/>
            <w:left w:w="108" w:type="dxa"/>
            <w:bottom w:w="0" w:type="dxa"/>
            <w:right w:w="108" w:type="dxa"/>
          </w:tblCellMar>
        </w:tblPrEx>
        <w:trPr>
          <w:trHeight w:val="582" w:hRule="atLeast"/>
        </w:trPr>
        <w:tc>
          <w:tcPr>
            <w:tcW w:w="639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评价指标</w:t>
            </w:r>
          </w:p>
        </w:tc>
        <w:tc>
          <w:tcPr>
            <w:tcW w:w="1134"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指标值</w:t>
            </w:r>
          </w:p>
        </w:tc>
        <w:tc>
          <w:tcPr>
            <w:tcW w:w="915"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自评得分</w:t>
            </w:r>
          </w:p>
        </w:tc>
      </w:tr>
      <w:tr>
        <w:tblPrEx>
          <w:tblCellMar>
            <w:top w:w="0" w:type="dxa"/>
            <w:left w:w="108" w:type="dxa"/>
            <w:bottom w:w="0" w:type="dxa"/>
            <w:right w:w="108" w:type="dxa"/>
          </w:tblCellMar>
        </w:tblPrEx>
        <w:trPr>
          <w:trHeight w:val="695"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一级指标</w:t>
            </w:r>
          </w:p>
        </w:tc>
        <w:tc>
          <w:tcPr>
            <w:tcW w:w="2122" w:type="dxa"/>
            <w:tcBorders>
              <w:top w:val="single" w:color="auto" w:sz="4" w:space="0"/>
              <w:left w:val="nil"/>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二级指标</w:t>
            </w:r>
          </w:p>
        </w:tc>
        <w:tc>
          <w:tcPr>
            <w:tcW w:w="340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三级指标</w:t>
            </w:r>
          </w:p>
        </w:tc>
        <w:tc>
          <w:tcPr>
            <w:tcW w:w="1134" w:type="dxa"/>
            <w:vMerge w:val="continue"/>
            <w:tcBorders>
              <w:left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915"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r>
      <w:tr>
        <w:tblPrEx>
          <w:tblCellMar>
            <w:top w:w="0" w:type="dxa"/>
            <w:left w:w="108" w:type="dxa"/>
            <w:bottom w:w="0" w:type="dxa"/>
            <w:right w:w="108" w:type="dxa"/>
          </w:tblCellMar>
        </w:tblPrEx>
        <w:trPr>
          <w:trHeight w:val="575"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2122"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2556"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850"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分值</w:t>
            </w:r>
          </w:p>
        </w:tc>
        <w:tc>
          <w:tcPr>
            <w:tcW w:w="1134" w:type="dxa"/>
            <w:vMerge w:val="continue"/>
            <w:tcBorders>
              <w:left w:val="single" w:color="auto" w:sz="4" w:space="0"/>
              <w:bottom w:val="nil"/>
              <w:right w:val="single" w:color="auto" w:sz="4" w:space="0"/>
            </w:tcBorders>
            <w:vAlign w:val="center"/>
          </w:tcPr>
          <w:p>
            <w:pPr>
              <w:widowControl/>
              <w:spacing w:after="0" w:line="540" w:lineRule="exact"/>
              <w:jc w:val="center"/>
              <w:rPr>
                <w:rFonts w:ascii="宋体" w:hAnsi="宋体" w:cs="宋体"/>
                <w:kern w:val="0"/>
                <w:sz w:val="24"/>
              </w:rPr>
            </w:pPr>
          </w:p>
        </w:tc>
        <w:tc>
          <w:tcPr>
            <w:tcW w:w="915" w:type="dxa"/>
            <w:vMerge w:val="continue"/>
            <w:tcBorders>
              <w:left w:val="single" w:color="auto" w:sz="4" w:space="0"/>
              <w:bottom w:val="nil"/>
              <w:right w:val="single" w:color="000000" w:sz="4" w:space="0"/>
            </w:tcBorders>
            <w:vAlign w:val="center"/>
          </w:tcPr>
          <w:p>
            <w:pPr>
              <w:widowControl/>
              <w:spacing w:after="0" w:line="540" w:lineRule="exact"/>
              <w:jc w:val="center"/>
              <w:rPr>
                <w:rFonts w:ascii="宋体" w:hAnsi="宋体" w:cs="宋体"/>
                <w:kern w:val="0"/>
                <w:sz w:val="24"/>
              </w:rPr>
            </w:pPr>
          </w:p>
        </w:tc>
      </w:tr>
      <w:tr>
        <w:tblPrEx>
          <w:tblCellMar>
            <w:top w:w="0" w:type="dxa"/>
            <w:left w:w="108" w:type="dxa"/>
            <w:bottom w:w="0" w:type="dxa"/>
            <w:right w:w="108" w:type="dxa"/>
          </w:tblCellMar>
        </w:tblPrEx>
        <w:trPr>
          <w:trHeight w:val="560" w:hRule="atLeast"/>
        </w:trPr>
        <w:tc>
          <w:tcPr>
            <w:tcW w:w="86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投入（15分）</w:t>
            </w: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目标设定（5分）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合理</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554"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明确</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550"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预算配置（10分）</w:t>
            </w: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ascii="宋体" w:hAnsi="宋体" w:cs="宋体"/>
                <w:kern w:val="0"/>
                <w:sz w:val="24"/>
              </w:rPr>
              <w:t>100%</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ascii="宋体" w:hAnsi="宋体" w:cs="宋体"/>
                <w:kern w:val="0"/>
                <w:sz w:val="24"/>
              </w:rPr>
              <w:t>5</w:t>
            </w:r>
          </w:p>
        </w:tc>
      </w:tr>
      <w:tr>
        <w:tblPrEx>
          <w:tblCellMar>
            <w:top w:w="0" w:type="dxa"/>
            <w:left w:w="108" w:type="dxa"/>
            <w:bottom w:w="0" w:type="dxa"/>
            <w:right w:w="108" w:type="dxa"/>
          </w:tblCellMar>
        </w:tblPrEx>
        <w:trPr>
          <w:trHeight w:val="550" w:hRule="atLeast"/>
        </w:trPr>
        <w:tc>
          <w:tcPr>
            <w:tcW w:w="862" w:type="dxa"/>
            <w:vMerge w:val="continue"/>
            <w:tcBorders>
              <w:left w:val="single" w:color="auto" w:sz="4" w:space="0"/>
              <w:bottom w:val="single" w:color="000000" w:sz="4" w:space="0"/>
              <w:right w:val="single" w:color="000000" w:sz="4" w:space="0"/>
            </w:tcBorders>
            <w:vAlign w:val="center"/>
          </w:tcPr>
          <w:p>
            <w:pPr>
              <w:spacing w:line="540" w:lineRule="exact"/>
              <w:jc w:val="center"/>
              <w:rPr>
                <w:rFonts w:ascii="宋体" w:hAnsi="宋体" w:cs="宋体"/>
                <w:sz w:val="22"/>
                <w:szCs w:val="22"/>
              </w:rPr>
            </w:pPr>
          </w:p>
        </w:tc>
        <w:tc>
          <w:tcPr>
            <w:tcW w:w="2122" w:type="dxa"/>
            <w:vMerge w:val="continue"/>
            <w:tcBorders>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&lt;0%</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6" w:hRule="atLeast"/>
        </w:trPr>
        <w:tc>
          <w:tcPr>
            <w:tcW w:w="86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过程（45分）</w:t>
            </w: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预算执行（16分）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&gt;90%</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65"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&lt;5%</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70"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&lt;5%</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4"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预算管理（18分）</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健全</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48"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资金使用合规性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合理</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70"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公开</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r>
      <w:tr>
        <w:tblPrEx>
          <w:tblCellMar>
            <w:top w:w="0" w:type="dxa"/>
            <w:left w:w="108" w:type="dxa"/>
            <w:bottom w:w="0" w:type="dxa"/>
            <w:right w:w="108" w:type="dxa"/>
          </w:tblCellMar>
        </w:tblPrEx>
        <w:trPr>
          <w:trHeight w:val="564"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完善</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6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资产管理（11分）</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较好</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54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较高</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69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办公设备购置标准    合规率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合规</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420" w:hRule="atLeast"/>
        </w:trPr>
        <w:tc>
          <w:tcPr>
            <w:tcW w:w="86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产出（20分）</w:t>
            </w:r>
          </w:p>
        </w:tc>
        <w:tc>
          <w:tcPr>
            <w:tcW w:w="212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责任履行（20分）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r>
              <w:rPr>
                <w:rFonts w:ascii="宋体" w:hAnsi="宋体" w:cs="宋体"/>
                <w:kern w:val="0"/>
                <w:sz w:val="24"/>
              </w:rPr>
              <w:t>%</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561"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r>
              <w:rPr>
                <w:rFonts w:ascii="宋体" w:hAnsi="宋体" w:cs="宋体"/>
                <w:kern w:val="0"/>
                <w:sz w:val="24"/>
              </w:rPr>
              <w:t>%</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608"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是</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r>
      <w:tr>
        <w:tblPrEx>
          <w:tblCellMar>
            <w:top w:w="0" w:type="dxa"/>
            <w:left w:w="108" w:type="dxa"/>
            <w:bottom w:w="0" w:type="dxa"/>
            <w:right w:w="108" w:type="dxa"/>
          </w:tblCellMar>
        </w:tblPrEx>
        <w:trPr>
          <w:trHeight w:val="1069"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效果（10分）</w:t>
            </w:r>
          </w:p>
        </w:tc>
        <w:tc>
          <w:tcPr>
            <w:tcW w:w="2122"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履职效益（10分）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较好</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8</w:t>
            </w:r>
          </w:p>
        </w:tc>
      </w:tr>
      <w:tr>
        <w:tblPrEx>
          <w:tblCellMar>
            <w:top w:w="0" w:type="dxa"/>
            <w:left w:w="108" w:type="dxa"/>
            <w:bottom w:w="0" w:type="dxa"/>
            <w:right w:w="108" w:type="dxa"/>
          </w:tblCellMar>
        </w:tblPrEx>
        <w:trPr>
          <w:trHeight w:val="1188"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满意度（10分）</w:t>
            </w:r>
          </w:p>
        </w:tc>
        <w:tc>
          <w:tcPr>
            <w:tcW w:w="2122"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社会公众或服务对象满意度（10分）</w:t>
            </w:r>
          </w:p>
        </w:tc>
        <w:tc>
          <w:tcPr>
            <w:tcW w:w="2556" w:type="dxa"/>
            <w:tcBorders>
              <w:top w:val="single" w:color="auto" w:sz="4" w:space="0"/>
              <w:left w:val="nil"/>
              <w:bottom w:val="single" w:color="auto" w:sz="4" w:space="0"/>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社会公众或服务对象  满意度</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满意度&gt;90%</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690" w:hRule="atLeast"/>
        </w:trPr>
        <w:tc>
          <w:tcPr>
            <w:tcW w:w="752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绩效自评综合得分</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95</w:t>
            </w:r>
          </w:p>
        </w:tc>
      </w:tr>
      <w:tr>
        <w:tblPrEx>
          <w:tblCellMar>
            <w:top w:w="0" w:type="dxa"/>
            <w:left w:w="108" w:type="dxa"/>
            <w:bottom w:w="0" w:type="dxa"/>
            <w:right w:w="108" w:type="dxa"/>
          </w:tblCellMar>
        </w:tblPrEx>
        <w:trPr>
          <w:trHeight w:val="700" w:hRule="atLeast"/>
        </w:trPr>
        <w:tc>
          <w:tcPr>
            <w:tcW w:w="752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自评等次</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优</w:t>
            </w:r>
          </w:p>
        </w:tc>
      </w:tr>
    </w:tbl>
    <w:p>
      <w:pPr>
        <w:spacing w:after="0" w:line="540" w:lineRule="exact"/>
        <w:ind w:firstLine="640"/>
        <w:rPr>
          <w:rFonts w:ascii="黑体" w:hAnsi="黑体" w:eastAsia="黑体" w:cs="Times New Roman"/>
          <w:b/>
          <w:sz w:val="32"/>
          <w:szCs w:val="32"/>
        </w:rPr>
      </w:pPr>
      <w:bookmarkStart w:id="10" w:name="_Toc171765188"/>
      <w:bookmarkStart w:id="11" w:name="_Toc263686390"/>
      <w:bookmarkStart w:id="12" w:name="_Toc171772698"/>
      <w:bookmarkStart w:id="13" w:name="_Toc171764863"/>
      <w:bookmarkStart w:id="14" w:name="_Toc268005765"/>
      <w:r>
        <w:rPr>
          <w:rFonts w:hint="eastAsia" w:ascii="黑体" w:hAnsi="黑体" w:eastAsia="黑体" w:cs="Times New Roman"/>
          <w:b/>
          <w:sz w:val="32"/>
          <w:szCs w:val="32"/>
        </w:rPr>
        <w:t>四、存在问题和改进措施</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（一）存在问题</w:t>
      </w:r>
    </w:p>
    <w:p>
      <w:pPr>
        <w:spacing w:after="0" w:line="54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对于绩效</w:t>
      </w:r>
      <w:r>
        <w:rPr>
          <w:rFonts w:ascii="仿宋_GB2312" w:hAnsi="仿宋_GB2312" w:eastAsia="仿宋_GB2312" w:cs="仿宋_GB2312"/>
          <w:bCs/>
          <w:sz w:val="32"/>
          <w:szCs w:val="32"/>
        </w:rPr>
        <w:t>评价工作认识</w:t>
      </w:r>
      <w:r>
        <w:rPr>
          <w:rFonts w:hint="eastAsia" w:ascii="仿宋_GB2312" w:hAnsi="仿宋_GB2312" w:eastAsia="仿宋_GB2312" w:cs="仿宋_GB2312"/>
          <w:bCs/>
          <w:sz w:val="32"/>
          <w:szCs w:val="32"/>
        </w:rPr>
        <w:t>有待</w:t>
      </w:r>
      <w:r>
        <w:rPr>
          <w:rFonts w:ascii="仿宋_GB2312" w:hAnsi="仿宋_GB2312" w:eastAsia="仿宋_GB2312" w:cs="仿宋_GB2312"/>
          <w:bCs/>
          <w:sz w:val="32"/>
          <w:szCs w:val="32"/>
        </w:rPr>
        <w:t>加强，</w:t>
      </w:r>
      <w:r>
        <w:rPr>
          <w:rFonts w:hint="eastAsia" w:ascii="仿宋_GB2312" w:hAnsi="仿宋_GB2312" w:eastAsia="仿宋_GB2312" w:cs="仿宋_GB2312"/>
          <w:bCs/>
          <w:sz w:val="32"/>
          <w:szCs w:val="32"/>
        </w:rPr>
        <w:t>绩效指标值</w:t>
      </w:r>
      <w:r>
        <w:rPr>
          <w:rFonts w:ascii="仿宋_GB2312" w:hAnsi="仿宋_GB2312" w:eastAsia="仿宋_GB2312" w:cs="仿宋_GB2312"/>
          <w:bCs/>
          <w:sz w:val="32"/>
          <w:szCs w:val="32"/>
        </w:rPr>
        <w:t>设定细化、量化成都不够，</w:t>
      </w:r>
      <w:r>
        <w:rPr>
          <w:rFonts w:hint="eastAsia" w:ascii="仿宋_GB2312" w:hAnsi="仿宋_GB2312" w:eastAsia="仿宋_GB2312" w:cs="仿宋_GB2312"/>
          <w:bCs/>
          <w:sz w:val="32"/>
          <w:szCs w:val="32"/>
        </w:rPr>
        <w:t>客观</w:t>
      </w:r>
      <w:r>
        <w:rPr>
          <w:rFonts w:ascii="仿宋_GB2312" w:hAnsi="仿宋_GB2312" w:eastAsia="仿宋_GB2312" w:cs="仿宋_GB2312"/>
          <w:bCs/>
          <w:sz w:val="32"/>
          <w:szCs w:val="32"/>
        </w:rPr>
        <w:t>可衡</w:t>
      </w:r>
      <w:r>
        <w:rPr>
          <w:rFonts w:hint="eastAsia" w:ascii="仿宋_GB2312" w:hAnsi="仿宋_GB2312" w:eastAsia="仿宋_GB2312" w:cs="仿宋_GB2312"/>
          <w:bCs/>
          <w:sz w:val="32"/>
          <w:szCs w:val="32"/>
        </w:rPr>
        <w:t>量</w:t>
      </w:r>
      <w:r>
        <w:rPr>
          <w:rFonts w:ascii="仿宋_GB2312" w:hAnsi="仿宋_GB2312" w:eastAsia="仿宋_GB2312" w:cs="仿宋_GB2312"/>
          <w:bCs/>
          <w:sz w:val="32"/>
          <w:szCs w:val="32"/>
        </w:rPr>
        <w:t>性</w:t>
      </w:r>
      <w:r>
        <w:rPr>
          <w:rFonts w:hint="eastAsia" w:ascii="仿宋_GB2312" w:hAnsi="仿宋_GB2312" w:eastAsia="仿宋_GB2312" w:cs="仿宋_GB2312"/>
          <w:bCs/>
          <w:sz w:val="32"/>
          <w:szCs w:val="32"/>
        </w:rPr>
        <w:t>不够</w:t>
      </w:r>
      <w:r>
        <w:rPr>
          <w:rFonts w:ascii="仿宋_GB2312" w:hAnsi="仿宋_GB2312" w:eastAsia="仿宋_GB2312" w:cs="仿宋_GB2312"/>
          <w:bCs/>
          <w:sz w:val="32"/>
          <w:szCs w:val="32"/>
        </w:rPr>
        <w:t>。</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（二）改进措施</w:t>
      </w:r>
    </w:p>
    <w:bookmarkEnd w:id="10"/>
    <w:bookmarkEnd w:id="11"/>
    <w:bookmarkEnd w:id="12"/>
    <w:bookmarkEnd w:id="13"/>
    <w:bookmarkEnd w:id="14"/>
    <w:p>
      <w:pPr>
        <w:pStyle w:val="5"/>
        <w:spacing w:before="0" w:beforeAutospacing="0" w:after="0" w:afterAutospacing="0" w:line="540" w:lineRule="exact"/>
        <w:ind w:firstLine="640" w:firstLineChars="200"/>
        <w:jc w:val="both"/>
        <w:rPr>
          <w:rFonts w:ascii="仿宋" w:hAnsi="仿宋" w:eastAsia="仿宋"/>
          <w:sz w:val="32"/>
          <w:szCs w:val="32"/>
        </w:rPr>
      </w:pPr>
      <w:r>
        <w:rPr>
          <w:rFonts w:hint="eastAsia" w:ascii="仿宋" w:hAnsi="仿宋" w:eastAsia="仿宋"/>
          <w:sz w:val="32"/>
          <w:szCs w:val="32"/>
        </w:rPr>
        <w:t>进一步认真学习</w:t>
      </w:r>
      <w:r>
        <w:rPr>
          <w:rFonts w:ascii="仿宋" w:hAnsi="仿宋" w:eastAsia="仿宋"/>
          <w:sz w:val="32"/>
          <w:szCs w:val="32"/>
        </w:rPr>
        <w:t>绩效考核相关工作文件，领会精神，运用到实际中，</w:t>
      </w:r>
      <w:r>
        <w:rPr>
          <w:rFonts w:hint="eastAsia" w:ascii="仿宋" w:hAnsi="仿宋" w:eastAsia="仿宋"/>
          <w:sz w:val="32"/>
          <w:szCs w:val="32"/>
        </w:rPr>
        <w:t>根据</w:t>
      </w:r>
      <w:r>
        <w:rPr>
          <w:rFonts w:ascii="仿宋" w:hAnsi="仿宋" w:eastAsia="仿宋"/>
          <w:sz w:val="32"/>
          <w:szCs w:val="32"/>
        </w:rPr>
        <w:t>本单位实际情况</w:t>
      </w:r>
      <w:r>
        <w:rPr>
          <w:rFonts w:hint="eastAsia" w:ascii="仿宋" w:hAnsi="仿宋" w:eastAsia="仿宋"/>
          <w:sz w:val="32"/>
          <w:szCs w:val="32"/>
        </w:rPr>
        <w:t>进一步</w:t>
      </w:r>
      <w:r>
        <w:rPr>
          <w:rFonts w:ascii="仿宋" w:hAnsi="仿宋" w:eastAsia="仿宋"/>
          <w:sz w:val="32"/>
          <w:szCs w:val="32"/>
        </w:rPr>
        <w:t>细化、量化设置绩效目标指标，做到客观可衡量。</w:t>
      </w:r>
    </w:p>
    <w:p>
      <w:pPr>
        <w:pStyle w:val="5"/>
        <w:spacing w:before="0" w:beforeAutospacing="0" w:after="0" w:afterAutospacing="0" w:line="540" w:lineRule="exact"/>
        <w:ind w:firstLine="643" w:firstLineChars="200"/>
        <w:jc w:val="both"/>
        <w:rPr>
          <w:rFonts w:ascii="仿宋" w:hAnsi="仿宋" w:eastAsia="黑体"/>
          <w:sz w:val="32"/>
          <w:szCs w:val="32"/>
        </w:rPr>
      </w:pPr>
      <w:r>
        <w:rPr>
          <w:rFonts w:hint="eastAsia" w:ascii="黑体" w:hAnsi="黑体" w:eastAsia="黑体" w:cs="Times New Roman"/>
          <w:b/>
          <w:color w:val="auto"/>
          <w:kern w:val="2"/>
          <w:sz w:val="32"/>
          <w:szCs w:val="32"/>
        </w:rPr>
        <w:t>五、其他需要说明的情况</w:t>
      </w:r>
    </w:p>
    <w:p>
      <w:pPr>
        <w:spacing w:after="0"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无</w:t>
      </w:r>
    </w:p>
    <w:p>
      <w:pPr>
        <w:spacing w:after="0" w:line="540" w:lineRule="exact"/>
        <w:ind w:firstLine="640" w:firstLineChars="200"/>
        <w:rPr>
          <w:rFonts w:ascii="仿宋" w:hAnsi="仿宋" w:eastAsia="仿宋"/>
          <w:sz w:val="32"/>
          <w:szCs w:val="32"/>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U0NGQyMTljZjQ3ZjBjY2EwMWU3NzI3NmE2MjllYzEifQ=="/>
  </w:docVars>
  <w:rsids>
    <w:rsidRoot w:val="000B725D"/>
    <w:rsid w:val="000366C0"/>
    <w:rsid w:val="00096ED1"/>
    <w:rsid w:val="000B725D"/>
    <w:rsid w:val="000D28FF"/>
    <w:rsid w:val="000F506F"/>
    <w:rsid w:val="0012248D"/>
    <w:rsid w:val="001D4420"/>
    <w:rsid w:val="001E0BA7"/>
    <w:rsid w:val="001E31FE"/>
    <w:rsid w:val="0020135B"/>
    <w:rsid w:val="002219E7"/>
    <w:rsid w:val="00246E9E"/>
    <w:rsid w:val="00277B60"/>
    <w:rsid w:val="002825AA"/>
    <w:rsid w:val="002B256A"/>
    <w:rsid w:val="002D6645"/>
    <w:rsid w:val="00325CDC"/>
    <w:rsid w:val="00492B98"/>
    <w:rsid w:val="004B3AEF"/>
    <w:rsid w:val="00532CEC"/>
    <w:rsid w:val="005529C7"/>
    <w:rsid w:val="00576418"/>
    <w:rsid w:val="005877E2"/>
    <w:rsid w:val="005A75D7"/>
    <w:rsid w:val="005B7F61"/>
    <w:rsid w:val="005D1600"/>
    <w:rsid w:val="00715F70"/>
    <w:rsid w:val="00726F06"/>
    <w:rsid w:val="007D0D57"/>
    <w:rsid w:val="0080545B"/>
    <w:rsid w:val="00865A10"/>
    <w:rsid w:val="00890613"/>
    <w:rsid w:val="008C4C7F"/>
    <w:rsid w:val="008D26AB"/>
    <w:rsid w:val="00932C43"/>
    <w:rsid w:val="009B4E28"/>
    <w:rsid w:val="00A31E8F"/>
    <w:rsid w:val="00A63451"/>
    <w:rsid w:val="00A8690F"/>
    <w:rsid w:val="00AD0A06"/>
    <w:rsid w:val="00AE3BB3"/>
    <w:rsid w:val="00B72591"/>
    <w:rsid w:val="00BA19A1"/>
    <w:rsid w:val="00BC38D4"/>
    <w:rsid w:val="00BF6A82"/>
    <w:rsid w:val="00C0089D"/>
    <w:rsid w:val="00C115AA"/>
    <w:rsid w:val="00C55079"/>
    <w:rsid w:val="00C747B2"/>
    <w:rsid w:val="00C96B6A"/>
    <w:rsid w:val="00CD5E41"/>
    <w:rsid w:val="00D001DA"/>
    <w:rsid w:val="00D04AD3"/>
    <w:rsid w:val="00D06262"/>
    <w:rsid w:val="00D32EED"/>
    <w:rsid w:val="00D519C5"/>
    <w:rsid w:val="00D616BA"/>
    <w:rsid w:val="00D87030"/>
    <w:rsid w:val="00DA0267"/>
    <w:rsid w:val="00DC6D16"/>
    <w:rsid w:val="00DD57DA"/>
    <w:rsid w:val="00E027E0"/>
    <w:rsid w:val="00E26FF1"/>
    <w:rsid w:val="00E27E43"/>
    <w:rsid w:val="00E57148"/>
    <w:rsid w:val="00EC2585"/>
    <w:rsid w:val="00ED7332"/>
    <w:rsid w:val="00EF4F53"/>
    <w:rsid w:val="00F11CD0"/>
    <w:rsid w:val="00F324E1"/>
    <w:rsid w:val="00F77D55"/>
    <w:rsid w:val="00FB216A"/>
    <w:rsid w:val="02F74F86"/>
    <w:rsid w:val="043E06DE"/>
    <w:rsid w:val="04F2770F"/>
    <w:rsid w:val="090507D3"/>
    <w:rsid w:val="0A8E7BE6"/>
    <w:rsid w:val="0B1E3585"/>
    <w:rsid w:val="0D2131AD"/>
    <w:rsid w:val="0DA651AB"/>
    <w:rsid w:val="0ECB61A8"/>
    <w:rsid w:val="11916C6D"/>
    <w:rsid w:val="1B471AE5"/>
    <w:rsid w:val="1B5D75E4"/>
    <w:rsid w:val="21B631A5"/>
    <w:rsid w:val="21C06A17"/>
    <w:rsid w:val="23AA66A7"/>
    <w:rsid w:val="24D27B28"/>
    <w:rsid w:val="268B30A3"/>
    <w:rsid w:val="2EF91626"/>
    <w:rsid w:val="30375BD2"/>
    <w:rsid w:val="30A92E3B"/>
    <w:rsid w:val="356F523C"/>
    <w:rsid w:val="359B244B"/>
    <w:rsid w:val="35C00B7E"/>
    <w:rsid w:val="35C070A7"/>
    <w:rsid w:val="3876316A"/>
    <w:rsid w:val="3A054AC9"/>
    <w:rsid w:val="3A5B2759"/>
    <w:rsid w:val="3F936BB3"/>
    <w:rsid w:val="45EE109C"/>
    <w:rsid w:val="498A1F75"/>
    <w:rsid w:val="49AB449D"/>
    <w:rsid w:val="4A2D0673"/>
    <w:rsid w:val="4A783AB7"/>
    <w:rsid w:val="4DCF2866"/>
    <w:rsid w:val="52BD598A"/>
    <w:rsid w:val="56B91573"/>
    <w:rsid w:val="5C3468B5"/>
    <w:rsid w:val="5FE46715"/>
    <w:rsid w:val="642A326D"/>
    <w:rsid w:val="681E750B"/>
    <w:rsid w:val="68564B9A"/>
    <w:rsid w:val="68817EE4"/>
    <w:rsid w:val="6C9443CE"/>
    <w:rsid w:val="6CC37F33"/>
    <w:rsid w:val="70874519"/>
    <w:rsid w:val="73325D4D"/>
    <w:rsid w:val="740752C3"/>
    <w:rsid w:val="7658178E"/>
    <w:rsid w:val="77F51365"/>
    <w:rsid w:val="7C0F5BF3"/>
    <w:rsid w:val="7E377C09"/>
    <w:rsid w:val="7ED530BD"/>
    <w:rsid w:val="7F6C4F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ind w:left="284" w:firstLine="200" w:firstLineChars="200"/>
    </w:pPr>
    <w:rPr>
      <w:rFonts w:ascii="楷体_GB2312" w:hAnsi="Times New Roman" w:eastAsia="楷体_GB2312" w:cs="Times New Roman"/>
      <w:sz w:val="8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8">
    <w:name w:val="page number"/>
    <w:basedOn w:val="7"/>
    <w:unhideWhenUsed/>
    <w:qFormat/>
    <w:uiPriority w:val="99"/>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正文文本缩进 字符"/>
    <w:basedOn w:val="7"/>
    <w:link w:val="2"/>
    <w:qFormat/>
    <w:uiPriority w:val="99"/>
    <w:rPr>
      <w:rFonts w:ascii="楷体_GB2312" w:hAnsi="Times New Roman" w:eastAsia="楷体_GB2312" w:cs="Times New Roman"/>
      <w:sz w:val="8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1382</Words>
  <Characters>1485</Characters>
  <Lines>11</Lines>
  <Paragraphs>3</Paragraphs>
  <TotalTime>98</TotalTime>
  <ScaleCrop>false</ScaleCrop>
  <LinksUpToDate>false</LinksUpToDate>
  <CharactersWithSpaces>1495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2018-07-23T08:42:00Z</dcterms:created>
  <dc:creator>Suda</dc:creator>
  <cp:lastModifiedBy>gov</cp:lastModifiedBy>
  <dcterms:modified xsi:type="dcterms:W3CDTF">2022-07-01T01:19:40Z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75358B9189BC4903969E8EAEBDE0938F</vt:lpwstr>
  </property>
</Properties>
</file>