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927" w:firstLineChars="200"/>
        <w:jc w:val="center"/>
        <w:rPr>
          <w:rFonts w:hint="eastAsia" w:ascii="宋体" w:hAnsi="宋体"/>
          <w:b/>
          <w:bCs/>
          <w:w w:val="105"/>
          <w:sz w:val="44"/>
          <w:szCs w:val="44"/>
          <w:lang w:eastAsia="zh-CN"/>
        </w:rPr>
      </w:pPr>
    </w:p>
    <w:p>
      <w:pPr>
        <w:spacing w:line="600" w:lineRule="exact"/>
        <w:jc w:val="center"/>
        <w:rPr>
          <w:rFonts w:ascii="宋体" w:hAnsi="宋体"/>
          <w:b/>
          <w:bCs/>
          <w:sz w:val="44"/>
          <w:szCs w:val="44"/>
          <w:lang w:eastAsia="zh-CN"/>
        </w:rPr>
      </w:pPr>
      <w:r>
        <w:rPr>
          <w:rFonts w:hint="eastAsia" w:ascii="宋体" w:hAnsi="宋体"/>
          <w:b/>
          <w:bCs/>
          <w:w w:val="105"/>
          <w:sz w:val="44"/>
          <w:szCs w:val="44"/>
          <w:lang w:eastAsia="zh-CN"/>
        </w:rPr>
        <w:t>区纪检派驻二组业务费</w:t>
      </w:r>
      <w:r>
        <w:rPr>
          <w:rFonts w:hint="eastAsia" w:ascii="宋体" w:hAnsi="宋体"/>
          <w:b/>
          <w:bCs/>
          <w:spacing w:val="-15"/>
          <w:w w:val="105"/>
          <w:sz w:val="44"/>
          <w:szCs w:val="44"/>
          <w:lang w:eastAsia="zh-CN"/>
        </w:rPr>
        <w:t>支出绩效自评报告</w:t>
      </w:r>
    </w:p>
    <w:p>
      <w:pPr>
        <w:spacing w:line="600" w:lineRule="exact"/>
        <w:ind w:firstLine="656" w:firstLineChars="200"/>
        <w:jc w:val="center"/>
        <w:rPr>
          <w:rFonts w:ascii="黑体" w:hAnsi="黑体" w:eastAsia="黑体"/>
          <w:spacing w:val="-4"/>
          <w:w w:val="105"/>
          <w:sz w:val="32"/>
          <w:szCs w:val="32"/>
          <w:lang w:eastAsia="zh-CN"/>
        </w:rPr>
      </w:pPr>
    </w:p>
    <w:p>
      <w:pPr>
        <w:spacing w:line="600" w:lineRule="exact"/>
        <w:ind w:firstLine="656" w:firstLineChars="200"/>
        <w:jc w:val="both"/>
        <w:rPr>
          <w:rFonts w:ascii="黑体" w:hAnsi="黑体" w:eastAsia="黑体"/>
          <w:sz w:val="32"/>
          <w:szCs w:val="32"/>
          <w:lang w:eastAsia="zh-CN"/>
        </w:rPr>
      </w:pPr>
      <w:r>
        <w:rPr>
          <w:rFonts w:ascii="黑体" w:hAnsi="黑体" w:eastAsia="黑体"/>
          <w:spacing w:val="-4"/>
          <w:w w:val="105"/>
          <w:sz w:val="32"/>
          <w:szCs w:val="32"/>
          <w:lang w:eastAsia="zh-CN"/>
        </w:rPr>
        <w:t>一、基本情况</w:t>
      </w:r>
      <w:bookmarkStart w:id="0" w:name="_GoBack"/>
      <w:bookmarkEnd w:id="0"/>
    </w:p>
    <w:p>
      <w:pPr>
        <w:spacing w:line="600" w:lineRule="exact"/>
        <w:ind w:firstLine="643" w:firstLineChars="200"/>
        <w:jc w:val="both"/>
        <w:rPr>
          <w:rFonts w:hint="eastAsia" w:ascii="Times New Roman" w:hAnsi="Times New Roman" w:eastAsia="仿宋_GB2312"/>
          <w:b/>
          <w:sz w:val="32"/>
          <w:szCs w:val="32"/>
          <w:lang w:eastAsia="zh-CN"/>
        </w:rPr>
      </w:pPr>
      <w:r>
        <w:rPr>
          <w:rFonts w:hint="eastAsia" w:ascii="Times New Roman" w:hAnsi="Times New Roman" w:eastAsia="仿宋_GB2312"/>
          <w:b/>
          <w:sz w:val="32"/>
          <w:szCs w:val="32"/>
          <w:lang w:eastAsia="zh-CN"/>
        </w:rPr>
        <w:t>（一）项目概况</w:t>
      </w:r>
    </w:p>
    <w:p>
      <w:pPr>
        <w:spacing w:line="580" w:lineRule="exact"/>
        <w:ind w:firstLine="680" w:firstLineChars="200"/>
        <w:rPr>
          <w:rFonts w:ascii="华文仿宋" w:hAnsi="华文仿宋" w:eastAsia="华文仿宋" w:cs="仿宋_GB2312"/>
          <w:sz w:val="34"/>
          <w:szCs w:val="34"/>
          <w:lang w:eastAsia="zh-CN"/>
        </w:rPr>
      </w:pPr>
      <w:r>
        <w:rPr>
          <w:rFonts w:hint="eastAsia" w:ascii="华文仿宋" w:hAnsi="华文仿宋" w:eastAsia="华文仿宋" w:cs="仿宋_GB2312"/>
          <w:sz w:val="34"/>
          <w:szCs w:val="34"/>
          <w:lang w:eastAsia="zh-CN"/>
        </w:rPr>
        <w:t>202</w:t>
      </w:r>
      <w:r>
        <w:rPr>
          <w:rFonts w:ascii="华文仿宋" w:hAnsi="华文仿宋" w:eastAsia="华文仿宋" w:cs="仿宋_GB2312"/>
          <w:sz w:val="34"/>
          <w:szCs w:val="34"/>
          <w:lang w:eastAsia="zh-CN"/>
        </w:rPr>
        <w:t>1</w:t>
      </w:r>
      <w:r>
        <w:rPr>
          <w:rFonts w:hint="eastAsia" w:ascii="华文仿宋" w:hAnsi="华文仿宋" w:eastAsia="华文仿宋" w:cs="仿宋_GB2312"/>
          <w:sz w:val="34"/>
          <w:szCs w:val="34"/>
          <w:lang w:eastAsia="zh-CN"/>
        </w:rPr>
        <w:t>年和平区纪委监委派驻纪检监察二组将以习近平新时代中国特色社会主义思想为指导，增强“四个意识”、坚定“四个自信”、做到“两个维护”，</w:t>
      </w:r>
      <w:r>
        <w:rPr>
          <w:rFonts w:ascii="华文仿宋" w:hAnsi="华文仿宋" w:eastAsia="华文仿宋" w:cs="仿宋_GB2312"/>
          <w:sz w:val="34"/>
          <w:szCs w:val="34"/>
          <w:lang w:eastAsia="zh-CN"/>
        </w:rPr>
        <w:t>一体推进不敢腐、不能腐、不想腐</w:t>
      </w:r>
      <w:r>
        <w:rPr>
          <w:rFonts w:hint="eastAsia" w:ascii="华文仿宋" w:hAnsi="华文仿宋" w:eastAsia="华文仿宋" w:cs="仿宋_GB2312"/>
          <w:sz w:val="34"/>
          <w:szCs w:val="34"/>
          <w:lang w:eastAsia="zh-CN"/>
        </w:rPr>
        <w:t>。</w:t>
      </w:r>
    </w:p>
    <w:p>
      <w:pPr>
        <w:spacing w:line="580" w:lineRule="exact"/>
        <w:ind w:firstLine="680" w:firstLineChars="200"/>
        <w:rPr>
          <w:rFonts w:ascii="华文仿宋" w:hAnsi="华文仿宋" w:eastAsia="华文仿宋" w:cs="仿宋_GB2312"/>
          <w:sz w:val="34"/>
          <w:szCs w:val="34"/>
          <w:lang w:eastAsia="zh-CN"/>
        </w:rPr>
      </w:pPr>
      <w:r>
        <w:rPr>
          <w:rFonts w:hint="eastAsia" w:ascii="仿宋_GB2312" w:hAnsi="黑体" w:eastAsia="仿宋_GB2312"/>
          <w:sz w:val="34"/>
          <w:szCs w:val="34"/>
          <w:lang w:eastAsia="zh-CN"/>
        </w:rPr>
        <w:t>202</w:t>
      </w:r>
      <w:r>
        <w:rPr>
          <w:rFonts w:ascii="仿宋_GB2312" w:hAnsi="黑体" w:eastAsia="仿宋_GB2312"/>
          <w:sz w:val="34"/>
          <w:szCs w:val="34"/>
          <w:lang w:eastAsia="zh-CN"/>
        </w:rPr>
        <w:t>1</w:t>
      </w:r>
      <w:r>
        <w:rPr>
          <w:rFonts w:hint="eastAsia" w:ascii="仿宋_GB2312" w:hAnsi="黑体" w:eastAsia="仿宋_GB2312"/>
          <w:sz w:val="34"/>
          <w:szCs w:val="34"/>
          <w:lang w:eastAsia="zh-CN"/>
        </w:rPr>
        <w:t>年申请业务经费共计15万元，</w:t>
      </w:r>
      <w:r>
        <w:rPr>
          <w:rFonts w:hint="eastAsia" w:ascii="华文仿宋" w:hAnsi="华文仿宋" w:eastAsia="华文仿宋" w:cs="仿宋_GB2312"/>
          <w:sz w:val="34"/>
          <w:szCs w:val="34"/>
          <w:lang w:eastAsia="zh-CN"/>
        </w:rPr>
        <w:t>实际使用4000元。</w:t>
      </w:r>
    </w:p>
    <w:p>
      <w:pPr>
        <w:spacing w:line="580" w:lineRule="exact"/>
        <w:ind w:firstLine="643" w:firstLineChars="200"/>
        <w:rPr>
          <w:rFonts w:hint="eastAsia" w:ascii="Times New Roman" w:hAnsi="Times New Roman" w:eastAsia="仿宋_GB2312"/>
          <w:b/>
          <w:sz w:val="32"/>
          <w:szCs w:val="32"/>
          <w:lang w:eastAsia="zh-CN"/>
        </w:rPr>
      </w:pPr>
      <w:r>
        <w:rPr>
          <w:rFonts w:hint="eastAsia" w:ascii="Times New Roman" w:hAnsi="Times New Roman" w:eastAsia="仿宋_GB2312"/>
          <w:b/>
          <w:sz w:val="32"/>
          <w:szCs w:val="32"/>
          <w:lang w:eastAsia="zh-CN"/>
        </w:rPr>
        <w:t>（二）项目绩效目标</w:t>
      </w:r>
    </w:p>
    <w:p>
      <w:pPr>
        <w:spacing w:line="580" w:lineRule="exact"/>
        <w:ind w:firstLine="640" w:firstLineChars="200"/>
        <w:rPr>
          <w:rFonts w:ascii="华文仿宋" w:hAnsi="华文仿宋" w:eastAsia="华文仿宋" w:cs="仿宋_GB2312"/>
          <w:sz w:val="34"/>
          <w:szCs w:val="34"/>
          <w:lang w:val="en" w:eastAsia="zh-CN"/>
        </w:rPr>
      </w:pPr>
      <w:r>
        <w:rPr>
          <w:rFonts w:hint="eastAsia" w:ascii="Times New Roman" w:hAnsi="Times New Roman" w:eastAsia="仿宋_GB2312"/>
          <w:sz w:val="32"/>
          <w:szCs w:val="32"/>
          <w:lang w:eastAsia="zh-CN"/>
        </w:rPr>
        <w:t>总体目标：认真落实区委、区纪委全会精神，紧紧围绕全面从严治党、常态化疫情防控等重大决策部署，突出抓好政治监督，创新监督方式，持续正风肃纪。</w:t>
      </w:r>
    </w:p>
    <w:p>
      <w:pPr>
        <w:spacing w:line="580" w:lineRule="exact"/>
        <w:ind w:firstLine="640" w:firstLineChars="200"/>
        <w:rPr>
          <w:rFonts w:ascii="华文仿宋" w:hAnsi="华文仿宋" w:eastAsia="华文仿宋" w:cs="仿宋_GB2312"/>
          <w:sz w:val="34"/>
          <w:szCs w:val="34"/>
          <w:lang w:eastAsia="zh-CN"/>
        </w:rPr>
      </w:pPr>
      <w:r>
        <w:rPr>
          <w:rFonts w:hint="eastAsia" w:ascii="Times New Roman" w:hAnsi="Times New Roman" w:eastAsia="仿宋_GB2312"/>
          <w:sz w:val="32"/>
          <w:szCs w:val="32"/>
          <w:lang w:eastAsia="zh-CN"/>
        </w:rPr>
        <w:t>阶段性目标：通过组织廉政宣传教育培训、开展重点节点检查等具体工作，</w:t>
      </w:r>
      <w:r>
        <w:rPr>
          <w:rFonts w:hint="eastAsia" w:ascii="华文仿宋" w:hAnsi="华文仿宋" w:eastAsia="华文仿宋" w:cs="仿宋_GB2312"/>
          <w:sz w:val="34"/>
          <w:szCs w:val="34"/>
          <w:lang w:eastAsia="zh-CN"/>
        </w:rPr>
        <w:t>突出政治监督，做实做细日常监督，推进审查调查依纪依法依规开展，包括办案经费、办公经费、会议费、培训费、宣传费和日常耗材等。</w:t>
      </w:r>
    </w:p>
    <w:p>
      <w:pPr>
        <w:spacing w:line="600" w:lineRule="exact"/>
        <w:ind w:firstLine="656" w:firstLineChars="200"/>
        <w:jc w:val="both"/>
        <w:rPr>
          <w:rFonts w:ascii="黑体" w:hAnsi="黑体" w:eastAsia="黑体"/>
          <w:spacing w:val="-4"/>
          <w:w w:val="105"/>
          <w:sz w:val="32"/>
          <w:szCs w:val="32"/>
          <w:lang w:eastAsia="zh-CN"/>
        </w:rPr>
      </w:pPr>
      <w:r>
        <w:rPr>
          <w:rFonts w:ascii="黑体" w:hAnsi="黑体" w:eastAsia="黑体"/>
          <w:spacing w:val="-4"/>
          <w:w w:val="105"/>
          <w:sz w:val="32"/>
          <w:szCs w:val="32"/>
          <w:lang w:eastAsia="zh-CN"/>
        </w:rPr>
        <w:t>二、绩效评价工作开展情况</w:t>
      </w:r>
    </w:p>
    <w:p>
      <w:pPr>
        <w:spacing w:line="600" w:lineRule="exact"/>
        <w:ind w:firstLine="643" w:firstLineChars="200"/>
        <w:jc w:val="both"/>
        <w:rPr>
          <w:rFonts w:hint="eastAsia" w:ascii="仿宋_GB2312" w:hAnsi="Times New Roman" w:eastAsia="仿宋_GB2312"/>
          <w:b/>
          <w:sz w:val="32"/>
          <w:szCs w:val="32"/>
          <w:lang w:eastAsia="zh-CN"/>
        </w:rPr>
      </w:pPr>
      <w:r>
        <w:rPr>
          <w:rFonts w:hint="eastAsia" w:ascii="Times New Roman" w:hAnsi="Times New Roman" w:eastAsia="仿宋_GB2312"/>
          <w:b/>
          <w:sz w:val="32"/>
          <w:szCs w:val="32"/>
          <w:lang w:eastAsia="zh-CN"/>
        </w:rPr>
        <w:t>（一）</w:t>
      </w:r>
      <w:r>
        <w:rPr>
          <w:rFonts w:ascii="Times New Roman" w:hAnsi="Times New Roman" w:eastAsia="仿宋_GB2312"/>
          <w:b/>
          <w:sz w:val="32"/>
          <w:szCs w:val="32"/>
          <w:lang w:eastAsia="zh-CN"/>
        </w:rPr>
        <w:t>绩效评价</w:t>
      </w:r>
      <w:r>
        <w:rPr>
          <w:rFonts w:ascii="Times New Roman" w:hAnsi="Times New Roman" w:eastAsia="仿宋_GB2312"/>
          <w:b/>
          <w:spacing w:val="-91"/>
          <w:sz w:val="32"/>
          <w:szCs w:val="32"/>
          <w:lang w:eastAsia="zh-CN"/>
        </w:rPr>
        <w:t xml:space="preserve"> </w:t>
      </w:r>
      <w:r>
        <w:rPr>
          <w:rFonts w:ascii="Times New Roman" w:hAnsi="Times New Roman" w:eastAsia="仿宋_GB2312"/>
          <w:b/>
          <w:spacing w:val="-10"/>
          <w:sz w:val="32"/>
          <w:szCs w:val="32"/>
          <w:lang w:eastAsia="zh-CN"/>
        </w:rPr>
        <w:t>目的</w:t>
      </w:r>
      <w:r>
        <w:rPr>
          <w:rFonts w:hint="eastAsia" w:ascii="仿宋_GB2312" w:hAnsi="Times New Roman" w:eastAsia="仿宋_GB2312"/>
          <w:b/>
          <w:sz w:val="32"/>
          <w:szCs w:val="32"/>
          <w:lang w:eastAsia="zh-CN"/>
        </w:rPr>
        <w:t>、对象和范围</w:t>
      </w:r>
    </w:p>
    <w:p>
      <w:pPr>
        <w:spacing w:line="580" w:lineRule="exact"/>
        <w:ind w:firstLine="680" w:firstLineChars="200"/>
        <w:rPr>
          <w:rFonts w:ascii="华文仿宋" w:hAnsi="华文仿宋" w:eastAsia="华文仿宋" w:cs="仿宋_GB2312"/>
          <w:sz w:val="34"/>
          <w:szCs w:val="34"/>
          <w:lang w:eastAsia="zh-CN"/>
        </w:rPr>
      </w:pPr>
      <w:r>
        <w:rPr>
          <w:rFonts w:hint="eastAsia" w:ascii="华文仿宋" w:hAnsi="华文仿宋" w:eastAsia="华文仿宋" w:cs="仿宋_GB2312"/>
          <w:sz w:val="34"/>
          <w:szCs w:val="34"/>
          <w:lang w:eastAsia="zh-CN"/>
        </w:rPr>
        <w:t>坚持以政治建设为统领，突出政治监督，坚持做实做细日常监督，紧抓落实中央八项规定精神，严防“四风”反弹，坚持惩贪治腐。</w:t>
      </w:r>
    </w:p>
    <w:p>
      <w:pPr>
        <w:spacing w:line="600" w:lineRule="exact"/>
        <w:ind w:firstLine="630" w:firstLineChars="196"/>
        <w:jc w:val="both"/>
        <w:rPr>
          <w:rFonts w:hint="eastAsia" w:ascii="仿宋_GB2312" w:hAnsi="Times New Roman" w:eastAsia="仿宋_GB2312"/>
          <w:b/>
          <w:sz w:val="32"/>
          <w:szCs w:val="32"/>
          <w:lang w:eastAsia="zh-CN"/>
        </w:rPr>
      </w:pPr>
      <w:r>
        <w:rPr>
          <w:rFonts w:hint="eastAsia" w:ascii="Times New Roman" w:hAnsi="Times New Roman" w:eastAsia="仿宋_GB2312"/>
          <w:b/>
          <w:sz w:val="32"/>
          <w:szCs w:val="32"/>
          <w:lang w:eastAsia="zh-CN"/>
        </w:rPr>
        <w:t>（二）</w:t>
      </w:r>
      <w:r>
        <w:rPr>
          <w:rFonts w:hint="eastAsia" w:ascii="仿宋_GB2312" w:hAnsi="Times New Roman" w:eastAsia="仿宋_GB2312"/>
          <w:b/>
          <w:spacing w:val="-1"/>
          <w:w w:val="103"/>
          <w:sz w:val="32"/>
          <w:szCs w:val="32"/>
          <w:lang w:eastAsia="zh-CN"/>
        </w:rPr>
        <w:t>绩效评价原则</w:t>
      </w:r>
      <w:r>
        <w:rPr>
          <w:rFonts w:hint="eastAsia" w:ascii="仿宋_GB2312" w:hAnsi="Times New Roman" w:eastAsia="仿宋_GB2312"/>
          <w:b/>
          <w:spacing w:val="-106"/>
          <w:w w:val="103"/>
          <w:sz w:val="32"/>
          <w:szCs w:val="32"/>
          <w:lang w:eastAsia="zh-CN"/>
        </w:rPr>
        <w:t xml:space="preserve"> </w:t>
      </w:r>
      <w:r>
        <w:rPr>
          <w:rFonts w:hint="eastAsia" w:ascii="仿宋_GB2312" w:hAnsi="Times New Roman" w:eastAsia="仿宋_GB2312"/>
          <w:b/>
          <w:spacing w:val="-7"/>
          <w:w w:val="103"/>
          <w:sz w:val="32"/>
          <w:szCs w:val="32"/>
          <w:lang w:eastAsia="zh-CN"/>
        </w:rPr>
        <w:t>、评价指标体系</w:t>
      </w:r>
      <w:r>
        <w:rPr>
          <w:rFonts w:hint="eastAsia" w:ascii="仿宋_GB2312" w:hAnsi="Times New Roman" w:eastAsia="仿宋_GB2312"/>
          <w:b/>
          <w:spacing w:val="-2"/>
          <w:w w:val="103"/>
          <w:sz w:val="32"/>
          <w:szCs w:val="32"/>
          <w:lang w:eastAsia="zh-CN"/>
        </w:rPr>
        <w:t>（</w:t>
      </w:r>
      <w:r>
        <w:rPr>
          <w:rFonts w:hint="eastAsia" w:ascii="仿宋_GB2312" w:hAnsi="Times New Roman" w:eastAsia="仿宋_GB2312"/>
          <w:b/>
          <w:w w:val="104"/>
          <w:sz w:val="32"/>
          <w:szCs w:val="32"/>
          <w:lang w:eastAsia="zh-CN"/>
        </w:rPr>
        <w:t>附表说明</w:t>
      </w:r>
      <w:r>
        <w:rPr>
          <w:rFonts w:hint="eastAsia" w:ascii="仿宋_GB2312" w:hAnsi="Times New Roman" w:eastAsia="仿宋_GB2312"/>
          <w:b/>
          <w:spacing w:val="-2"/>
          <w:w w:val="103"/>
          <w:sz w:val="32"/>
          <w:szCs w:val="32"/>
          <w:lang w:eastAsia="zh-CN"/>
        </w:rPr>
        <w:t>）</w:t>
      </w:r>
      <w:r>
        <w:rPr>
          <w:rFonts w:hint="eastAsia" w:ascii="Times New Roman" w:hAnsi="Times New Roman" w:eastAsia="仿宋_GB2312"/>
          <w:b/>
          <w:sz w:val="32"/>
          <w:szCs w:val="32"/>
          <w:lang w:eastAsia="zh-CN"/>
        </w:rPr>
        <w:t>、评价方法、评价标准</w:t>
      </w:r>
      <w:r>
        <w:rPr>
          <w:rFonts w:hint="eastAsia" w:ascii="仿宋_GB2312" w:hAnsi="Times New Roman" w:eastAsia="仿宋_GB2312"/>
          <w:b/>
          <w:sz w:val="32"/>
          <w:szCs w:val="32"/>
          <w:lang w:eastAsia="zh-CN"/>
        </w:rPr>
        <w:t>等</w:t>
      </w:r>
    </w:p>
    <w:p>
      <w:pPr>
        <w:spacing w:line="580" w:lineRule="exact"/>
        <w:ind w:firstLine="680" w:firstLineChars="200"/>
        <w:rPr>
          <w:rFonts w:ascii="Times New Roman" w:hAnsi="Times New Roman" w:eastAsia="仿宋_GB2312"/>
          <w:sz w:val="32"/>
          <w:szCs w:val="32"/>
          <w:lang w:eastAsia="zh-CN"/>
        </w:rPr>
      </w:pPr>
      <w:r>
        <w:rPr>
          <w:rFonts w:hint="eastAsia" w:ascii="华文仿宋" w:hAnsi="华文仿宋" w:eastAsia="华文仿宋" w:cs="仿宋_GB2312"/>
          <w:sz w:val="34"/>
          <w:szCs w:val="34"/>
          <w:lang w:eastAsia="zh-CN"/>
        </w:rPr>
        <w:t>聚焦净化政治生态，一方面多元化开展廉洁教育，另一方面，驰而不息纠正“四风”，推进作风建设常态化。</w:t>
      </w:r>
      <w:r>
        <w:rPr>
          <w:rFonts w:hint="eastAsia" w:ascii="仿宋_GB2312" w:hAnsi="Times New Roman" w:eastAsia="仿宋_GB2312"/>
          <w:sz w:val="32"/>
          <w:szCs w:val="32"/>
          <w:lang w:eastAsia="zh-CN"/>
        </w:rPr>
        <w:t>根据202</w:t>
      </w:r>
      <w:r>
        <w:rPr>
          <w:rFonts w:ascii="仿宋_GB2312" w:hAnsi="Times New Roman" w:eastAsia="仿宋_GB2312"/>
          <w:sz w:val="32"/>
          <w:szCs w:val="32"/>
          <w:lang w:eastAsia="zh-CN"/>
        </w:rPr>
        <w:t>1</w:t>
      </w:r>
      <w:r>
        <w:rPr>
          <w:rFonts w:hint="eastAsia" w:ascii="仿宋_GB2312" w:hAnsi="Times New Roman" w:eastAsia="仿宋_GB2312"/>
          <w:sz w:val="32"/>
          <w:szCs w:val="32"/>
          <w:lang w:eastAsia="zh-CN"/>
        </w:rPr>
        <w:t>年工作要点，按照时间节点开展各项工作。</w:t>
      </w:r>
      <w:r>
        <w:rPr>
          <w:rFonts w:hint="eastAsia" w:ascii="Times New Roman" w:hAnsi="Times New Roman" w:eastAsia="仿宋_GB2312"/>
          <w:sz w:val="32"/>
          <w:szCs w:val="32"/>
          <w:lang w:eastAsia="zh-CN"/>
        </w:rPr>
        <w:t>坚持评价客观真实的原则，确保数据真实、准确，内容全面；落实项目责任，提高项目资金使用效率。</w:t>
      </w:r>
    </w:p>
    <w:p>
      <w:pPr>
        <w:spacing w:line="600" w:lineRule="exact"/>
        <w:ind w:firstLine="643" w:firstLineChars="200"/>
        <w:jc w:val="both"/>
        <w:rPr>
          <w:rFonts w:hint="eastAsia" w:ascii="Times New Roman" w:hAnsi="Times New Roman" w:eastAsia="仿宋_GB2312"/>
          <w:b/>
          <w:sz w:val="32"/>
          <w:szCs w:val="32"/>
          <w:lang w:eastAsia="zh-CN"/>
        </w:rPr>
      </w:pPr>
      <w:r>
        <w:rPr>
          <w:rFonts w:hint="eastAsia" w:ascii="Times New Roman" w:hAnsi="Times New Roman" w:eastAsia="仿宋_GB2312"/>
          <w:b/>
          <w:sz w:val="32"/>
          <w:szCs w:val="32"/>
          <w:lang w:eastAsia="zh-CN"/>
        </w:rPr>
        <w:t>（三）</w:t>
      </w:r>
      <w:r>
        <w:rPr>
          <w:rFonts w:ascii="Times New Roman" w:hAnsi="Times New Roman" w:eastAsia="仿宋_GB2312"/>
          <w:b/>
          <w:sz w:val="32"/>
          <w:szCs w:val="32"/>
          <w:lang w:eastAsia="zh-CN"/>
        </w:rPr>
        <w:t>绩效评价工作过程</w:t>
      </w:r>
    </w:p>
    <w:p>
      <w:pPr>
        <w:spacing w:line="600" w:lineRule="exact"/>
        <w:ind w:firstLine="627" w:firstLineChars="196"/>
        <w:jc w:val="both"/>
        <w:rPr>
          <w:rFonts w:hint="eastAsia" w:ascii="仿宋_GB2312" w:hAnsi="Times New Roman" w:eastAsia="仿宋_GB2312"/>
          <w:sz w:val="32"/>
          <w:szCs w:val="32"/>
          <w:lang w:eastAsia="zh-CN"/>
        </w:rPr>
      </w:pPr>
      <w:r>
        <w:rPr>
          <w:rFonts w:hint="eastAsia" w:ascii="仿宋_GB2312" w:hAnsi="Times New Roman" w:eastAsia="仿宋_GB2312"/>
          <w:sz w:val="32"/>
          <w:szCs w:val="32"/>
          <w:lang w:eastAsia="zh-CN"/>
        </w:rPr>
        <w:t>派驻经费由区纪委根据派驻机构职责定位和工作部署，财政部门按照部门预算管理程序及要求，审核后列入驻在部门的部门预算管理。派驻经费严格专款专用，单独核算管理。</w:t>
      </w:r>
    </w:p>
    <w:p>
      <w:pPr>
        <w:spacing w:line="600" w:lineRule="exact"/>
        <w:ind w:firstLine="656" w:firstLineChars="200"/>
        <w:jc w:val="both"/>
        <w:rPr>
          <w:rFonts w:hint="eastAsia" w:ascii="黑体" w:hAnsi="黑体" w:eastAsia="黑体"/>
          <w:spacing w:val="-4"/>
          <w:w w:val="105"/>
          <w:sz w:val="32"/>
          <w:szCs w:val="32"/>
          <w:lang w:eastAsia="zh-CN"/>
        </w:rPr>
      </w:pPr>
      <w:r>
        <w:rPr>
          <w:rFonts w:ascii="黑体" w:hAnsi="黑体" w:eastAsia="黑体"/>
          <w:spacing w:val="-4"/>
          <w:w w:val="105"/>
          <w:sz w:val="32"/>
          <w:szCs w:val="32"/>
          <w:lang w:eastAsia="zh-CN"/>
        </w:rPr>
        <w:t>三、综合评价情况及评价结论</w:t>
      </w:r>
    </w:p>
    <w:p>
      <w:pPr>
        <w:spacing w:line="580" w:lineRule="exact"/>
        <w:ind w:firstLine="680" w:firstLineChars="200"/>
        <w:rPr>
          <w:rFonts w:hint="eastAsia" w:ascii="华文仿宋" w:hAnsi="华文仿宋" w:eastAsia="华文仿宋" w:cs="仿宋_GB2312"/>
          <w:sz w:val="34"/>
          <w:szCs w:val="34"/>
          <w:lang w:eastAsia="zh-CN"/>
        </w:rPr>
      </w:pPr>
      <w:r>
        <w:rPr>
          <w:rFonts w:hint="eastAsia" w:ascii="华文仿宋" w:hAnsi="华文仿宋" w:eastAsia="华文仿宋" w:cs="仿宋_GB2312"/>
          <w:sz w:val="34"/>
          <w:szCs w:val="34"/>
          <w:lang w:eastAsia="zh-CN"/>
        </w:rPr>
        <w:t>2021年度，派驻二组各项目支出正常的保障了组内工作的正常运转，已经按要求完成各项绩效工作指标，自评得分100分，等级为优。</w:t>
      </w:r>
    </w:p>
    <w:p>
      <w:pPr>
        <w:spacing w:line="600" w:lineRule="exact"/>
        <w:ind w:firstLine="656" w:firstLineChars="200"/>
        <w:jc w:val="both"/>
        <w:rPr>
          <w:rFonts w:ascii="黑体" w:hAnsi="黑体" w:eastAsia="黑体"/>
          <w:spacing w:val="-4"/>
          <w:w w:val="105"/>
          <w:sz w:val="32"/>
          <w:szCs w:val="32"/>
          <w:lang w:eastAsia="zh-CN"/>
        </w:rPr>
      </w:pPr>
      <w:r>
        <w:rPr>
          <w:rFonts w:ascii="黑体" w:hAnsi="黑体" w:eastAsia="黑体"/>
          <w:spacing w:val="-4"/>
          <w:w w:val="105"/>
          <w:sz w:val="32"/>
          <w:szCs w:val="32"/>
          <w:lang w:eastAsia="zh-CN"/>
        </w:rPr>
        <w:t>四、绩效评价指标分析</w:t>
      </w:r>
    </w:p>
    <w:p>
      <w:pPr>
        <w:spacing w:line="600" w:lineRule="exact"/>
        <w:ind w:firstLine="643" w:firstLineChars="200"/>
        <w:jc w:val="both"/>
        <w:rPr>
          <w:rFonts w:hint="eastAsia" w:ascii="Times New Roman" w:hAnsi="Times New Roman" w:eastAsia="仿宋_GB2312"/>
          <w:b/>
          <w:sz w:val="32"/>
          <w:szCs w:val="32"/>
          <w:lang w:eastAsia="zh-CN"/>
        </w:rPr>
      </w:pPr>
      <w:r>
        <w:rPr>
          <w:rFonts w:hint="eastAsia" w:ascii="Times New Roman" w:hAnsi="Times New Roman" w:eastAsia="仿宋_GB2312"/>
          <w:b/>
          <w:sz w:val="32"/>
          <w:szCs w:val="32"/>
          <w:lang w:eastAsia="zh-CN"/>
        </w:rPr>
        <w:t>（一）</w:t>
      </w:r>
      <w:r>
        <w:rPr>
          <w:rFonts w:ascii="Times New Roman" w:hAnsi="Times New Roman" w:eastAsia="仿宋_GB2312"/>
          <w:b/>
          <w:sz w:val="32"/>
          <w:szCs w:val="32"/>
          <w:lang w:eastAsia="zh-CN"/>
        </w:rPr>
        <w:t>项目决策情况</w:t>
      </w:r>
      <w:r>
        <w:rPr>
          <w:rFonts w:ascii="Times New Roman" w:hAnsi="Times New Roman" w:eastAsia="仿宋_GB2312"/>
          <w:b/>
          <w:spacing w:val="-115"/>
          <w:sz w:val="32"/>
          <w:szCs w:val="32"/>
          <w:lang w:eastAsia="zh-CN"/>
        </w:rPr>
        <w:t xml:space="preserve"> </w:t>
      </w:r>
    </w:p>
    <w:p>
      <w:pPr>
        <w:spacing w:line="580" w:lineRule="exact"/>
        <w:ind w:firstLine="680" w:firstLineChars="200"/>
        <w:rPr>
          <w:rFonts w:hint="eastAsia" w:ascii="华文仿宋" w:hAnsi="华文仿宋" w:eastAsia="华文仿宋" w:cs="仿宋_GB2312"/>
          <w:sz w:val="34"/>
          <w:szCs w:val="34"/>
          <w:lang w:eastAsia="zh-CN"/>
        </w:rPr>
      </w:pPr>
      <w:r>
        <w:rPr>
          <w:rFonts w:hint="eastAsia" w:ascii="华文仿宋" w:hAnsi="华文仿宋" w:eastAsia="华文仿宋" w:cs="仿宋_GB2312"/>
          <w:sz w:val="34"/>
          <w:szCs w:val="34"/>
          <w:lang w:eastAsia="zh-CN"/>
        </w:rPr>
        <w:t>通过组务会研究讨论制定2021年度预算及绩效评价工作，并根据区纪委监委要求制定派驻二组2021年工作要点。</w:t>
      </w:r>
    </w:p>
    <w:p>
      <w:pPr>
        <w:spacing w:line="600" w:lineRule="exact"/>
        <w:ind w:firstLine="643" w:firstLineChars="200"/>
        <w:jc w:val="both"/>
        <w:rPr>
          <w:rFonts w:hint="eastAsia" w:ascii="Times New Roman" w:hAnsi="Times New Roman" w:eastAsia="仿宋_GB2312"/>
          <w:b/>
          <w:sz w:val="32"/>
          <w:szCs w:val="32"/>
          <w:lang w:eastAsia="zh-CN"/>
        </w:rPr>
      </w:pPr>
      <w:r>
        <w:rPr>
          <w:rFonts w:hint="eastAsia" w:ascii="Times New Roman" w:hAnsi="Times New Roman" w:eastAsia="仿宋_GB2312"/>
          <w:b/>
          <w:sz w:val="32"/>
          <w:szCs w:val="32"/>
          <w:lang w:eastAsia="zh-CN"/>
        </w:rPr>
        <w:t>（二）</w:t>
      </w:r>
      <w:r>
        <w:rPr>
          <w:rFonts w:ascii="Times New Roman" w:hAnsi="Times New Roman" w:eastAsia="仿宋_GB2312"/>
          <w:b/>
          <w:sz w:val="32"/>
          <w:szCs w:val="32"/>
          <w:lang w:eastAsia="zh-CN"/>
        </w:rPr>
        <w:t>项目过程情况</w:t>
      </w:r>
      <w:r>
        <w:rPr>
          <w:rFonts w:ascii="Times New Roman" w:hAnsi="Times New Roman" w:eastAsia="仿宋_GB2312"/>
          <w:b/>
          <w:spacing w:val="-106"/>
          <w:sz w:val="32"/>
          <w:szCs w:val="32"/>
          <w:lang w:eastAsia="zh-CN"/>
        </w:rPr>
        <w:t xml:space="preserve"> </w:t>
      </w:r>
    </w:p>
    <w:p>
      <w:pPr>
        <w:spacing w:line="600" w:lineRule="exact"/>
        <w:ind w:firstLine="640" w:firstLineChars="200"/>
        <w:jc w:val="both"/>
        <w:rPr>
          <w:rFonts w:ascii="Times New Roman" w:hAnsi="Times New Roman" w:eastAsia="仿宋_GB2312"/>
          <w:sz w:val="32"/>
          <w:szCs w:val="32"/>
          <w:lang w:eastAsia="zh-CN"/>
        </w:rPr>
      </w:pPr>
      <w:r>
        <w:rPr>
          <w:rFonts w:hint="eastAsia" w:ascii="Times New Roman" w:hAnsi="Times New Roman" w:eastAsia="仿宋_GB2312"/>
          <w:sz w:val="32"/>
          <w:szCs w:val="32"/>
          <w:lang w:eastAsia="zh-CN"/>
        </w:rPr>
        <w:t>虽然受疫情影响，在严格执行防控要求基础上，圆满完成绩效执行情况。</w:t>
      </w:r>
    </w:p>
    <w:p>
      <w:pPr>
        <w:spacing w:line="600" w:lineRule="exact"/>
        <w:ind w:firstLine="643" w:firstLineChars="200"/>
        <w:jc w:val="both"/>
        <w:rPr>
          <w:rFonts w:hint="eastAsia" w:ascii="Times New Roman" w:hAnsi="Times New Roman" w:eastAsia="仿宋_GB2312"/>
          <w:b/>
          <w:sz w:val="32"/>
          <w:szCs w:val="32"/>
          <w:lang w:eastAsia="zh-CN"/>
        </w:rPr>
      </w:pPr>
      <w:r>
        <w:rPr>
          <w:rFonts w:hint="eastAsia" w:ascii="Times New Roman" w:hAnsi="Times New Roman" w:eastAsia="仿宋_GB2312"/>
          <w:b/>
          <w:sz w:val="32"/>
          <w:szCs w:val="32"/>
          <w:lang w:eastAsia="zh-CN"/>
        </w:rPr>
        <w:t>（三）</w:t>
      </w:r>
      <w:r>
        <w:rPr>
          <w:rFonts w:ascii="Times New Roman" w:hAnsi="Times New Roman" w:eastAsia="仿宋_GB2312"/>
          <w:b/>
          <w:spacing w:val="-44"/>
          <w:w w:val="80"/>
          <w:sz w:val="32"/>
          <w:szCs w:val="32"/>
          <w:lang w:eastAsia="zh-CN"/>
        </w:rPr>
        <w:t xml:space="preserve"> </w:t>
      </w:r>
      <w:r>
        <w:rPr>
          <w:rFonts w:ascii="Times New Roman" w:hAnsi="Times New Roman" w:eastAsia="仿宋_GB2312"/>
          <w:b/>
          <w:sz w:val="32"/>
          <w:szCs w:val="32"/>
          <w:lang w:eastAsia="zh-CN"/>
        </w:rPr>
        <w:t>项目产出情况</w:t>
      </w:r>
      <w:r>
        <w:rPr>
          <w:rFonts w:ascii="Times New Roman" w:hAnsi="Times New Roman" w:eastAsia="仿宋_GB2312"/>
          <w:b/>
          <w:spacing w:val="-115"/>
          <w:sz w:val="32"/>
          <w:szCs w:val="32"/>
          <w:lang w:eastAsia="zh-CN"/>
        </w:rPr>
        <w:t xml:space="preserve"> </w:t>
      </w:r>
    </w:p>
    <w:p>
      <w:pPr>
        <w:spacing w:line="600" w:lineRule="exact"/>
        <w:ind w:firstLine="680" w:firstLineChars="200"/>
        <w:jc w:val="both"/>
        <w:rPr>
          <w:rFonts w:hint="eastAsia" w:ascii="仿宋_GB2312" w:eastAsia="仿宋_GB2312"/>
          <w:sz w:val="34"/>
          <w:szCs w:val="34"/>
          <w:lang w:eastAsia="zh-CN"/>
        </w:rPr>
      </w:pPr>
      <w:r>
        <w:rPr>
          <w:rFonts w:hint="eastAsia" w:ascii="仿宋_GB2312" w:eastAsia="仿宋_GB2312"/>
          <w:sz w:val="34"/>
          <w:szCs w:val="34"/>
          <w:lang w:eastAsia="zh-CN"/>
        </w:rPr>
        <w:t>1. 紧盯主体责任落实。围绕落实党中央重大决策部署、紧盯习近平总书记重要指示批示精神贯彻落实情况，推动全面从严治党向纵深发展。强化主体责任意识，督促“一把手”切实担负起第一责任人。</w:t>
      </w:r>
    </w:p>
    <w:p>
      <w:pPr>
        <w:spacing w:line="600" w:lineRule="exact"/>
        <w:ind w:firstLine="680" w:firstLineChars="200"/>
        <w:jc w:val="both"/>
        <w:rPr>
          <w:rFonts w:hint="eastAsia" w:ascii="仿宋_GB2312" w:eastAsia="仿宋_GB2312"/>
          <w:sz w:val="34"/>
          <w:szCs w:val="34"/>
          <w:lang w:eastAsia="zh-CN"/>
        </w:rPr>
      </w:pPr>
      <w:r>
        <w:rPr>
          <w:rFonts w:hint="eastAsia" w:ascii="仿宋_GB2312" w:eastAsia="仿宋_GB2312"/>
          <w:sz w:val="34"/>
          <w:szCs w:val="34"/>
          <w:lang w:eastAsia="zh-CN"/>
        </w:rPr>
        <w:t>2. 保障疫情防控各项措施落实落地。持续紧盯疫情防控、疫苗接种等重点工作，做到靠前监督、有效监督，进一步做实做细日常监督，督促各单位严格遵守常态化疫情防控各项要求，采取有效措施防范风险隐患。</w:t>
      </w:r>
    </w:p>
    <w:p>
      <w:pPr>
        <w:spacing w:line="600" w:lineRule="exact"/>
        <w:ind w:firstLine="680" w:firstLineChars="200"/>
        <w:jc w:val="both"/>
        <w:rPr>
          <w:rFonts w:hint="eastAsia" w:ascii="仿宋_GB2312" w:eastAsia="仿宋_GB2312"/>
          <w:sz w:val="34"/>
          <w:szCs w:val="34"/>
          <w:lang w:eastAsia="zh-CN"/>
        </w:rPr>
      </w:pPr>
      <w:r>
        <w:rPr>
          <w:rFonts w:hint="eastAsia" w:ascii="仿宋_GB2312" w:eastAsia="仿宋_GB2312"/>
          <w:sz w:val="34"/>
          <w:szCs w:val="34"/>
          <w:lang w:eastAsia="zh-CN"/>
        </w:rPr>
        <w:t>3.持续推进专项监督工作，寸步不让纠治“四风”。坚持盯紧重要时间节点，统筹安排专项检查和日常监督工作，深入了解各单位的政治生态，利用专项检查活动，打好教育提醒、督促检查、汇总梳理组合拳。</w:t>
      </w:r>
    </w:p>
    <w:p>
      <w:pPr>
        <w:spacing w:line="600" w:lineRule="exact"/>
        <w:ind w:firstLine="680" w:firstLineChars="200"/>
        <w:jc w:val="both"/>
        <w:rPr>
          <w:rFonts w:hint="eastAsia" w:ascii="仿宋_GB2312" w:eastAsia="仿宋_GB2312"/>
          <w:sz w:val="34"/>
          <w:szCs w:val="34"/>
          <w:lang w:eastAsia="zh-CN"/>
        </w:rPr>
      </w:pPr>
      <w:r>
        <w:rPr>
          <w:rFonts w:hint="eastAsia" w:ascii="仿宋_GB2312" w:eastAsia="仿宋_GB2312"/>
          <w:sz w:val="34"/>
          <w:szCs w:val="34"/>
          <w:lang w:eastAsia="zh-CN"/>
        </w:rPr>
        <w:t>4.严抓思想教育，筑牢全面从严治党思想根基。组织、督促综合监督单位开展各类学习教育活动，教育引导党员干部树牢“红线意识”，增强拒腐防变能力。</w:t>
      </w:r>
    </w:p>
    <w:p>
      <w:pPr>
        <w:spacing w:line="600" w:lineRule="exact"/>
        <w:ind w:firstLine="643" w:firstLineChars="200"/>
        <w:jc w:val="both"/>
        <w:rPr>
          <w:rFonts w:hint="eastAsia" w:ascii="Times New Roman" w:hAnsi="Times New Roman" w:eastAsia="仿宋_GB2312"/>
          <w:b/>
          <w:sz w:val="32"/>
          <w:szCs w:val="32"/>
          <w:lang w:eastAsia="zh-CN"/>
        </w:rPr>
      </w:pPr>
      <w:r>
        <w:rPr>
          <w:rFonts w:hint="eastAsia" w:ascii="Times New Roman" w:hAnsi="Times New Roman" w:eastAsia="仿宋_GB2312"/>
          <w:b/>
          <w:sz w:val="32"/>
          <w:szCs w:val="32"/>
          <w:lang w:eastAsia="zh-CN"/>
        </w:rPr>
        <w:t>（四）</w:t>
      </w:r>
      <w:r>
        <w:rPr>
          <w:rFonts w:ascii="Times New Roman" w:hAnsi="Times New Roman" w:eastAsia="仿宋_GB2312"/>
          <w:b/>
          <w:sz w:val="32"/>
          <w:szCs w:val="32"/>
          <w:lang w:eastAsia="zh-CN"/>
        </w:rPr>
        <w:t>项目效益情况</w:t>
      </w:r>
    </w:p>
    <w:p>
      <w:pPr>
        <w:spacing w:line="600" w:lineRule="exact"/>
        <w:ind w:firstLine="680" w:firstLineChars="200"/>
        <w:jc w:val="both"/>
        <w:rPr>
          <w:rFonts w:hint="eastAsia" w:ascii="仿宋_GB2312" w:eastAsia="仿宋_GB2312"/>
          <w:sz w:val="34"/>
          <w:szCs w:val="34"/>
          <w:lang w:eastAsia="zh-CN"/>
        </w:rPr>
      </w:pPr>
      <w:r>
        <w:rPr>
          <w:rFonts w:hint="eastAsia" w:ascii="仿宋_GB2312" w:eastAsia="仿宋_GB2312"/>
          <w:sz w:val="34"/>
          <w:szCs w:val="34"/>
          <w:lang w:eastAsia="zh-CN"/>
        </w:rPr>
        <w:t>2021年以来，派驻纪检监察二组在区纪委监委的正确领导下，充分发挥派驻纪检监察组职能作用，坚持标本兼治，统筹兼顾各项工作，做实做细日常监督，继续以“七个严抓”实招、“两项制度”保障，强化主体责任落实，扎实推进综合监督单位政治生态向好、建设全面向上，为党风廉政建设提供强有力的政治保障。</w:t>
      </w:r>
    </w:p>
    <w:p>
      <w:pPr>
        <w:spacing w:line="600" w:lineRule="exact"/>
        <w:ind w:firstLine="656" w:firstLineChars="200"/>
        <w:jc w:val="both"/>
        <w:rPr>
          <w:rFonts w:hint="eastAsia" w:ascii="黑体" w:hAnsi="黑体" w:eastAsia="黑体"/>
          <w:spacing w:val="-4"/>
          <w:w w:val="105"/>
          <w:sz w:val="32"/>
          <w:szCs w:val="32"/>
          <w:lang w:eastAsia="zh-CN"/>
        </w:rPr>
      </w:pPr>
      <w:r>
        <w:rPr>
          <w:rFonts w:ascii="黑体" w:hAnsi="黑体" w:eastAsia="黑体"/>
          <w:spacing w:val="-4"/>
          <w:w w:val="105"/>
          <w:sz w:val="32"/>
          <w:szCs w:val="32"/>
          <w:lang w:eastAsia="zh-CN"/>
        </w:rPr>
        <w:t>五、主要经验及做法</w:t>
      </w:r>
      <w:r>
        <w:rPr>
          <w:rFonts w:hint="eastAsia" w:ascii="黑体" w:hAnsi="黑体" w:eastAsia="黑体"/>
          <w:spacing w:val="-4"/>
          <w:w w:val="105"/>
          <w:sz w:val="32"/>
          <w:szCs w:val="32"/>
          <w:lang w:eastAsia="zh-CN"/>
        </w:rPr>
        <w:t>、</w:t>
      </w:r>
      <w:r>
        <w:rPr>
          <w:rFonts w:ascii="黑体" w:hAnsi="黑体" w:eastAsia="黑体"/>
          <w:spacing w:val="-4"/>
          <w:w w:val="105"/>
          <w:sz w:val="32"/>
          <w:szCs w:val="32"/>
          <w:lang w:eastAsia="zh-CN"/>
        </w:rPr>
        <w:t xml:space="preserve">存在的问题及原因分析 </w:t>
      </w:r>
    </w:p>
    <w:p>
      <w:pPr>
        <w:spacing w:line="600" w:lineRule="exact"/>
        <w:ind w:firstLine="680" w:firstLineChars="200"/>
        <w:jc w:val="both"/>
        <w:rPr>
          <w:rFonts w:hint="eastAsia" w:ascii="仿宋_GB2312" w:eastAsia="仿宋_GB2312"/>
          <w:sz w:val="34"/>
          <w:szCs w:val="34"/>
          <w:lang w:eastAsia="zh-CN"/>
        </w:rPr>
      </w:pPr>
      <w:r>
        <w:rPr>
          <w:rFonts w:hint="eastAsia" w:ascii="仿宋_GB2312" w:eastAsia="仿宋_GB2312"/>
          <w:sz w:val="34"/>
          <w:szCs w:val="34"/>
          <w:lang w:eastAsia="zh-CN"/>
        </w:rPr>
        <w:t>1. 以“两项制度”“十项规定”为保障，助推监督责任落实到位。2. 紧盯元旦、春节、“五一”、国庆等重要时间节点和隐形变异“四风”问题开展明察暗访，督促各单位做好节前警示教育，对节假日值班、人员在岗、外出报备、公车使用管理等情况进行监督检查。</w:t>
      </w:r>
    </w:p>
    <w:p>
      <w:pPr>
        <w:pStyle w:val="2"/>
        <w:ind w:firstLine="680"/>
        <w:rPr>
          <w:rFonts w:hint="eastAsia" w:ascii="仿宋_GB2312" w:eastAsia="仿宋_GB2312"/>
          <w:sz w:val="34"/>
          <w:szCs w:val="34"/>
          <w:lang w:eastAsia="zh-CN"/>
        </w:rPr>
      </w:pPr>
      <w:r>
        <w:rPr>
          <w:rFonts w:hint="eastAsia" w:ascii="仿宋_GB2312" w:eastAsia="仿宋_GB2312"/>
          <w:sz w:val="34"/>
          <w:szCs w:val="34"/>
          <w:lang w:eastAsia="zh-CN"/>
        </w:rPr>
        <w:t>3.充分发挥“室组”联动，提升监督质效。①持续净化政治生态。联合第二监督检查室对综合监督单位政治生态“画像”进行分析研判，对“画像”存在敷衍应付、不严不实的单位分管纪检工作领导进行集体约谈，直指问题要害，明确责任要求，并</w:t>
      </w:r>
      <w:r>
        <w:rPr>
          <w:rFonts w:ascii="仿宋_GB2312" w:eastAsia="仿宋_GB2312"/>
          <w:sz w:val="34"/>
          <w:szCs w:val="34"/>
          <w:lang w:eastAsia="zh-CN"/>
        </w:rPr>
        <w:t>要求其</w:t>
      </w:r>
      <w:r>
        <w:rPr>
          <w:rFonts w:hint="eastAsia" w:ascii="仿宋_GB2312" w:eastAsia="仿宋_GB2312"/>
          <w:sz w:val="34"/>
          <w:szCs w:val="34"/>
          <w:lang w:eastAsia="zh-CN"/>
        </w:rPr>
        <w:t>限期反馈</w:t>
      </w:r>
      <w:r>
        <w:rPr>
          <w:rFonts w:ascii="仿宋_GB2312" w:eastAsia="仿宋_GB2312"/>
          <w:sz w:val="34"/>
          <w:szCs w:val="34"/>
          <w:lang w:eastAsia="zh-CN"/>
        </w:rPr>
        <w:t>。</w:t>
      </w:r>
    </w:p>
    <w:p>
      <w:pPr>
        <w:spacing w:line="600" w:lineRule="exact"/>
        <w:ind w:firstLine="656" w:firstLineChars="200"/>
        <w:jc w:val="both"/>
        <w:rPr>
          <w:rFonts w:hint="eastAsia" w:ascii="黑体" w:hAnsi="黑体" w:eastAsia="黑体"/>
          <w:spacing w:val="-4"/>
          <w:w w:val="105"/>
          <w:sz w:val="32"/>
          <w:szCs w:val="32"/>
          <w:lang w:eastAsia="zh-CN"/>
        </w:rPr>
      </w:pPr>
      <w:r>
        <w:rPr>
          <w:rFonts w:ascii="黑体" w:hAnsi="黑体" w:eastAsia="黑体"/>
          <w:spacing w:val="-4"/>
          <w:w w:val="105"/>
          <w:sz w:val="32"/>
          <w:szCs w:val="32"/>
          <w:lang w:eastAsia="zh-CN"/>
        </w:rPr>
        <w:t>六、有关建议</w:t>
      </w:r>
    </w:p>
    <w:p>
      <w:pPr>
        <w:spacing w:line="600" w:lineRule="exact"/>
        <w:ind w:firstLine="680" w:firstLineChars="200"/>
        <w:jc w:val="both"/>
        <w:rPr>
          <w:rFonts w:ascii="仿宋_GB2312" w:eastAsia="仿宋_GB2312"/>
          <w:sz w:val="34"/>
          <w:szCs w:val="34"/>
          <w:lang w:eastAsia="zh-CN"/>
        </w:rPr>
      </w:pPr>
      <w:r>
        <w:rPr>
          <w:rFonts w:hint="eastAsia" w:ascii="仿宋_GB2312" w:eastAsia="仿宋_GB2312"/>
          <w:sz w:val="34"/>
          <w:szCs w:val="34"/>
          <w:lang w:eastAsia="zh-CN"/>
        </w:rPr>
        <w:t>暂无</w:t>
      </w:r>
    </w:p>
    <w:p>
      <w:pPr>
        <w:spacing w:line="600" w:lineRule="exact"/>
        <w:ind w:firstLine="656" w:firstLineChars="200"/>
        <w:jc w:val="both"/>
        <w:rPr>
          <w:rFonts w:hint="eastAsia" w:ascii="黑体" w:hAnsi="黑体" w:eastAsia="黑体"/>
          <w:spacing w:val="-4"/>
          <w:w w:val="105"/>
          <w:sz w:val="32"/>
          <w:szCs w:val="32"/>
          <w:lang w:eastAsia="zh-CN"/>
        </w:rPr>
      </w:pPr>
      <w:r>
        <w:rPr>
          <w:rFonts w:ascii="黑体" w:hAnsi="黑体" w:eastAsia="黑体"/>
          <w:spacing w:val="-4"/>
          <w:w w:val="105"/>
          <w:sz w:val="32"/>
          <w:szCs w:val="32"/>
          <w:lang w:eastAsia="zh-CN"/>
        </w:rPr>
        <w:t>七、其他需要说明的问题</w:t>
      </w:r>
    </w:p>
    <w:p>
      <w:pPr>
        <w:spacing w:line="600" w:lineRule="exact"/>
        <w:ind w:firstLine="680" w:firstLineChars="200"/>
        <w:jc w:val="both"/>
        <w:rPr>
          <w:rFonts w:ascii="仿宋_GB2312" w:eastAsia="仿宋_GB2312"/>
          <w:sz w:val="34"/>
          <w:szCs w:val="34"/>
          <w:lang w:eastAsia="zh-CN"/>
        </w:rPr>
      </w:pPr>
      <w:r>
        <w:rPr>
          <w:rFonts w:hint="eastAsia" w:ascii="仿宋_GB2312" w:eastAsia="仿宋_GB2312"/>
          <w:sz w:val="34"/>
          <w:szCs w:val="34"/>
          <w:lang w:eastAsia="zh-CN"/>
        </w:rPr>
        <w:t>无</w:t>
      </w:r>
    </w:p>
    <w:p>
      <w:pPr>
        <w:spacing w:line="600" w:lineRule="exact"/>
        <w:ind w:firstLine="640" w:firstLineChars="200"/>
        <w:jc w:val="both"/>
        <w:rPr>
          <w:rFonts w:ascii="Times New Roman" w:hAnsi="Times New Roman" w:eastAsia="仿宋_GB2312"/>
          <w:sz w:val="32"/>
          <w:szCs w:val="32"/>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 PAGE   \* MERGEFORMAT </w:instrText>
    </w:r>
    <w:r>
      <w:fldChar w:fldCharType="separate"/>
    </w:r>
    <w:r>
      <w:rPr>
        <w:lang w:val="zh-CN"/>
      </w:rPr>
      <w:t>4</w:t>
    </w:r>
    <w: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U0NGQyMTljZjQ3ZjBjY2EwMWU3NzI3NmE2MjllYzEifQ=="/>
  </w:docVars>
  <w:rsids>
    <w:rsidRoot w:val="00D27F3A"/>
    <w:rsid w:val="00163C2A"/>
    <w:rsid w:val="001834D3"/>
    <w:rsid w:val="0018594E"/>
    <w:rsid w:val="001F559F"/>
    <w:rsid w:val="002115F8"/>
    <w:rsid w:val="0023167C"/>
    <w:rsid w:val="002C1EF8"/>
    <w:rsid w:val="003B571A"/>
    <w:rsid w:val="00407AD1"/>
    <w:rsid w:val="00456E71"/>
    <w:rsid w:val="00470900"/>
    <w:rsid w:val="00516D0F"/>
    <w:rsid w:val="00524052"/>
    <w:rsid w:val="005D0F6C"/>
    <w:rsid w:val="005F4DFB"/>
    <w:rsid w:val="006A7267"/>
    <w:rsid w:val="006C1B32"/>
    <w:rsid w:val="007A731C"/>
    <w:rsid w:val="007D658E"/>
    <w:rsid w:val="008278F8"/>
    <w:rsid w:val="00884464"/>
    <w:rsid w:val="00904B0D"/>
    <w:rsid w:val="00975B5B"/>
    <w:rsid w:val="009F4F27"/>
    <w:rsid w:val="00A04448"/>
    <w:rsid w:val="00A05FE6"/>
    <w:rsid w:val="00A22F2B"/>
    <w:rsid w:val="00B002CD"/>
    <w:rsid w:val="00B875C2"/>
    <w:rsid w:val="00BA5423"/>
    <w:rsid w:val="00BA71FE"/>
    <w:rsid w:val="00BE44A3"/>
    <w:rsid w:val="00CA1D5C"/>
    <w:rsid w:val="00D02C5B"/>
    <w:rsid w:val="00D10FF2"/>
    <w:rsid w:val="00D27F3A"/>
    <w:rsid w:val="00E04168"/>
    <w:rsid w:val="00E5785F"/>
    <w:rsid w:val="00E85715"/>
    <w:rsid w:val="00F72FF5"/>
    <w:rsid w:val="00FA6206"/>
    <w:rsid w:val="19786A0E"/>
    <w:rsid w:val="24DA426C"/>
    <w:rsid w:val="38F415E1"/>
    <w:rsid w:val="401847A9"/>
    <w:rsid w:val="564151F1"/>
    <w:rsid w:val="5C0D2657"/>
    <w:rsid w:val="6C3E172F"/>
    <w:rsid w:val="C9DE94B5"/>
    <w:rsid w:val="FBCA9900"/>
    <w:rsid w:val="FEB3DB7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pPr>
    <w:rPr>
      <w:rFonts w:ascii="Calibri" w:hAnsi="Calibri" w:eastAsia="宋体" w:cs="Times New Roman"/>
      <w:sz w:val="22"/>
      <w:szCs w:val="22"/>
      <w:lang w:val="en-US" w:eastAsia="en-US" w:bidi="ar-SA"/>
    </w:rPr>
  </w:style>
  <w:style w:type="paragraph" w:styleId="3">
    <w:name w:val="heading 1"/>
    <w:basedOn w:val="1"/>
    <w:next w:val="1"/>
    <w:link w:val="9"/>
    <w:qFormat/>
    <w:uiPriority w:val="1"/>
    <w:pPr>
      <w:outlineLvl w:val="0"/>
    </w:pPr>
    <w:rPr>
      <w:rFonts w:ascii="宋体" w:hAnsi="宋体"/>
      <w:sz w:val="33"/>
      <w:szCs w:val="33"/>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4">
    <w:name w:val="footer"/>
    <w:basedOn w:val="1"/>
    <w:link w:val="10"/>
    <w:unhideWhenUsed/>
    <w:uiPriority w:val="99"/>
    <w:pPr>
      <w:tabs>
        <w:tab w:val="center" w:pos="4153"/>
        <w:tab w:val="right" w:pos="8306"/>
      </w:tabs>
      <w:snapToGrid w:val="0"/>
    </w:pPr>
    <w:rPr>
      <w:sz w:val="18"/>
      <w:szCs w:val="18"/>
    </w:rPr>
  </w:style>
  <w:style w:type="paragraph" w:styleId="5">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character" w:styleId="8">
    <w:name w:val="Hyperlink"/>
    <w:unhideWhenUsed/>
    <w:uiPriority w:val="99"/>
    <w:rPr>
      <w:color w:val="0000FF"/>
      <w:u w:val="single"/>
    </w:rPr>
  </w:style>
  <w:style w:type="character" w:customStyle="1" w:styleId="9">
    <w:name w:val="标题 1 字符"/>
    <w:link w:val="3"/>
    <w:uiPriority w:val="1"/>
    <w:rPr>
      <w:rFonts w:ascii="宋体" w:hAnsi="宋体" w:eastAsia="宋体"/>
      <w:kern w:val="0"/>
      <w:sz w:val="33"/>
      <w:szCs w:val="33"/>
      <w:lang w:eastAsia="en-US"/>
    </w:rPr>
  </w:style>
  <w:style w:type="character" w:customStyle="1" w:styleId="10">
    <w:name w:val="页脚 字符"/>
    <w:link w:val="4"/>
    <w:uiPriority w:val="99"/>
    <w:rPr>
      <w:kern w:val="0"/>
      <w:sz w:val="18"/>
      <w:szCs w:val="18"/>
      <w:lang w:eastAsia="en-US"/>
    </w:rPr>
  </w:style>
  <w:style w:type="character" w:customStyle="1" w:styleId="11">
    <w:name w:val="页眉 字符"/>
    <w:link w:val="5"/>
    <w:uiPriority w:val="99"/>
    <w:rPr>
      <w:kern w:val="0"/>
      <w:sz w:val="18"/>
      <w:szCs w:val="18"/>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1575</Words>
  <Characters>1609</Characters>
  <Lines>11</Lines>
  <Paragraphs>3</Paragraphs>
  <TotalTime>0</TotalTime>
  <ScaleCrop>false</ScaleCrop>
  <LinksUpToDate>false</LinksUpToDate>
  <CharactersWithSpaces>1620</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2022-06-29T09:17:00Z</dcterms:created>
  <dc:creator>于喆</dc:creator>
  <cp:lastModifiedBy>gov</cp:lastModifiedBy>
  <cp:lastPrinted>2021-04-28T03:11:00Z</cp:lastPrinted>
  <dcterms:modified xsi:type="dcterms:W3CDTF">2022-06-29T09:21:08Z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81D8BC633803409CA1BA1F7C12BEE8A2</vt:lpwstr>
  </property>
</Properties>
</file>