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40" w:lineRule="exact"/>
        <w:jc w:val="left"/>
        <w:outlineLvl w:val="0"/>
        <w:rPr>
          <w:rFonts w:hint="eastAsia" w:ascii="黑体" w:hAnsi="黑体" w:eastAsia="黑体" w:cs="仿宋_GB2312"/>
          <w:b/>
          <w:bCs/>
          <w:sz w:val="28"/>
          <w:szCs w:val="28"/>
          <w:highlight w:val="none"/>
          <w:lang w:eastAsia="zh-CN"/>
        </w:rPr>
      </w:pPr>
      <w:bookmarkStart w:id="0" w:name="_Toc456965826"/>
      <w:r>
        <w:rPr>
          <w:rFonts w:hint="eastAsia" w:ascii="黑体" w:hAnsi="黑体" w:eastAsia="黑体" w:cs="仿宋_GB2312"/>
          <w:b/>
          <w:bCs/>
          <w:sz w:val="28"/>
          <w:szCs w:val="28"/>
          <w:highlight w:val="none"/>
        </w:rPr>
        <w:t>附件</w:t>
      </w:r>
      <w:r>
        <w:rPr>
          <w:rFonts w:hint="eastAsia" w:ascii="黑体" w:hAnsi="黑体" w:eastAsia="黑体" w:cs="仿宋_GB2312"/>
          <w:b/>
          <w:bCs/>
          <w:sz w:val="28"/>
          <w:szCs w:val="28"/>
          <w:highlight w:val="none"/>
          <w:lang w:val="en-US" w:eastAsia="zh-CN"/>
        </w:rPr>
        <w:t>4</w:t>
      </w:r>
    </w:p>
    <w:p>
      <w:pPr>
        <w:spacing w:after="0" w:line="540" w:lineRule="exact"/>
        <w:ind w:firstLine="640"/>
        <w:jc w:val="center"/>
        <w:outlineLvl w:val="0"/>
        <w:rPr>
          <w:rFonts w:ascii="黑体" w:hAnsi="黑体" w:eastAsia="黑体" w:cs="仿宋_GB2312"/>
          <w:b/>
          <w:bCs/>
          <w:sz w:val="44"/>
          <w:szCs w:val="44"/>
          <w:highlight w:val="none"/>
        </w:rPr>
      </w:pPr>
    </w:p>
    <w:p>
      <w:pPr>
        <w:spacing w:after="0" w:line="540" w:lineRule="exact"/>
        <w:ind w:firstLine="640"/>
        <w:jc w:val="center"/>
        <w:outlineLvl w:val="0"/>
        <w:rPr>
          <w:rFonts w:ascii="黑体" w:hAnsi="黑体" w:eastAsia="黑体" w:cs="仿宋_GB2312"/>
          <w:b/>
          <w:bCs/>
          <w:sz w:val="44"/>
          <w:szCs w:val="44"/>
          <w:highlight w:val="none"/>
        </w:rPr>
      </w:pPr>
      <w:r>
        <w:rPr>
          <w:rFonts w:hint="eastAsia" w:ascii="黑体" w:hAnsi="黑体" w:eastAsia="黑体" w:cs="仿宋_GB2312"/>
          <w:b/>
          <w:bCs/>
          <w:sz w:val="44"/>
          <w:szCs w:val="44"/>
          <w:highlight w:val="none"/>
        </w:rPr>
        <w:t>和平区</w:t>
      </w:r>
      <w:r>
        <w:rPr>
          <w:rFonts w:hint="eastAsia" w:ascii="黑体" w:hAnsi="黑体" w:eastAsia="黑体" w:cs="仿宋_GB2312"/>
          <w:b/>
          <w:bCs/>
          <w:sz w:val="44"/>
          <w:szCs w:val="44"/>
          <w:highlight w:val="none"/>
          <w:lang w:eastAsia="zh-CN"/>
        </w:rPr>
        <w:t>应急</w:t>
      </w:r>
      <w:r>
        <w:rPr>
          <w:rFonts w:hint="eastAsia" w:ascii="黑体" w:hAnsi="黑体" w:eastAsia="黑体" w:cs="仿宋_GB2312"/>
          <w:b/>
          <w:bCs/>
          <w:sz w:val="44"/>
          <w:szCs w:val="44"/>
          <w:highlight w:val="none"/>
        </w:rPr>
        <w:t>局</w:t>
      </w:r>
      <w:r>
        <w:rPr>
          <w:rFonts w:hint="default" w:ascii="黑体" w:hAnsi="黑体" w:eastAsia="黑体" w:cs="仿宋_GB2312"/>
          <w:b/>
          <w:bCs/>
          <w:sz w:val="44"/>
          <w:szCs w:val="44"/>
          <w:highlight w:val="none"/>
          <w:lang w:val="en"/>
        </w:rPr>
        <w:t>2021</w:t>
      </w:r>
      <w:r>
        <w:rPr>
          <w:rFonts w:hint="eastAsia" w:ascii="黑体" w:hAnsi="黑体" w:eastAsia="黑体" w:cs="仿宋_GB2312"/>
          <w:b/>
          <w:bCs/>
          <w:sz w:val="44"/>
          <w:szCs w:val="44"/>
          <w:highlight w:val="none"/>
        </w:rPr>
        <w:t>年整体支出</w:t>
      </w:r>
    </w:p>
    <w:p>
      <w:pPr>
        <w:spacing w:after="0" w:line="540" w:lineRule="exact"/>
        <w:ind w:firstLine="640"/>
        <w:jc w:val="center"/>
        <w:outlineLvl w:val="0"/>
        <w:rPr>
          <w:rFonts w:ascii="黑体" w:hAnsi="黑体" w:eastAsia="黑体" w:cs="仿宋_GB2312"/>
          <w:b/>
          <w:bCs/>
          <w:sz w:val="44"/>
          <w:szCs w:val="44"/>
          <w:highlight w:val="none"/>
        </w:rPr>
      </w:pPr>
      <w:r>
        <w:rPr>
          <w:rFonts w:hint="eastAsia" w:ascii="黑体" w:hAnsi="黑体" w:eastAsia="黑体" w:cs="仿宋_GB2312"/>
          <w:b/>
          <w:bCs/>
          <w:sz w:val="44"/>
          <w:szCs w:val="44"/>
          <w:highlight w:val="none"/>
        </w:rPr>
        <w:t>绩效自评报告</w:t>
      </w:r>
    </w:p>
    <w:p>
      <w:pPr>
        <w:spacing w:after="0" w:line="540" w:lineRule="exact"/>
        <w:ind w:firstLine="640"/>
        <w:jc w:val="center"/>
        <w:outlineLvl w:val="0"/>
        <w:rPr>
          <w:rFonts w:ascii="楷体_GB2312" w:hAnsi="楷体_GB2312" w:eastAsia="楷体_GB2312" w:cs="楷体_GB2312"/>
          <w:b/>
          <w:bCs/>
          <w:sz w:val="32"/>
          <w:szCs w:val="32"/>
          <w:highlight w:val="none"/>
        </w:rPr>
      </w:pPr>
    </w:p>
    <w:p>
      <w:pPr>
        <w:spacing w:after="0" w:line="540" w:lineRule="exact"/>
        <w:ind w:firstLine="640"/>
        <w:outlineLvl w:val="0"/>
        <w:rPr>
          <w:rFonts w:ascii="黑体" w:hAnsi="黑体" w:eastAsia="黑体" w:cs="仿宋_GB2312"/>
          <w:b/>
          <w:bCs/>
          <w:sz w:val="32"/>
          <w:szCs w:val="32"/>
          <w:highlight w:val="none"/>
        </w:rPr>
      </w:pPr>
      <w:r>
        <w:rPr>
          <w:rFonts w:hint="eastAsia" w:ascii="黑体" w:hAnsi="黑体" w:eastAsia="黑体" w:cs="仿宋_GB2312"/>
          <w:b/>
          <w:bCs/>
          <w:sz w:val="32"/>
          <w:szCs w:val="32"/>
          <w:highlight w:val="none"/>
        </w:rPr>
        <w:t>一、部门概述</w:t>
      </w:r>
      <w:bookmarkEnd w:id="0"/>
    </w:p>
    <w:p>
      <w:pPr>
        <w:spacing w:after="0" w:line="540" w:lineRule="exact"/>
        <w:ind w:firstLine="642" w:firstLineChars="200"/>
        <w:outlineLvl w:val="1"/>
        <w:rPr>
          <w:rFonts w:ascii="楷体_GB2312" w:hAnsi="仿宋" w:eastAsia="楷体_GB2312" w:cs="仿宋_GB2312"/>
          <w:b/>
          <w:sz w:val="32"/>
          <w:szCs w:val="32"/>
          <w:highlight w:val="none"/>
        </w:rPr>
      </w:pPr>
      <w:bookmarkStart w:id="1" w:name="_Toc456965827"/>
      <w:r>
        <w:rPr>
          <w:rFonts w:hint="eastAsia" w:ascii="楷体_GB2312" w:hAnsi="仿宋" w:eastAsia="楷体_GB2312" w:cs="仿宋_GB2312"/>
          <w:b/>
          <w:sz w:val="32"/>
          <w:szCs w:val="32"/>
          <w:highlight w:val="none"/>
        </w:rPr>
        <w:t>（一）部门职能</w:t>
      </w:r>
      <w:bookmarkEnd w:id="1"/>
      <w:bookmarkStart w:id="15" w:name="_GoBack"/>
      <w:bookmarkEnd w:id="15"/>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bookmarkStart w:id="2" w:name="_Toc456965828"/>
      <w:r>
        <w:rPr>
          <w:rFonts w:hint="eastAsia" w:ascii="仿宋_GB2312" w:hAnsi="仿宋" w:eastAsia="仿宋_GB2312"/>
          <w:sz w:val="32"/>
          <w:szCs w:val="32"/>
          <w:highlight w:val="none"/>
          <w:lang w:val="en-US" w:eastAsia="zh-CN"/>
        </w:rPr>
        <w:t>1.</w:t>
      </w:r>
      <w:r>
        <w:rPr>
          <w:rFonts w:hint="eastAsia" w:ascii="仿宋_GB2312" w:hAnsi="仿宋" w:eastAsia="仿宋_GB2312"/>
          <w:sz w:val="32"/>
          <w:szCs w:val="32"/>
          <w:highlight w:val="none"/>
        </w:rPr>
        <w:t>贯彻执行国家和市有关应急管理方面法律、法规、规章和方针、政策，拟订应急体系建设、安全生产和综合防灾减灾规划、年度计划，并组织实施。</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负责应急管理工作。指导各部门应对安全生产类、自然灾害类等突发事件和综合防灾减灾救灾工作。负责督查、评估应急管理工作的落实情况。负责安全生产综合监督管理和工矿商贸行业安全生产监督管理工作。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指导应急预案体系建设。落实事故灾难和自然灾害分级应对制度。组织编制、修订总体应急预案和安全生产类、自然灾害类专项预案。综合协调应急预案衔接工作，组织开展预案演练，推动应急避难设施建设。</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负责组织建立统一的应急管理信息系统，建立预警和灾情报告制度，健全自然灾害信息资源获取和共享机制。负责收集分析有关应急管理工作信息，分析和预测应急形势，发布安全生产信息。</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组织指导协调安全生产类、自然灾害类等突发应急救援工作，综合研判突发事件发展态势，并提出应对建议。组织各类灾害应急处理工作。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6.</w:t>
      </w:r>
      <w:r>
        <w:rPr>
          <w:rFonts w:hint="eastAsia" w:ascii="仿宋_GB2312" w:hAnsi="仿宋" w:eastAsia="仿宋_GB2312"/>
          <w:sz w:val="32"/>
          <w:szCs w:val="32"/>
          <w:highlight w:val="none"/>
        </w:rPr>
        <w:t>统一协调指挥各类应急专业队伍，建立应急协调联动机制，推进指挥平台对接，健全和完善应急救援协调机制。</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7.</w:t>
      </w:r>
      <w:r>
        <w:rPr>
          <w:rFonts w:hint="eastAsia" w:ascii="仿宋_GB2312" w:hAnsi="仿宋" w:eastAsia="仿宋_GB2312"/>
          <w:sz w:val="32"/>
          <w:szCs w:val="32"/>
          <w:highlight w:val="none"/>
        </w:rPr>
        <w:t>统筹应急救援力量建设。组织消防、抗洪抢险、地震救援、生产安全事故救援等专业应急救援力量建设。指导各部门及社会应急救援力量建设。承担区防汛抗旱指挥部、区防震减灾工作领导小组的日常工作。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8.</w:t>
      </w:r>
      <w:r>
        <w:rPr>
          <w:rFonts w:hint="eastAsia" w:ascii="仿宋_GB2312" w:hAnsi="仿宋" w:eastAsia="仿宋_GB2312"/>
          <w:sz w:val="32"/>
          <w:szCs w:val="32"/>
          <w:highlight w:val="none"/>
        </w:rPr>
        <w:t>负责消防管理工作，指导消防监督、火灾预防、火灾扑救等工作。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指导协调水旱灾害、地震等防治工作。负责自然灾害综合预警工作，指导开展自然灾害综合风险评估工作。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10.</w:t>
      </w:r>
      <w:r>
        <w:rPr>
          <w:rFonts w:hint="eastAsia" w:ascii="仿宋_GB2312" w:hAnsi="仿宋" w:eastAsia="仿宋_GB2312"/>
          <w:sz w:val="32"/>
          <w:szCs w:val="32"/>
          <w:highlight w:val="none"/>
        </w:rPr>
        <w:t>组织协调灾害救助工作。组织指导灾情核查、损失评估、救灾捐赠工作。管理、分配救灾款物。</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11.</w:t>
      </w:r>
      <w:r>
        <w:rPr>
          <w:rFonts w:hint="eastAsia" w:ascii="仿宋_GB2312" w:hAnsi="仿宋" w:eastAsia="仿宋_GB2312"/>
          <w:sz w:val="32"/>
          <w:szCs w:val="32"/>
          <w:highlight w:val="none"/>
        </w:rPr>
        <w:t>依法行使安全生产综合监督管理职权，分析安全生产形势。指导协调、监督检查各部门安全生产工作。组织开展安全生产巡查、考核工作。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12.</w:t>
      </w:r>
      <w:r>
        <w:rPr>
          <w:rFonts w:hint="eastAsia" w:ascii="仿宋_GB2312" w:hAnsi="仿宋" w:eastAsia="仿宋_GB2312"/>
          <w:sz w:val="32"/>
          <w:szCs w:val="32"/>
          <w:highlight w:val="none"/>
        </w:rPr>
        <w:t>按照分级、属地管理原则，承担工矿商贸企业安全生产监督管理责任。承担应急管理和安全生产、防灾减灾救灾技术服务机构监督检查工作。负责危险化学品安全监督管理工作和烟花爆竹安全生产监督管理工作。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13.</w:t>
      </w:r>
      <w:r>
        <w:rPr>
          <w:rFonts w:hint="eastAsia" w:ascii="仿宋_GB2312" w:hAnsi="仿宋" w:eastAsia="仿宋_GB2312"/>
          <w:sz w:val="32"/>
          <w:szCs w:val="32"/>
          <w:highlight w:val="none"/>
        </w:rPr>
        <w:t>指导、监督生产经营单位执行和落实安全生产规章、标准和规程。监督检查安全生产标准化建设、危险源监控和事故隐患排查治理工作。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14.</w:t>
      </w:r>
      <w:r>
        <w:rPr>
          <w:rFonts w:hint="eastAsia" w:ascii="仿宋_GB2312" w:hAnsi="仿宋" w:eastAsia="仿宋_GB2312"/>
          <w:sz w:val="32"/>
          <w:szCs w:val="32"/>
          <w:highlight w:val="none"/>
        </w:rPr>
        <w:t>负责组织安全生产大检查和专项督查。组织一般生产安全事故调查处理和办理结案工作。监督事故查处和责任追究落实情况。对发生事故的生产经营单位整改情况进行监督检查。通报区安全生产事故情况。</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15.</w:t>
      </w:r>
      <w:r>
        <w:rPr>
          <w:rFonts w:hint="eastAsia" w:ascii="仿宋_GB2312" w:hAnsi="仿宋" w:eastAsia="仿宋_GB2312"/>
          <w:sz w:val="32"/>
          <w:szCs w:val="32"/>
          <w:highlight w:val="none"/>
        </w:rPr>
        <w:t>制定应急物资储备和应急救援装备规划，并组织实施。会同有关部门建立健全应急物资信息平台和调拨制度。</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16.</w:t>
      </w:r>
      <w:r>
        <w:rPr>
          <w:rFonts w:hint="eastAsia" w:ascii="仿宋_GB2312" w:hAnsi="仿宋" w:eastAsia="仿宋_GB2312"/>
          <w:sz w:val="32"/>
          <w:szCs w:val="32"/>
          <w:highlight w:val="none"/>
        </w:rPr>
        <w:t>组织开展应急管理、安全生产宣传教育和培训工作。落实安全生产科技规划，组织指导应急管理、安全生产的科学技术推广应用和信息化建设工作。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17.</w:t>
      </w:r>
      <w:r>
        <w:rPr>
          <w:rFonts w:hint="eastAsia" w:ascii="仿宋_GB2312" w:hAnsi="仿宋" w:eastAsia="仿宋_GB2312"/>
          <w:sz w:val="32"/>
          <w:szCs w:val="32"/>
          <w:highlight w:val="none"/>
        </w:rPr>
        <w:t>负责本系统招商引资工作。</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18.</w:t>
      </w:r>
      <w:r>
        <w:rPr>
          <w:rFonts w:hint="eastAsia" w:ascii="仿宋_GB2312" w:hAnsi="仿宋" w:eastAsia="仿宋_GB2312"/>
          <w:sz w:val="32"/>
          <w:szCs w:val="32"/>
          <w:highlight w:val="none"/>
        </w:rPr>
        <w:t>负责本系统人才队伍建设。</w:t>
      </w:r>
    </w:p>
    <w:p>
      <w:pPr>
        <w:keepNext w:val="0"/>
        <w:keepLines w:val="0"/>
        <w:pageBreakBefore w:val="0"/>
        <w:widowControl w:val="0"/>
        <w:kinsoku/>
        <w:wordWrap/>
        <w:overflowPunct/>
        <w:topLinePunct w:val="0"/>
        <w:autoSpaceDE/>
        <w:autoSpaceDN/>
        <w:bidi w:val="0"/>
        <w:adjustRightInd/>
        <w:snapToGrid w:val="0"/>
        <w:spacing w:after="0" w:line="588"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19.</w:t>
      </w:r>
      <w:r>
        <w:rPr>
          <w:rFonts w:hint="eastAsia" w:ascii="仿宋_GB2312" w:hAnsi="仿宋" w:eastAsia="仿宋_GB2312"/>
          <w:sz w:val="32"/>
          <w:szCs w:val="32"/>
          <w:highlight w:val="none"/>
        </w:rPr>
        <w:t>承办区委、区政府交办的其他事项。</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20.</w:t>
      </w:r>
      <w:r>
        <w:rPr>
          <w:rFonts w:hint="eastAsia" w:ascii="仿宋_GB2312" w:hAnsi="仿宋" w:eastAsia="仿宋_GB2312"/>
          <w:sz w:val="32"/>
          <w:szCs w:val="32"/>
          <w:highlight w:val="none"/>
        </w:rPr>
        <w:t>职能转变。区应急管理局应加强、优化、统筹应急能力建设，构建统一领导、权责一致、权威高效的应急能力体系，推动形成统一指挥、专常兼备、反应灵敏、上下联动、平战结合的应急管理体制。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特大安全风险。坚持以人为本，把确保人民群众生命安全放在首位，确保受灾群众基本生活，加强应急预案演练，增强全民防灾减灾意识，提升公众知识普及和自救互救技能，切实减少人员伤亡和财产损失。树立安全发展理念，坚持生命至上、安全第一，完善安全生产责任，坚决遏制重特大安全事故。</w:t>
      </w:r>
    </w:p>
    <w:p>
      <w:pPr>
        <w:spacing w:after="0" w:line="540" w:lineRule="exact"/>
        <w:ind w:firstLine="642" w:firstLineChars="200"/>
        <w:outlineLvl w:val="1"/>
        <w:rPr>
          <w:rFonts w:ascii="楷体_GB2312" w:hAnsi="仿宋" w:eastAsia="楷体_GB2312" w:cs="仿宋_GB2312"/>
          <w:b/>
          <w:sz w:val="32"/>
          <w:szCs w:val="32"/>
          <w:highlight w:val="none"/>
        </w:rPr>
      </w:pPr>
      <w:r>
        <w:rPr>
          <w:rFonts w:hint="eastAsia" w:ascii="楷体_GB2312" w:hAnsi="仿宋" w:eastAsia="楷体_GB2312" w:cs="仿宋_GB2312"/>
          <w:b/>
          <w:sz w:val="32"/>
          <w:szCs w:val="32"/>
          <w:highlight w:val="none"/>
        </w:rPr>
        <w:t>（二）机构</w:t>
      </w:r>
      <w:bookmarkEnd w:id="2"/>
      <w:r>
        <w:rPr>
          <w:rFonts w:hint="eastAsia" w:ascii="楷体_GB2312" w:hAnsi="仿宋" w:eastAsia="楷体_GB2312" w:cs="仿宋_GB2312"/>
          <w:b/>
          <w:sz w:val="32"/>
          <w:szCs w:val="32"/>
          <w:highlight w:val="none"/>
        </w:rPr>
        <w:t>及人员情况</w:t>
      </w:r>
    </w:p>
    <w:p>
      <w:pPr>
        <w:spacing w:after="0" w:line="540" w:lineRule="exact"/>
        <w:ind w:firstLine="640" w:firstLineChars="200"/>
        <w:outlineLvl w:val="1"/>
        <w:rPr>
          <w:rFonts w:hint="eastAsia" w:ascii="仿宋" w:hAnsi="仿宋" w:eastAsia="仿宋_GB2312"/>
          <w:sz w:val="32"/>
          <w:szCs w:val="32"/>
          <w:highlight w:val="none"/>
          <w:lang w:eastAsia="zh-CN"/>
        </w:rPr>
      </w:pPr>
      <w:bookmarkStart w:id="3" w:name="_Toc456965830"/>
      <w:r>
        <w:rPr>
          <w:rFonts w:hint="eastAsia" w:ascii="仿宋_GB2312" w:hAnsi="仿宋" w:eastAsia="仿宋_GB2312"/>
          <w:sz w:val="32"/>
          <w:szCs w:val="32"/>
          <w:highlight w:val="none"/>
        </w:rPr>
        <w:t>内设6个职能科室及我局管理的</w:t>
      </w:r>
      <w:r>
        <w:rPr>
          <w:rFonts w:ascii="仿宋_GB2312" w:hAnsi="仿宋" w:eastAsia="仿宋_GB2312"/>
          <w:sz w:val="32"/>
          <w:szCs w:val="32"/>
          <w:highlight w:val="none"/>
        </w:rPr>
        <w:t>和平区</w:t>
      </w:r>
      <w:r>
        <w:rPr>
          <w:rFonts w:hint="eastAsia" w:ascii="仿宋_GB2312" w:hAnsi="仿宋" w:eastAsia="仿宋_GB2312"/>
          <w:sz w:val="32"/>
          <w:szCs w:val="32"/>
          <w:highlight w:val="none"/>
        </w:rPr>
        <w:t>安全生产执法监察</w:t>
      </w:r>
      <w:r>
        <w:rPr>
          <w:rFonts w:ascii="仿宋_GB2312" w:hAnsi="仿宋" w:eastAsia="仿宋_GB2312"/>
          <w:sz w:val="32"/>
          <w:szCs w:val="32"/>
          <w:highlight w:val="none"/>
        </w:rPr>
        <w:t>大队</w:t>
      </w:r>
      <w:r>
        <w:rPr>
          <w:rFonts w:hint="eastAsia" w:ascii="仿宋_GB2312" w:hAnsi="仿宋" w:eastAsia="仿宋_GB2312"/>
          <w:sz w:val="32"/>
          <w:szCs w:val="32"/>
          <w:highlight w:val="none"/>
        </w:rPr>
        <w:t>，在职人员34人</w:t>
      </w:r>
      <w:r>
        <w:rPr>
          <w:rFonts w:hint="eastAsia" w:ascii="仿宋_GB2312" w:hAnsi="仿宋" w:eastAsia="仿宋_GB2312"/>
          <w:sz w:val="32"/>
          <w:szCs w:val="32"/>
          <w:highlight w:val="none"/>
          <w:lang w:eastAsia="zh-CN"/>
        </w:rPr>
        <w:t>。</w:t>
      </w:r>
    </w:p>
    <w:bookmarkEnd w:id="3"/>
    <w:p>
      <w:pPr>
        <w:spacing w:after="0" w:line="540" w:lineRule="exact"/>
        <w:ind w:firstLine="640"/>
        <w:rPr>
          <w:rFonts w:ascii="黑体" w:hAnsi="黑体" w:eastAsia="黑体"/>
          <w:sz w:val="32"/>
          <w:szCs w:val="32"/>
          <w:highlight w:val="none"/>
        </w:rPr>
      </w:pPr>
      <w:bookmarkStart w:id="4" w:name="_Toc456965831"/>
      <w:r>
        <w:rPr>
          <w:rFonts w:hint="eastAsia" w:ascii="黑体" w:hAnsi="黑体" w:eastAsia="黑体"/>
          <w:sz w:val="32"/>
          <w:szCs w:val="32"/>
          <w:highlight w:val="none"/>
        </w:rPr>
        <w:t>二、部门预算、预算执行及管理情况</w:t>
      </w:r>
    </w:p>
    <w:p>
      <w:pPr>
        <w:spacing w:after="0" w:line="540" w:lineRule="exact"/>
        <w:ind w:firstLine="640"/>
        <w:rPr>
          <w:rFonts w:ascii="楷体_GB2312" w:hAnsi="仿宋" w:eastAsia="楷体_GB2312"/>
          <w:b/>
          <w:sz w:val="32"/>
          <w:szCs w:val="32"/>
          <w:highlight w:val="none"/>
        </w:rPr>
      </w:pPr>
      <w:r>
        <w:rPr>
          <w:rFonts w:hint="eastAsia" w:ascii="楷体_GB2312" w:hAnsi="仿宋" w:eastAsia="楷体_GB2312"/>
          <w:b/>
          <w:sz w:val="32"/>
          <w:szCs w:val="32"/>
          <w:highlight w:val="none"/>
        </w:rPr>
        <w:t>（一）</w:t>
      </w:r>
      <w:r>
        <w:rPr>
          <w:rFonts w:hint="eastAsia" w:ascii="楷体_GB2312" w:hAnsi="仿宋" w:eastAsia="楷体_GB2312" w:cs="仿宋_GB2312"/>
          <w:b/>
          <w:sz w:val="32"/>
          <w:szCs w:val="32"/>
          <w:highlight w:val="none"/>
        </w:rPr>
        <w:t>年度预决算情况</w:t>
      </w:r>
    </w:p>
    <w:p>
      <w:pPr>
        <w:spacing w:after="0" w:line="540" w:lineRule="exact"/>
        <w:ind w:firstLine="640"/>
        <w:rPr>
          <w:rFonts w:hint="eastAsia" w:ascii="仿宋" w:hAnsi="仿宋" w:eastAsia="仿宋"/>
          <w:sz w:val="32"/>
          <w:szCs w:val="32"/>
          <w:highlight w:val="none"/>
        </w:rPr>
      </w:pPr>
      <w:r>
        <w:rPr>
          <w:rFonts w:hint="default" w:ascii="仿宋" w:hAnsi="仿宋" w:eastAsia="仿宋"/>
          <w:sz w:val="32"/>
          <w:szCs w:val="32"/>
          <w:highlight w:val="none"/>
          <w:lang w:val="en"/>
        </w:rPr>
        <w:t>2021</w:t>
      </w:r>
      <w:r>
        <w:rPr>
          <w:rFonts w:hint="eastAsia" w:ascii="仿宋" w:hAnsi="仿宋" w:eastAsia="仿宋"/>
          <w:sz w:val="32"/>
          <w:szCs w:val="32"/>
          <w:highlight w:val="none"/>
        </w:rPr>
        <w:t>年年初预算财政拨款</w:t>
      </w:r>
      <w:r>
        <w:rPr>
          <w:rFonts w:hint="eastAsia" w:ascii="仿宋_GB2312" w:hAnsi="仿宋" w:eastAsia="仿宋_GB2312"/>
          <w:sz w:val="32"/>
          <w:szCs w:val="32"/>
          <w:highlight w:val="none"/>
          <w:lang w:val="en-US" w:eastAsia="zh-CN"/>
        </w:rPr>
        <w:t>1870.43</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822.71</w:t>
      </w:r>
      <w:r>
        <w:rPr>
          <w:rFonts w:hint="eastAsia" w:ascii="仿宋" w:hAnsi="仿宋" w:eastAsia="仿宋"/>
          <w:sz w:val="32"/>
          <w:szCs w:val="32"/>
          <w:highlight w:val="none"/>
        </w:rPr>
        <w:t>万元，项目支出</w:t>
      </w:r>
      <w:r>
        <w:rPr>
          <w:rFonts w:hint="eastAsia" w:ascii="仿宋" w:hAnsi="仿宋" w:eastAsia="仿宋"/>
          <w:sz w:val="32"/>
          <w:szCs w:val="32"/>
          <w:highlight w:val="none"/>
          <w:lang w:val="en-US" w:eastAsia="zh-CN"/>
        </w:rPr>
        <w:t>1047.72</w:t>
      </w:r>
      <w:r>
        <w:rPr>
          <w:rFonts w:hint="eastAsia" w:ascii="仿宋" w:hAnsi="仿宋" w:eastAsia="仿宋"/>
          <w:sz w:val="32"/>
          <w:szCs w:val="32"/>
          <w:highlight w:val="none"/>
        </w:rPr>
        <w:t>万元。上年财政拨款结转结余</w:t>
      </w:r>
      <w:r>
        <w:rPr>
          <w:rFonts w:hint="eastAsia" w:ascii="仿宋" w:hAnsi="仿宋" w:eastAsia="仿宋"/>
          <w:sz w:val="32"/>
          <w:szCs w:val="32"/>
          <w:highlight w:val="none"/>
          <w:lang w:val="en-US" w:eastAsia="zh-CN"/>
        </w:rPr>
        <w:t>49.5</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万元，项目支出</w:t>
      </w:r>
      <w:r>
        <w:rPr>
          <w:rFonts w:hint="eastAsia" w:ascii="仿宋" w:hAnsi="仿宋" w:eastAsia="仿宋"/>
          <w:sz w:val="32"/>
          <w:szCs w:val="32"/>
          <w:highlight w:val="none"/>
          <w:lang w:val="en-US" w:eastAsia="zh-CN"/>
        </w:rPr>
        <w:t>49.5</w:t>
      </w:r>
      <w:r>
        <w:rPr>
          <w:rFonts w:hint="eastAsia" w:ascii="仿宋" w:hAnsi="仿宋" w:eastAsia="仿宋"/>
          <w:sz w:val="32"/>
          <w:szCs w:val="32"/>
          <w:highlight w:val="none"/>
        </w:rPr>
        <w:t>万元；</w:t>
      </w:r>
    </w:p>
    <w:p>
      <w:pPr>
        <w:spacing w:after="0" w:line="540" w:lineRule="exact"/>
        <w:ind w:firstLine="640"/>
        <w:rPr>
          <w:rFonts w:hint="eastAsia" w:ascii="仿宋" w:hAnsi="仿宋" w:eastAsia="仿宋"/>
          <w:sz w:val="32"/>
          <w:szCs w:val="32"/>
          <w:highlight w:val="none"/>
        </w:rPr>
      </w:pPr>
      <w:r>
        <w:rPr>
          <w:rFonts w:hint="default" w:ascii="仿宋" w:hAnsi="仿宋" w:eastAsia="仿宋"/>
          <w:sz w:val="32"/>
          <w:szCs w:val="32"/>
          <w:highlight w:val="none"/>
          <w:lang w:val="en"/>
        </w:rPr>
        <w:t>2021</w:t>
      </w:r>
      <w:r>
        <w:rPr>
          <w:rFonts w:hint="eastAsia" w:ascii="仿宋" w:hAnsi="仿宋" w:eastAsia="仿宋"/>
          <w:sz w:val="32"/>
          <w:szCs w:val="32"/>
          <w:highlight w:val="none"/>
        </w:rPr>
        <w:t>年决算财政拨款支出</w:t>
      </w:r>
      <w:r>
        <w:rPr>
          <w:rFonts w:hint="eastAsia" w:ascii="仿宋" w:hAnsi="仿宋" w:eastAsia="仿宋"/>
          <w:sz w:val="32"/>
          <w:szCs w:val="32"/>
          <w:highlight w:val="none"/>
          <w:lang w:val="en-US" w:eastAsia="zh-CN"/>
        </w:rPr>
        <w:t>1182.22</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885.65</w:t>
      </w:r>
      <w:r>
        <w:rPr>
          <w:rFonts w:hint="eastAsia" w:ascii="仿宋" w:hAnsi="仿宋" w:eastAsia="仿宋"/>
          <w:sz w:val="32"/>
          <w:szCs w:val="32"/>
          <w:highlight w:val="none"/>
        </w:rPr>
        <w:t>万元，项目支出</w:t>
      </w:r>
      <w:r>
        <w:rPr>
          <w:rFonts w:hint="eastAsia" w:ascii="仿宋" w:hAnsi="仿宋" w:eastAsia="仿宋"/>
          <w:sz w:val="32"/>
          <w:szCs w:val="32"/>
          <w:highlight w:val="none"/>
          <w:lang w:val="en-US" w:eastAsia="zh-CN"/>
        </w:rPr>
        <w:t>296.57</w:t>
      </w:r>
      <w:r>
        <w:rPr>
          <w:rFonts w:hint="eastAsia" w:ascii="仿宋" w:hAnsi="仿宋" w:eastAsia="仿宋"/>
          <w:sz w:val="32"/>
          <w:szCs w:val="32"/>
          <w:highlight w:val="none"/>
        </w:rPr>
        <w:t>万元。年末结转结余</w:t>
      </w:r>
      <w:r>
        <w:rPr>
          <w:rFonts w:hint="eastAsia" w:ascii="仿宋" w:hAnsi="仿宋" w:eastAsia="仿宋"/>
          <w:sz w:val="32"/>
          <w:szCs w:val="32"/>
          <w:highlight w:val="none"/>
          <w:lang w:val="en-US" w:eastAsia="zh-CN"/>
        </w:rPr>
        <w:t>49.5</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万元，项目支出</w:t>
      </w:r>
      <w:r>
        <w:rPr>
          <w:rFonts w:hint="eastAsia" w:ascii="仿宋" w:hAnsi="仿宋" w:eastAsia="仿宋"/>
          <w:sz w:val="32"/>
          <w:szCs w:val="32"/>
          <w:highlight w:val="none"/>
          <w:lang w:val="en-US" w:eastAsia="zh-CN"/>
        </w:rPr>
        <w:t>49.5</w:t>
      </w:r>
      <w:r>
        <w:rPr>
          <w:rFonts w:hint="eastAsia" w:ascii="仿宋" w:hAnsi="仿宋" w:eastAsia="仿宋"/>
          <w:sz w:val="32"/>
          <w:szCs w:val="32"/>
          <w:highlight w:val="none"/>
        </w:rPr>
        <w:t>万元。</w:t>
      </w:r>
    </w:p>
    <w:p>
      <w:pPr>
        <w:spacing w:after="0" w:line="540" w:lineRule="exact"/>
        <w:ind w:firstLine="640"/>
        <w:rPr>
          <w:rFonts w:ascii="楷体_GB2312" w:hAnsi="仿宋" w:eastAsia="楷体_GB2312"/>
          <w:b/>
          <w:sz w:val="32"/>
          <w:szCs w:val="32"/>
          <w:highlight w:val="none"/>
        </w:rPr>
      </w:pPr>
      <w:r>
        <w:rPr>
          <w:rFonts w:hint="eastAsia" w:ascii="楷体_GB2312" w:hAnsi="仿宋" w:eastAsia="楷体_GB2312"/>
          <w:b/>
          <w:sz w:val="32"/>
          <w:szCs w:val="32"/>
          <w:highlight w:val="none"/>
        </w:rPr>
        <w:t>（二）年度主要任务完成情况</w:t>
      </w:r>
    </w:p>
    <w:p>
      <w:pPr>
        <w:spacing w:after="0" w:line="540" w:lineRule="exact"/>
        <w:ind w:firstLine="640"/>
        <w:rPr>
          <w:rFonts w:ascii="仿宋" w:hAnsi="仿宋" w:eastAsia="仿宋"/>
          <w:sz w:val="32"/>
          <w:szCs w:val="32"/>
          <w:highlight w:val="none"/>
        </w:rPr>
      </w:pPr>
      <w:r>
        <w:rPr>
          <w:rFonts w:hint="eastAsia" w:ascii="仿宋" w:hAnsi="仿宋" w:eastAsia="仿宋"/>
          <w:sz w:val="32"/>
          <w:szCs w:val="32"/>
          <w:highlight w:val="none"/>
        </w:rPr>
        <w:t>任务1：机构日常运行保障,年初预算金额</w:t>
      </w:r>
      <w:r>
        <w:rPr>
          <w:rFonts w:hint="eastAsia" w:ascii="仿宋" w:hAnsi="仿宋" w:eastAsia="仿宋"/>
          <w:sz w:val="32"/>
          <w:szCs w:val="32"/>
          <w:highlight w:val="none"/>
          <w:lang w:val="en-US" w:eastAsia="zh-CN"/>
        </w:rPr>
        <w:t>822.71</w:t>
      </w:r>
      <w:r>
        <w:rPr>
          <w:rFonts w:hint="eastAsia" w:ascii="仿宋" w:hAnsi="仿宋" w:eastAsia="仿宋"/>
          <w:sz w:val="32"/>
          <w:szCs w:val="32"/>
          <w:highlight w:val="none"/>
        </w:rPr>
        <w:t>万元，全年预算金额</w:t>
      </w:r>
      <w:r>
        <w:rPr>
          <w:rFonts w:hint="eastAsia" w:ascii="仿宋" w:hAnsi="仿宋" w:eastAsia="仿宋"/>
          <w:sz w:val="32"/>
          <w:szCs w:val="32"/>
          <w:highlight w:val="none"/>
          <w:lang w:val="en-US" w:eastAsia="zh-CN"/>
        </w:rPr>
        <w:t>885.65</w:t>
      </w:r>
      <w:r>
        <w:rPr>
          <w:rFonts w:hint="eastAsia" w:ascii="仿宋" w:hAnsi="仿宋" w:eastAsia="仿宋"/>
          <w:sz w:val="32"/>
          <w:szCs w:val="32"/>
          <w:highlight w:val="none"/>
        </w:rPr>
        <w:t>万元，执行数</w:t>
      </w:r>
      <w:r>
        <w:rPr>
          <w:rFonts w:hint="eastAsia" w:ascii="仿宋" w:hAnsi="仿宋" w:eastAsia="仿宋"/>
          <w:sz w:val="32"/>
          <w:szCs w:val="32"/>
          <w:highlight w:val="none"/>
          <w:lang w:val="en-US" w:eastAsia="zh-CN"/>
        </w:rPr>
        <w:t>885.65</w:t>
      </w:r>
      <w:r>
        <w:rPr>
          <w:rFonts w:hint="eastAsia" w:ascii="仿宋" w:hAnsi="仿宋" w:eastAsia="仿宋"/>
          <w:sz w:val="32"/>
          <w:szCs w:val="32"/>
          <w:highlight w:val="none"/>
        </w:rPr>
        <w:t>万元，执行率</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保障</w:t>
      </w:r>
      <w:r>
        <w:rPr>
          <w:rFonts w:hint="eastAsia" w:ascii="仿宋" w:hAnsi="仿宋" w:eastAsia="仿宋"/>
          <w:sz w:val="32"/>
          <w:szCs w:val="32"/>
          <w:highlight w:val="none"/>
        </w:rPr>
        <w:t>人员经费</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及单位</w:t>
      </w:r>
      <w:r>
        <w:rPr>
          <w:rFonts w:hint="eastAsia" w:ascii="仿宋" w:hAnsi="仿宋" w:eastAsia="仿宋"/>
          <w:sz w:val="32"/>
          <w:szCs w:val="32"/>
          <w:highlight w:val="none"/>
          <w:lang w:eastAsia="zh-CN"/>
        </w:rPr>
        <w:t>日常</w:t>
      </w:r>
      <w:r>
        <w:rPr>
          <w:rFonts w:hint="eastAsia" w:ascii="仿宋" w:hAnsi="仿宋" w:eastAsia="仿宋"/>
          <w:sz w:val="32"/>
          <w:szCs w:val="32"/>
          <w:highlight w:val="none"/>
        </w:rPr>
        <w:t>运行经费</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w:t>
      </w:r>
    </w:p>
    <w:p>
      <w:pPr>
        <w:spacing w:after="0" w:line="540" w:lineRule="exact"/>
        <w:ind w:firstLine="640"/>
        <w:rPr>
          <w:rFonts w:hint="eastAsia" w:ascii="仿宋" w:hAnsi="仿宋" w:eastAsia="仿宋"/>
          <w:sz w:val="32"/>
          <w:szCs w:val="32"/>
          <w:highlight w:val="none"/>
        </w:rPr>
      </w:pPr>
      <w:r>
        <w:rPr>
          <w:rFonts w:hint="eastAsia" w:ascii="仿宋" w:hAnsi="仿宋" w:eastAsia="仿宋"/>
          <w:sz w:val="32"/>
          <w:szCs w:val="32"/>
          <w:highlight w:val="none"/>
        </w:rPr>
        <w:t>任务2</w:t>
      </w:r>
      <w:r>
        <w:rPr>
          <w:rFonts w:hint="eastAsia" w:ascii="仿宋" w:hAnsi="仿宋" w:eastAsia="仿宋"/>
          <w:sz w:val="32"/>
          <w:szCs w:val="32"/>
          <w:highlight w:val="none"/>
          <w:lang w:eastAsia="zh-CN"/>
        </w:rPr>
        <w:t>：开展防震减灾培训和宣传活动，</w:t>
      </w:r>
      <w:r>
        <w:rPr>
          <w:rFonts w:hint="eastAsia" w:ascii="仿宋" w:hAnsi="仿宋" w:eastAsia="仿宋"/>
          <w:sz w:val="32"/>
          <w:szCs w:val="32"/>
          <w:highlight w:val="none"/>
        </w:rPr>
        <w:t>年初预算金额</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万元，全年预算金额</w:t>
      </w:r>
      <w:r>
        <w:rPr>
          <w:rFonts w:hint="eastAsia" w:ascii="仿宋" w:hAnsi="仿宋" w:eastAsia="仿宋"/>
          <w:sz w:val="32"/>
          <w:szCs w:val="32"/>
          <w:highlight w:val="none"/>
          <w:lang w:val="en-US" w:eastAsia="zh-CN"/>
        </w:rPr>
        <w:t>2.11</w:t>
      </w:r>
      <w:r>
        <w:rPr>
          <w:rFonts w:hint="eastAsia" w:ascii="仿宋" w:hAnsi="仿宋" w:eastAsia="仿宋"/>
          <w:sz w:val="32"/>
          <w:szCs w:val="32"/>
          <w:highlight w:val="none"/>
        </w:rPr>
        <w:t>万元，执行数</w:t>
      </w:r>
      <w:r>
        <w:rPr>
          <w:rFonts w:hint="eastAsia" w:ascii="仿宋" w:hAnsi="仿宋" w:eastAsia="仿宋"/>
          <w:sz w:val="32"/>
          <w:szCs w:val="32"/>
          <w:highlight w:val="none"/>
          <w:lang w:val="en-US" w:eastAsia="zh-CN"/>
        </w:rPr>
        <w:t>2.11</w:t>
      </w:r>
      <w:r>
        <w:rPr>
          <w:rFonts w:hint="eastAsia" w:ascii="仿宋" w:hAnsi="仿宋" w:eastAsia="仿宋"/>
          <w:sz w:val="32"/>
          <w:szCs w:val="32"/>
          <w:highlight w:val="none"/>
        </w:rPr>
        <w:t>万元，执行率</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采取多种方式开展防震减灾培训和宣传活动，提高群众的防灾减灾意识。</w:t>
      </w:r>
    </w:p>
    <w:p>
      <w:pPr>
        <w:spacing w:after="0" w:line="540" w:lineRule="exact"/>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rPr>
        <w:t>任务</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lang w:eastAsia="zh-CN"/>
        </w:rPr>
        <w:t>：按照相关工作要求，对全区所有挂牌的紧急避难场所进行验收，保障能够投入使用，</w:t>
      </w:r>
      <w:r>
        <w:rPr>
          <w:rFonts w:hint="eastAsia" w:ascii="仿宋" w:hAnsi="仿宋" w:eastAsia="仿宋"/>
          <w:sz w:val="32"/>
          <w:szCs w:val="32"/>
          <w:highlight w:val="none"/>
        </w:rPr>
        <w:t>年初预算金额</w:t>
      </w:r>
      <w:r>
        <w:rPr>
          <w:rFonts w:hint="eastAsia" w:ascii="仿宋" w:hAnsi="仿宋" w:eastAsia="仿宋"/>
          <w:sz w:val="32"/>
          <w:szCs w:val="32"/>
          <w:highlight w:val="none"/>
          <w:lang w:val="en-US" w:eastAsia="zh-CN"/>
        </w:rPr>
        <w:t>110</w:t>
      </w:r>
      <w:r>
        <w:rPr>
          <w:rFonts w:hint="eastAsia" w:ascii="仿宋" w:hAnsi="仿宋" w:eastAsia="仿宋"/>
          <w:sz w:val="32"/>
          <w:szCs w:val="32"/>
          <w:highlight w:val="none"/>
        </w:rPr>
        <w:t>万元，全年预算金额</w:t>
      </w:r>
      <w:r>
        <w:rPr>
          <w:rFonts w:hint="eastAsia" w:ascii="仿宋" w:hAnsi="仿宋" w:eastAsia="仿宋"/>
          <w:sz w:val="32"/>
          <w:szCs w:val="32"/>
          <w:highlight w:val="none"/>
          <w:lang w:val="en-US" w:eastAsia="zh-CN"/>
        </w:rPr>
        <w:t>6.17</w:t>
      </w:r>
      <w:r>
        <w:rPr>
          <w:rFonts w:hint="eastAsia" w:ascii="仿宋" w:hAnsi="仿宋" w:eastAsia="仿宋"/>
          <w:sz w:val="32"/>
          <w:szCs w:val="32"/>
          <w:highlight w:val="none"/>
        </w:rPr>
        <w:t>万元，执行数</w:t>
      </w:r>
      <w:r>
        <w:rPr>
          <w:rFonts w:hint="eastAsia" w:ascii="仿宋" w:hAnsi="仿宋" w:eastAsia="仿宋"/>
          <w:sz w:val="32"/>
          <w:szCs w:val="32"/>
          <w:highlight w:val="none"/>
          <w:lang w:val="en-US" w:eastAsia="zh-CN"/>
        </w:rPr>
        <w:t>6.17</w:t>
      </w:r>
      <w:r>
        <w:rPr>
          <w:rFonts w:hint="eastAsia" w:ascii="仿宋" w:hAnsi="仿宋" w:eastAsia="仿宋"/>
          <w:sz w:val="32"/>
          <w:szCs w:val="32"/>
          <w:highlight w:val="none"/>
        </w:rPr>
        <w:t>万元，执行率</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全部验收完毕，对个别损坏标识牌和宣传牌进行了修复，确保能够正常使用。</w:t>
      </w:r>
    </w:p>
    <w:p>
      <w:pPr>
        <w:spacing w:after="0" w:line="540" w:lineRule="exact"/>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rPr>
        <w:t>任务</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lang w:eastAsia="zh-CN"/>
        </w:rPr>
        <w:t>：加强隐患排查，减少安全生产隐患，避免发生重特大生产安全事故，</w:t>
      </w:r>
      <w:r>
        <w:rPr>
          <w:rFonts w:hint="eastAsia" w:ascii="仿宋" w:hAnsi="仿宋" w:eastAsia="仿宋"/>
          <w:sz w:val="32"/>
          <w:szCs w:val="32"/>
          <w:highlight w:val="none"/>
        </w:rPr>
        <w:t>年初预算金额</w:t>
      </w:r>
      <w:r>
        <w:rPr>
          <w:rFonts w:hint="eastAsia" w:ascii="仿宋" w:hAnsi="仿宋" w:eastAsia="仿宋"/>
          <w:sz w:val="32"/>
          <w:szCs w:val="32"/>
          <w:highlight w:val="none"/>
          <w:lang w:val="en-US" w:eastAsia="zh-CN"/>
        </w:rPr>
        <w:t>1000</w:t>
      </w:r>
      <w:r>
        <w:rPr>
          <w:rFonts w:hint="eastAsia" w:ascii="仿宋" w:hAnsi="仿宋" w:eastAsia="仿宋"/>
          <w:sz w:val="32"/>
          <w:szCs w:val="32"/>
          <w:highlight w:val="none"/>
        </w:rPr>
        <w:t>万元，全年预算金额</w:t>
      </w:r>
      <w:r>
        <w:rPr>
          <w:rFonts w:hint="eastAsia" w:ascii="仿宋" w:hAnsi="仿宋" w:eastAsia="仿宋"/>
          <w:sz w:val="32"/>
          <w:szCs w:val="32"/>
          <w:highlight w:val="none"/>
          <w:lang w:val="en-US" w:eastAsia="zh-CN"/>
        </w:rPr>
        <w:t>154.38</w:t>
      </w:r>
      <w:r>
        <w:rPr>
          <w:rFonts w:hint="eastAsia" w:ascii="仿宋" w:hAnsi="仿宋" w:eastAsia="仿宋"/>
          <w:sz w:val="32"/>
          <w:szCs w:val="32"/>
          <w:highlight w:val="none"/>
        </w:rPr>
        <w:t>万元，执行数</w:t>
      </w:r>
      <w:r>
        <w:rPr>
          <w:rFonts w:hint="eastAsia" w:ascii="仿宋" w:hAnsi="仿宋" w:eastAsia="仿宋"/>
          <w:sz w:val="32"/>
          <w:szCs w:val="32"/>
          <w:highlight w:val="none"/>
          <w:lang w:val="en-US" w:eastAsia="zh-CN"/>
        </w:rPr>
        <w:t>154.38</w:t>
      </w:r>
      <w:r>
        <w:rPr>
          <w:rFonts w:hint="eastAsia" w:ascii="仿宋" w:hAnsi="仿宋" w:eastAsia="仿宋"/>
          <w:sz w:val="32"/>
          <w:szCs w:val="32"/>
          <w:highlight w:val="none"/>
        </w:rPr>
        <w:t>万元，执行率</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,有效规范企业安全生产行为，排查整改安全生产隐患，避免发生重特大生产安全事故。</w:t>
      </w:r>
    </w:p>
    <w:p>
      <w:pPr>
        <w:spacing w:after="0" w:line="54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任务</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lang w:eastAsia="zh-CN"/>
        </w:rPr>
        <w:t>：购置防汛物资，开展防汛演练，</w:t>
      </w:r>
      <w:r>
        <w:rPr>
          <w:rFonts w:hint="default" w:ascii="仿宋" w:hAnsi="仿宋" w:eastAsia="仿宋"/>
          <w:sz w:val="32"/>
          <w:szCs w:val="32"/>
          <w:highlight w:val="none"/>
          <w:lang w:val="en" w:eastAsia="zh-CN"/>
        </w:rPr>
        <w:t>2021</w:t>
      </w:r>
      <w:r>
        <w:rPr>
          <w:rFonts w:hint="eastAsia" w:ascii="仿宋" w:hAnsi="仿宋" w:eastAsia="仿宋"/>
          <w:sz w:val="32"/>
          <w:szCs w:val="32"/>
          <w:highlight w:val="none"/>
          <w:lang w:eastAsia="zh-CN"/>
        </w:rPr>
        <w:t>年安全度汛，年初预算金额</w:t>
      </w:r>
      <w:r>
        <w:rPr>
          <w:rFonts w:hint="eastAsia" w:ascii="仿宋" w:hAnsi="仿宋" w:eastAsia="仿宋"/>
          <w:sz w:val="32"/>
          <w:szCs w:val="32"/>
          <w:highlight w:val="none"/>
          <w:lang w:val="en-US" w:eastAsia="zh-CN"/>
        </w:rPr>
        <w:t>20万元，全年预算金额18.52万元，执行数18.52万元，执行率100%,</w:t>
      </w:r>
      <w:r>
        <w:rPr>
          <w:rFonts w:hint="eastAsia" w:ascii="Times New Roman" w:hAnsi="Times New Roman" w:eastAsia="仿宋_GB2312"/>
          <w:sz w:val="32"/>
          <w:szCs w:val="32"/>
          <w:highlight w:val="none"/>
          <w:lang w:eastAsia="zh-CN"/>
        </w:rPr>
        <w:t>及时补充防汛物资装备，做好防汛抢险准备，保证防汛指挥通讯设备畅通，有效应对各类突发情况，确保人民生命财产安全。</w:t>
      </w:r>
    </w:p>
    <w:p>
      <w:pPr>
        <w:spacing w:after="0" w:line="540" w:lineRule="exact"/>
        <w:ind w:firstLine="640"/>
        <w:rPr>
          <w:rFonts w:hint="eastAsia" w:ascii="仿宋" w:hAnsi="仿宋" w:eastAsia="仿宋" w:cstheme="minorBidi"/>
          <w:kern w:val="2"/>
          <w:sz w:val="32"/>
          <w:szCs w:val="32"/>
          <w:highlight w:val="none"/>
          <w:lang w:val="en-US" w:eastAsia="zh-CN" w:bidi="ar-SA"/>
        </w:rPr>
      </w:pPr>
      <w:r>
        <w:rPr>
          <w:rFonts w:hint="eastAsia" w:ascii="仿宋" w:hAnsi="仿宋" w:eastAsia="仿宋"/>
          <w:sz w:val="32"/>
          <w:szCs w:val="32"/>
          <w:highlight w:val="none"/>
          <w:lang w:val="en-US" w:eastAsia="zh-CN"/>
        </w:rPr>
        <w:t>总计：年初预算金额</w:t>
      </w:r>
      <w:r>
        <w:rPr>
          <w:rFonts w:hint="eastAsia" w:ascii="仿宋_GB2312" w:hAnsi="仿宋" w:eastAsia="仿宋_GB2312"/>
          <w:sz w:val="32"/>
          <w:szCs w:val="32"/>
          <w:highlight w:val="none"/>
          <w:lang w:val="en-US" w:eastAsia="zh-CN"/>
        </w:rPr>
        <w:t>1870.43</w:t>
      </w:r>
      <w:r>
        <w:rPr>
          <w:rFonts w:hint="eastAsia" w:ascii="仿宋" w:hAnsi="仿宋" w:eastAsia="仿宋"/>
          <w:sz w:val="32"/>
          <w:szCs w:val="32"/>
          <w:highlight w:val="none"/>
          <w:lang w:val="en-US" w:eastAsia="zh-CN"/>
        </w:rPr>
        <w:t>万</w:t>
      </w:r>
      <w:r>
        <w:rPr>
          <w:rFonts w:hint="eastAsia" w:ascii="仿宋" w:hAnsi="仿宋" w:eastAsia="仿宋" w:cstheme="minorBidi"/>
          <w:kern w:val="2"/>
          <w:sz w:val="32"/>
          <w:szCs w:val="32"/>
          <w:highlight w:val="none"/>
          <w:lang w:val="en-US" w:eastAsia="zh-CN" w:bidi="ar-SA"/>
        </w:rPr>
        <w:t>元，全年预算金额</w:t>
      </w:r>
      <w:r>
        <w:rPr>
          <w:rFonts w:hint="eastAsia" w:ascii="仿宋" w:hAnsi="仿宋" w:eastAsia="仿宋"/>
          <w:sz w:val="32"/>
          <w:szCs w:val="32"/>
          <w:highlight w:val="none"/>
          <w:lang w:val="en-US" w:eastAsia="zh-CN"/>
        </w:rPr>
        <w:t>1182.22</w:t>
      </w:r>
      <w:r>
        <w:rPr>
          <w:rFonts w:hint="eastAsia" w:ascii="仿宋" w:hAnsi="仿宋" w:eastAsia="仿宋" w:cstheme="minorBidi"/>
          <w:kern w:val="2"/>
          <w:sz w:val="32"/>
          <w:szCs w:val="32"/>
          <w:highlight w:val="none"/>
          <w:lang w:val="en-US" w:eastAsia="zh-CN" w:bidi="ar-SA"/>
        </w:rPr>
        <w:t>万元，执行数</w:t>
      </w:r>
      <w:r>
        <w:rPr>
          <w:rFonts w:hint="eastAsia" w:ascii="仿宋" w:hAnsi="仿宋" w:eastAsia="仿宋"/>
          <w:sz w:val="32"/>
          <w:szCs w:val="32"/>
          <w:highlight w:val="none"/>
          <w:lang w:val="en-US" w:eastAsia="zh-CN"/>
        </w:rPr>
        <w:t>1182.22</w:t>
      </w:r>
      <w:r>
        <w:rPr>
          <w:rFonts w:hint="eastAsia" w:ascii="仿宋" w:hAnsi="仿宋" w:eastAsia="仿宋" w:cstheme="minorBidi"/>
          <w:kern w:val="2"/>
          <w:sz w:val="32"/>
          <w:szCs w:val="32"/>
          <w:highlight w:val="none"/>
          <w:lang w:val="en-US" w:eastAsia="zh-CN" w:bidi="ar-SA"/>
        </w:rPr>
        <w:t>万元，执行率100%。</w:t>
      </w:r>
    </w:p>
    <w:p>
      <w:pPr>
        <w:spacing w:after="0" w:line="540" w:lineRule="exact"/>
        <w:ind w:firstLine="640"/>
        <w:rPr>
          <w:rFonts w:hint="eastAsia" w:ascii="仿宋" w:hAnsi="仿宋" w:eastAsia="仿宋" w:cstheme="minorBidi"/>
          <w:kern w:val="2"/>
          <w:sz w:val="32"/>
          <w:szCs w:val="32"/>
          <w:highlight w:val="none"/>
          <w:lang w:val="en-US" w:eastAsia="zh-CN" w:bidi="ar-SA"/>
        </w:rPr>
      </w:pPr>
      <w:r>
        <w:rPr>
          <w:rFonts w:hint="eastAsia" w:ascii="仿宋" w:hAnsi="仿宋" w:eastAsia="仿宋" w:cstheme="minorBidi"/>
          <w:kern w:val="2"/>
          <w:sz w:val="32"/>
          <w:szCs w:val="32"/>
          <w:highlight w:val="none"/>
          <w:lang w:val="en-US" w:eastAsia="zh-CN" w:bidi="ar-SA"/>
        </w:rPr>
        <w:t>（三）部门财务管理情况</w:t>
      </w:r>
    </w:p>
    <w:p>
      <w:pPr>
        <w:spacing w:after="0" w:line="540" w:lineRule="exact"/>
        <w:ind w:firstLine="640"/>
        <w:rPr>
          <w:rFonts w:ascii="黑体" w:hAnsi="黑体" w:eastAsia="黑体" w:cs="Times New Roman"/>
          <w:b/>
          <w:sz w:val="32"/>
          <w:szCs w:val="32"/>
          <w:highlight w:val="none"/>
        </w:rPr>
      </w:pPr>
      <w:r>
        <w:rPr>
          <w:rFonts w:hint="eastAsia" w:ascii="仿宋_GB2312" w:eastAsia="仿宋_GB2312"/>
          <w:sz w:val="30"/>
          <w:szCs w:val="30"/>
          <w:highlight w:val="none"/>
        </w:rPr>
        <w:t xml:space="preserve"> 在单位运行中逐步完善预算管理、内控管理、资产管理、绩效管理，加强干部队伍建设。我单位注重人才的培养和教育，对财务人员和科室相关人员加强内部控制、预算绩效管理的重要性的宣传和培训，建立重管理、重内控、重效果的文化氛围和环境。提高领导和相关人员内控、资产管理意识、责任意识，增强相关人员对内控、预算和资产管理的实际操作能力，使预算工作更为合理、目标更为明确，达到提升预算编制、执行的目的。加强资产管理和使用，加强养护，努力延长资产使用寿命和使用效率。在充分考虑内外部风险点的基础上，围绕内部控制各项管理重点和关键点，不断完善内部控制制度，使其更加科学性、规范性和具有可操作性。</w:t>
      </w:r>
    </w:p>
    <w:bookmarkEnd w:id="4"/>
    <w:p>
      <w:pPr>
        <w:pStyle w:val="7"/>
        <w:spacing w:before="0" w:beforeAutospacing="0" w:after="0" w:afterAutospacing="0" w:line="540" w:lineRule="exact"/>
        <w:ind w:firstLine="642" w:firstLineChars="200"/>
        <w:jc w:val="both"/>
        <w:rPr>
          <w:rFonts w:ascii="黑体" w:hAnsi="黑体" w:eastAsia="黑体" w:cs="Times New Roman"/>
          <w:b/>
          <w:color w:val="auto"/>
          <w:kern w:val="2"/>
          <w:sz w:val="32"/>
          <w:szCs w:val="32"/>
          <w:highlight w:val="none"/>
        </w:rPr>
      </w:pPr>
      <w:bookmarkStart w:id="5" w:name="_Toc268005759"/>
      <w:bookmarkStart w:id="6" w:name="_Toc456965846"/>
      <w:bookmarkStart w:id="7" w:name="_Toc263686375"/>
      <w:r>
        <w:rPr>
          <w:rFonts w:hint="eastAsia" w:ascii="黑体" w:hAnsi="黑体" w:eastAsia="黑体" w:cs="Times New Roman"/>
          <w:b/>
          <w:color w:val="auto"/>
          <w:kern w:val="2"/>
          <w:sz w:val="32"/>
          <w:szCs w:val="32"/>
          <w:highlight w:val="none"/>
        </w:rPr>
        <w:t>三、</w:t>
      </w:r>
      <w:bookmarkEnd w:id="5"/>
      <w:r>
        <w:rPr>
          <w:rFonts w:hint="eastAsia" w:ascii="黑体" w:hAnsi="黑体" w:eastAsia="黑体" w:cs="Times New Roman"/>
          <w:b/>
          <w:color w:val="auto"/>
          <w:kern w:val="2"/>
          <w:sz w:val="32"/>
          <w:szCs w:val="32"/>
          <w:highlight w:val="none"/>
        </w:rPr>
        <w:t>整体支出绩效自评情况</w:t>
      </w:r>
    </w:p>
    <w:p>
      <w:pPr>
        <w:spacing w:after="0" w:line="540" w:lineRule="exact"/>
        <w:ind w:firstLine="642" w:firstLineChars="200"/>
        <w:outlineLvl w:val="1"/>
        <w:rPr>
          <w:rFonts w:ascii="楷体_GB2312" w:hAnsi="仿宋" w:eastAsia="楷体_GB2312" w:cs="仿宋_GB2312"/>
          <w:b/>
          <w:sz w:val="32"/>
          <w:szCs w:val="32"/>
          <w:highlight w:val="none"/>
        </w:rPr>
      </w:pPr>
      <w:bookmarkStart w:id="8" w:name="_Toc268005760"/>
      <w:r>
        <w:rPr>
          <w:rFonts w:hint="eastAsia" w:ascii="楷体_GB2312" w:hAnsi="仿宋" w:eastAsia="楷体_GB2312" w:cs="仿宋_GB2312"/>
          <w:b/>
          <w:sz w:val="32"/>
          <w:szCs w:val="32"/>
          <w:highlight w:val="none"/>
        </w:rPr>
        <w:t>（一）</w:t>
      </w:r>
      <w:bookmarkEnd w:id="8"/>
      <w:r>
        <w:rPr>
          <w:rFonts w:hint="eastAsia" w:ascii="楷体_GB2312" w:hAnsi="仿宋" w:eastAsia="楷体_GB2312" w:cs="仿宋_GB2312"/>
          <w:b/>
          <w:sz w:val="32"/>
          <w:szCs w:val="32"/>
          <w:highlight w:val="none"/>
        </w:rPr>
        <w:t>年度整体支出绩效目标完成情况自评</w:t>
      </w:r>
    </w:p>
    <w:p>
      <w:pPr>
        <w:spacing w:after="0" w:line="540" w:lineRule="exact"/>
        <w:rPr>
          <w:rFonts w:ascii="仿宋" w:hAnsi="仿宋" w:eastAsia="仿宋"/>
          <w:sz w:val="32"/>
          <w:szCs w:val="32"/>
          <w:highlight w:val="none"/>
        </w:rPr>
      </w:pPr>
      <w:bookmarkStart w:id="9" w:name="_Toc268005761"/>
      <w:r>
        <w:rPr>
          <w:rFonts w:hint="eastAsia" w:ascii="仿宋" w:hAnsi="仿宋" w:eastAsia="仿宋"/>
          <w:sz w:val="32"/>
          <w:szCs w:val="32"/>
          <w:highlight w:val="none"/>
        </w:rPr>
        <w:t xml:space="preserve">    区应急局压紧压实安全生产责任，稳步推进监管执法工作，抓紧抓实安全专项整治，提升安全生产基础保障体系，有序推动企业复工复产，</w:t>
      </w:r>
      <w:r>
        <w:rPr>
          <w:rFonts w:hint="default" w:ascii="仿宋" w:hAnsi="仿宋" w:eastAsia="仿宋"/>
          <w:sz w:val="32"/>
          <w:szCs w:val="32"/>
          <w:highlight w:val="none"/>
          <w:lang w:val="en"/>
        </w:rPr>
        <w:t>2021</w:t>
      </w:r>
      <w:r>
        <w:rPr>
          <w:rFonts w:hint="eastAsia" w:ascii="仿宋" w:hAnsi="仿宋" w:eastAsia="仿宋"/>
          <w:sz w:val="32"/>
          <w:szCs w:val="32"/>
          <w:highlight w:val="none"/>
        </w:rPr>
        <w:t xml:space="preserve">年未发生重大以上生产安全事故。完善体系建设，全面提升应急救援能力，修订完善专项和部门预案。着眼安全生产、应急救援、防灾减灾救灾等工作任务，梳理“废、改、立”各项制度台账。坚持“人民至上、生命至上”，全面提升防灾减灾救灾能力建设水平。实行24小时值班值守，抓好防汛工作和自然灾害治理，加强基层防灾减灾建设。开展防灾减灾救灾、安全生产应急管理宣传，提升社会群众防灾减灾和安全意识。 </w:t>
      </w:r>
    </w:p>
    <w:p>
      <w:pPr>
        <w:spacing w:after="0" w:line="540" w:lineRule="exact"/>
        <w:ind w:firstLine="642" w:firstLineChars="200"/>
        <w:outlineLvl w:val="1"/>
        <w:rPr>
          <w:rFonts w:ascii="楷体_GB2312" w:hAnsi="仿宋" w:eastAsia="楷体_GB2312" w:cs="仿宋_GB2312"/>
          <w:b/>
          <w:sz w:val="32"/>
          <w:szCs w:val="32"/>
          <w:highlight w:val="none"/>
        </w:rPr>
      </w:pPr>
      <w:r>
        <w:rPr>
          <w:rFonts w:hint="eastAsia" w:ascii="楷体_GB2312" w:hAnsi="仿宋" w:eastAsia="楷体_GB2312" w:cs="仿宋_GB2312"/>
          <w:b/>
          <w:sz w:val="32"/>
          <w:szCs w:val="32"/>
          <w:highlight w:val="none"/>
        </w:rPr>
        <w:t>（二）</w:t>
      </w:r>
      <w:bookmarkEnd w:id="9"/>
      <w:r>
        <w:rPr>
          <w:rFonts w:hint="eastAsia" w:ascii="楷体_GB2312" w:hAnsi="仿宋" w:eastAsia="楷体_GB2312" w:cs="仿宋_GB2312"/>
          <w:b/>
          <w:sz w:val="32"/>
          <w:szCs w:val="32"/>
          <w:highlight w:val="none"/>
        </w:rPr>
        <w:t>绩效目标完成情况</w:t>
      </w:r>
    </w:p>
    <w:p>
      <w:pPr>
        <w:spacing w:after="0" w:line="540" w:lineRule="exact"/>
        <w:ind w:firstLine="640"/>
        <w:rPr>
          <w:rFonts w:ascii="仿宋" w:hAnsi="仿宋" w:eastAsia="仿宋"/>
          <w:sz w:val="32"/>
          <w:szCs w:val="32"/>
          <w:highlight w:val="none"/>
        </w:rPr>
      </w:pPr>
      <w:r>
        <w:rPr>
          <w:rFonts w:hint="eastAsia" w:ascii="仿宋" w:hAnsi="仿宋" w:eastAsia="仿宋"/>
          <w:sz w:val="32"/>
          <w:szCs w:val="32"/>
          <w:highlight w:val="none"/>
          <w:lang w:eastAsia="zh-CN"/>
        </w:rPr>
        <w:t>保障</w:t>
      </w:r>
      <w:r>
        <w:rPr>
          <w:rFonts w:hint="eastAsia" w:ascii="仿宋" w:hAnsi="仿宋" w:eastAsia="仿宋"/>
          <w:sz w:val="32"/>
          <w:szCs w:val="32"/>
          <w:highlight w:val="none"/>
        </w:rPr>
        <w:t>人员经费</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及单位</w:t>
      </w:r>
      <w:r>
        <w:rPr>
          <w:rFonts w:hint="eastAsia" w:ascii="仿宋" w:hAnsi="仿宋" w:eastAsia="仿宋"/>
          <w:sz w:val="32"/>
          <w:szCs w:val="32"/>
          <w:highlight w:val="none"/>
          <w:lang w:eastAsia="zh-CN"/>
        </w:rPr>
        <w:t>日常</w:t>
      </w:r>
      <w:r>
        <w:rPr>
          <w:rFonts w:hint="eastAsia" w:ascii="仿宋" w:hAnsi="仿宋" w:eastAsia="仿宋"/>
          <w:sz w:val="32"/>
          <w:szCs w:val="32"/>
          <w:highlight w:val="none"/>
        </w:rPr>
        <w:t>运行经费</w:t>
      </w:r>
      <w:r>
        <w:rPr>
          <w:rFonts w:hint="eastAsia" w:ascii="仿宋" w:hAnsi="仿宋" w:eastAsia="仿宋"/>
          <w:sz w:val="32"/>
          <w:szCs w:val="32"/>
          <w:highlight w:val="none"/>
          <w:lang w:eastAsia="zh-CN"/>
        </w:rPr>
        <w:t>支出；采取多种方式开展防震减灾培训和宣传活动，提高群众的防灾减灾意识；避难场所全部验收完毕，对个别损坏标识牌和宣传牌进行了修复，确保能够正常使用；开展隐患排查工作有效规范企业安全生产行为，督促企业排查整改安全生产隐患，避免发生重特大生产安全事故；防汛物资齐备，完成防汛演练，2021年安全度汛。</w:t>
      </w:r>
    </w:p>
    <w:p>
      <w:pPr>
        <w:spacing w:after="0" w:line="540" w:lineRule="exact"/>
        <w:ind w:firstLine="640"/>
        <w:rPr>
          <w:rFonts w:ascii="楷体" w:hAnsi="楷体" w:eastAsia="楷体"/>
          <w:b/>
          <w:sz w:val="32"/>
          <w:szCs w:val="32"/>
          <w:highlight w:val="none"/>
        </w:rPr>
      </w:pPr>
      <w:r>
        <w:rPr>
          <w:rFonts w:hint="eastAsia" w:ascii="楷体" w:hAnsi="楷体" w:eastAsia="楷体"/>
          <w:b/>
          <w:sz w:val="32"/>
          <w:szCs w:val="32"/>
          <w:highlight w:val="none"/>
        </w:rPr>
        <w:t>（三）自评得分</w:t>
      </w:r>
    </w:p>
    <w:bookmarkEnd w:id="6"/>
    <w:bookmarkEnd w:id="7"/>
    <w:p>
      <w:pPr>
        <w:widowControl/>
        <w:spacing w:after="0" w:line="540" w:lineRule="exact"/>
        <w:ind w:firstLine="800" w:firstLineChars="250"/>
        <w:jc w:val="left"/>
        <w:rPr>
          <w:rFonts w:ascii="仿宋" w:hAnsi="仿宋" w:eastAsia="仿宋"/>
          <w:sz w:val="32"/>
          <w:szCs w:val="32"/>
          <w:highlight w:val="none"/>
        </w:rPr>
      </w:pPr>
    </w:p>
    <w:p>
      <w:pPr>
        <w:widowControl/>
        <w:spacing w:after="0" w:line="540" w:lineRule="exact"/>
        <w:jc w:val="center"/>
        <w:rPr>
          <w:rFonts w:ascii="楷体" w:hAnsi="楷体" w:eastAsia="楷体"/>
          <w:sz w:val="28"/>
          <w:szCs w:val="28"/>
          <w:highlight w:val="none"/>
        </w:rPr>
      </w:pPr>
      <w:r>
        <w:rPr>
          <w:rFonts w:hint="eastAsia" w:ascii="楷体" w:hAnsi="楷体" w:eastAsia="楷体"/>
          <w:sz w:val="28"/>
          <w:szCs w:val="28"/>
          <w:highlight w:val="none"/>
        </w:rPr>
        <w:t>表1：部门整体支出绩效自评表</w:t>
      </w:r>
    </w:p>
    <w:tbl>
      <w:tblPr>
        <w:tblW w:w="92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915"/>
        <w:gridCol w:w="915"/>
        <w:gridCol w:w="1270"/>
        <w:gridCol w:w="1436"/>
        <w:gridCol w:w="1436"/>
        <w:gridCol w:w="1436"/>
        <w:gridCol w:w="915"/>
        <w:gridCol w:w="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bookmarkStart w:id="10" w:name="_Toc171765188"/>
            <w:bookmarkStart w:id="11" w:name="_Toc171772698"/>
            <w:bookmarkStart w:id="12" w:name="_Toc263686390"/>
            <w:bookmarkStart w:id="13" w:name="_Toc268005765"/>
            <w:bookmarkStart w:id="14" w:name="_Toc171764863"/>
            <w:r>
              <w:rPr>
                <w:rFonts w:hint="eastAsia" w:ascii="宋体" w:hAnsi="宋体" w:eastAsia="宋体" w:cs="宋体"/>
                <w:i w:val="0"/>
                <w:color w:val="000000"/>
                <w:kern w:val="0"/>
                <w:sz w:val="24"/>
                <w:szCs w:val="24"/>
                <w:u w:val="none"/>
                <w:bdr w:val="none" w:color="auto" w:sz="0" w:space="0"/>
                <w:lang w:val="en-US" w:eastAsia="zh-CN" w:bidi="ar"/>
              </w:rPr>
              <w:t>年度指标完成情况</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一级</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指标</w:t>
            </w:r>
          </w:p>
        </w:tc>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二级指标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三级指标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年度指标值</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实际完成值</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分值</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绩效目标1（与年度绩效目标序号对应）</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产出指标</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数量指标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援甘干部人数</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=1人</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1人</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保障部门数</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≥6个</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6个</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组织集中宣传活动</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≥3次</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3次</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组织开展防震减灾培训</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≥1次</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1次</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符合条件的紧急避难场所数量</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≥46所</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55所</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购置防汛物资种类</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≥5种</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5种</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质量指标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按时发放</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按时发放</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宣传受众群众</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≥1000人次</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接受培训人数</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≥198人次</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机构运转稳定率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宣传活动覆盖率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应急避难场所标识牌合格率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固定避难场所平面图合格率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应急避难场所宣传牌合格率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1"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购买第三方服务履行服务合同执行率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r>
              <w:rPr>
                <w:rStyle w:val="14"/>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防汛演练覆盖率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购置质量过硬的各类防汛物资、设备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防汛物资基本满足本区防汛需求</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2"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防汛演练要素齐全，高质量完成</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检验预案可操作性，提高响应速度，提升各部门配合程度</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时效指标 </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按月发放</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按月发放</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机构运行保障及时率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培训宣传年份</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2021年</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2021年</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紧急避难场所验收及时率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隐患排查及时率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年底完成避难场所挂牌数量占比</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按签订合同执行率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r>
              <w:rPr>
                <w:rStyle w:val="14"/>
                <w:bdr w:val="none" w:color="auto" w:sz="0" w:space="0"/>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2"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购置各类防汛物资、设备使用时效</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按照具体物资、设备使用年限配备购置，确保汛期物资完备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防汛演练开展时间</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6月3日</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6月3日</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成本指标 </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保障机构运转经费</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≤17万元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6.8万元</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发放援甘干部补助</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≤5.7万元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4.8万元</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防震减灾培训宣传经费</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≤7万元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2.1万元</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应急避难场所建设经费</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≤110万元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6.2万元</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安全隐患排查经费</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≤1000万元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154.4万元</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防汛演练经费</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18.5万元</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年度预算</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≤1136.62万元</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效益指标</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经济效益</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组织集中宣传活动</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≥3次</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组织培训</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≥1次</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社会效益</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提高群众的防灾减灾意识</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提高</w:t>
            </w:r>
          </w:p>
        </w:tc>
        <w:tc>
          <w:tcPr>
            <w:tcW w:w="1436"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提高群众的防灾减灾意识，基本达成预期指标</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避难场所可容纳受灾人数与常驻人口数量占比</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≥30%</w:t>
            </w:r>
          </w:p>
        </w:tc>
        <w:tc>
          <w:tcPr>
            <w:tcW w:w="1436"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30%，基本达成预期指标</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有效规范企业安全生产行为，减少企业安全生产隐患，避免发生生产安全事故</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避免发生重特大生产安全事故</w:t>
            </w:r>
          </w:p>
        </w:tc>
        <w:tc>
          <w:tcPr>
            <w:tcW w:w="1436"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2021年未发生重特大生产安全事故，基本达成预期指标</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购置各类防汛物资、设备达到的实际效果</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齐装满员，确保发生汛情第一时间响应，有效处置</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2"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开展防汛演练达到的实际效果</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检验并完善应急预案，提高各部门应急响应速度和配合程度，确保居民百姓安全度汛</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可持续影响</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指标</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为援甘干部做好后勤保障，保障援甘工作可持续开展</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完成</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提高群众的防灾减灾意识</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完成</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3"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提高企业安全意识，减少隐患，避免发生生产安全事故</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安全生产形势基本稳定</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trPr>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总体</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满意度</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满意度</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指标</w:t>
            </w:r>
          </w:p>
        </w:tc>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服务对象</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满意度</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绩效管理公众评议满意度</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≥95%</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10</w:t>
            </w:r>
          </w:p>
        </w:tc>
      </w:tr>
    </w:tbl>
    <w:p>
      <w:pPr>
        <w:spacing w:after="0" w:line="540" w:lineRule="exact"/>
        <w:ind w:firstLine="640"/>
        <w:rPr>
          <w:rFonts w:hint="eastAsia" w:ascii="黑体" w:hAnsi="黑体" w:eastAsia="黑体" w:cs="Times New Roman"/>
          <w:b/>
          <w:sz w:val="32"/>
          <w:szCs w:val="32"/>
          <w:highlight w:val="none"/>
        </w:rPr>
      </w:pPr>
    </w:p>
    <w:p>
      <w:pPr>
        <w:spacing w:after="0" w:line="540" w:lineRule="exact"/>
        <w:ind w:firstLine="640"/>
        <w:rPr>
          <w:rFonts w:ascii="黑体" w:hAnsi="黑体" w:eastAsia="黑体" w:cs="Times New Roman"/>
          <w:b/>
          <w:sz w:val="32"/>
          <w:szCs w:val="32"/>
          <w:highlight w:val="none"/>
        </w:rPr>
      </w:pPr>
      <w:r>
        <w:rPr>
          <w:rFonts w:hint="eastAsia" w:ascii="黑体" w:hAnsi="黑体" w:eastAsia="黑体" w:cs="Times New Roman"/>
          <w:b/>
          <w:sz w:val="32"/>
          <w:szCs w:val="32"/>
          <w:highlight w:val="none"/>
        </w:rPr>
        <w:t>四、存在问题和改进措施</w:t>
      </w:r>
    </w:p>
    <w:p>
      <w:pPr>
        <w:spacing w:after="0" w:line="540" w:lineRule="exact"/>
        <w:ind w:firstLine="640"/>
        <w:rPr>
          <w:rFonts w:hint="eastAsia" w:ascii="楷体_GB2312" w:hAnsi="仿宋" w:eastAsia="楷体_GB2312"/>
          <w:b/>
          <w:sz w:val="32"/>
          <w:szCs w:val="32"/>
          <w:highlight w:val="none"/>
        </w:rPr>
      </w:pPr>
      <w:r>
        <w:rPr>
          <w:rFonts w:hint="eastAsia" w:ascii="楷体_GB2312" w:hAnsi="仿宋" w:eastAsia="楷体_GB2312"/>
          <w:b/>
          <w:sz w:val="32"/>
          <w:szCs w:val="32"/>
          <w:highlight w:val="none"/>
        </w:rPr>
        <w:t>（一）存在问题</w:t>
      </w:r>
    </w:p>
    <w:p>
      <w:pPr>
        <w:pStyle w:val="2"/>
        <w:rPr>
          <w:rFonts w:hint="eastAsia" w:ascii="仿宋" w:hAnsi="仿宋" w:eastAsia="仿宋" w:cs="宋体"/>
          <w:color w:val="000000"/>
          <w:kern w:val="0"/>
          <w:sz w:val="32"/>
          <w:szCs w:val="32"/>
          <w:highlight w:val="none"/>
          <w:lang w:val="en-US" w:eastAsia="zh-CN" w:bidi="ar-SA"/>
        </w:rPr>
      </w:pPr>
      <w:r>
        <w:rPr>
          <w:rFonts w:hint="eastAsia" w:ascii="仿宋" w:hAnsi="仿宋" w:eastAsia="仿宋" w:cs="宋体"/>
          <w:color w:val="000000"/>
          <w:kern w:val="0"/>
          <w:sz w:val="32"/>
          <w:szCs w:val="32"/>
          <w:highlight w:val="none"/>
          <w:lang w:val="en-US" w:eastAsia="zh-CN" w:bidi="ar-SA"/>
        </w:rPr>
        <w:t>部分项目尾款尚未结清，资金管理仍存在进步空间。</w:t>
      </w:r>
    </w:p>
    <w:p>
      <w:pPr>
        <w:spacing w:after="0" w:line="540" w:lineRule="exact"/>
        <w:ind w:firstLine="640"/>
        <w:rPr>
          <w:rFonts w:ascii="楷体_GB2312" w:hAnsi="仿宋" w:eastAsia="楷体_GB2312"/>
          <w:b/>
          <w:sz w:val="32"/>
          <w:szCs w:val="32"/>
          <w:highlight w:val="none"/>
        </w:rPr>
      </w:pPr>
      <w:r>
        <w:rPr>
          <w:rFonts w:hint="eastAsia" w:ascii="楷体_GB2312" w:hAnsi="仿宋" w:eastAsia="楷体_GB2312"/>
          <w:b/>
          <w:sz w:val="32"/>
          <w:szCs w:val="32"/>
          <w:highlight w:val="none"/>
        </w:rPr>
        <w:t>（二）改进措施</w:t>
      </w:r>
    </w:p>
    <w:bookmarkEnd w:id="10"/>
    <w:bookmarkEnd w:id="11"/>
    <w:bookmarkEnd w:id="12"/>
    <w:bookmarkEnd w:id="13"/>
    <w:bookmarkEnd w:id="14"/>
    <w:p>
      <w:pPr>
        <w:pStyle w:val="7"/>
        <w:spacing w:before="0" w:beforeAutospacing="0" w:after="0" w:afterAutospacing="0" w:line="540" w:lineRule="exact"/>
        <w:ind w:firstLine="640" w:firstLineChars="200"/>
        <w:jc w:val="both"/>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我单位将加快工作推进力度，做好预算控制，完善资产管理，</w:t>
      </w:r>
      <w:r>
        <w:rPr>
          <w:rFonts w:hint="eastAsia" w:ascii="仿宋" w:hAnsi="仿宋" w:eastAsia="仿宋"/>
          <w:sz w:val="32"/>
          <w:szCs w:val="32"/>
          <w:highlight w:val="none"/>
          <w:lang w:val="en-US" w:eastAsia="zh-CN"/>
        </w:rPr>
        <w:t>保质保量实现绩效目标。</w:t>
      </w:r>
    </w:p>
    <w:p>
      <w:pPr>
        <w:pStyle w:val="7"/>
        <w:spacing w:before="0" w:beforeAutospacing="0" w:after="0" w:afterAutospacing="0" w:line="540" w:lineRule="exact"/>
        <w:ind w:firstLine="642" w:firstLineChars="200"/>
        <w:jc w:val="both"/>
        <w:rPr>
          <w:rFonts w:ascii="仿宋" w:hAnsi="仿宋" w:eastAsia="黑体"/>
          <w:sz w:val="32"/>
          <w:szCs w:val="32"/>
          <w:highlight w:val="none"/>
        </w:rPr>
      </w:pPr>
      <w:r>
        <w:rPr>
          <w:rFonts w:hint="eastAsia" w:ascii="黑体" w:hAnsi="黑体" w:eastAsia="黑体" w:cs="Times New Roman"/>
          <w:b/>
          <w:color w:val="auto"/>
          <w:kern w:val="2"/>
          <w:sz w:val="32"/>
          <w:szCs w:val="32"/>
          <w:highlight w:val="none"/>
        </w:rPr>
        <w:t>五、其他需要说明的情况</w:t>
      </w:r>
    </w:p>
    <w:p>
      <w:pPr>
        <w:spacing w:after="0" w:line="540" w:lineRule="exact"/>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无其他需要说明的情况。</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5"/>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366C0"/>
    <w:rsid w:val="00096ED1"/>
    <w:rsid w:val="000B725D"/>
    <w:rsid w:val="000D28FF"/>
    <w:rsid w:val="000F506F"/>
    <w:rsid w:val="0012248D"/>
    <w:rsid w:val="001E0BA7"/>
    <w:rsid w:val="001E31FE"/>
    <w:rsid w:val="002219E7"/>
    <w:rsid w:val="00246E9E"/>
    <w:rsid w:val="00277B60"/>
    <w:rsid w:val="002825AA"/>
    <w:rsid w:val="002B256A"/>
    <w:rsid w:val="002D6645"/>
    <w:rsid w:val="00325CDC"/>
    <w:rsid w:val="00492B98"/>
    <w:rsid w:val="004B3AEF"/>
    <w:rsid w:val="005529C7"/>
    <w:rsid w:val="00576418"/>
    <w:rsid w:val="005877E2"/>
    <w:rsid w:val="005A75D7"/>
    <w:rsid w:val="005D1600"/>
    <w:rsid w:val="00726F06"/>
    <w:rsid w:val="007D0D57"/>
    <w:rsid w:val="0080545B"/>
    <w:rsid w:val="00890613"/>
    <w:rsid w:val="008D26AB"/>
    <w:rsid w:val="00932C43"/>
    <w:rsid w:val="009B4E28"/>
    <w:rsid w:val="00A63451"/>
    <w:rsid w:val="00A8690F"/>
    <w:rsid w:val="00AD0A06"/>
    <w:rsid w:val="00AE3BB3"/>
    <w:rsid w:val="00B72591"/>
    <w:rsid w:val="00BA19A1"/>
    <w:rsid w:val="00BC38D4"/>
    <w:rsid w:val="00BF6A82"/>
    <w:rsid w:val="00C0089D"/>
    <w:rsid w:val="00C115AA"/>
    <w:rsid w:val="00C55079"/>
    <w:rsid w:val="00C747B2"/>
    <w:rsid w:val="00CD5E41"/>
    <w:rsid w:val="00D04AD3"/>
    <w:rsid w:val="00D06262"/>
    <w:rsid w:val="00D32EED"/>
    <w:rsid w:val="00D519C5"/>
    <w:rsid w:val="00D616BA"/>
    <w:rsid w:val="00DA0267"/>
    <w:rsid w:val="00DD57DA"/>
    <w:rsid w:val="00E027E0"/>
    <w:rsid w:val="00E26FF1"/>
    <w:rsid w:val="00E27E43"/>
    <w:rsid w:val="00E57148"/>
    <w:rsid w:val="00ED7332"/>
    <w:rsid w:val="00EF4F53"/>
    <w:rsid w:val="00F11CD0"/>
    <w:rsid w:val="00F324E1"/>
    <w:rsid w:val="00F77D55"/>
    <w:rsid w:val="00FB216A"/>
    <w:rsid w:val="02F74F86"/>
    <w:rsid w:val="043E06DE"/>
    <w:rsid w:val="04F2770F"/>
    <w:rsid w:val="090507D3"/>
    <w:rsid w:val="0A8E7BE6"/>
    <w:rsid w:val="0B1E3585"/>
    <w:rsid w:val="0D2131AD"/>
    <w:rsid w:val="0DA651AB"/>
    <w:rsid w:val="0ECB61A8"/>
    <w:rsid w:val="11916C6D"/>
    <w:rsid w:val="1B471AE5"/>
    <w:rsid w:val="1B5D75E4"/>
    <w:rsid w:val="21B631A5"/>
    <w:rsid w:val="21C06A17"/>
    <w:rsid w:val="23AA66A7"/>
    <w:rsid w:val="24D27B28"/>
    <w:rsid w:val="268B30A3"/>
    <w:rsid w:val="2EF91626"/>
    <w:rsid w:val="30375BD2"/>
    <w:rsid w:val="30A92E3B"/>
    <w:rsid w:val="356F523C"/>
    <w:rsid w:val="359B244B"/>
    <w:rsid w:val="35C00B7E"/>
    <w:rsid w:val="35C070A7"/>
    <w:rsid w:val="3876316A"/>
    <w:rsid w:val="3A054AC9"/>
    <w:rsid w:val="3A5B2759"/>
    <w:rsid w:val="3F936BB3"/>
    <w:rsid w:val="45EE109C"/>
    <w:rsid w:val="498A1F75"/>
    <w:rsid w:val="49AB449D"/>
    <w:rsid w:val="4A2D0673"/>
    <w:rsid w:val="4A783AB7"/>
    <w:rsid w:val="4DCF2866"/>
    <w:rsid w:val="52BD598A"/>
    <w:rsid w:val="56B91573"/>
    <w:rsid w:val="5C3468B5"/>
    <w:rsid w:val="5EFC7055"/>
    <w:rsid w:val="5FE46715"/>
    <w:rsid w:val="642A326D"/>
    <w:rsid w:val="67798E2D"/>
    <w:rsid w:val="681E750B"/>
    <w:rsid w:val="68564B9A"/>
    <w:rsid w:val="68817EE4"/>
    <w:rsid w:val="6CC37F33"/>
    <w:rsid w:val="6D6D3443"/>
    <w:rsid w:val="6F97194C"/>
    <w:rsid w:val="70874519"/>
    <w:rsid w:val="73325D4D"/>
    <w:rsid w:val="740752C3"/>
    <w:rsid w:val="75A7235D"/>
    <w:rsid w:val="7658178E"/>
    <w:rsid w:val="76FD2727"/>
    <w:rsid w:val="77F51365"/>
    <w:rsid w:val="7B4BF0C4"/>
    <w:rsid w:val="7B6DB7F0"/>
    <w:rsid w:val="7C47DD80"/>
    <w:rsid w:val="7E377C09"/>
    <w:rsid w:val="7ED530BD"/>
    <w:rsid w:val="7F37B1D0"/>
    <w:rsid w:val="7F6C4F4C"/>
    <w:rsid w:val="7F9ABCB5"/>
    <w:rsid w:val="994FD2A8"/>
    <w:rsid w:val="BDEB1BA4"/>
    <w:rsid w:val="BF47591F"/>
    <w:rsid w:val="DF8B3848"/>
    <w:rsid w:val="EEB5C34A"/>
    <w:rsid w:val="EF6E5998"/>
    <w:rsid w:val="F5C5C9DF"/>
    <w:rsid w:val="F7EF746F"/>
    <w:rsid w:val="FA9FFD36"/>
    <w:rsid w:val="FEBF0ABE"/>
    <w:rsid w:val="FFFF5F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eastAsia="宋体" w:asciiTheme="minorHAnsi" w:hAnsiTheme="minorHAnsi"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3"/>
    <w:qFormat/>
    <w:uiPriority w:val="0"/>
    <w:pPr>
      <w:ind w:firstLine="420" w:firstLineChars="200"/>
    </w:pPr>
    <w:rPr>
      <w:rFonts w:eastAsia="仿宋_GB2312"/>
      <w:kern w:val="0"/>
      <w:sz w:val="32"/>
      <w:szCs w:val="20"/>
    </w:rPr>
  </w:style>
  <w:style w:type="paragraph" w:styleId="3">
    <w:name w:val="Date"/>
    <w:basedOn w:val="1"/>
    <w:next w:val="1"/>
    <w:unhideWhenUsed/>
    <w:qFormat/>
    <w:uiPriority w:val="0"/>
    <w:pPr>
      <w:ind w:left="100" w:leftChars="2500"/>
    </w:pPr>
    <w:rPr>
      <w:szCs w:val="22"/>
    </w:rPr>
  </w:style>
  <w:style w:type="paragraph" w:styleId="4">
    <w:name w:val="Body Text Indent"/>
    <w:basedOn w:val="1"/>
    <w:link w:val="13"/>
    <w:unhideWhenUsed/>
    <w:qFormat/>
    <w:uiPriority w:val="99"/>
    <w:pPr>
      <w:ind w:left="284" w:firstLine="200" w:firstLineChars="200"/>
    </w:pPr>
    <w:rPr>
      <w:rFonts w:ascii="楷体_GB2312" w:hAnsi="Times New Roman" w:eastAsia="楷体_GB2312" w:cs="Times New Roman"/>
      <w:sz w:val="84"/>
      <w:szCs w:val="20"/>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10">
    <w:name w:val="page number"/>
    <w:basedOn w:val="9"/>
    <w:unhideWhenUsed/>
    <w:qFormat/>
    <w:uiPriority w:val="99"/>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正文文本缩进 Char"/>
    <w:basedOn w:val="9"/>
    <w:link w:val="4"/>
    <w:qFormat/>
    <w:uiPriority w:val="99"/>
    <w:rPr>
      <w:rFonts w:ascii="楷体_GB2312" w:hAnsi="Times New Roman" w:eastAsia="楷体_GB2312" w:cs="Times New Roman"/>
      <w:sz w:val="84"/>
      <w:szCs w:val="20"/>
    </w:rPr>
  </w:style>
  <w:style w:type="character" w:customStyle="1" w:styleId="14">
    <w:name w:val="font21"/>
    <w:basedOn w:val="9"/>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185</Words>
  <Characters>1055</Characters>
  <Lines>8</Lines>
  <Paragraphs>2</Paragraphs>
  <TotalTime>217</TotalTime>
  <ScaleCrop>false</ScaleCrop>
  <LinksUpToDate>false</LinksUpToDate>
  <CharactersWithSpaces>1238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2018-07-26T16:42:00Z</dcterms:created>
  <dc:creator>Suda</dc:creator>
  <cp:lastModifiedBy>greatwall</cp:lastModifiedBy>
  <cp:lastPrinted>2022-06-28T16:55:45Z</cp:lastPrinted>
  <dcterms:modified xsi:type="dcterms:W3CDTF">2022-06-28T17:03:58Z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