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40" w:lineRule="exact"/>
        <w:jc w:val="left"/>
        <w:outlineLvl w:val="0"/>
        <w:rPr>
          <w:rFonts w:ascii="黑体" w:hAnsi="黑体" w:eastAsia="黑体" w:cs="仿宋_GB2312"/>
          <w:b/>
          <w:bCs/>
          <w:sz w:val="28"/>
          <w:szCs w:val="28"/>
        </w:rPr>
      </w:pPr>
      <w:bookmarkStart w:id="0" w:name="_Toc456965826"/>
      <w:r>
        <w:rPr>
          <w:rFonts w:hint="eastAsia" w:ascii="黑体" w:hAnsi="黑体" w:eastAsia="黑体" w:cs="仿宋_GB2312"/>
          <w:b/>
          <w:bCs/>
          <w:sz w:val="28"/>
          <w:szCs w:val="28"/>
        </w:rPr>
        <w:t>附件5</w:t>
      </w:r>
    </w:p>
    <w:p>
      <w:pPr>
        <w:spacing w:after="0" w:line="540" w:lineRule="exact"/>
        <w:ind w:firstLine="640"/>
        <w:jc w:val="center"/>
        <w:outlineLvl w:val="0"/>
        <w:rPr>
          <w:rFonts w:ascii="黑体" w:hAnsi="黑体" w:eastAsia="黑体" w:cs="仿宋_GB2312"/>
          <w:b/>
          <w:bCs/>
          <w:sz w:val="44"/>
          <w:szCs w:val="44"/>
        </w:rPr>
      </w:pPr>
    </w:p>
    <w:p>
      <w:pPr>
        <w:spacing w:after="0" w:line="540" w:lineRule="exact"/>
        <w:ind w:firstLine="640"/>
        <w:jc w:val="center"/>
        <w:outlineLvl w:val="0"/>
        <w:rPr>
          <w:rFonts w:ascii="黑体" w:hAnsi="黑体" w:eastAsia="黑体" w:cs="仿宋_GB2312"/>
          <w:b/>
          <w:bCs/>
          <w:sz w:val="44"/>
          <w:szCs w:val="44"/>
        </w:rPr>
      </w:pPr>
      <w:r>
        <w:rPr>
          <w:rFonts w:hint="eastAsia" w:ascii="黑体" w:hAnsi="黑体" w:eastAsia="黑体" w:cs="仿宋_GB2312"/>
          <w:b/>
          <w:bCs/>
          <w:sz w:val="44"/>
          <w:szCs w:val="44"/>
        </w:rPr>
        <w:t>天津市和平区人民政府政务服务办公室</w:t>
      </w:r>
      <w:r>
        <w:rPr>
          <w:rFonts w:hint="default" w:ascii="黑体" w:hAnsi="黑体" w:eastAsia="黑体" w:cs="仿宋_GB2312"/>
          <w:b/>
          <w:bCs/>
          <w:sz w:val="44"/>
          <w:szCs w:val="44"/>
          <w:lang w:val="en"/>
        </w:rPr>
        <w:t>2021</w:t>
      </w:r>
      <w:r>
        <w:rPr>
          <w:rFonts w:hint="eastAsia" w:ascii="黑体" w:hAnsi="黑体" w:eastAsia="黑体" w:cs="仿宋_GB2312"/>
          <w:b/>
          <w:bCs/>
          <w:sz w:val="44"/>
          <w:szCs w:val="44"/>
        </w:rPr>
        <w:t>年整体支出绩效自评报告</w:t>
      </w: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</w:p>
    <w:p>
      <w:pPr>
        <w:spacing w:after="0" w:line="540" w:lineRule="exact"/>
        <w:ind w:firstLine="640"/>
        <w:outlineLvl w:val="0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一、部门概述</w:t>
      </w:r>
      <w:bookmarkEnd w:id="0"/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1" w:name="_Toc456965827"/>
      <w:r>
        <w:rPr>
          <w:rFonts w:hint="eastAsia" w:ascii="楷体_GB2312" w:hAnsi="仿宋" w:eastAsia="楷体_GB2312" w:cs="仿宋_GB2312"/>
          <w:b/>
          <w:sz w:val="32"/>
          <w:szCs w:val="32"/>
        </w:rPr>
        <w:t>（一）部门职能</w:t>
      </w:r>
      <w:bookmarkEnd w:id="1"/>
    </w:p>
    <w:p>
      <w:pPr>
        <w:pStyle w:val="12"/>
        <w:spacing w:line="500" w:lineRule="exact"/>
        <w:ind w:firstLine="640"/>
        <w:rPr>
          <w:rFonts w:ascii="仿宋" w:hAnsi="仿宋" w:eastAsia="仿宋"/>
          <w:kern w:val="2"/>
          <w:sz w:val="32"/>
          <w:szCs w:val="32"/>
        </w:rPr>
      </w:pPr>
      <w:bookmarkStart w:id="2" w:name="_Toc456965828"/>
      <w:r>
        <w:rPr>
          <w:rFonts w:hint="eastAsia" w:ascii="仿宋" w:hAnsi="仿宋" w:eastAsia="仿宋"/>
          <w:kern w:val="2"/>
          <w:sz w:val="32"/>
          <w:szCs w:val="32"/>
        </w:rPr>
        <w:t>天津市和平区人民政府政务服务办公室主要职能为：贯彻执行国家和市有关政务服务工作的法律、法规、规章和方针、政策，制定政务服务目录、年度计划，并组织实施。负责行政审批制度改革工作，组织行政审批和政务服务事项的具体实施，提供优质、规范、高效的政务服务。负责政务服务体系建设。贯彻执行市政服务运行评价标准和监督评价机制。对涉及多部门的政务服务进行协调。负责组织推动“互联网+政务服务”及政务服务平台综合功能设施的应用。指导基层政务服务工作。组织推动市场化、法制化、国际化、便利化的营商环境，统筹协调和监督指导各部门营商环境建设工作。负责投资项目、经贸商务、环保城管、文教卫生、社会事务等方面的行政审批及相关事项。组织相关现场踏勘、技术论证及信息公开等相关工作。负责进驻的职能部门政务服务工作的规范、管理和监督，并对相关人员进行教育培训、监督管理和绩效考核。负责本部门安全生产管理工作。负责为招商引资工作提供政务服务。负责本部门人才队伍建设。承办区委、区政府交办的其他事项。下属事业单位职能是为区政务服务工作提供相关技术性、辅助性等保障工作。</w:t>
      </w:r>
    </w:p>
    <w:p>
      <w:pPr>
        <w:numPr>
          <w:ilvl w:val="0"/>
          <w:numId w:val="1"/>
        </w:num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机构</w:t>
      </w:r>
      <w:bookmarkEnd w:id="2"/>
      <w:r>
        <w:rPr>
          <w:rFonts w:hint="eastAsia" w:ascii="楷体_GB2312" w:hAnsi="仿宋" w:eastAsia="楷体_GB2312" w:cs="仿宋_GB2312"/>
          <w:b/>
          <w:sz w:val="32"/>
          <w:szCs w:val="32"/>
        </w:rPr>
        <w:t>及人员情况</w:t>
      </w:r>
    </w:p>
    <w:p>
      <w:pPr>
        <w:pStyle w:val="12"/>
        <w:spacing w:line="500" w:lineRule="exact"/>
        <w:ind w:firstLine="640"/>
        <w:rPr>
          <w:rFonts w:ascii="仿宋" w:hAnsi="仿宋" w:eastAsia="仿宋"/>
          <w:kern w:val="2"/>
          <w:sz w:val="32"/>
          <w:szCs w:val="32"/>
        </w:rPr>
      </w:pPr>
      <w:r>
        <w:rPr>
          <w:rFonts w:hint="eastAsia" w:ascii="仿宋" w:hAnsi="仿宋" w:eastAsia="仿宋"/>
          <w:kern w:val="2"/>
          <w:sz w:val="32"/>
          <w:szCs w:val="32"/>
        </w:rPr>
        <w:t>天津市和平区人民政府政务服务办公室，为行政单位。天津市和平区人民政府政务服务办公室内设8个职能处室。下辖一个事业单位，为科级单位。截止</w:t>
      </w:r>
      <w:r>
        <w:rPr>
          <w:rFonts w:hint="default" w:ascii="仿宋" w:hAnsi="仿宋" w:eastAsia="仿宋"/>
          <w:kern w:val="2"/>
          <w:sz w:val="32"/>
          <w:szCs w:val="32"/>
          <w:lang w:val="en"/>
        </w:rPr>
        <w:t>2021</w:t>
      </w:r>
      <w:r>
        <w:rPr>
          <w:rFonts w:hint="eastAsia" w:ascii="仿宋" w:hAnsi="仿宋" w:eastAsia="仿宋"/>
          <w:kern w:val="2"/>
          <w:sz w:val="32"/>
          <w:szCs w:val="32"/>
        </w:rPr>
        <w:t>年12月底，在职人员编制51人，实有45人，行政单位编制</w:t>
      </w:r>
      <w:r>
        <w:rPr>
          <w:rFonts w:hint="eastAsia" w:ascii="仿宋" w:hAnsi="仿宋" w:eastAsia="仿宋"/>
          <w:kern w:val="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kern w:val="2"/>
          <w:sz w:val="32"/>
          <w:szCs w:val="32"/>
        </w:rPr>
        <w:t>人，实有2</w:t>
      </w:r>
      <w:r>
        <w:rPr>
          <w:rFonts w:hint="default" w:ascii="仿宋" w:hAnsi="仿宋" w:eastAsia="仿宋"/>
          <w:kern w:val="2"/>
          <w:sz w:val="32"/>
          <w:szCs w:val="32"/>
          <w:lang w:val="en"/>
        </w:rPr>
        <w:t>8</w:t>
      </w:r>
      <w:r>
        <w:rPr>
          <w:rFonts w:hint="eastAsia" w:ascii="仿宋" w:hAnsi="仿宋" w:eastAsia="仿宋"/>
          <w:kern w:val="2"/>
          <w:sz w:val="32"/>
          <w:szCs w:val="32"/>
        </w:rPr>
        <w:t>人，事业单位编制21人，实有1</w:t>
      </w:r>
      <w:r>
        <w:rPr>
          <w:rFonts w:hint="default" w:ascii="仿宋" w:hAnsi="仿宋" w:eastAsia="仿宋"/>
          <w:kern w:val="2"/>
          <w:sz w:val="32"/>
          <w:szCs w:val="32"/>
          <w:lang w:val="en"/>
        </w:rPr>
        <w:t>7</w:t>
      </w:r>
      <w:r>
        <w:rPr>
          <w:rFonts w:hint="eastAsia" w:ascii="仿宋" w:hAnsi="仿宋" w:eastAsia="仿宋"/>
          <w:kern w:val="2"/>
          <w:sz w:val="32"/>
          <w:szCs w:val="32"/>
        </w:rPr>
        <w:t>人。</w:t>
      </w:r>
    </w:p>
    <w:p>
      <w:pPr>
        <w:spacing w:after="0"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bookmarkStart w:id="3" w:name="_Toc456965831"/>
      <w:r>
        <w:rPr>
          <w:rFonts w:hint="eastAsia" w:ascii="黑体" w:hAnsi="黑体" w:eastAsia="黑体"/>
          <w:sz w:val="32"/>
          <w:szCs w:val="32"/>
        </w:rPr>
        <w:t>二、部门预算、预算执行及管理情况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</w:t>
      </w:r>
      <w:r>
        <w:rPr>
          <w:rFonts w:hint="eastAsia" w:ascii="楷体_GB2312" w:hAnsi="仿宋" w:eastAsia="楷体_GB2312" w:cs="仿宋_GB2312"/>
          <w:b/>
          <w:sz w:val="32"/>
          <w:szCs w:val="32"/>
        </w:rPr>
        <w:t>年度预决算情况</w:t>
      </w:r>
    </w:p>
    <w:p>
      <w:pPr>
        <w:spacing w:after="0" w:line="540" w:lineRule="exact"/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"/>
        </w:rPr>
        <w:t>2021</w:t>
      </w:r>
      <w:r>
        <w:rPr>
          <w:rFonts w:hint="eastAsia" w:ascii="仿宋" w:hAnsi="仿宋" w:eastAsia="仿宋"/>
          <w:sz w:val="32"/>
          <w:szCs w:val="32"/>
        </w:rPr>
        <w:t>年年初预算财政拨款1548.0万元，其中：基本支出1104.5万元，项目支出443.5万元。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上年财政拨款结转结余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0万元，其中：基本支出0万元，项目支出0万元。</w:t>
      </w:r>
    </w:p>
    <w:p>
      <w:pPr>
        <w:spacing w:after="0" w:line="540" w:lineRule="exact"/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决算财政拨款</w:t>
      </w:r>
      <w:r>
        <w:rPr>
          <w:rFonts w:hint="eastAsia" w:ascii="仿宋" w:hAnsi="仿宋" w:eastAsia="仿宋"/>
          <w:sz w:val="32"/>
          <w:szCs w:val="32"/>
        </w:rPr>
        <w:t>支出131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2.0</w:t>
      </w:r>
      <w:r>
        <w:rPr>
          <w:rFonts w:hint="eastAsia" w:ascii="仿宋" w:hAnsi="仿宋" w:eastAsia="仿宋"/>
          <w:sz w:val="32"/>
          <w:szCs w:val="32"/>
        </w:rPr>
        <w:t>万元，其中基本支出114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7.1</w:t>
      </w:r>
      <w:r>
        <w:rPr>
          <w:rFonts w:hint="eastAsia" w:ascii="仿宋" w:hAnsi="仿宋" w:eastAsia="仿宋"/>
          <w:sz w:val="32"/>
          <w:szCs w:val="32"/>
        </w:rPr>
        <w:t>万元，项目支出164.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。年末结转结余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1.0万元，其中：基本支出1.0万元，项目支出0万元。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（二）年度主要任务完成情况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任务1：保证大厅在职人员工资、办公基本运行，保障单位基本运转</w:t>
      </w:r>
      <w:r>
        <w:rPr>
          <w:rFonts w:hint="eastAsia" w:ascii="仿宋" w:hAnsi="仿宋" w:eastAsia="仿宋"/>
          <w:sz w:val="32"/>
          <w:szCs w:val="32"/>
          <w:lang w:eastAsia="zh-CN"/>
        </w:rPr>
        <w:t>。年初预算金额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1269.0万元，全年预算金额1208.6万元，执行数1208.6万元，执行率100%。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实际完成情况：</w:t>
      </w:r>
      <w:r>
        <w:rPr>
          <w:rFonts w:hint="eastAsia" w:ascii="仿宋" w:hAnsi="仿宋" w:eastAsia="仿宋"/>
          <w:sz w:val="32"/>
          <w:szCs w:val="32"/>
        </w:rPr>
        <w:t>保证人员工资、津贴、保险、公积金及日常办公的正常运行，保障单位基本运转。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任务2:为行政许可审批合法合规，提供组织专家评审，促和谐营商环境。</w:t>
      </w:r>
      <w:r>
        <w:rPr>
          <w:rFonts w:hint="eastAsia" w:ascii="仿宋" w:hAnsi="仿宋" w:eastAsia="仿宋"/>
          <w:sz w:val="32"/>
          <w:szCs w:val="32"/>
          <w:lang w:eastAsia="zh-CN"/>
        </w:rPr>
        <w:t>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50万元，全年预算金额8.1万元，执行数8.1万元，执行率100%。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实际完成情况：行政许可审批合法、合规，行政人员高效服务，社会认可度高。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任务3:为企业做好服务，免费提供帮办领办服务、免费为新开办企业发放印章、审批结果EMS送达，为来办事人员提供贴心、便利服务。</w:t>
      </w:r>
      <w:r>
        <w:rPr>
          <w:rFonts w:hint="eastAsia" w:ascii="仿宋" w:hAnsi="仿宋" w:eastAsia="仿宋"/>
          <w:sz w:val="32"/>
          <w:szCs w:val="32"/>
          <w:lang w:eastAsia="zh-CN"/>
        </w:rPr>
        <w:t>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209.0万元，全年预算金额90.0万元，执行数90.0万元，执行率100%。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实际完成情况：降低了企业开办成本，提高企业办事便利度，打造办事方便、法治良好、成本竞争力强、生态宜居的营商环境，吸引企业到和平创业、落户。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任务4:为进驻部门“海河英才”、大厅工作人员做好后勤保障工作。</w:t>
      </w:r>
      <w:r>
        <w:rPr>
          <w:rFonts w:hint="eastAsia" w:ascii="仿宋" w:hAnsi="仿宋" w:eastAsia="仿宋"/>
          <w:sz w:val="32"/>
          <w:szCs w:val="32"/>
          <w:lang w:eastAsia="zh-CN"/>
        </w:rPr>
        <w:t>年初预算金额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20万元，全年预算金额5.3万元，执行数5.3万元，执行率100%。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实际完成情况</w:t>
      </w:r>
      <w:r>
        <w:rPr>
          <w:rFonts w:hint="eastAsia" w:ascii="仿宋" w:hAnsi="仿宋" w:eastAsia="仿宋"/>
          <w:sz w:val="32"/>
          <w:szCs w:val="32"/>
        </w:rPr>
        <w:t>：“海河人才”进驻的区人社局、区教育局、公安和平分局3个窗口人员做好硬件及相关窗口人员的办公保障，保障工作人员能做好咨询服务和业务办理。同时为在大厅工作人员创造创造整洁、有序的办公环境，保障机关人员正常办公，保障人员就餐问题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（三）部门财务管理情况</w:t>
      </w:r>
    </w:p>
    <w:bookmarkEnd w:id="3"/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4" w:name="_Toc268005759"/>
      <w:bookmarkStart w:id="5" w:name="_Toc263686375"/>
      <w:bookmarkStart w:id="6" w:name="_Toc456965846"/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hint="default" w:ascii="仿宋" w:hAnsi="仿宋" w:eastAsia="仿宋"/>
          <w:sz w:val="32"/>
          <w:szCs w:val="32"/>
          <w:lang w:val="en"/>
        </w:rPr>
        <w:t>2021</w:t>
      </w:r>
      <w:r>
        <w:rPr>
          <w:rFonts w:hint="eastAsia" w:ascii="仿宋" w:hAnsi="仿宋" w:eastAsia="仿宋"/>
          <w:sz w:val="32"/>
          <w:szCs w:val="32"/>
        </w:rPr>
        <w:t>年度健全完善部门内控制度，全面梳理业务流程，明确业务环节，分析风险隐患，有效运用不相容岗位相互分离、内部授权审批控制、归口管理、预算控制、会计控制、单据控制、信息内部公开等内部控制基本方法，加强对单位层面和业务层面的内部控制，实现内部控制体系全面、有效实施。建立单位内控监督约束机制，接受上级纪检、审计、业务部门检查指导，确保资金安全、合理、有效使用，最大限度发挥财政资金使用效益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加强会计核算工作。严格执行现行固定资产管理制度，对购入的固定资产、收到的捐赠资产等及时入账，并按照数量、金额登记明细账，编制固定资产卡片，确保账面上能真实、完整的反映单位的固定资产情况，并结合本单位的实际情况，完善固定资产管理制度。</w:t>
      </w:r>
    </w:p>
    <w:p>
      <w:pPr>
        <w:spacing w:after="0" w:line="5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加强程序管理。对纳入政府采购目录范围内的资产采购，必须报政府采购中心进行政府采购；未纳入政府采购目录范围内的资产采购，采用其他形式采购。未纳入预算的固定资产，不得随意采购，确需急用，必须经相关部门批准。</w:t>
      </w:r>
    </w:p>
    <w:p>
      <w:pPr>
        <w:spacing w:after="0"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坚持高质高效推进工作，维护机关财务整体运行。按照年度工作安排和上级部门工作部署，完成年度预算、决算、日常核算，编制各类报表。规范经费审批程序，发挥会计工作预算管理、绩效管理、风险管理等方面职能作用。会计工作由核算型向管理型转型、向服务型升级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黑体" w:hAnsi="黑体" w:eastAsia="黑体" w:cs="Times New Roman"/>
          <w:b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整体支出绩效自评情况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bookmarkStart w:id="7" w:name="_Toc268005760"/>
      <w:r>
        <w:rPr>
          <w:rFonts w:hint="eastAsia" w:ascii="楷体_GB2312" w:hAnsi="仿宋" w:eastAsia="楷体_GB2312" w:cs="仿宋_GB2312"/>
          <w:b/>
          <w:sz w:val="32"/>
          <w:szCs w:val="32"/>
        </w:rPr>
        <w:t>（一）</w:t>
      </w:r>
      <w:bookmarkEnd w:id="7"/>
      <w:r>
        <w:rPr>
          <w:rFonts w:hint="eastAsia" w:ascii="楷体_GB2312" w:hAnsi="仿宋" w:eastAsia="楷体_GB2312" w:cs="仿宋_GB2312"/>
          <w:b/>
          <w:sz w:val="32"/>
          <w:szCs w:val="32"/>
        </w:rPr>
        <w:t>年度整体支出绩效目标完成情况自评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8" w:name="_Toc268005761"/>
      <w:r>
        <w:rPr>
          <w:rFonts w:hint="eastAsia" w:ascii="仿宋" w:hAnsi="仿宋" w:eastAsia="仿宋"/>
          <w:sz w:val="32"/>
          <w:szCs w:val="32"/>
          <w:lang w:val="en-US" w:eastAsia="zh-CN"/>
        </w:rPr>
        <w:t>1.自评结论：</w:t>
      </w:r>
      <w:r>
        <w:rPr>
          <w:rFonts w:hint="eastAsia" w:ascii="仿宋" w:hAnsi="仿宋" w:eastAsia="仿宋"/>
          <w:sz w:val="32"/>
          <w:szCs w:val="32"/>
        </w:rPr>
        <w:t xml:space="preserve">我单位2021年整体绩效目标自评分数97.5分，等级为优。绩效目标设定、预算配置合理清晰；各预算项目执行过程中，预算执行率高，资金管理制度健全；较好地完成了各项目年初设定的绩效目标，积极开展项目绩效自评工作；全年各预算项目开展后，部门整体履职效益突出，服务对象满意度高。                                                            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2.存在问题、产生原因及改进措施: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存在问题：部门项目因财政经费原因，未按年初计划开展，今后结合实际进一步合理设定目标。改进</w:t>
      </w:r>
      <w:r>
        <w:rPr>
          <w:rFonts w:hint="eastAsia" w:ascii="仿宋" w:hAnsi="仿宋" w:eastAsia="仿宋"/>
          <w:sz w:val="32"/>
          <w:szCs w:val="32"/>
          <w:lang w:eastAsia="zh-CN"/>
        </w:rPr>
        <w:t>措施：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（1）完善绩效目标设定。在根据部门整体的绩效目标细化分解为具体的工作任务时，总结以前年度绩效目标未完成原因，结合工作实际，进一步完善绩效目标设定，使绩效目标更加清晰、可衡量。（2）加强预算控制。按照“先预算、后支出”的原则，突出预算对支出的控制。落实预算执行责任制。将预算指标进行科学分解，采取把预算分配与预算执行进度管理相结合的有效方式，及时掌握预算执行进度，定期上党组会议通报，查找存在的问题，提出解决方案，改善预算执行“前松后紧”的被动局面。（3）做好资金使用研判和统筹。        </w:t>
      </w:r>
    </w:p>
    <w:p>
      <w:pPr>
        <w:spacing w:after="0" w:line="540" w:lineRule="exact"/>
        <w:ind w:firstLine="643" w:firstLineChars="200"/>
        <w:outlineLvl w:val="1"/>
        <w:rPr>
          <w:rFonts w:ascii="楷体_GB2312" w:hAnsi="仿宋" w:eastAsia="楷体_GB2312" w:cs="仿宋_GB2312"/>
          <w:b/>
          <w:sz w:val="32"/>
          <w:szCs w:val="32"/>
        </w:rPr>
      </w:pPr>
      <w:r>
        <w:rPr>
          <w:rFonts w:hint="eastAsia" w:ascii="楷体_GB2312" w:hAnsi="仿宋" w:eastAsia="楷体_GB2312" w:cs="仿宋_GB2312"/>
          <w:b/>
          <w:sz w:val="32"/>
          <w:szCs w:val="32"/>
        </w:rPr>
        <w:t>（二）</w:t>
      </w:r>
      <w:bookmarkEnd w:id="8"/>
      <w:r>
        <w:rPr>
          <w:rFonts w:hint="eastAsia" w:ascii="楷体_GB2312" w:hAnsi="仿宋" w:eastAsia="楷体_GB2312" w:cs="仿宋_GB2312"/>
          <w:b/>
          <w:sz w:val="32"/>
          <w:szCs w:val="32"/>
        </w:rPr>
        <w:t>绩效目标完成情况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完成情况：</w:t>
      </w:r>
    </w:p>
    <w:p>
      <w:pPr>
        <w:spacing w:after="0" w:line="540" w:lineRule="exact"/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数量指标包括：保障人员工资、补贴人数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/>
          <w:sz w:val="32"/>
          <w:szCs w:val="32"/>
          <w:lang w:eastAsia="zh-CN"/>
        </w:rPr>
        <w:t>人，物业合同管理区域面积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7100㎡；质量指标包括：工资发放到位率达100%，办公区域保洁达标率95%；时效指标包括：工资发放及时率100%，办公区域保洁工作及时率95%；成本指标包括：人员、办公等费用支出总费用1147.1万元，物业服务经费47.1万元，主要原因是由于财政资金紧张未足额拨付；效益指标包括：通过及时保障人员公用经费，保证工作人员工作效率，全部达到预期指标；通过聘请物业服务，已改善单位办公环境，全部达到预期指标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lang w:eastAsia="zh-CN"/>
        </w:rPr>
        <w:t>完成情况：</w:t>
      </w:r>
    </w:p>
    <w:p>
      <w:pPr>
        <w:spacing w:after="0" w:line="54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数量指标</w:t>
      </w:r>
      <w:r>
        <w:rPr>
          <w:rFonts w:hint="eastAsia" w:ascii="仿宋" w:hAnsi="仿宋" w:eastAsia="仿宋"/>
          <w:sz w:val="32"/>
          <w:szCs w:val="32"/>
          <w:lang w:eastAsia="zh-CN"/>
        </w:rPr>
        <w:t>包括：评审项目类别数量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个；质量指标包括：使行政许可审批合法、合规率达到100%；时效指标包括：依行政许可事项办理及时率达到100%；成本指标包括：专家评审经费全年结算8.1万元，由于财政资金紧张未足额拨付；社会效益指标包括：促进行政许可最大便利化，提升营商环境，全部达到预期指标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完成情况：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数量指标</w:t>
      </w:r>
      <w:r>
        <w:rPr>
          <w:rFonts w:hint="eastAsia" w:ascii="仿宋" w:hAnsi="仿宋" w:eastAsia="仿宋"/>
          <w:sz w:val="32"/>
          <w:szCs w:val="32"/>
          <w:lang w:eastAsia="zh-CN"/>
        </w:rPr>
        <w:t>包括：为和平区新开办企业免费发放印章数量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14131枚，帮办领办服务企业数7298家；质量指标包括：免费邮寄准确率达到100%，刻制印章合格率达到100%，帮办服务办件合格率达到100%；时效指标包括：印章完成及时率达到100%，免费邮寄按时送达率达到100%，帮办服务承诺时限1天；成本指标包括：外埠邮寄单价20元，本市邮寄单价10元，免费刻章每套单价320元，帮办领办运行服务费47.7万元，主要原因由于财政资金紧张未足额拨付；社会效益指标包括：已降低企业开办成本，已提高企业办事便利度，通过中介帮办领办服务，持续减低企业成本，提高了服务质量，增强企业活力，全部达到预期指标。</w:t>
      </w:r>
    </w:p>
    <w:p>
      <w:pPr>
        <w:spacing w:after="0" w:line="54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完成情况：</w:t>
      </w:r>
    </w:p>
    <w:p>
      <w:pPr>
        <w:spacing w:after="0" w:line="54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数量指标</w:t>
      </w:r>
      <w:r>
        <w:rPr>
          <w:rFonts w:hint="eastAsia" w:ascii="仿宋" w:hAnsi="仿宋" w:eastAsia="仿宋"/>
          <w:sz w:val="32"/>
          <w:szCs w:val="32"/>
          <w:lang w:eastAsia="zh-CN"/>
        </w:rPr>
        <w:t>包括：进驻的区人社局、区教育局、公安和平分局3个窗口人员数量16人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；质量指标包括：进驻人员办公保障率100%；时效指标包括：进驻人员办公保障及时率达到100%；成本指标包括：海河英才保障经费全年结算5.3万元，由于财政资金紧张未足额拨付；社会效益指标包括：已做好窗口工作人员后勤保障，全部达到预期指标。</w:t>
      </w:r>
    </w:p>
    <w:p>
      <w:pPr>
        <w:spacing w:after="0" w:line="54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以上目标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服务对象满意度绩效管理公众评议满意度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达95%。</w:t>
      </w:r>
    </w:p>
    <w:p>
      <w:pPr>
        <w:spacing w:after="0" w:line="5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（三）自评得分</w:t>
      </w:r>
      <w:bookmarkEnd w:id="5"/>
      <w:bookmarkEnd w:id="6"/>
    </w:p>
    <w:p>
      <w:pPr>
        <w:widowControl/>
        <w:spacing w:after="0" w:line="540" w:lineRule="exac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表1：部门整体支出绩效自评表</w:t>
      </w:r>
    </w:p>
    <w:tbl>
      <w:tblPr>
        <w:tblStyle w:val="6"/>
        <w:tblW w:w="8439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122"/>
        <w:gridCol w:w="2556"/>
        <w:gridCol w:w="850"/>
        <w:gridCol w:w="1134"/>
        <w:gridCol w:w="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投入（15分）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目标设定（5分）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88.24%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过程（45分）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预算执行（16分）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0.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08</w:t>
            </w:r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-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47.64</w:t>
            </w:r>
            <w:bookmarkStart w:id="14" w:name="_GoBack"/>
            <w:bookmarkEnd w:id="14"/>
            <w:r>
              <w:rPr>
                <w:rFonts w:hint="eastAsia" w:ascii="宋体" w:hAnsi="宋体" w:cs="宋体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预算管理（18分）</w:t>
            </w: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已公开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完善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资产管理（11分）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基本完整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    合规率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产出（20分）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责任履行（20分）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6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开展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包括经济效益指标、社会效益指标等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满意度（10分）</w:t>
            </w:r>
          </w:p>
        </w:tc>
        <w:tc>
          <w:tcPr>
            <w:tcW w:w="2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社会公众或服务对象满意度（10分）</w:t>
            </w:r>
          </w:p>
        </w:tc>
        <w:tc>
          <w:tcPr>
            <w:tcW w:w="2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  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99%以上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5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优</w:t>
            </w:r>
          </w:p>
        </w:tc>
      </w:tr>
    </w:tbl>
    <w:p>
      <w:pPr>
        <w:spacing w:after="0" w:line="540" w:lineRule="exact"/>
        <w:ind w:firstLine="640"/>
        <w:rPr>
          <w:rFonts w:ascii="黑体" w:hAnsi="黑体" w:eastAsia="黑体" w:cs="Times New Roman"/>
          <w:b/>
          <w:sz w:val="32"/>
          <w:szCs w:val="32"/>
        </w:rPr>
      </w:pPr>
      <w:bookmarkStart w:id="9" w:name="_Toc171765188"/>
      <w:bookmarkStart w:id="10" w:name="_Toc263686390"/>
      <w:bookmarkStart w:id="11" w:name="_Toc171772698"/>
      <w:bookmarkStart w:id="12" w:name="_Toc268005765"/>
      <w:bookmarkStart w:id="13" w:name="_Toc171764863"/>
      <w:r>
        <w:rPr>
          <w:rFonts w:hint="eastAsia" w:ascii="黑体" w:hAnsi="黑体" w:eastAsia="黑体" w:cs="Times New Roman"/>
          <w:b/>
          <w:sz w:val="32"/>
          <w:szCs w:val="32"/>
        </w:rPr>
        <w:t>四、存在问题和改进措施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（一）存在问题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spacing w:after="0" w:line="540" w:lineRule="exact"/>
        <w:ind w:firstLine="640"/>
        <w:rPr>
          <w:rFonts w:ascii="楷体_GB2312" w:hAnsi="仿宋" w:eastAsia="楷体_GB2312"/>
          <w:b/>
          <w:sz w:val="32"/>
          <w:szCs w:val="32"/>
        </w:rPr>
      </w:pPr>
      <w:r>
        <w:rPr>
          <w:rFonts w:hint="eastAsia" w:ascii="楷体_GB2312" w:hAnsi="仿宋" w:eastAsia="楷体_GB2312"/>
          <w:b/>
          <w:sz w:val="32"/>
          <w:szCs w:val="32"/>
        </w:rPr>
        <w:t>（二）改进措施</w:t>
      </w:r>
    </w:p>
    <w:bookmarkEnd w:id="9"/>
    <w:bookmarkEnd w:id="10"/>
    <w:bookmarkEnd w:id="11"/>
    <w:bookmarkEnd w:id="12"/>
    <w:bookmarkEnd w:id="13"/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p>
      <w:pPr>
        <w:pStyle w:val="5"/>
        <w:spacing w:before="0" w:beforeAutospacing="0" w:after="0" w:afterAutospacing="0" w:line="540" w:lineRule="exact"/>
        <w:ind w:firstLine="643" w:firstLineChars="200"/>
        <w:jc w:val="both"/>
        <w:rPr>
          <w:rFonts w:ascii="仿宋" w:hAnsi="仿宋" w:eastAsia="黑体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auto"/>
          <w:kern w:val="2"/>
          <w:sz w:val="32"/>
          <w:szCs w:val="32"/>
        </w:rPr>
        <w:t>五、其他需要说明的情况</w:t>
      </w:r>
    </w:p>
    <w:p>
      <w:pPr>
        <w:spacing w:after="0" w:line="540" w:lineRule="exact"/>
        <w:ind w:firstLine="64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无。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5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5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8997F5"/>
    <w:multiLevelType w:val="singleLevel"/>
    <w:tmpl w:val="4B8997F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5D"/>
    <w:rsid w:val="000366C0"/>
    <w:rsid w:val="00096ED1"/>
    <w:rsid w:val="000B725D"/>
    <w:rsid w:val="000D28FF"/>
    <w:rsid w:val="000F506F"/>
    <w:rsid w:val="0012248D"/>
    <w:rsid w:val="001D5282"/>
    <w:rsid w:val="001E0BA7"/>
    <w:rsid w:val="001E31FE"/>
    <w:rsid w:val="002219E7"/>
    <w:rsid w:val="00246E9E"/>
    <w:rsid w:val="00277B60"/>
    <w:rsid w:val="002825AA"/>
    <w:rsid w:val="002B256A"/>
    <w:rsid w:val="002D6645"/>
    <w:rsid w:val="00325CDC"/>
    <w:rsid w:val="00492B98"/>
    <w:rsid w:val="004B3AEF"/>
    <w:rsid w:val="00546647"/>
    <w:rsid w:val="005529C7"/>
    <w:rsid w:val="00576418"/>
    <w:rsid w:val="005877E2"/>
    <w:rsid w:val="005A75D7"/>
    <w:rsid w:val="005D1600"/>
    <w:rsid w:val="00726F06"/>
    <w:rsid w:val="007D0D57"/>
    <w:rsid w:val="0080545B"/>
    <w:rsid w:val="00890613"/>
    <w:rsid w:val="008D26AB"/>
    <w:rsid w:val="00932C43"/>
    <w:rsid w:val="009B4E28"/>
    <w:rsid w:val="00A63451"/>
    <w:rsid w:val="00A8690F"/>
    <w:rsid w:val="00AD0A06"/>
    <w:rsid w:val="00AE3BB3"/>
    <w:rsid w:val="00B72591"/>
    <w:rsid w:val="00BA19A1"/>
    <w:rsid w:val="00BC38D4"/>
    <w:rsid w:val="00BF6A82"/>
    <w:rsid w:val="00C0089D"/>
    <w:rsid w:val="00C115AA"/>
    <w:rsid w:val="00C55079"/>
    <w:rsid w:val="00C747B2"/>
    <w:rsid w:val="00CD5E41"/>
    <w:rsid w:val="00D04AD3"/>
    <w:rsid w:val="00D06262"/>
    <w:rsid w:val="00D32EED"/>
    <w:rsid w:val="00D519C5"/>
    <w:rsid w:val="00D616BA"/>
    <w:rsid w:val="00DA0267"/>
    <w:rsid w:val="00DD57DA"/>
    <w:rsid w:val="00E027E0"/>
    <w:rsid w:val="00E26FF1"/>
    <w:rsid w:val="00E27E43"/>
    <w:rsid w:val="00E57148"/>
    <w:rsid w:val="00E7428A"/>
    <w:rsid w:val="00ED7332"/>
    <w:rsid w:val="00EF4F53"/>
    <w:rsid w:val="00F11CD0"/>
    <w:rsid w:val="00F324E1"/>
    <w:rsid w:val="00F671AF"/>
    <w:rsid w:val="00F77D55"/>
    <w:rsid w:val="00FB216A"/>
    <w:rsid w:val="02386F4D"/>
    <w:rsid w:val="02F74F86"/>
    <w:rsid w:val="043E06DE"/>
    <w:rsid w:val="04F2770F"/>
    <w:rsid w:val="061C6195"/>
    <w:rsid w:val="06592768"/>
    <w:rsid w:val="080301EC"/>
    <w:rsid w:val="090507D3"/>
    <w:rsid w:val="0A8E7BE6"/>
    <w:rsid w:val="0B1E3585"/>
    <w:rsid w:val="0D2131AD"/>
    <w:rsid w:val="0DA651AB"/>
    <w:rsid w:val="0E65028B"/>
    <w:rsid w:val="0ECB61A8"/>
    <w:rsid w:val="0FFA221D"/>
    <w:rsid w:val="11916C6D"/>
    <w:rsid w:val="16BC2DBC"/>
    <w:rsid w:val="1AD11B7E"/>
    <w:rsid w:val="1B1A47A5"/>
    <w:rsid w:val="1B471AE5"/>
    <w:rsid w:val="1B5D75E4"/>
    <w:rsid w:val="208D0A8A"/>
    <w:rsid w:val="21B631A5"/>
    <w:rsid w:val="21C06A17"/>
    <w:rsid w:val="22B456A9"/>
    <w:rsid w:val="23AA66A7"/>
    <w:rsid w:val="24C6266F"/>
    <w:rsid w:val="24D27B28"/>
    <w:rsid w:val="268B30A3"/>
    <w:rsid w:val="26BD0006"/>
    <w:rsid w:val="2CA36BB7"/>
    <w:rsid w:val="2E89131A"/>
    <w:rsid w:val="2EF91626"/>
    <w:rsid w:val="30375BD2"/>
    <w:rsid w:val="30A92E3B"/>
    <w:rsid w:val="313E0EC8"/>
    <w:rsid w:val="31A63DB9"/>
    <w:rsid w:val="31BF70BA"/>
    <w:rsid w:val="32DA0D7B"/>
    <w:rsid w:val="34016D00"/>
    <w:rsid w:val="34A858DD"/>
    <w:rsid w:val="356F523C"/>
    <w:rsid w:val="359B244B"/>
    <w:rsid w:val="35C00B7E"/>
    <w:rsid w:val="35C070A7"/>
    <w:rsid w:val="3876316A"/>
    <w:rsid w:val="3A054AC9"/>
    <w:rsid w:val="3A5B2759"/>
    <w:rsid w:val="3B505A43"/>
    <w:rsid w:val="3B881D0F"/>
    <w:rsid w:val="3E9260D6"/>
    <w:rsid w:val="3EE91D92"/>
    <w:rsid w:val="3F936BB3"/>
    <w:rsid w:val="45DA474A"/>
    <w:rsid w:val="45EE109C"/>
    <w:rsid w:val="497E4DE4"/>
    <w:rsid w:val="498A1F75"/>
    <w:rsid w:val="49AB449D"/>
    <w:rsid w:val="4A2D0673"/>
    <w:rsid w:val="4A783AB7"/>
    <w:rsid w:val="4D2A7DA1"/>
    <w:rsid w:val="4DC71C77"/>
    <w:rsid w:val="4DCF2866"/>
    <w:rsid w:val="50511C48"/>
    <w:rsid w:val="52BD598A"/>
    <w:rsid w:val="569403AC"/>
    <w:rsid w:val="56B91573"/>
    <w:rsid w:val="57A52659"/>
    <w:rsid w:val="57E45BD3"/>
    <w:rsid w:val="5BF72CBB"/>
    <w:rsid w:val="5C3468B5"/>
    <w:rsid w:val="5D9F4A2F"/>
    <w:rsid w:val="5FE46715"/>
    <w:rsid w:val="608E03E0"/>
    <w:rsid w:val="60A907BE"/>
    <w:rsid w:val="62B1716A"/>
    <w:rsid w:val="642A326D"/>
    <w:rsid w:val="65395D3A"/>
    <w:rsid w:val="65844700"/>
    <w:rsid w:val="664A3BDF"/>
    <w:rsid w:val="66CA55C7"/>
    <w:rsid w:val="681E750B"/>
    <w:rsid w:val="68564B9A"/>
    <w:rsid w:val="68817EE4"/>
    <w:rsid w:val="68A96101"/>
    <w:rsid w:val="6AAD6147"/>
    <w:rsid w:val="6B9E0743"/>
    <w:rsid w:val="6C1B3E73"/>
    <w:rsid w:val="6CC37F33"/>
    <w:rsid w:val="6E193D29"/>
    <w:rsid w:val="70013EC3"/>
    <w:rsid w:val="70874519"/>
    <w:rsid w:val="70E1511D"/>
    <w:rsid w:val="73325D4D"/>
    <w:rsid w:val="736F6D44"/>
    <w:rsid w:val="74040134"/>
    <w:rsid w:val="740752C3"/>
    <w:rsid w:val="74D52A18"/>
    <w:rsid w:val="7658178E"/>
    <w:rsid w:val="76BA4A29"/>
    <w:rsid w:val="77F51365"/>
    <w:rsid w:val="7A690EB1"/>
    <w:rsid w:val="7BFD87B2"/>
    <w:rsid w:val="7E377C09"/>
    <w:rsid w:val="7ED530BD"/>
    <w:rsid w:val="7F6C4F4C"/>
    <w:rsid w:val="FFFFBC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nhideWhenUsed/>
    <w:qFormat/>
    <w:uiPriority w:val="99"/>
    <w:pPr>
      <w:ind w:left="284" w:firstLine="200" w:firstLineChars="200"/>
    </w:pPr>
    <w:rPr>
      <w:rFonts w:ascii="楷体_GB2312" w:hAnsi="Times New Roman" w:eastAsia="楷体_GB2312" w:cs="Times New Roman"/>
      <w:sz w:val="84"/>
      <w:szCs w:val="20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page number"/>
    <w:basedOn w:val="7"/>
    <w:unhideWhenUsed/>
    <w:qFormat/>
    <w:uiPriority w:val="99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正文文本缩进 Char"/>
    <w:basedOn w:val="7"/>
    <w:link w:val="2"/>
    <w:qFormat/>
    <w:uiPriority w:val="99"/>
    <w:rPr>
      <w:rFonts w:ascii="楷体_GB2312" w:hAnsi="Times New Roman" w:eastAsia="楷体_GB2312" w:cs="Times New Roman"/>
      <w:sz w:val="84"/>
      <w:szCs w:val="20"/>
    </w:rPr>
  </w:style>
  <w:style w:type="paragraph" w:customStyle="1" w:styleId="12">
    <w:name w:val="无间隔1"/>
    <w:basedOn w:val="1"/>
    <w:qFormat/>
    <w:uiPriority w:val="0"/>
    <w:pPr>
      <w:widowControl/>
      <w:ind w:firstLine="200" w:firstLineChars="200"/>
      <w:jc w:val="left"/>
    </w:pPr>
    <w:rPr>
      <w:rFonts w:eastAsia="仿宋_GB2312"/>
      <w:kern w:val="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501</Words>
  <Characters>2859</Characters>
  <Lines>23</Lines>
  <Paragraphs>6</Paragraphs>
  <TotalTime>39</TotalTime>
  <ScaleCrop>false</ScaleCrop>
  <LinksUpToDate>false</LinksUpToDate>
  <CharactersWithSpaces>3354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2018-07-24T00:42:00Z</dcterms:created>
  <dc:creator>Suda</dc:creator>
  <cp:lastModifiedBy>Hannah</cp:lastModifiedBy>
  <cp:lastPrinted>2022-08-25T09:34:11Z</cp:lastPrinted>
  <dcterms:modified xsi:type="dcterms:W3CDTF">2022-08-25T09:36:27Z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5ED2604A30FA46C8A5A83E321722232B</vt:lpwstr>
  </property>
</Properties>
</file>