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40" w:lineRule="exact"/>
        <w:jc w:val="left"/>
        <w:outlineLvl w:val="0"/>
        <w:rPr>
          <w:rFonts w:hint="eastAsia" w:ascii="黑体" w:hAnsi="黑体" w:eastAsia="黑体" w:cs="仿宋_GB2312"/>
          <w:b w:val="0"/>
          <w:bCs w:val="0"/>
          <w:sz w:val="28"/>
          <w:szCs w:val="28"/>
          <w:lang w:eastAsia="zh-CN"/>
        </w:rPr>
      </w:pPr>
      <w:bookmarkStart w:id="0" w:name="_Toc456965826"/>
      <w:r>
        <w:rPr>
          <w:rFonts w:hint="eastAsia" w:ascii="黑体" w:hAnsi="黑体" w:eastAsia="黑体" w:cs="仿宋_GB2312"/>
          <w:b w:val="0"/>
          <w:bCs w:val="0"/>
          <w:sz w:val="28"/>
          <w:szCs w:val="28"/>
        </w:rPr>
        <w:t>附件</w:t>
      </w:r>
      <w:r>
        <w:rPr>
          <w:rFonts w:hint="eastAsia" w:ascii="黑体" w:hAnsi="黑体" w:eastAsia="黑体" w:cs="仿宋_GB2312"/>
          <w:b w:val="0"/>
          <w:bCs w:val="0"/>
          <w:sz w:val="28"/>
          <w:szCs w:val="28"/>
          <w:lang w:val="en-US" w:eastAsia="zh-CN"/>
        </w:rPr>
        <w:t>4</w:t>
      </w:r>
    </w:p>
    <w:p>
      <w:pPr>
        <w:spacing w:after="0" w:line="540" w:lineRule="exact"/>
        <w:ind w:firstLine="640"/>
        <w:jc w:val="center"/>
        <w:outlineLvl w:val="0"/>
        <w:rPr>
          <w:rFonts w:hint="eastAsia" w:asciiTheme="majorEastAsia" w:hAnsiTheme="majorEastAsia" w:eastAsiaTheme="majorEastAsia" w:cstheme="majorEastAsia"/>
          <w:b/>
          <w:bCs/>
          <w:sz w:val="44"/>
          <w:szCs w:val="44"/>
        </w:rPr>
      </w:pPr>
    </w:p>
    <w:p>
      <w:pPr>
        <w:spacing w:after="0" w:line="540" w:lineRule="exact"/>
        <w:ind w:firstLine="640"/>
        <w:jc w:val="center"/>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和平区科技局202</w:t>
      </w:r>
      <w:r>
        <w:rPr>
          <w:rFonts w:hint="eastAsia" w:asciiTheme="majorEastAsia" w:hAnsiTheme="majorEastAsia" w:eastAsiaTheme="majorEastAsia" w:cstheme="majorEastAsia"/>
          <w:b/>
          <w:bCs/>
          <w:sz w:val="44"/>
          <w:szCs w:val="44"/>
          <w:lang w:val="en-US" w:eastAsia="zh-CN"/>
        </w:rPr>
        <w:t>1</w:t>
      </w:r>
      <w:r>
        <w:rPr>
          <w:rFonts w:hint="eastAsia" w:asciiTheme="majorEastAsia" w:hAnsiTheme="majorEastAsia" w:eastAsiaTheme="majorEastAsia" w:cstheme="majorEastAsia"/>
          <w:b/>
          <w:bCs/>
          <w:sz w:val="44"/>
          <w:szCs w:val="44"/>
        </w:rPr>
        <w:t>年整体支出</w:t>
      </w:r>
    </w:p>
    <w:p>
      <w:pPr>
        <w:spacing w:after="0" w:line="540" w:lineRule="exact"/>
        <w:ind w:firstLine="640"/>
        <w:jc w:val="center"/>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绩效自评报告</w:t>
      </w:r>
    </w:p>
    <w:p>
      <w:pPr>
        <w:spacing w:after="0" w:line="540" w:lineRule="exact"/>
        <w:ind w:firstLine="640"/>
        <w:outlineLvl w:val="0"/>
        <w:rPr>
          <w:rFonts w:ascii="黑体" w:hAnsi="黑体" w:eastAsia="黑体" w:cs="仿宋_GB2312"/>
          <w:b/>
          <w:bCs/>
          <w:sz w:val="32"/>
          <w:szCs w:val="32"/>
        </w:rPr>
      </w:pPr>
      <w:r>
        <w:rPr>
          <w:rFonts w:hint="eastAsia" w:ascii="黑体" w:hAnsi="黑体" w:eastAsia="黑体" w:cs="仿宋_GB2312"/>
          <w:b/>
          <w:bCs/>
          <w:sz w:val="32"/>
          <w:szCs w:val="32"/>
        </w:rPr>
        <w:t>一、部门概述</w:t>
      </w:r>
      <w:bookmarkEnd w:id="0"/>
    </w:p>
    <w:p>
      <w:pPr>
        <w:spacing w:line="600" w:lineRule="exact"/>
        <w:ind w:left="447" w:leftChars="213" w:firstLine="482" w:firstLineChars="150"/>
        <w:rPr>
          <w:rFonts w:hint="eastAsia" w:ascii="楷体_GB2312" w:hAnsi="仿宋" w:eastAsia="楷体_GB2312" w:cs="仿宋_GB2312"/>
          <w:b/>
          <w:sz w:val="32"/>
          <w:szCs w:val="32"/>
        </w:rPr>
      </w:pPr>
      <w:bookmarkStart w:id="1" w:name="_Toc456965827"/>
      <w:r>
        <w:rPr>
          <w:rFonts w:hint="eastAsia" w:ascii="楷体_GB2312" w:hAnsi="仿宋" w:eastAsia="楷体_GB2312" w:cs="仿宋_GB2312"/>
          <w:b/>
          <w:sz w:val="32"/>
          <w:szCs w:val="32"/>
        </w:rPr>
        <w:t>（一）部门职能</w:t>
      </w:r>
      <w:bookmarkEnd w:id="1"/>
    </w:p>
    <w:p>
      <w:pPr>
        <w:spacing w:line="600" w:lineRule="exact"/>
        <w:ind w:left="447" w:leftChars="213" w:firstLine="480" w:firstLineChars="150"/>
        <w:rPr>
          <w:rFonts w:hint="eastAsia" w:ascii="仿宋" w:hAnsi="仿宋" w:eastAsia="仿宋" w:cs="仿宋"/>
          <w:sz w:val="32"/>
          <w:szCs w:val="32"/>
        </w:rPr>
      </w:pPr>
      <w:bookmarkStart w:id="2" w:name="_Toc456965828"/>
      <w:r>
        <w:rPr>
          <w:rFonts w:hint="eastAsia" w:ascii="仿宋" w:hAnsi="仿宋" w:eastAsia="仿宋" w:cs="仿宋"/>
          <w:sz w:val="32"/>
          <w:szCs w:val="32"/>
        </w:rPr>
        <w:t>1、</w:t>
      </w:r>
      <w:r>
        <w:rPr>
          <w:rFonts w:hint="eastAsia" w:ascii="仿宋" w:hAnsi="仿宋" w:eastAsia="仿宋" w:cs="仿宋"/>
          <w:b w:val="0"/>
          <w:bCs/>
          <w:sz w:val="32"/>
          <w:szCs w:val="32"/>
        </w:rPr>
        <w:t>贯彻执行</w:t>
      </w:r>
      <w:r>
        <w:rPr>
          <w:rFonts w:hint="eastAsia" w:ascii="仿宋" w:hAnsi="仿宋" w:eastAsia="仿宋" w:cs="仿宋"/>
          <w:sz w:val="32"/>
          <w:szCs w:val="32"/>
        </w:rPr>
        <w:t>国家和市有关科学技术、工业信息化产业工作的法律、法规、规章和方针、政策。拟订科技、工业信息化产业规划、年度计划，并组织实施。</w:t>
      </w:r>
    </w:p>
    <w:p>
      <w:pPr>
        <w:spacing w:line="600" w:lineRule="exact"/>
        <w:ind w:left="447" w:leftChars="213" w:firstLine="320" w:firstLineChars="100"/>
        <w:rPr>
          <w:rFonts w:hint="eastAsia" w:ascii="仿宋" w:hAnsi="仿宋" w:eastAsia="仿宋" w:cs="仿宋"/>
          <w:sz w:val="32"/>
          <w:szCs w:val="32"/>
        </w:rPr>
      </w:pPr>
      <w:r>
        <w:rPr>
          <w:rFonts w:hint="eastAsia" w:ascii="仿宋" w:hAnsi="仿宋" w:eastAsia="仿宋" w:cs="仿宋"/>
          <w:sz w:val="32"/>
          <w:szCs w:val="32"/>
        </w:rPr>
        <w:t>2、优化科研体系建设，推动企业科技创新能力建设。落实重大科技决策咨询制度。研究科技发展布局和优先发展领域，支撑现代化经济体系建设。</w:t>
      </w:r>
    </w:p>
    <w:p>
      <w:pPr>
        <w:spacing w:line="600" w:lineRule="exact"/>
        <w:ind w:left="596" w:leftChars="284"/>
        <w:rPr>
          <w:rFonts w:hint="eastAsia" w:ascii="仿宋" w:hAnsi="仿宋" w:eastAsia="仿宋" w:cs="仿宋"/>
          <w:sz w:val="32"/>
          <w:szCs w:val="32"/>
        </w:rPr>
      </w:pPr>
      <w:r>
        <w:rPr>
          <w:rFonts w:hint="eastAsia" w:ascii="仿宋" w:hAnsi="仿宋" w:eastAsia="仿宋" w:cs="仿宋"/>
          <w:sz w:val="32"/>
          <w:szCs w:val="32"/>
        </w:rPr>
        <w:t>3、依托重点工程建设协调有关重大专项的实施，推动智能科技产业、生物医药产业、新能源、新材料等领域发展，鼓励重大技术装备发展和自主创新。</w:t>
      </w:r>
    </w:p>
    <w:p>
      <w:pPr>
        <w:spacing w:line="600" w:lineRule="exact"/>
        <w:ind w:left="596" w:leftChars="284"/>
        <w:rPr>
          <w:rFonts w:hint="eastAsia" w:ascii="仿宋" w:hAnsi="仿宋" w:eastAsia="仿宋" w:cs="仿宋"/>
          <w:sz w:val="32"/>
          <w:szCs w:val="32"/>
        </w:rPr>
      </w:pPr>
      <w:r>
        <w:rPr>
          <w:rFonts w:hint="eastAsia" w:ascii="仿宋" w:hAnsi="仿宋" w:eastAsia="仿宋" w:cs="仿宋"/>
          <w:sz w:val="32"/>
          <w:szCs w:val="32"/>
        </w:rPr>
        <w:t>4、负责工业技术改造的组织和实施工作，指导行业技术创新和技术进步。参与相关战略性新兴产业专项的组织实施。推进产学研结合和相关科研成果产业化。</w:t>
      </w:r>
    </w:p>
    <w:p>
      <w:pPr>
        <w:spacing w:line="600" w:lineRule="exact"/>
        <w:ind w:left="596" w:leftChars="284"/>
        <w:rPr>
          <w:rFonts w:hint="eastAsia" w:ascii="仿宋" w:hAnsi="仿宋" w:eastAsia="仿宋" w:cs="仿宋"/>
          <w:sz w:val="32"/>
          <w:szCs w:val="32"/>
        </w:rPr>
      </w:pPr>
      <w:r>
        <w:rPr>
          <w:rFonts w:hint="eastAsia" w:ascii="仿宋" w:hAnsi="仿宋" w:eastAsia="仿宋" w:cs="仿宋"/>
          <w:sz w:val="32"/>
          <w:szCs w:val="32"/>
        </w:rPr>
        <w:t>5、负责推动基础研究和应用技术研究。鼓励关键共性技术、前沿引领技术、现代工程技术、颠覆性技术研发和创新，牵头组织技术攻关和成果应用示范。</w:t>
      </w:r>
    </w:p>
    <w:p>
      <w:pPr>
        <w:spacing w:line="600" w:lineRule="exact"/>
        <w:ind w:left="596" w:leftChars="284"/>
        <w:rPr>
          <w:rFonts w:hint="eastAsia" w:ascii="仿宋" w:hAnsi="仿宋" w:eastAsia="仿宋" w:cs="仿宋"/>
          <w:sz w:val="32"/>
          <w:szCs w:val="32"/>
        </w:rPr>
      </w:pPr>
      <w:r>
        <w:rPr>
          <w:rFonts w:hint="eastAsia" w:ascii="仿宋" w:hAnsi="仿宋" w:eastAsia="仿宋" w:cs="仿宋"/>
          <w:sz w:val="32"/>
          <w:szCs w:val="32"/>
        </w:rPr>
        <w:t>6、负责推动科技服务业、技术市场和科技中介组织发展，推动新产品、新技术、新设备、新材料的推广应用。</w:t>
      </w:r>
    </w:p>
    <w:p>
      <w:pPr>
        <w:spacing w:line="600" w:lineRule="exact"/>
        <w:ind w:left="447" w:leftChars="213" w:firstLine="160" w:firstLineChars="50"/>
        <w:rPr>
          <w:rFonts w:hint="eastAsia" w:ascii="仿宋" w:hAnsi="仿宋" w:eastAsia="仿宋" w:cs="仿宋"/>
          <w:sz w:val="32"/>
          <w:szCs w:val="32"/>
        </w:rPr>
      </w:pPr>
      <w:r>
        <w:rPr>
          <w:rFonts w:hint="eastAsia" w:ascii="仿宋" w:hAnsi="仿宋" w:eastAsia="仿宋" w:cs="仿宋"/>
          <w:sz w:val="32"/>
          <w:szCs w:val="32"/>
        </w:rPr>
        <w:t>7、加强科研诚信建设相关工作的实施，负责科技计划项目组织、立项、评审、验收工作。</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8、承担本领域安全生产监督管理责任。</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9、负责推动科技领域人才队伍建设。</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10、组织推动科技领域招商引资工作。</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11、承办区委、区政府交办的其他事项。</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12、职能转变。加强、优化、转变政府科技管理和服务职能，完善科技创新制度和组织体系，加强宏观管理和统筹协调，减少微观管理和具体审批事项，加强事中事后监管和科研诚信建设。从研发管理向创新服务转变，深入推进科技计划管理改革。政府部门不直接管理具体科研项目，委托项目管理专业机构开展项目受理、评审、立项、过程管理、验收等具体工作。</w:t>
      </w:r>
    </w:p>
    <w:p>
      <w:pPr>
        <w:spacing w:line="600" w:lineRule="exact"/>
        <w:ind w:left="447" w:leftChars="213" w:firstLine="482" w:firstLineChars="150"/>
        <w:rPr>
          <w:rFonts w:hint="eastAsia" w:ascii="楷体_GB2312" w:hAnsi="仿宋" w:eastAsia="楷体_GB2312" w:cs="仿宋_GB2312"/>
          <w:b/>
          <w:sz w:val="32"/>
          <w:szCs w:val="32"/>
        </w:rPr>
      </w:pPr>
      <w:r>
        <w:rPr>
          <w:rFonts w:hint="eastAsia" w:ascii="楷体_GB2312" w:hAnsi="仿宋" w:eastAsia="楷体_GB2312" w:cs="仿宋_GB2312"/>
          <w:b/>
          <w:sz w:val="32"/>
          <w:szCs w:val="32"/>
        </w:rPr>
        <w:t>（二）机构</w:t>
      </w:r>
      <w:bookmarkEnd w:id="2"/>
      <w:r>
        <w:rPr>
          <w:rFonts w:hint="eastAsia" w:ascii="楷体_GB2312" w:hAnsi="仿宋" w:eastAsia="楷体_GB2312" w:cs="仿宋_GB2312"/>
          <w:b/>
          <w:sz w:val="32"/>
          <w:szCs w:val="32"/>
        </w:rPr>
        <w:t>及人员情况</w:t>
      </w:r>
    </w:p>
    <w:p>
      <w:pPr>
        <w:spacing w:line="600" w:lineRule="exact"/>
        <w:ind w:firstLine="640" w:firstLineChars="200"/>
        <w:rPr>
          <w:rFonts w:hint="eastAsia" w:ascii="仿宋" w:hAnsi="仿宋" w:eastAsia="仿宋" w:cs="仿宋"/>
          <w:sz w:val="32"/>
          <w:szCs w:val="32"/>
        </w:rPr>
      </w:pPr>
      <w:bookmarkStart w:id="3" w:name="_Toc456965831"/>
      <w:r>
        <w:rPr>
          <w:rFonts w:hint="eastAsia" w:ascii="仿宋" w:hAnsi="仿宋" w:eastAsia="仿宋" w:cs="仿宋"/>
          <w:sz w:val="32"/>
          <w:szCs w:val="32"/>
        </w:rPr>
        <w:t>区科技局内设综合工作科、科技工业科、科技开发促进科3个职能科室，下辖</w:t>
      </w:r>
      <w:r>
        <w:rPr>
          <w:rFonts w:hint="eastAsia" w:ascii="仿宋" w:hAnsi="仿宋" w:eastAsia="仿宋" w:cs="仿宋"/>
          <w:sz w:val="32"/>
          <w:szCs w:val="32"/>
          <w:lang w:val="en-US" w:eastAsia="zh-CN"/>
        </w:rPr>
        <w:t>1</w:t>
      </w:r>
      <w:r>
        <w:rPr>
          <w:rFonts w:hint="eastAsia" w:ascii="仿宋" w:hAnsi="仿宋" w:eastAsia="仿宋" w:cs="仿宋"/>
          <w:sz w:val="32"/>
          <w:szCs w:val="32"/>
        </w:rPr>
        <w:t>个预算单位。具体包括：</w:t>
      </w:r>
    </w:p>
    <w:p>
      <w:pPr>
        <w:spacing w:line="60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1、行政单位：天津市和平区科学技术局</w:t>
      </w:r>
    </w:p>
    <w:p>
      <w:pPr>
        <w:snapToGrid w:val="0"/>
        <w:spacing w:line="520" w:lineRule="exact"/>
        <w:rPr>
          <w:rFonts w:hint="eastAsia" w:ascii="仿宋" w:hAnsi="仿宋" w:eastAsia="仿宋" w:cs="仿宋"/>
          <w:sz w:val="32"/>
          <w:szCs w:val="32"/>
        </w:rPr>
      </w:pPr>
      <w:r>
        <w:rPr>
          <w:rFonts w:hint="eastAsia" w:ascii="仿宋" w:hAnsi="仿宋" w:eastAsia="仿宋" w:cs="仿宋"/>
          <w:sz w:val="32"/>
          <w:szCs w:val="32"/>
        </w:rPr>
        <w:t xml:space="preserve">   2、财政补助事业单位：天津市和平区科技创新发展中心  </w:t>
      </w:r>
    </w:p>
    <w:p>
      <w:pPr>
        <w:snapToGrid w:val="0"/>
        <w:spacing w:line="520" w:lineRule="exact"/>
        <w:rPr>
          <w:rFonts w:hint="eastAsia" w:ascii="仿宋" w:hAnsi="仿宋" w:eastAsia="仿宋" w:cs="仿宋"/>
          <w:sz w:val="32"/>
          <w:szCs w:val="32"/>
        </w:rPr>
      </w:pPr>
      <w:r>
        <w:rPr>
          <w:rFonts w:hint="eastAsia" w:ascii="仿宋" w:hAnsi="仿宋" w:eastAsia="仿宋" w:cs="仿宋"/>
          <w:sz w:val="32"/>
          <w:szCs w:val="32"/>
        </w:rPr>
        <w:t xml:space="preserve">    </w:t>
      </w:r>
    </w:p>
    <w:p>
      <w:pPr>
        <w:snapToGrid w:val="0"/>
        <w:spacing w:line="52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年底行政在职人员1</w:t>
      </w:r>
      <w:r>
        <w:rPr>
          <w:rFonts w:hint="eastAsia" w:ascii="仿宋" w:hAnsi="仿宋" w:eastAsia="仿宋" w:cs="仿宋"/>
          <w:sz w:val="32"/>
          <w:szCs w:val="32"/>
          <w:lang w:val="en-US" w:eastAsia="zh-CN"/>
        </w:rPr>
        <w:t>3</w:t>
      </w:r>
      <w:r>
        <w:rPr>
          <w:rFonts w:hint="eastAsia" w:ascii="仿宋" w:hAnsi="仿宋" w:eastAsia="仿宋" w:cs="仿宋"/>
          <w:sz w:val="32"/>
          <w:szCs w:val="32"/>
        </w:rPr>
        <w:t>人，</w:t>
      </w:r>
      <w:r>
        <w:rPr>
          <w:rFonts w:hint="eastAsia" w:ascii="仿宋" w:hAnsi="仿宋" w:eastAsia="仿宋" w:cs="仿宋"/>
          <w:sz w:val="32"/>
          <w:szCs w:val="32"/>
          <w:lang w:eastAsia="zh-CN"/>
        </w:rPr>
        <w:t>工勤人员</w:t>
      </w:r>
      <w:r>
        <w:rPr>
          <w:rFonts w:hint="eastAsia" w:ascii="仿宋" w:hAnsi="仿宋" w:eastAsia="仿宋" w:cs="仿宋"/>
          <w:sz w:val="32"/>
          <w:szCs w:val="32"/>
          <w:lang w:val="en-US" w:eastAsia="zh-CN"/>
        </w:rPr>
        <w:t>1人；</w:t>
      </w:r>
    </w:p>
    <w:p>
      <w:pPr>
        <w:snapToGri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财政补助事业单位在职</w:t>
      </w:r>
      <w:r>
        <w:rPr>
          <w:rFonts w:hint="eastAsia" w:ascii="仿宋" w:hAnsi="仿宋" w:eastAsia="仿宋" w:cs="仿宋"/>
          <w:sz w:val="32"/>
          <w:szCs w:val="32"/>
          <w:lang w:eastAsia="zh-CN"/>
        </w:rPr>
        <w:t>人员</w:t>
      </w:r>
      <w:r>
        <w:rPr>
          <w:rFonts w:hint="eastAsia" w:ascii="仿宋" w:hAnsi="仿宋" w:eastAsia="仿宋" w:cs="仿宋"/>
          <w:sz w:val="32"/>
          <w:szCs w:val="32"/>
        </w:rPr>
        <w:t>1</w:t>
      </w:r>
      <w:r>
        <w:rPr>
          <w:rFonts w:hint="eastAsia" w:ascii="仿宋" w:hAnsi="仿宋" w:eastAsia="仿宋" w:cs="仿宋"/>
          <w:sz w:val="32"/>
          <w:szCs w:val="32"/>
          <w:lang w:val="en-US" w:eastAsia="zh-CN"/>
        </w:rPr>
        <w:t>6</w:t>
      </w:r>
      <w:r>
        <w:rPr>
          <w:rFonts w:hint="eastAsia" w:ascii="仿宋" w:hAnsi="仿宋" w:eastAsia="仿宋" w:cs="仿宋"/>
          <w:sz w:val="32"/>
          <w:szCs w:val="32"/>
        </w:rPr>
        <w:t>人。</w:t>
      </w:r>
    </w:p>
    <w:p>
      <w:pPr>
        <w:spacing w:after="0" w:line="540" w:lineRule="exact"/>
        <w:ind w:firstLine="640"/>
        <w:rPr>
          <w:rFonts w:ascii="黑体" w:hAnsi="黑体" w:eastAsia="黑体"/>
          <w:b/>
          <w:sz w:val="32"/>
          <w:szCs w:val="32"/>
        </w:rPr>
      </w:pPr>
      <w:r>
        <w:rPr>
          <w:rFonts w:hint="eastAsia" w:ascii="黑体" w:hAnsi="黑体" w:eastAsia="黑体"/>
          <w:b/>
          <w:sz w:val="32"/>
          <w:szCs w:val="32"/>
        </w:rPr>
        <w:t>二、部门预算、预算执行及管理情况</w:t>
      </w:r>
    </w:p>
    <w:p>
      <w:pPr>
        <w:spacing w:line="600" w:lineRule="exact"/>
        <w:ind w:left="447" w:leftChars="213" w:firstLine="482" w:firstLineChars="150"/>
        <w:rPr>
          <w:rFonts w:hint="eastAsia" w:ascii="楷体_GB2312" w:hAnsi="仿宋" w:eastAsia="楷体_GB2312" w:cs="仿宋_GB2312"/>
          <w:b/>
          <w:sz w:val="32"/>
          <w:szCs w:val="32"/>
        </w:rPr>
      </w:pPr>
      <w:r>
        <w:rPr>
          <w:rFonts w:hint="eastAsia" w:ascii="楷体_GB2312" w:hAnsi="仿宋" w:eastAsia="楷体_GB2312" w:cs="仿宋_GB2312"/>
          <w:b/>
          <w:sz w:val="32"/>
          <w:szCs w:val="32"/>
        </w:rPr>
        <w:t>（一）年度预决算情况</w:t>
      </w:r>
    </w:p>
    <w:p>
      <w:pPr>
        <w:spacing w:line="600" w:lineRule="exact"/>
        <w:ind w:left="0" w:leftChars="0" w:firstLine="643" w:firstLineChars="200"/>
        <w:rPr>
          <w:rFonts w:hint="eastAsia" w:ascii="仿宋" w:hAnsi="仿宋" w:eastAsia="仿宋" w:cs="仿宋"/>
          <w:sz w:val="32"/>
          <w:szCs w:val="32"/>
        </w:rPr>
      </w:pPr>
      <w:r>
        <w:rPr>
          <w:rFonts w:hint="eastAsia" w:ascii="仿宋" w:hAnsi="仿宋" w:eastAsia="仿宋" w:cs="仿宋"/>
          <w:b/>
          <w:sz w:val="32"/>
          <w:szCs w:val="32"/>
        </w:rPr>
        <w:t>2</w:t>
      </w:r>
      <w:r>
        <w:rPr>
          <w:rFonts w:hint="eastAsia" w:ascii="仿宋" w:hAnsi="仿宋" w:eastAsia="仿宋" w:cs="仿宋"/>
          <w:sz w:val="32"/>
          <w:szCs w:val="32"/>
        </w:rPr>
        <w:t>02</w:t>
      </w:r>
      <w:r>
        <w:rPr>
          <w:rFonts w:hint="eastAsia" w:ascii="仿宋" w:hAnsi="仿宋" w:eastAsia="仿宋" w:cs="仿宋"/>
          <w:sz w:val="32"/>
          <w:szCs w:val="32"/>
          <w:lang w:val="en-US" w:eastAsia="zh-CN"/>
        </w:rPr>
        <w:t>1</w:t>
      </w:r>
      <w:r>
        <w:rPr>
          <w:rFonts w:hint="eastAsia" w:ascii="仿宋" w:hAnsi="仿宋" w:eastAsia="仿宋" w:cs="仿宋"/>
          <w:sz w:val="32"/>
          <w:szCs w:val="32"/>
        </w:rPr>
        <w:t>年年初预算财政拨款</w:t>
      </w:r>
      <w:r>
        <w:rPr>
          <w:rFonts w:hint="eastAsia" w:ascii="仿宋" w:hAnsi="仿宋" w:eastAsia="仿宋" w:cs="仿宋"/>
          <w:sz w:val="32"/>
          <w:szCs w:val="32"/>
          <w:lang w:val="en-US" w:eastAsia="zh-CN"/>
        </w:rPr>
        <w:t>747.63</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730.28</w:t>
      </w:r>
      <w:r>
        <w:rPr>
          <w:rFonts w:hint="eastAsia" w:ascii="仿宋" w:hAnsi="仿宋" w:eastAsia="仿宋" w:cs="仿宋"/>
          <w:sz w:val="32"/>
          <w:szCs w:val="32"/>
        </w:rPr>
        <w:t>万元，项目支出</w:t>
      </w:r>
      <w:r>
        <w:rPr>
          <w:rFonts w:hint="eastAsia" w:ascii="仿宋" w:hAnsi="仿宋" w:eastAsia="仿宋" w:cs="仿宋"/>
          <w:sz w:val="32"/>
          <w:szCs w:val="32"/>
          <w:lang w:val="en-US" w:eastAsia="zh-CN"/>
        </w:rPr>
        <w:t>17.35</w:t>
      </w:r>
      <w:r>
        <w:rPr>
          <w:rFonts w:hint="eastAsia" w:ascii="仿宋" w:hAnsi="仿宋" w:eastAsia="仿宋" w:cs="仿宋"/>
          <w:sz w:val="32"/>
          <w:szCs w:val="32"/>
        </w:rPr>
        <w:t>万元。上年财政拨款结转结余</w:t>
      </w:r>
      <w:r>
        <w:rPr>
          <w:rFonts w:hint="eastAsia" w:ascii="仿宋" w:hAnsi="仿宋" w:eastAsia="仿宋" w:cs="仿宋"/>
          <w:sz w:val="32"/>
          <w:szCs w:val="32"/>
          <w:lang w:val="en-US" w:eastAsia="zh-CN"/>
        </w:rPr>
        <w:t>100</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万元，项目支出</w:t>
      </w:r>
      <w:r>
        <w:rPr>
          <w:rFonts w:hint="eastAsia" w:ascii="仿宋" w:hAnsi="仿宋" w:eastAsia="仿宋" w:cs="仿宋"/>
          <w:sz w:val="32"/>
          <w:szCs w:val="32"/>
          <w:lang w:val="en-US" w:eastAsia="zh-CN"/>
        </w:rPr>
        <w:t>100</w:t>
      </w:r>
      <w:r>
        <w:rPr>
          <w:rFonts w:hint="eastAsia" w:ascii="仿宋" w:hAnsi="仿宋" w:eastAsia="仿宋" w:cs="仿宋"/>
          <w:sz w:val="32"/>
          <w:szCs w:val="32"/>
        </w:rPr>
        <w:t>万元；</w:t>
      </w:r>
    </w:p>
    <w:p>
      <w:pPr>
        <w:spacing w:after="0" w:line="540" w:lineRule="exact"/>
        <w:ind w:firstLine="64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年决算财政拨款支出</w:t>
      </w:r>
      <w:r>
        <w:rPr>
          <w:rFonts w:hint="eastAsia" w:ascii="仿宋" w:hAnsi="仿宋" w:eastAsia="仿宋" w:cs="仿宋"/>
          <w:sz w:val="32"/>
          <w:szCs w:val="32"/>
          <w:lang w:val="en-US" w:eastAsia="zh-CN"/>
        </w:rPr>
        <w:t>1594.59</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763.67</w:t>
      </w:r>
      <w:r>
        <w:rPr>
          <w:rFonts w:hint="eastAsia" w:ascii="仿宋" w:hAnsi="仿宋" w:eastAsia="仿宋" w:cs="仿宋"/>
          <w:sz w:val="32"/>
          <w:szCs w:val="32"/>
        </w:rPr>
        <w:t>万元，项目支出</w:t>
      </w:r>
      <w:r>
        <w:rPr>
          <w:rFonts w:hint="eastAsia" w:ascii="仿宋" w:hAnsi="仿宋" w:eastAsia="仿宋" w:cs="仿宋"/>
          <w:sz w:val="32"/>
          <w:szCs w:val="32"/>
          <w:lang w:val="en-US" w:eastAsia="zh-CN"/>
        </w:rPr>
        <w:t>830.92</w:t>
      </w:r>
      <w:r>
        <w:rPr>
          <w:rFonts w:hint="eastAsia" w:ascii="仿宋" w:hAnsi="仿宋" w:eastAsia="仿宋" w:cs="仿宋"/>
          <w:sz w:val="32"/>
          <w:szCs w:val="32"/>
        </w:rPr>
        <w:t>万元。年末结转结余</w:t>
      </w:r>
      <w:r>
        <w:rPr>
          <w:rFonts w:hint="eastAsia" w:ascii="仿宋" w:hAnsi="仿宋" w:eastAsia="仿宋" w:cs="仿宋"/>
          <w:sz w:val="32"/>
          <w:szCs w:val="32"/>
          <w:lang w:val="en-US" w:eastAsia="zh-CN"/>
        </w:rPr>
        <w:t>100</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4.84</w:t>
      </w:r>
      <w:r>
        <w:rPr>
          <w:rFonts w:hint="eastAsia" w:ascii="仿宋" w:hAnsi="仿宋" w:eastAsia="仿宋" w:cs="仿宋"/>
          <w:sz w:val="32"/>
          <w:szCs w:val="32"/>
        </w:rPr>
        <w:t>元，项目支出</w:t>
      </w:r>
      <w:r>
        <w:rPr>
          <w:rFonts w:hint="eastAsia" w:ascii="仿宋" w:hAnsi="仿宋" w:eastAsia="仿宋" w:cs="仿宋"/>
          <w:sz w:val="32"/>
          <w:szCs w:val="32"/>
          <w:lang w:val="en-US" w:eastAsia="zh-CN"/>
        </w:rPr>
        <w:t>100</w:t>
      </w:r>
      <w:r>
        <w:rPr>
          <w:rFonts w:hint="eastAsia" w:ascii="仿宋" w:hAnsi="仿宋" w:eastAsia="仿宋" w:cs="仿宋"/>
          <w:sz w:val="32"/>
          <w:szCs w:val="32"/>
        </w:rPr>
        <w:t>万元。</w:t>
      </w:r>
    </w:p>
    <w:p>
      <w:pPr>
        <w:spacing w:line="600" w:lineRule="exact"/>
        <w:ind w:left="447" w:leftChars="213" w:firstLine="482" w:firstLineChars="150"/>
        <w:rPr>
          <w:rFonts w:hint="eastAsia" w:ascii="楷体_GB2312" w:hAnsi="仿宋" w:eastAsia="楷体_GB2312" w:cs="仿宋_GB2312"/>
          <w:b/>
          <w:sz w:val="32"/>
          <w:szCs w:val="32"/>
        </w:rPr>
      </w:pPr>
      <w:r>
        <w:rPr>
          <w:rFonts w:hint="eastAsia" w:ascii="楷体_GB2312" w:hAnsi="仿宋" w:eastAsia="楷体_GB2312" w:cs="仿宋_GB2312"/>
          <w:b/>
          <w:sz w:val="32"/>
          <w:szCs w:val="32"/>
        </w:rPr>
        <w:t>（二）年度主要任务完成情况</w:t>
      </w:r>
    </w:p>
    <w:p>
      <w:pPr>
        <w:spacing w:line="600" w:lineRule="exact"/>
        <w:ind w:left="0" w:leftChars="0"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任务1：物业</w:t>
      </w:r>
      <w:r>
        <w:rPr>
          <w:rFonts w:hint="eastAsia" w:ascii="仿宋" w:hAnsi="仿宋" w:eastAsia="仿宋" w:cs="仿宋"/>
          <w:b w:val="0"/>
          <w:bCs/>
          <w:sz w:val="32"/>
          <w:szCs w:val="32"/>
          <w:lang w:eastAsia="zh-CN"/>
        </w:rPr>
        <w:t>补贴</w:t>
      </w:r>
      <w:r>
        <w:rPr>
          <w:rFonts w:hint="eastAsia" w:ascii="仿宋" w:hAnsi="仿宋" w:eastAsia="仿宋" w:cs="仿宋"/>
          <w:b w:val="0"/>
          <w:bCs/>
          <w:sz w:val="32"/>
          <w:szCs w:val="32"/>
        </w:rPr>
        <w:t>，年初预算金额</w:t>
      </w:r>
      <w:r>
        <w:rPr>
          <w:rFonts w:hint="eastAsia" w:ascii="仿宋" w:hAnsi="仿宋" w:eastAsia="仿宋" w:cs="仿宋"/>
          <w:b w:val="0"/>
          <w:bCs/>
          <w:sz w:val="32"/>
          <w:szCs w:val="32"/>
          <w:lang w:val="en-US" w:eastAsia="zh-CN"/>
        </w:rPr>
        <w:t>17.35</w:t>
      </w:r>
      <w:r>
        <w:rPr>
          <w:rFonts w:hint="eastAsia" w:ascii="仿宋" w:hAnsi="仿宋" w:eastAsia="仿宋" w:cs="仿宋"/>
          <w:b w:val="0"/>
          <w:bCs/>
          <w:sz w:val="32"/>
          <w:szCs w:val="32"/>
        </w:rPr>
        <w:t>万元，全年预算金额</w:t>
      </w:r>
      <w:r>
        <w:rPr>
          <w:rFonts w:hint="eastAsia" w:ascii="仿宋" w:hAnsi="仿宋" w:eastAsia="仿宋" w:cs="仿宋"/>
          <w:b w:val="0"/>
          <w:bCs/>
          <w:sz w:val="32"/>
          <w:szCs w:val="32"/>
          <w:lang w:val="en-US" w:eastAsia="zh-CN"/>
        </w:rPr>
        <w:t>8.6748</w:t>
      </w:r>
      <w:r>
        <w:rPr>
          <w:rFonts w:hint="eastAsia" w:ascii="仿宋" w:hAnsi="仿宋" w:eastAsia="仿宋" w:cs="仿宋"/>
          <w:b w:val="0"/>
          <w:bCs/>
          <w:sz w:val="32"/>
          <w:szCs w:val="32"/>
        </w:rPr>
        <w:t>万元，执行数</w:t>
      </w:r>
      <w:r>
        <w:rPr>
          <w:rFonts w:hint="eastAsia" w:ascii="仿宋" w:hAnsi="仿宋" w:eastAsia="仿宋" w:cs="仿宋"/>
          <w:b w:val="0"/>
          <w:bCs/>
          <w:sz w:val="32"/>
          <w:szCs w:val="32"/>
          <w:lang w:val="en-US" w:eastAsia="zh-CN"/>
        </w:rPr>
        <w:t>8.6748</w:t>
      </w:r>
      <w:r>
        <w:rPr>
          <w:rFonts w:hint="eastAsia" w:ascii="仿宋" w:hAnsi="仿宋" w:eastAsia="仿宋" w:cs="仿宋"/>
          <w:b w:val="0"/>
          <w:bCs/>
          <w:sz w:val="32"/>
          <w:szCs w:val="32"/>
        </w:rPr>
        <w:t>万元，执行率</w:t>
      </w:r>
      <w:r>
        <w:rPr>
          <w:rFonts w:hint="eastAsia" w:ascii="仿宋" w:hAnsi="仿宋" w:eastAsia="仿宋" w:cs="仿宋"/>
          <w:b w:val="0"/>
          <w:bCs/>
          <w:sz w:val="32"/>
          <w:szCs w:val="32"/>
          <w:lang w:val="en-US" w:eastAsia="zh-CN"/>
        </w:rPr>
        <w:t>100</w:t>
      </w: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该项目</w:t>
      </w:r>
      <w:r>
        <w:rPr>
          <w:rFonts w:hint="eastAsia" w:ascii="仿宋" w:hAnsi="仿宋" w:eastAsia="仿宋" w:cs="仿宋"/>
          <w:b w:val="0"/>
          <w:bCs/>
          <w:sz w:val="32"/>
          <w:szCs w:val="32"/>
        </w:rPr>
        <w:t>有力保障了本年度机关物业活动的正常开展，提供了安全、文明、舒适的办公环境，提升了单位开展公共事务的效率。</w:t>
      </w:r>
    </w:p>
    <w:p>
      <w:pPr>
        <w:spacing w:line="600" w:lineRule="exact"/>
        <w:ind w:left="0" w:leftChars="0"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rPr>
        <w:t>任务2: 智能制造专项资金，全年预算金额</w:t>
      </w:r>
      <w:r>
        <w:rPr>
          <w:rFonts w:hint="eastAsia" w:ascii="仿宋" w:hAnsi="仿宋" w:eastAsia="仿宋" w:cs="仿宋"/>
          <w:b w:val="0"/>
          <w:bCs/>
          <w:sz w:val="32"/>
          <w:szCs w:val="32"/>
          <w:lang w:val="en-US" w:eastAsia="zh-CN"/>
        </w:rPr>
        <w:t>302.47</w:t>
      </w:r>
      <w:r>
        <w:rPr>
          <w:rFonts w:hint="eastAsia" w:ascii="仿宋" w:hAnsi="仿宋" w:eastAsia="仿宋" w:cs="仿宋"/>
          <w:b w:val="0"/>
          <w:bCs/>
          <w:sz w:val="32"/>
          <w:szCs w:val="32"/>
        </w:rPr>
        <w:t>万元，执行数</w:t>
      </w:r>
      <w:r>
        <w:rPr>
          <w:rFonts w:hint="eastAsia" w:ascii="仿宋" w:hAnsi="仿宋" w:eastAsia="仿宋" w:cs="仿宋"/>
          <w:b w:val="0"/>
          <w:bCs/>
          <w:sz w:val="32"/>
          <w:szCs w:val="32"/>
          <w:lang w:val="en-US" w:eastAsia="zh-CN"/>
        </w:rPr>
        <w:t>302.47</w:t>
      </w:r>
      <w:r>
        <w:rPr>
          <w:rFonts w:hint="eastAsia" w:ascii="仿宋" w:hAnsi="仿宋" w:eastAsia="仿宋" w:cs="仿宋"/>
          <w:b w:val="0"/>
          <w:bCs/>
          <w:sz w:val="32"/>
          <w:szCs w:val="32"/>
        </w:rPr>
        <w:t>万元，执行率100%</w:t>
      </w:r>
      <w:r>
        <w:rPr>
          <w:rFonts w:hint="eastAsia" w:ascii="仿宋" w:hAnsi="仿宋" w:eastAsia="仿宋" w:cs="仿宋"/>
          <w:b w:val="0"/>
          <w:bCs/>
          <w:sz w:val="32"/>
          <w:szCs w:val="32"/>
          <w:lang w:eastAsia="zh-CN"/>
        </w:rPr>
        <w:t>。通过智能制造专项资金对企业的支持，推动了企业科技创新能力建设。</w:t>
      </w:r>
    </w:p>
    <w:p>
      <w:pPr>
        <w:spacing w:line="600" w:lineRule="exact"/>
        <w:ind w:left="0" w:leftChars="0"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rPr>
        <w:t>任务</w:t>
      </w: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：2020年市级企业研发投入后补助资金，该项资金为市级转移支付，全年预算金额</w:t>
      </w:r>
      <w:r>
        <w:rPr>
          <w:rFonts w:hint="eastAsia" w:ascii="仿宋" w:hAnsi="仿宋" w:eastAsia="仿宋" w:cs="仿宋"/>
          <w:b w:val="0"/>
          <w:bCs/>
          <w:sz w:val="32"/>
          <w:szCs w:val="32"/>
          <w:lang w:val="en-US" w:eastAsia="zh-CN"/>
        </w:rPr>
        <w:t>17.5233</w:t>
      </w:r>
      <w:r>
        <w:rPr>
          <w:rFonts w:hint="eastAsia" w:ascii="仿宋" w:hAnsi="仿宋" w:eastAsia="仿宋" w:cs="仿宋"/>
          <w:b w:val="0"/>
          <w:bCs/>
          <w:sz w:val="32"/>
          <w:szCs w:val="32"/>
        </w:rPr>
        <w:t>万元，执行数</w:t>
      </w:r>
      <w:r>
        <w:rPr>
          <w:rFonts w:hint="eastAsia" w:ascii="仿宋" w:hAnsi="仿宋" w:eastAsia="仿宋" w:cs="仿宋"/>
          <w:b w:val="0"/>
          <w:bCs/>
          <w:sz w:val="32"/>
          <w:szCs w:val="32"/>
          <w:lang w:val="en-US" w:eastAsia="zh-CN"/>
        </w:rPr>
        <w:t>17.5233</w:t>
      </w:r>
      <w:r>
        <w:rPr>
          <w:rFonts w:hint="eastAsia" w:ascii="仿宋" w:hAnsi="仿宋" w:eastAsia="仿宋" w:cs="仿宋"/>
          <w:b w:val="0"/>
          <w:bCs/>
          <w:sz w:val="32"/>
          <w:szCs w:val="32"/>
        </w:rPr>
        <w:t>万元，执行率100%</w:t>
      </w:r>
      <w:r>
        <w:rPr>
          <w:rFonts w:hint="eastAsia" w:ascii="仿宋" w:hAnsi="仿宋" w:eastAsia="仿宋" w:cs="仿宋"/>
          <w:b w:val="0"/>
          <w:bCs/>
          <w:sz w:val="32"/>
          <w:szCs w:val="32"/>
          <w:lang w:val="en-US" w:eastAsia="zh-CN"/>
        </w:rPr>
        <w:t>。</w:t>
      </w:r>
      <w:r>
        <w:rPr>
          <w:rFonts w:hint="eastAsia" w:ascii="仿宋" w:hAnsi="仿宋" w:eastAsia="仿宋" w:cs="仿宋"/>
          <w:b w:val="0"/>
          <w:bCs/>
          <w:sz w:val="32"/>
          <w:szCs w:val="32"/>
          <w:lang w:eastAsia="zh-CN"/>
        </w:rPr>
        <w:t>通过对企业研发投入后补助资金对企业的支持，推动了基础研究和应用技术研究。</w:t>
      </w:r>
    </w:p>
    <w:p>
      <w:pPr>
        <w:spacing w:line="600" w:lineRule="exact"/>
        <w:ind w:left="0" w:leftChars="0"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任务</w:t>
      </w: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：中央财政2021年产业基础再造和制造业高质量发展专项资金，该项资金为</w:t>
      </w:r>
      <w:r>
        <w:rPr>
          <w:rFonts w:hint="eastAsia" w:ascii="仿宋" w:hAnsi="仿宋" w:eastAsia="仿宋" w:cs="仿宋"/>
          <w:b w:val="0"/>
          <w:bCs/>
          <w:sz w:val="32"/>
          <w:szCs w:val="32"/>
          <w:lang w:eastAsia="zh-CN"/>
        </w:rPr>
        <w:t>上级专项</w:t>
      </w:r>
      <w:r>
        <w:rPr>
          <w:rFonts w:hint="eastAsia" w:ascii="仿宋" w:hAnsi="仿宋" w:eastAsia="仿宋" w:cs="仿宋"/>
          <w:b w:val="0"/>
          <w:bCs/>
          <w:sz w:val="32"/>
          <w:szCs w:val="32"/>
        </w:rPr>
        <w:t>，全年预算金额</w:t>
      </w:r>
      <w:r>
        <w:rPr>
          <w:rFonts w:hint="eastAsia" w:ascii="仿宋" w:hAnsi="仿宋" w:eastAsia="仿宋" w:cs="仿宋"/>
          <w:b w:val="0"/>
          <w:bCs/>
          <w:sz w:val="32"/>
          <w:szCs w:val="32"/>
          <w:lang w:val="en-US" w:eastAsia="zh-CN"/>
        </w:rPr>
        <w:t>500</w:t>
      </w:r>
      <w:r>
        <w:rPr>
          <w:rFonts w:hint="eastAsia" w:ascii="仿宋" w:hAnsi="仿宋" w:eastAsia="仿宋" w:cs="仿宋"/>
          <w:b w:val="0"/>
          <w:bCs/>
          <w:sz w:val="32"/>
          <w:szCs w:val="32"/>
        </w:rPr>
        <w:t>万元，执行数</w:t>
      </w:r>
      <w:r>
        <w:rPr>
          <w:rFonts w:hint="eastAsia" w:ascii="仿宋" w:hAnsi="仿宋" w:eastAsia="仿宋" w:cs="仿宋"/>
          <w:b w:val="0"/>
          <w:bCs/>
          <w:sz w:val="32"/>
          <w:szCs w:val="32"/>
          <w:lang w:val="en-US" w:eastAsia="zh-CN"/>
        </w:rPr>
        <w:t>500</w:t>
      </w:r>
      <w:r>
        <w:rPr>
          <w:rFonts w:hint="eastAsia" w:ascii="仿宋" w:hAnsi="仿宋" w:eastAsia="仿宋" w:cs="仿宋"/>
          <w:b w:val="0"/>
          <w:bCs/>
          <w:sz w:val="32"/>
          <w:szCs w:val="32"/>
        </w:rPr>
        <w:t>万元，执行率100%</w:t>
      </w:r>
      <w:r>
        <w:rPr>
          <w:rFonts w:hint="eastAsia" w:ascii="仿宋" w:hAnsi="仿宋" w:eastAsia="仿宋" w:cs="仿宋"/>
          <w:b w:val="0"/>
          <w:bCs/>
          <w:sz w:val="32"/>
          <w:szCs w:val="32"/>
          <w:lang w:eastAsia="zh-CN"/>
        </w:rPr>
        <w:t>。通过中央财政2021年产业基础再造和制造业高质量发展专项资金对企业的支持，推动了产学研结合和相关科研成果产业化。。</w:t>
      </w:r>
    </w:p>
    <w:p>
      <w:pPr>
        <w:spacing w:line="600" w:lineRule="exact"/>
        <w:ind w:left="0" w:leftChars="0" w:firstLine="640" w:firstLineChars="200"/>
        <w:rPr>
          <w:rFonts w:hint="eastAsia" w:ascii="仿宋" w:hAnsi="仿宋" w:eastAsia="仿宋" w:cs="仿宋"/>
          <w:b w:val="0"/>
          <w:bCs/>
          <w:sz w:val="32"/>
          <w:szCs w:val="32"/>
          <w:lang w:eastAsia="zh-CN"/>
        </w:rPr>
      </w:pPr>
      <w:r>
        <w:rPr>
          <w:rFonts w:hint="eastAsia" w:ascii="仿宋" w:hAnsi="仿宋" w:eastAsia="仿宋" w:cs="仿宋"/>
          <w:b w:val="0"/>
          <w:bCs/>
          <w:sz w:val="32"/>
          <w:szCs w:val="32"/>
        </w:rPr>
        <w:t>任务</w:t>
      </w: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rPr>
        <w:t>：和平区2021年市20项民心工程公众心肺复苏技能培训专项经费，该项资金为</w:t>
      </w:r>
      <w:r>
        <w:rPr>
          <w:rFonts w:hint="eastAsia" w:ascii="仿宋" w:hAnsi="仿宋" w:eastAsia="仿宋" w:cs="仿宋"/>
          <w:b w:val="0"/>
          <w:bCs/>
          <w:sz w:val="32"/>
          <w:szCs w:val="32"/>
          <w:lang w:eastAsia="zh-CN"/>
        </w:rPr>
        <w:t>区级资金，</w:t>
      </w:r>
      <w:r>
        <w:rPr>
          <w:rFonts w:hint="eastAsia" w:ascii="仿宋" w:hAnsi="仿宋" w:eastAsia="仿宋" w:cs="仿宋"/>
          <w:b w:val="0"/>
          <w:bCs/>
          <w:sz w:val="32"/>
          <w:szCs w:val="32"/>
        </w:rPr>
        <w:t>全年预算金额</w:t>
      </w:r>
      <w:r>
        <w:rPr>
          <w:rFonts w:hint="eastAsia" w:ascii="仿宋" w:hAnsi="仿宋" w:eastAsia="仿宋" w:cs="仿宋"/>
          <w:b w:val="0"/>
          <w:bCs/>
          <w:sz w:val="32"/>
          <w:szCs w:val="32"/>
          <w:lang w:val="en-US" w:eastAsia="zh-CN"/>
        </w:rPr>
        <w:t>2.25</w:t>
      </w:r>
      <w:r>
        <w:rPr>
          <w:rFonts w:hint="eastAsia" w:ascii="仿宋" w:hAnsi="仿宋" w:eastAsia="仿宋" w:cs="仿宋"/>
          <w:b w:val="0"/>
          <w:bCs/>
          <w:sz w:val="32"/>
          <w:szCs w:val="32"/>
        </w:rPr>
        <w:t>万元，执行数</w:t>
      </w:r>
      <w:r>
        <w:rPr>
          <w:rFonts w:hint="eastAsia" w:ascii="仿宋" w:hAnsi="仿宋" w:eastAsia="仿宋" w:cs="仿宋"/>
          <w:b w:val="0"/>
          <w:bCs/>
          <w:sz w:val="32"/>
          <w:szCs w:val="32"/>
          <w:lang w:val="en-US" w:eastAsia="zh-CN"/>
        </w:rPr>
        <w:t>2.25</w:t>
      </w:r>
      <w:r>
        <w:rPr>
          <w:rFonts w:hint="eastAsia" w:ascii="仿宋" w:hAnsi="仿宋" w:eastAsia="仿宋" w:cs="仿宋"/>
          <w:b w:val="0"/>
          <w:bCs/>
          <w:sz w:val="32"/>
          <w:szCs w:val="32"/>
        </w:rPr>
        <w:t>万元，执行率100%，该项</w:t>
      </w:r>
      <w:r>
        <w:rPr>
          <w:rFonts w:hint="eastAsia" w:ascii="仿宋" w:hAnsi="仿宋" w:eastAsia="仿宋" w:cs="仿宋"/>
          <w:b w:val="0"/>
          <w:bCs/>
          <w:sz w:val="32"/>
          <w:szCs w:val="32"/>
          <w:lang w:eastAsia="zh-CN"/>
        </w:rPr>
        <w:t>目为区内科技企业员工提供心肺复苏培训，提高了企业人员应急救治能力，履行了本领域安全生产监督管理责任。</w:t>
      </w:r>
    </w:p>
    <w:p>
      <w:pPr>
        <w:spacing w:line="600" w:lineRule="exact"/>
        <w:ind w:left="0" w:leftChars="0"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总计：年初预算金额</w:t>
      </w:r>
      <w:r>
        <w:rPr>
          <w:rFonts w:hint="eastAsia" w:ascii="仿宋" w:hAnsi="仿宋" w:eastAsia="仿宋" w:cs="仿宋"/>
          <w:b w:val="0"/>
          <w:bCs/>
          <w:sz w:val="32"/>
          <w:szCs w:val="32"/>
          <w:lang w:val="en-US" w:eastAsia="zh-CN"/>
        </w:rPr>
        <w:t>17.35</w:t>
      </w:r>
      <w:r>
        <w:rPr>
          <w:rFonts w:hint="eastAsia" w:ascii="仿宋" w:hAnsi="仿宋" w:eastAsia="仿宋" w:cs="仿宋"/>
          <w:b w:val="0"/>
          <w:bCs/>
          <w:sz w:val="32"/>
          <w:szCs w:val="32"/>
        </w:rPr>
        <w:t>万元，全年预算金额</w:t>
      </w:r>
      <w:r>
        <w:rPr>
          <w:rFonts w:hint="eastAsia" w:ascii="仿宋" w:hAnsi="仿宋" w:eastAsia="仿宋" w:cs="仿宋"/>
          <w:b w:val="0"/>
          <w:bCs/>
          <w:sz w:val="32"/>
          <w:szCs w:val="32"/>
          <w:lang w:val="en-US" w:eastAsia="zh-CN"/>
        </w:rPr>
        <w:t>830.92</w:t>
      </w:r>
      <w:r>
        <w:rPr>
          <w:rFonts w:hint="eastAsia" w:ascii="仿宋" w:hAnsi="仿宋" w:eastAsia="仿宋" w:cs="仿宋"/>
          <w:b w:val="0"/>
          <w:bCs/>
          <w:sz w:val="32"/>
          <w:szCs w:val="32"/>
        </w:rPr>
        <w:t>万元，执行数</w:t>
      </w:r>
      <w:r>
        <w:rPr>
          <w:rFonts w:hint="eastAsia" w:ascii="仿宋" w:hAnsi="仿宋" w:eastAsia="仿宋" w:cs="仿宋"/>
          <w:b w:val="0"/>
          <w:bCs/>
          <w:sz w:val="32"/>
          <w:szCs w:val="32"/>
          <w:lang w:val="en-US" w:eastAsia="zh-CN"/>
        </w:rPr>
        <w:t>830.92</w:t>
      </w:r>
      <w:r>
        <w:rPr>
          <w:rFonts w:hint="eastAsia" w:ascii="仿宋" w:hAnsi="仿宋" w:eastAsia="仿宋" w:cs="仿宋"/>
          <w:b w:val="0"/>
          <w:bCs/>
          <w:sz w:val="32"/>
          <w:szCs w:val="32"/>
        </w:rPr>
        <w:t>万元，执行率</w:t>
      </w:r>
      <w:r>
        <w:rPr>
          <w:rFonts w:hint="eastAsia" w:ascii="仿宋" w:hAnsi="仿宋" w:eastAsia="仿宋" w:cs="仿宋"/>
          <w:b w:val="0"/>
          <w:bCs/>
          <w:sz w:val="32"/>
          <w:szCs w:val="32"/>
          <w:lang w:val="en-US" w:eastAsia="zh-CN"/>
        </w:rPr>
        <w:t>100</w:t>
      </w:r>
      <w:r>
        <w:rPr>
          <w:rFonts w:hint="eastAsia" w:ascii="仿宋" w:hAnsi="仿宋" w:eastAsia="仿宋" w:cs="仿宋"/>
          <w:b w:val="0"/>
          <w:bCs/>
          <w:sz w:val="32"/>
          <w:szCs w:val="32"/>
        </w:rPr>
        <w:t>%。</w:t>
      </w:r>
    </w:p>
    <w:p>
      <w:pPr>
        <w:spacing w:line="600" w:lineRule="exact"/>
        <w:ind w:left="447" w:leftChars="213" w:firstLine="482" w:firstLineChars="150"/>
        <w:rPr>
          <w:rFonts w:hint="eastAsia" w:ascii="楷体_GB2312" w:hAnsi="仿宋" w:eastAsia="楷体_GB2312" w:cs="仿宋_GB2312"/>
          <w:b/>
          <w:sz w:val="32"/>
          <w:szCs w:val="32"/>
        </w:rPr>
      </w:pPr>
      <w:r>
        <w:rPr>
          <w:rFonts w:hint="eastAsia" w:ascii="楷体_GB2312" w:hAnsi="仿宋" w:eastAsia="楷体_GB2312" w:cs="仿宋_GB2312"/>
          <w:b/>
          <w:sz w:val="32"/>
          <w:szCs w:val="32"/>
        </w:rPr>
        <w:t>（三）部门财务管理情况</w:t>
      </w:r>
    </w:p>
    <w:bookmarkEnd w:id="3"/>
    <w:p>
      <w:pPr>
        <w:spacing w:line="600" w:lineRule="exact"/>
        <w:ind w:left="0" w:leftChars="0" w:firstLine="640" w:firstLineChars="200"/>
        <w:rPr>
          <w:rFonts w:hint="eastAsia" w:ascii="仿宋" w:hAnsi="仿宋" w:eastAsia="仿宋" w:cs="仿宋"/>
          <w:b w:val="0"/>
          <w:bCs/>
          <w:sz w:val="32"/>
          <w:szCs w:val="32"/>
        </w:rPr>
      </w:pPr>
      <w:bookmarkStart w:id="4" w:name="_Toc268005759"/>
      <w:bookmarkStart w:id="5" w:name="_Toc263686375"/>
      <w:bookmarkStart w:id="6" w:name="_Toc456965846"/>
      <w:r>
        <w:rPr>
          <w:rFonts w:hint="eastAsia" w:ascii="仿宋" w:hAnsi="仿宋" w:eastAsia="仿宋" w:cs="仿宋"/>
          <w:b w:val="0"/>
          <w:bCs/>
          <w:sz w:val="32"/>
          <w:szCs w:val="32"/>
        </w:rPr>
        <w:t>区科技局的收支活动全部纳入预算管理，不断强化预算意识，实行部门综合预算管理，形成以单位领导支持、办公室牵头、其他部门密切配合的工作格局；我单位202</w:t>
      </w: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年度不断完善部门内控制度，全面梳理业务流程，明确业务环节，分析风险隐患，有效运用不相容岗位相互分离、内部授权审批控制、归口管理、预算控制、会计控制、单据控制、信息内部公开等内部控制基本方法，加强对单位层面和业务层面的内部控制，建立单位内控监督约束机制，接受上级纪检、审计、业务部门检查指导；加强资产管理，严格执行现行固定资产管理制度，并结合本单位的实际情况，完善固定资产管理制度。</w:t>
      </w:r>
    </w:p>
    <w:p>
      <w:pPr>
        <w:ind w:firstLine="643" w:firstLineChars="200"/>
        <w:rPr>
          <w:rFonts w:ascii="黑体" w:hAnsi="黑体" w:eastAsia="黑体"/>
          <w:b/>
          <w:sz w:val="32"/>
          <w:szCs w:val="32"/>
        </w:rPr>
      </w:pPr>
      <w:r>
        <w:rPr>
          <w:rFonts w:hint="eastAsia" w:ascii="黑体" w:hAnsi="黑体" w:eastAsia="黑体"/>
          <w:b/>
          <w:sz w:val="32"/>
          <w:szCs w:val="32"/>
        </w:rPr>
        <w:t>三、整体支出绩效自评情况</w:t>
      </w:r>
    </w:p>
    <w:bookmarkEnd w:id="4"/>
    <w:p>
      <w:pPr>
        <w:spacing w:line="600" w:lineRule="exact"/>
        <w:ind w:left="447" w:leftChars="213" w:firstLine="482" w:firstLineChars="150"/>
        <w:rPr>
          <w:rFonts w:hint="eastAsia" w:ascii="楷体_GB2312" w:hAnsi="仿宋" w:eastAsia="楷体_GB2312" w:cs="仿宋_GB2312"/>
          <w:b/>
          <w:sz w:val="32"/>
          <w:szCs w:val="32"/>
        </w:rPr>
      </w:pPr>
      <w:bookmarkStart w:id="7" w:name="_Toc268005760"/>
      <w:r>
        <w:rPr>
          <w:rFonts w:hint="eastAsia" w:ascii="楷体_GB2312" w:hAnsi="仿宋" w:eastAsia="楷体_GB2312" w:cs="仿宋_GB2312"/>
          <w:b/>
          <w:sz w:val="32"/>
          <w:szCs w:val="32"/>
        </w:rPr>
        <w:t>（一）</w:t>
      </w:r>
      <w:bookmarkEnd w:id="7"/>
      <w:r>
        <w:rPr>
          <w:rFonts w:hint="eastAsia" w:ascii="楷体_GB2312" w:hAnsi="仿宋" w:eastAsia="楷体_GB2312" w:cs="仿宋_GB2312"/>
          <w:b/>
          <w:sz w:val="32"/>
          <w:szCs w:val="32"/>
        </w:rPr>
        <w:t>年度整体支出绩效目标完成情况自评</w:t>
      </w:r>
    </w:p>
    <w:p>
      <w:pPr>
        <w:spacing w:line="600" w:lineRule="exact"/>
        <w:ind w:left="0" w:leftChars="0" w:firstLine="640" w:firstLineChars="200"/>
        <w:rPr>
          <w:rFonts w:hint="eastAsia" w:ascii="仿宋" w:hAnsi="仿宋" w:eastAsia="仿宋" w:cs="仿宋"/>
          <w:b w:val="0"/>
          <w:bCs/>
          <w:sz w:val="32"/>
          <w:szCs w:val="32"/>
        </w:rPr>
      </w:pPr>
      <w:bookmarkStart w:id="8" w:name="_Toc268005761"/>
      <w:r>
        <w:rPr>
          <w:rFonts w:hint="eastAsia" w:ascii="仿宋" w:hAnsi="仿宋" w:eastAsia="仿宋" w:cs="仿宋"/>
          <w:b w:val="0"/>
          <w:bCs/>
          <w:sz w:val="32"/>
          <w:szCs w:val="32"/>
        </w:rPr>
        <w:t xml:space="preserve"> </w:t>
      </w:r>
      <w:r>
        <w:rPr>
          <w:rFonts w:hint="eastAsia" w:ascii="仿宋" w:hAnsi="仿宋" w:eastAsia="仿宋" w:cs="仿宋"/>
          <w:b w:val="0"/>
          <w:bCs/>
          <w:sz w:val="32"/>
          <w:szCs w:val="32"/>
          <w:lang w:eastAsia="zh-CN"/>
        </w:rPr>
        <w:t>区科技局</w:t>
      </w:r>
      <w:r>
        <w:rPr>
          <w:rFonts w:hint="eastAsia" w:ascii="仿宋" w:hAnsi="仿宋" w:eastAsia="仿宋" w:cs="仿宋"/>
          <w:b w:val="0"/>
          <w:bCs/>
          <w:sz w:val="32"/>
          <w:szCs w:val="32"/>
          <w:lang w:val="zh-CN"/>
        </w:rPr>
        <w:t>认真落实中央、市委和区委各项部署，</w:t>
      </w:r>
      <w:r>
        <w:rPr>
          <w:rFonts w:hint="eastAsia" w:ascii="仿宋" w:hAnsi="仿宋" w:eastAsia="仿宋" w:cs="仿宋"/>
          <w:b w:val="0"/>
          <w:bCs/>
          <w:sz w:val="32"/>
          <w:szCs w:val="32"/>
        </w:rPr>
        <w:t>坚持党建引领创新发展，大力发展新一代信息技术和高技术服务业，加大标志性企业招商引资，加速高成长企业梯度培育，加快推进科技创新发展，高标准高质量完成市、区各项重点目标任务。</w:t>
      </w:r>
    </w:p>
    <w:p>
      <w:pPr>
        <w:spacing w:line="600" w:lineRule="exact"/>
        <w:ind w:left="0" w:leftChars="0"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区科技局不断强化预算意识，结合我单位业务情况，进行科学合理分配细化，及时组织收入，科学合理安排支出，</w:t>
      </w:r>
      <w:r>
        <w:rPr>
          <w:rFonts w:hint="eastAsia" w:ascii="仿宋" w:hAnsi="仿宋" w:eastAsia="仿宋" w:cs="仿宋"/>
          <w:b w:val="0"/>
          <w:bCs/>
          <w:sz w:val="32"/>
          <w:szCs w:val="32"/>
          <w:lang w:eastAsia="zh-CN"/>
        </w:rPr>
        <w:t>在预算执行过程中，</w:t>
      </w:r>
      <w:r>
        <w:rPr>
          <w:rFonts w:hint="eastAsia" w:ascii="仿宋" w:hAnsi="仿宋" w:eastAsia="仿宋" w:cs="仿宋"/>
          <w:b w:val="0"/>
          <w:bCs/>
          <w:sz w:val="32"/>
          <w:szCs w:val="32"/>
        </w:rPr>
        <w:t>厉行节约、量入为出，确保资金安全、合理、有效使用，最大限度发挥财政资金使用效益。</w:t>
      </w:r>
    </w:p>
    <w:p>
      <w:pPr>
        <w:spacing w:line="600" w:lineRule="exact"/>
        <w:ind w:left="0" w:leftChars="0"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lang w:eastAsia="zh-CN"/>
        </w:rPr>
        <w:t>在项目支出方面，</w:t>
      </w:r>
      <w:r>
        <w:rPr>
          <w:rFonts w:hint="eastAsia" w:ascii="仿宋" w:hAnsi="仿宋" w:eastAsia="仿宋" w:cs="仿宋"/>
          <w:b w:val="0"/>
          <w:bCs/>
          <w:sz w:val="32"/>
          <w:szCs w:val="32"/>
        </w:rPr>
        <w:t>严格执行项目支出预算，积极组织项目实施，加强对预算执行过程的控制和结果的反馈，对预算执行差异及时分析成因和影响</w:t>
      </w:r>
      <w:r>
        <w:rPr>
          <w:rFonts w:hint="eastAsia" w:ascii="仿宋" w:hAnsi="仿宋" w:eastAsia="仿宋" w:cs="仿宋"/>
          <w:b w:val="0"/>
          <w:bCs/>
          <w:sz w:val="32"/>
          <w:szCs w:val="32"/>
          <w:lang w:val="en-US" w:eastAsia="zh-CN"/>
        </w:rPr>
        <w:t>,</w:t>
      </w:r>
      <w:r>
        <w:rPr>
          <w:rFonts w:hint="eastAsia" w:ascii="仿宋" w:hAnsi="仿宋" w:eastAsia="仿宋" w:cs="仿宋"/>
          <w:b w:val="0"/>
          <w:bCs/>
          <w:sz w:val="32"/>
          <w:szCs w:val="32"/>
        </w:rPr>
        <w:t>以采取措施纠正执行偏差，促进预算目标的全面完成。</w:t>
      </w:r>
    </w:p>
    <w:p>
      <w:pPr>
        <w:spacing w:line="600" w:lineRule="exact"/>
        <w:ind w:left="447" w:leftChars="213" w:firstLine="482" w:firstLineChars="150"/>
        <w:rPr>
          <w:rFonts w:hint="eastAsia" w:ascii="仿宋" w:hAnsi="仿宋" w:eastAsia="仿宋" w:cs="仿宋"/>
          <w:b/>
          <w:sz w:val="32"/>
          <w:szCs w:val="32"/>
        </w:rPr>
      </w:pPr>
      <w:r>
        <w:rPr>
          <w:rFonts w:hint="eastAsia" w:ascii="仿宋" w:hAnsi="仿宋" w:eastAsia="仿宋" w:cs="仿宋"/>
          <w:b/>
          <w:sz w:val="32"/>
          <w:szCs w:val="32"/>
        </w:rPr>
        <w:t>（二）</w:t>
      </w:r>
      <w:bookmarkEnd w:id="8"/>
      <w:r>
        <w:rPr>
          <w:rFonts w:hint="eastAsia" w:ascii="仿宋" w:hAnsi="仿宋" w:eastAsia="仿宋" w:cs="仿宋"/>
          <w:b/>
          <w:sz w:val="32"/>
          <w:szCs w:val="32"/>
        </w:rPr>
        <w:t>绩效目标完成情况</w:t>
      </w:r>
    </w:p>
    <w:p>
      <w:pPr>
        <w:spacing w:line="600" w:lineRule="exact"/>
        <w:ind w:left="0" w:leftChars="0"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高标准推动科技创新考核指标落实 。2021年，区科技局科技招商实际落地企业133家，其中外资1家，完成年度落地企业数量45家任务的295.6%；新引进国家高新技术企业7家，完成年度4家任务的175%。全面实施创新型企业领军计划，精心培育“雏鹰-瞪羚-领军”接续发展梯队企业，2021年，国家高新技术企业市级下达任务68家，已组织申报首次认定125家，预计将超额完成全年目标任务。国家科技型中小企业市级下达任务190家，已组织评价入库321家，完成全年目标任务的169%，市内六区排名第2位。“瞪羚”企业市级下达任务2家，已组织评价入库4家，超额完成全年任务的200%。“雏鹰”企业市级下达任务60家，已组织评价入库315家，超额完成全年任务的525%。技术合同成交额市级下达任务42.02亿元，已组织登记认定42.56亿元，完成全年任务数的101.3%。推荐联合泰泽环境科技发展有限公司申报国家工信部绿色制造系统解决方案供应商项目，最终获得国家工信部2021年产业基础再造和制造业高质量发展专项资金补助500万元，并协调解决资金分两次向企业进行拨付；指导天津齐物智能装备有限公司、派德洛格（天津）生物科技有限公司在2021年天津市创新创业大赛暨第十届中国创新创业大赛（天津赛区）荣获高端装备制造和生物医药领域成长组一等奖；推荐联合赤道环境评价有限公司入选天津市企业技术中心，引进天津能源投资集团有限公司和天津市中环系统工程有限责任公司纳入我区市级企业技术中心；推荐85家企业申报国家级、市级项目；落实“科创中国”和平区三年行动，开展食品安全、全域禁毒等科普宣传活动10次，并推荐天津医科大学总医院申报2021年天津市科普基地。</w:t>
      </w:r>
    </w:p>
    <w:p>
      <w:pPr>
        <w:spacing w:after="0" w:line="540" w:lineRule="exact"/>
        <w:ind w:firstLine="640"/>
        <w:rPr>
          <w:rFonts w:hint="eastAsia" w:ascii="楷体_GB2312" w:hAnsi="仿宋" w:eastAsia="楷体_GB2312" w:cs="仿宋_GB2312"/>
          <w:b/>
          <w:sz w:val="32"/>
          <w:szCs w:val="32"/>
        </w:rPr>
      </w:pPr>
      <w:r>
        <w:rPr>
          <w:rFonts w:hint="eastAsia" w:ascii="华文仿宋" w:hAnsi="华文仿宋" w:eastAsia="华文仿宋"/>
          <w:sz w:val="30"/>
          <w:szCs w:val="30"/>
        </w:rPr>
        <w:t xml:space="preserve">  </w:t>
      </w:r>
      <w:r>
        <w:rPr>
          <w:rFonts w:hint="eastAsia" w:ascii="楷体_GB2312" w:hAnsi="仿宋" w:eastAsia="楷体_GB2312" w:cs="仿宋_GB2312"/>
          <w:b/>
          <w:sz w:val="32"/>
          <w:szCs w:val="32"/>
        </w:rPr>
        <w:t>（三）自评得分</w:t>
      </w:r>
      <w:bookmarkEnd w:id="5"/>
      <w:bookmarkEnd w:id="6"/>
    </w:p>
    <w:p>
      <w:pPr>
        <w:widowControl/>
        <w:spacing w:after="0" w:line="540" w:lineRule="exact"/>
        <w:jc w:val="center"/>
        <w:rPr>
          <w:rFonts w:ascii="华文仿宋" w:hAnsi="华文仿宋" w:eastAsia="华文仿宋"/>
          <w:sz w:val="30"/>
          <w:szCs w:val="30"/>
        </w:rPr>
      </w:pPr>
      <w:r>
        <w:rPr>
          <w:rFonts w:hint="eastAsia" w:ascii="华文仿宋" w:hAnsi="华文仿宋" w:eastAsia="华文仿宋"/>
          <w:sz w:val="30"/>
          <w:szCs w:val="30"/>
        </w:rPr>
        <w:t>表1：部门整体支出绩效自评表</w:t>
      </w:r>
    </w:p>
    <w:tbl>
      <w:tblPr>
        <w:tblStyle w:val="9"/>
        <w:tblW w:w="8439" w:type="dxa"/>
        <w:tblInd w:w="97" w:type="dxa"/>
        <w:tblLayout w:type="fixed"/>
        <w:tblCellMar>
          <w:top w:w="0" w:type="dxa"/>
          <w:left w:w="108" w:type="dxa"/>
          <w:bottom w:w="0" w:type="dxa"/>
          <w:right w:w="108" w:type="dxa"/>
        </w:tblCellMar>
      </w:tblPr>
      <w:tblGrid>
        <w:gridCol w:w="861"/>
        <w:gridCol w:w="2111"/>
        <w:gridCol w:w="2541"/>
        <w:gridCol w:w="847"/>
        <w:gridCol w:w="1165"/>
        <w:gridCol w:w="914"/>
      </w:tblGrid>
      <w:tr>
        <w:tblPrEx>
          <w:tblLayout w:type="fixed"/>
          <w:tblCellMar>
            <w:top w:w="0" w:type="dxa"/>
            <w:left w:w="108" w:type="dxa"/>
            <w:bottom w:w="0" w:type="dxa"/>
            <w:right w:w="108" w:type="dxa"/>
          </w:tblCellMar>
        </w:tblPrEx>
        <w:trPr>
          <w:trHeight w:val="582" w:hRule="atLeast"/>
        </w:trPr>
        <w:tc>
          <w:tcPr>
            <w:tcW w:w="63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评价指标</w:t>
            </w:r>
          </w:p>
        </w:tc>
        <w:tc>
          <w:tcPr>
            <w:tcW w:w="1165" w:type="dxa"/>
            <w:vMerge w:val="restart"/>
            <w:tcBorders>
              <w:top w:val="single" w:color="auto" w:sz="4" w:space="0"/>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指标值</w:t>
            </w:r>
          </w:p>
        </w:tc>
        <w:tc>
          <w:tcPr>
            <w:tcW w:w="914" w:type="dxa"/>
            <w:vMerge w:val="restart"/>
            <w:tcBorders>
              <w:top w:val="single" w:color="auto" w:sz="4" w:space="0"/>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自评得分</w:t>
            </w:r>
          </w:p>
        </w:tc>
      </w:tr>
      <w:tr>
        <w:tblPrEx>
          <w:tblLayout w:type="fixed"/>
          <w:tblCellMar>
            <w:top w:w="0" w:type="dxa"/>
            <w:left w:w="108" w:type="dxa"/>
            <w:bottom w:w="0" w:type="dxa"/>
            <w:right w:w="108" w:type="dxa"/>
          </w:tblCellMar>
        </w:tblPrEx>
        <w:trPr>
          <w:trHeight w:val="695" w:hRule="atLeast"/>
        </w:trPr>
        <w:tc>
          <w:tcPr>
            <w:tcW w:w="86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一级指标</w:t>
            </w:r>
          </w:p>
        </w:tc>
        <w:tc>
          <w:tcPr>
            <w:tcW w:w="2111" w:type="dxa"/>
            <w:tcBorders>
              <w:top w:val="single" w:color="auto" w:sz="4" w:space="0"/>
              <w:left w:val="nil"/>
              <w:bottom w:val="single" w:color="auto" w:sz="4" w:space="0"/>
              <w:right w:val="single" w:color="000000"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二级指标</w:t>
            </w:r>
          </w:p>
        </w:tc>
        <w:tc>
          <w:tcPr>
            <w:tcW w:w="33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三级指标</w:t>
            </w:r>
          </w:p>
        </w:tc>
        <w:tc>
          <w:tcPr>
            <w:tcW w:w="1165" w:type="dxa"/>
            <w:vMerge w:val="continue"/>
            <w:tcBorders>
              <w:left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914" w:type="dxa"/>
            <w:vMerge w:val="continue"/>
            <w:tcBorders>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r>
      <w:tr>
        <w:tblPrEx>
          <w:tblLayout w:type="fixed"/>
          <w:tblCellMar>
            <w:top w:w="0" w:type="dxa"/>
            <w:left w:w="108" w:type="dxa"/>
            <w:bottom w:w="0" w:type="dxa"/>
            <w:right w:w="108" w:type="dxa"/>
          </w:tblCellMar>
        </w:tblPrEx>
        <w:trPr>
          <w:trHeight w:val="575" w:hRule="atLeast"/>
        </w:trPr>
        <w:tc>
          <w:tcPr>
            <w:tcW w:w="861"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名称</w:t>
            </w:r>
          </w:p>
        </w:tc>
        <w:tc>
          <w:tcPr>
            <w:tcW w:w="2111" w:type="dxa"/>
            <w:tcBorders>
              <w:top w:val="nil"/>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名称</w:t>
            </w:r>
          </w:p>
        </w:tc>
        <w:tc>
          <w:tcPr>
            <w:tcW w:w="2541" w:type="dxa"/>
            <w:tcBorders>
              <w:top w:val="nil"/>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名称</w:t>
            </w:r>
          </w:p>
        </w:tc>
        <w:tc>
          <w:tcPr>
            <w:tcW w:w="847" w:type="dxa"/>
            <w:tcBorders>
              <w:top w:val="nil"/>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分值</w:t>
            </w:r>
          </w:p>
        </w:tc>
        <w:tc>
          <w:tcPr>
            <w:tcW w:w="1165" w:type="dxa"/>
            <w:vMerge w:val="continue"/>
            <w:tcBorders>
              <w:left w:val="single" w:color="auto" w:sz="4" w:space="0"/>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914" w:type="dxa"/>
            <w:vMerge w:val="continue"/>
            <w:tcBorders>
              <w:left w:val="single" w:color="auto" w:sz="4" w:space="0"/>
              <w:bottom w:val="nil"/>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r>
      <w:tr>
        <w:tblPrEx>
          <w:tblLayout w:type="fixed"/>
          <w:tblCellMar>
            <w:top w:w="0" w:type="dxa"/>
            <w:left w:w="108" w:type="dxa"/>
            <w:bottom w:w="0" w:type="dxa"/>
            <w:right w:w="108" w:type="dxa"/>
          </w:tblCellMar>
        </w:tblPrEx>
        <w:trPr>
          <w:trHeight w:val="560" w:hRule="atLeast"/>
        </w:trPr>
        <w:tc>
          <w:tcPr>
            <w:tcW w:w="861"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投入（15分）</w:t>
            </w:r>
          </w:p>
        </w:tc>
        <w:tc>
          <w:tcPr>
            <w:tcW w:w="2111"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目标设定（5分）</w:t>
            </w:r>
          </w:p>
        </w:tc>
        <w:tc>
          <w:tcPr>
            <w:tcW w:w="2541"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绩效目标合理性</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3</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合理</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3</w:t>
            </w:r>
          </w:p>
        </w:tc>
      </w:tr>
      <w:tr>
        <w:tblPrEx>
          <w:tblLayout w:type="fixed"/>
          <w:tblCellMar>
            <w:top w:w="0" w:type="dxa"/>
            <w:left w:w="108" w:type="dxa"/>
            <w:bottom w:w="0" w:type="dxa"/>
            <w:right w:w="108" w:type="dxa"/>
          </w:tblCellMar>
        </w:tblPrEx>
        <w:trPr>
          <w:trHeight w:val="554" w:hRule="atLeast"/>
        </w:trPr>
        <w:tc>
          <w:tcPr>
            <w:tcW w:w="861" w:type="dxa"/>
            <w:vMerge w:val="continue"/>
            <w:tcBorders>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绩效指标明确性</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2</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明确</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2</w:t>
            </w:r>
          </w:p>
        </w:tc>
      </w:tr>
      <w:tr>
        <w:tblPrEx>
          <w:tblLayout w:type="fixed"/>
          <w:tblCellMar>
            <w:top w:w="0" w:type="dxa"/>
            <w:left w:w="108" w:type="dxa"/>
            <w:bottom w:w="0" w:type="dxa"/>
            <w:right w:w="108" w:type="dxa"/>
          </w:tblCellMar>
        </w:tblPrEx>
        <w:trPr>
          <w:trHeight w:val="550" w:hRule="atLeast"/>
        </w:trPr>
        <w:tc>
          <w:tcPr>
            <w:tcW w:w="861" w:type="dxa"/>
            <w:vMerge w:val="continue"/>
            <w:tcBorders>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restart"/>
            <w:tcBorders>
              <w:top w:val="single" w:color="auto" w:sz="4" w:space="0"/>
              <w:left w:val="single" w:color="auto" w:sz="4" w:space="0"/>
              <w:right w:val="single" w:color="000000"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预算配置（10分）</w:t>
            </w:r>
          </w:p>
        </w:tc>
        <w:tc>
          <w:tcPr>
            <w:tcW w:w="2541"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在职人员控制率</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5</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＜100%</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5</w:t>
            </w:r>
          </w:p>
        </w:tc>
      </w:tr>
      <w:tr>
        <w:tblPrEx>
          <w:tblLayout w:type="fixed"/>
          <w:tblCellMar>
            <w:top w:w="0" w:type="dxa"/>
            <w:left w:w="108" w:type="dxa"/>
            <w:bottom w:w="0" w:type="dxa"/>
            <w:right w:w="108" w:type="dxa"/>
          </w:tblCellMar>
        </w:tblPrEx>
        <w:trPr>
          <w:trHeight w:val="550" w:hRule="atLeast"/>
        </w:trPr>
        <w:tc>
          <w:tcPr>
            <w:tcW w:w="861" w:type="dxa"/>
            <w:vMerge w:val="continue"/>
            <w:tcBorders>
              <w:left w:val="single" w:color="auto" w:sz="4" w:space="0"/>
              <w:bottom w:val="single" w:color="000000" w:sz="4" w:space="0"/>
              <w:right w:val="single" w:color="000000" w:sz="4" w:space="0"/>
            </w:tcBorders>
            <w:vAlign w:val="center"/>
          </w:tcPr>
          <w:p>
            <w:pPr>
              <w:spacing w:line="540" w:lineRule="exact"/>
              <w:jc w:val="center"/>
              <w:rPr>
                <w:rFonts w:ascii="华文仿宋" w:hAnsi="华文仿宋" w:eastAsia="华文仿宋" w:cs="宋体"/>
                <w:sz w:val="28"/>
                <w:szCs w:val="28"/>
              </w:rPr>
            </w:pPr>
          </w:p>
        </w:tc>
        <w:tc>
          <w:tcPr>
            <w:tcW w:w="2111" w:type="dxa"/>
            <w:vMerge w:val="continue"/>
            <w:tcBorders>
              <w:left w:val="single" w:color="auto" w:sz="4" w:space="0"/>
              <w:bottom w:val="single" w:color="000000"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p>
        </w:tc>
        <w:tc>
          <w:tcPr>
            <w:tcW w:w="2541"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“三公经费”变动率</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5</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0%</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5</w:t>
            </w:r>
          </w:p>
        </w:tc>
      </w:tr>
      <w:tr>
        <w:tblPrEx>
          <w:tblLayout w:type="fixed"/>
          <w:tblCellMar>
            <w:top w:w="0" w:type="dxa"/>
            <w:left w:w="108" w:type="dxa"/>
            <w:bottom w:w="0" w:type="dxa"/>
            <w:right w:w="108" w:type="dxa"/>
          </w:tblCellMar>
        </w:tblPrEx>
        <w:trPr>
          <w:trHeight w:val="556" w:hRule="atLeast"/>
        </w:trPr>
        <w:tc>
          <w:tcPr>
            <w:tcW w:w="861"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过程（45分）</w:t>
            </w:r>
          </w:p>
        </w:tc>
        <w:tc>
          <w:tcPr>
            <w:tcW w:w="2111"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预算执行（16分）</w:t>
            </w:r>
          </w:p>
        </w:tc>
        <w:tc>
          <w:tcPr>
            <w:tcW w:w="2541"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预算执行率</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6</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lang w:val="en-US" w:eastAsia="zh-CN"/>
              </w:rPr>
              <w:t>100</w:t>
            </w:r>
            <w:r>
              <w:rPr>
                <w:rFonts w:hint="eastAsia" w:ascii="华文仿宋" w:hAnsi="华文仿宋" w:eastAsia="华文仿宋" w:cs="宋体"/>
                <w:kern w:val="0"/>
                <w:sz w:val="28"/>
                <w:szCs w:val="28"/>
              </w:rPr>
              <w:t>%</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6</w:t>
            </w:r>
          </w:p>
        </w:tc>
      </w:tr>
      <w:tr>
        <w:tblPrEx>
          <w:tblLayout w:type="fixed"/>
          <w:tblCellMar>
            <w:top w:w="0" w:type="dxa"/>
            <w:left w:w="108" w:type="dxa"/>
            <w:bottom w:w="0" w:type="dxa"/>
            <w:right w:w="108" w:type="dxa"/>
          </w:tblCellMar>
        </w:tblPrEx>
        <w:trPr>
          <w:trHeight w:val="565" w:hRule="atLeast"/>
        </w:trPr>
        <w:tc>
          <w:tcPr>
            <w:tcW w:w="86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结转结余率</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5</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lang w:val="en-US" w:eastAsia="zh-CN"/>
              </w:rPr>
              <w:t>0</w:t>
            </w:r>
            <w:r>
              <w:rPr>
                <w:rFonts w:hint="eastAsia" w:ascii="华文仿宋" w:hAnsi="华文仿宋" w:eastAsia="华文仿宋" w:cs="宋体"/>
                <w:kern w:val="0"/>
                <w:sz w:val="28"/>
                <w:szCs w:val="28"/>
              </w:rPr>
              <w:t>%</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5</w:t>
            </w:r>
          </w:p>
        </w:tc>
      </w:tr>
      <w:tr>
        <w:tblPrEx>
          <w:tblLayout w:type="fixed"/>
          <w:tblCellMar>
            <w:top w:w="0" w:type="dxa"/>
            <w:left w:w="108" w:type="dxa"/>
            <w:bottom w:w="0" w:type="dxa"/>
            <w:right w:w="108" w:type="dxa"/>
          </w:tblCellMar>
        </w:tblPrEx>
        <w:trPr>
          <w:trHeight w:val="570" w:hRule="atLeast"/>
        </w:trPr>
        <w:tc>
          <w:tcPr>
            <w:tcW w:w="86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top w:val="single" w:color="auto" w:sz="4" w:space="0"/>
              <w:left w:val="single" w:color="auto" w:sz="4" w:space="0"/>
              <w:bottom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结转结余变动率</w:t>
            </w:r>
          </w:p>
        </w:tc>
        <w:tc>
          <w:tcPr>
            <w:tcW w:w="847"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5</w:t>
            </w:r>
          </w:p>
        </w:tc>
        <w:tc>
          <w:tcPr>
            <w:tcW w:w="116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lang w:val="en-US" w:eastAsia="zh-CN"/>
              </w:rPr>
              <w:t>0.0005</w:t>
            </w:r>
            <w:r>
              <w:rPr>
                <w:rFonts w:hint="eastAsia" w:ascii="华文仿宋" w:hAnsi="华文仿宋" w:eastAsia="华文仿宋" w:cs="宋体"/>
                <w:kern w:val="0"/>
                <w:sz w:val="28"/>
                <w:szCs w:val="28"/>
              </w:rPr>
              <w:t>%</w:t>
            </w:r>
          </w:p>
        </w:tc>
        <w:tc>
          <w:tcPr>
            <w:tcW w:w="91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hint="eastAsia" w:ascii="华文仿宋" w:hAnsi="华文仿宋" w:eastAsia="华文仿宋" w:cs="宋体"/>
                <w:kern w:val="0"/>
                <w:sz w:val="28"/>
                <w:szCs w:val="28"/>
                <w:lang w:eastAsia="zh-CN"/>
              </w:rPr>
            </w:pPr>
            <w:r>
              <w:rPr>
                <w:rFonts w:hint="eastAsia" w:ascii="华文仿宋" w:hAnsi="华文仿宋" w:eastAsia="华文仿宋" w:cs="宋体"/>
                <w:kern w:val="0"/>
                <w:sz w:val="28"/>
                <w:szCs w:val="28"/>
                <w:lang w:val="en-US" w:eastAsia="zh-CN"/>
              </w:rPr>
              <w:t>5</w:t>
            </w:r>
          </w:p>
        </w:tc>
      </w:tr>
      <w:tr>
        <w:tblPrEx>
          <w:tblLayout w:type="fixed"/>
          <w:tblCellMar>
            <w:top w:w="0" w:type="dxa"/>
            <w:left w:w="108" w:type="dxa"/>
            <w:bottom w:w="0" w:type="dxa"/>
            <w:right w:w="108" w:type="dxa"/>
          </w:tblCellMar>
        </w:tblPrEx>
        <w:trPr>
          <w:trHeight w:val="554" w:hRule="atLeast"/>
        </w:trPr>
        <w:tc>
          <w:tcPr>
            <w:tcW w:w="86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预算管理（18分）</w:t>
            </w: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资金管理制度健全性</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4</w:t>
            </w:r>
          </w:p>
        </w:tc>
        <w:tc>
          <w:tcPr>
            <w:tcW w:w="116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健全</w:t>
            </w:r>
          </w:p>
        </w:tc>
        <w:tc>
          <w:tcPr>
            <w:tcW w:w="91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4</w:t>
            </w:r>
          </w:p>
        </w:tc>
      </w:tr>
      <w:tr>
        <w:tblPrEx>
          <w:tblLayout w:type="fixed"/>
          <w:tblCellMar>
            <w:top w:w="0" w:type="dxa"/>
            <w:left w:w="108" w:type="dxa"/>
            <w:bottom w:w="0" w:type="dxa"/>
            <w:right w:w="108" w:type="dxa"/>
          </w:tblCellMar>
        </w:tblPrEx>
        <w:trPr>
          <w:trHeight w:val="217" w:hRule="atLeast"/>
        </w:trPr>
        <w:tc>
          <w:tcPr>
            <w:tcW w:w="86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资金使用合规性</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4</w:t>
            </w:r>
          </w:p>
        </w:tc>
        <w:tc>
          <w:tcPr>
            <w:tcW w:w="116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合规</w:t>
            </w:r>
          </w:p>
        </w:tc>
        <w:tc>
          <w:tcPr>
            <w:tcW w:w="91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4</w:t>
            </w:r>
          </w:p>
        </w:tc>
      </w:tr>
      <w:tr>
        <w:tblPrEx>
          <w:tblLayout w:type="fixed"/>
          <w:tblCellMar>
            <w:top w:w="0" w:type="dxa"/>
            <w:left w:w="108" w:type="dxa"/>
            <w:bottom w:w="0" w:type="dxa"/>
            <w:right w:w="108" w:type="dxa"/>
          </w:tblCellMar>
        </w:tblPrEx>
        <w:trPr>
          <w:trHeight w:val="570" w:hRule="atLeast"/>
        </w:trPr>
        <w:tc>
          <w:tcPr>
            <w:tcW w:w="86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预决算信息公开性</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6</w:t>
            </w:r>
          </w:p>
        </w:tc>
        <w:tc>
          <w:tcPr>
            <w:tcW w:w="1165"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公开</w:t>
            </w:r>
          </w:p>
        </w:tc>
        <w:tc>
          <w:tcPr>
            <w:tcW w:w="914" w:type="dxa"/>
            <w:tcBorders>
              <w:top w:val="single" w:color="auto" w:sz="4" w:space="0"/>
              <w:left w:val="single" w:color="auto" w:sz="4" w:space="0"/>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6</w:t>
            </w:r>
          </w:p>
        </w:tc>
      </w:tr>
      <w:tr>
        <w:tblPrEx>
          <w:tblLayout w:type="fixed"/>
          <w:tblCellMar>
            <w:top w:w="0" w:type="dxa"/>
            <w:left w:w="108" w:type="dxa"/>
            <w:bottom w:w="0" w:type="dxa"/>
            <w:right w:w="108" w:type="dxa"/>
          </w:tblCellMar>
        </w:tblPrEx>
        <w:trPr>
          <w:trHeight w:val="564" w:hRule="atLeast"/>
        </w:trPr>
        <w:tc>
          <w:tcPr>
            <w:tcW w:w="86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top w:val="single" w:color="auto" w:sz="4" w:space="0"/>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基础信息完善性</w:t>
            </w:r>
          </w:p>
        </w:tc>
        <w:tc>
          <w:tcPr>
            <w:tcW w:w="847"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4</w:t>
            </w:r>
          </w:p>
        </w:tc>
        <w:tc>
          <w:tcPr>
            <w:tcW w:w="116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完善</w:t>
            </w:r>
          </w:p>
        </w:tc>
        <w:tc>
          <w:tcPr>
            <w:tcW w:w="91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4</w:t>
            </w:r>
          </w:p>
        </w:tc>
      </w:tr>
      <w:tr>
        <w:tblPrEx>
          <w:tblLayout w:type="fixed"/>
          <w:tblCellMar>
            <w:top w:w="0" w:type="dxa"/>
            <w:left w:w="108" w:type="dxa"/>
            <w:bottom w:w="0" w:type="dxa"/>
            <w:right w:w="108" w:type="dxa"/>
          </w:tblCellMar>
        </w:tblPrEx>
        <w:trPr>
          <w:trHeight w:val="566" w:hRule="atLeast"/>
        </w:trPr>
        <w:tc>
          <w:tcPr>
            <w:tcW w:w="86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资产管理（11分）</w:t>
            </w:r>
          </w:p>
        </w:tc>
        <w:tc>
          <w:tcPr>
            <w:tcW w:w="2541"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资产管理完整性</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4</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完整</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4</w:t>
            </w:r>
          </w:p>
        </w:tc>
      </w:tr>
      <w:tr>
        <w:tblPrEx>
          <w:tblLayout w:type="fixed"/>
          <w:tblCellMar>
            <w:top w:w="0" w:type="dxa"/>
            <w:left w:w="108" w:type="dxa"/>
            <w:bottom w:w="0" w:type="dxa"/>
            <w:right w:w="108" w:type="dxa"/>
          </w:tblCellMar>
        </w:tblPrEx>
        <w:trPr>
          <w:trHeight w:val="546" w:hRule="atLeast"/>
        </w:trPr>
        <w:tc>
          <w:tcPr>
            <w:tcW w:w="86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固定资产利用率</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4</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lang w:val="en-US" w:eastAsia="zh-CN"/>
              </w:rPr>
              <w:t>100</w:t>
            </w:r>
            <w:r>
              <w:rPr>
                <w:rFonts w:hint="eastAsia" w:ascii="华文仿宋" w:hAnsi="华文仿宋" w:eastAsia="华文仿宋" w:cs="宋体"/>
                <w:kern w:val="0"/>
                <w:sz w:val="28"/>
                <w:szCs w:val="28"/>
              </w:rPr>
              <w:t>%</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hint="default" w:ascii="华文仿宋" w:hAnsi="华文仿宋" w:eastAsia="华文仿宋" w:cs="宋体"/>
                <w:kern w:val="0"/>
                <w:sz w:val="28"/>
                <w:szCs w:val="28"/>
                <w:lang w:val="en-US" w:eastAsia="zh-CN"/>
              </w:rPr>
            </w:pPr>
            <w:r>
              <w:rPr>
                <w:rFonts w:hint="eastAsia" w:ascii="华文仿宋" w:hAnsi="华文仿宋" w:eastAsia="华文仿宋" w:cs="宋体"/>
                <w:kern w:val="0"/>
                <w:sz w:val="28"/>
                <w:szCs w:val="28"/>
                <w:lang w:val="en-US" w:eastAsia="zh-CN"/>
              </w:rPr>
              <w:t>4</w:t>
            </w:r>
          </w:p>
        </w:tc>
      </w:tr>
      <w:tr>
        <w:tblPrEx>
          <w:tblLayout w:type="fixed"/>
          <w:tblCellMar>
            <w:top w:w="0" w:type="dxa"/>
            <w:left w:w="108" w:type="dxa"/>
            <w:bottom w:w="0" w:type="dxa"/>
            <w:right w:w="108" w:type="dxa"/>
          </w:tblCellMar>
        </w:tblPrEx>
        <w:trPr>
          <w:trHeight w:val="696" w:hRule="atLeast"/>
        </w:trPr>
        <w:tc>
          <w:tcPr>
            <w:tcW w:w="86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办公设备购置标准    合规率</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3</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100%</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3</w:t>
            </w:r>
          </w:p>
        </w:tc>
      </w:tr>
      <w:tr>
        <w:tblPrEx>
          <w:tblLayout w:type="fixed"/>
          <w:tblCellMar>
            <w:top w:w="0" w:type="dxa"/>
            <w:left w:w="108" w:type="dxa"/>
            <w:bottom w:w="0" w:type="dxa"/>
            <w:right w:w="108" w:type="dxa"/>
          </w:tblCellMar>
        </w:tblPrEx>
        <w:trPr>
          <w:trHeight w:val="420" w:hRule="atLeast"/>
        </w:trPr>
        <w:tc>
          <w:tcPr>
            <w:tcW w:w="861"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产出（20分）</w:t>
            </w:r>
          </w:p>
        </w:tc>
        <w:tc>
          <w:tcPr>
            <w:tcW w:w="2111" w:type="dxa"/>
            <w:vMerge w:val="restart"/>
            <w:tcBorders>
              <w:top w:val="single" w:color="auto" w:sz="4" w:space="0"/>
              <w:left w:val="single" w:color="auto"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责任履行（20分）</w:t>
            </w:r>
          </w:p>
        </w:tc>
        <w:tc>
          <w:tcPr>
            <w:tcW w:w="2541"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年度任务完成率</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9</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100%</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9</w:t>
            </w:r>
          </w:p>
        </w:tc>
      </w:tr>
      <w:tr>
        <w:tblPrEx>
          <w:tblLayout w:type="fixed"/>
          <w:tblCellMar>
            <w:top w:w="0" w:type="dxa"/>
            <w:left w:w="108" w:type="dxa"/>
            <w:bottom w:w="0" w:type="dxa"/>
            <w:right w:w="108" w:type="dxa"/>
          </w:tblCellMar>
        </w:tblPrEx>
        <w:trPr>
          <w:trHeight w:val="561" w:hRule="atLeast"/>
        </w:trPr>
        <w:tc>
          <w:tcPr>
            <w:tcW w:w="861" w:type="dxa"/>
            <w:vMerge w:val="continue"/>
            <w:tcBorders>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年度绩效目标完成率</w:t>
            </w:r>
          </w:p>
        </w:tc>
        <w:tc>
          <w:tcPr>
            <w:tcW w:w="847"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9</w:t>
            </w:r>
          </w:p>
        </w:tc>
        <w:tc>
          <w:tcPr>
            <w:tcW w:w="116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100%</w:t>
            </w:r>
          </w:p>
        </w:tc>
        <w:tc>
          <w:tcPr>
            <w:tcW w:w="91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9</w:t>
            </w:r>
          </w:p>
        </w:tc>
      </w:tr>
      <w:tr>
        <w:tblPrEx>
          <w:tblLayout w:type="fixed"/>
          <w:tblCellMar>
            <w:top w:w="0" w:type="dxa"/>
            <w:left w:w="108" w:type="dxa"/>
            <w:bottom w:w="0" w:type="dxa"/>
            <w:right w:w="108" w:type="dxa"/>
          </w:tblCellMar>
        </w:tblPrEx>
        <w:trPr>
          <w:trHeight w:val="608" w:hRule="atLeast"/>
        </w:trPr>
        <w:tc>
          <w:tcPr>
            <w:tcW w:w="861" w:type="dxa"/>
            <w:vMerge w:val="continue"/>
            <w:tcBorders>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111" w:type="dxa"/>
            <w:vMerge w:val="continue"/>
            <w:tcBorders>
              <w:left w:val="single" w:color="auto" w:sz="4" w:space="0"/>
              <w:right w:val="single" w:color="000000" w:sz="4" w:space="0"/>
            </w:tcBorders>
            <w:vAlign w:val="center"/>
          </w:tcPr>
          <w:p>
            <w:pPr>
              <w:widowControl/>
              <w:spacing w:after="0" w:line="540" w:lineRule="exact"/>
              <w:jc w:val="center"/>
              <w:rPr>
                <w:rFonts w:ascii="华文仿宋" w:hAnsi="华文仿宋" w:eastAsia="华文仿宋" w:cs="宋体"/>
                <w:kern w:val="0"/>
                <w:sz w:val="28"/>
                <w:szCs w:val="28"/>
              </w:rPr>
            </w:pPr>
          </w:p>
        </w:tc>
        <w:tc>
          <w:tcPr>
            <w:tcW w:w="2541"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sz w:val="28"/>
                <w:szCs w:val="28"/>
              </w:rPr>
              <w:t>是否开展项目绩效自评</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2</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开展</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2</w:t>
            </w:r>
          </w:p>
        </w:tc>
      </w:tr>
      <w:tr>
        <w:tblPrEx>
          <w:tblLayout w:type="fixed"/>
          <w:tblCellMar>
            <w:top w:w="0" w:type="dxa"/>
            <w:left w:w="108" w:type="dxa"/>
            <w:bottom w:w="0" w:type="dxa"/>
            <w:right w:w="108" w:type="dxa"/>
          </w:tblCellMar>
        </w:tblPrEx>
        <w:trPr>
          <w:trHeight w:val="90" w:hRule="atLeast"/>
        </w:trPr>
        <w:tc>
          <w:tcPr>
            <w:tcW w:w="861" w:type="dxa"/>
            <w:tcBorders>
              <w:top w:val="single" w:color="auto" w:sz="4" w:space="0"/>
              <w:left w:val="single" w:color="auto" w:sz="4" w:space="0"/>
              <w:bottom w:val="single" w:color="auto"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效果（10分）</w:t>
            </w:r>
          </w:p>
        </w:tc>
        <w:tc>
          <w:tcPr>
            <w:tcW w:w="2111" w:type="dxa"/>
            <w:tcBorders>
              <w:top w:val="single" w:color="auto" w:sz="4" w:space="0"/>
              <w:left w:val="nil"/>
              <w:bottom w:val="single" w:color="auto"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履职效益（10分）</w:t>
            </w:r>
          </w:p>
        </w:tc>
        <w:tc>
          <w:tcPr>
            <w:tcW w:w="2541" w:type="dxa"/>
            <w:tcBorders>
              <w:top w:val="single" w:color="auto" w:sz="4" w:space="0"/>
              <w:left w:val="nil"/>
              <w:bottom w:val="nil"/>
              <w:right w:val="single" w:color="auto"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部门整体效益</w:t>
            </w:r>
          </w:p>
        </w:tc>
        <w:tc>
          <w:tcPr>
            <w:tcW w:w="847" w:type="dxa"/>
            <w:tcBorders>
              <w:top w:val="single" w:color="auto" w:sz="4" w:space="0"/>
              <w:left w:val="nil"/>
              <w:bottom w:val="nil"/>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10</w:t>
            </w:r>
          </w:p>
        </w:tc>
        <w:tc>
          <w:tcPr>
            <w:tcW w:w="1165"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4"/>
              </w:rPr>
            </w:pPr>
            <w:r>
              <w:rPr>
                <w:rFonts w:hint="eastAsia" w:ascii="华文仿宋" w:hAnsi="华文仿宋" w:eastAsia="华文仿宋" w:cs="楷体_GB2312"/>
                <w:sz w:val="24"/>
              </w:rPr>
              <w:t>提升我区科技型企业可持续发展和创新。</w:t>
            </w:r>
          </w:p>
        </w:tc>
        <w:tc>
          <w:tcPr>
            <w:tcW w:w="914" w:type="dxa"/>
            <w:tcBorders>
              <w:top w:val="single" w:color="auto" w:sz="4" w:space="0"/>
              <w:left w:val="nil"/>
              <w:bottom w:val="nil"/>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10</w:t>
            </w:r>
          </w:p>
        </w:tc>
      </w:tr>
      <w:tr>
        <w:tblPrEx>
          <w:tblLayout w:type="fixed"/>
          <w:tblCellMar>
            <w:top w:w="0" w:type="dxa"/>
            <w:left w:w="108" w:type="dxa"/>
            <w:bottom w:w="0" w:type="dxa"/>
            <w:right w:w="108" w:type="dxa"/>
          </w:tblCellMar>
        </w:tblPrEx>
        <w:trPr>
          <w:trHeight w:val="1919" w:hRule="atLeast"/>
        </w:trPr>
        <w:tc>
          <w:tcPr>
            <w:tcW w:w="861" w:type="dxa"/>
            <w:tcBorders>
              <w:top w:val="single" w:color="auto" w:sz="4" w:space="0"/>
              <w:left w:val="single" w:color="auto" w:sz="4" w:space="0"/>
              <w:bottom w:val="single" w:color="auto"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满意度（10分）</w:t>
            </w:r>
          </w:p>
        </w:tc>
        <w:tc>
          <w:tcPr>
            <w:tcW w:w="2111" w:type="dxa"/>
            <w:tcBorders>
              <w:top w:val="single" w:color="auto" w:sz="4" w:space="0"/>
              <w:left w:val="nil"/>
              <w:bottom w:val="single" w:color="auto" w:sz="4" w:space="0"/>
              <w:right w:val="single" w:color="000000"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社会公众或服务对象满意度（10分）</w:t>
            </w:r>
          </w:p>
        </w:tc>
        <w:tc>
          <w:tcPr>
            <w:tcW w:w="2541" w:type="dxa"/>
            <w:tcBorders>
              <w:top w:val="single" w:color="auto" w:sz="4" w:space="0"/>
              <w:left w:val="nil"/>
              <w:bottom w:val="single" w:color="auto" w:sz="4" w:space="0"/>
              <w:right w:val="single" w:color="auto" w:sz="4" w:space="0"/>
            </w:tcBorders>
            <w:shd w:val="clear" w:color="auto" w:fill="auto"/>
            <w:vAlign w:val="center"/>
          </w:tcPr>
          <w:p>
            <w:pPr>
              <w:spacing w:line="540" w:lineRule="exact"/>
              <w:jc w:val="center"/>
              <w:rPr>
                <w:rFonts w:ascii="华文仿宋" w:hAnsi="华文仿宋" w:eastAsia="华文仿宋" w:cs="宋体"/>
                <w:sz w:val="28"/>
                <w:szCs w:val="28"/>
              </w:rPr>
            </w:pPr>
            <w:r>
              <w:rPr>
                <w:rFonts w:hint="eastAsia" w:ascii="华文仿宋" w:hAnsi="华文仿宋" w:eastAsia="华文仿宋"/>
                <w:sz w:val="28"/>
                <w:szCs w:val="28"/>
              </w:rPr>
              <w:t>社会公众或服务对象  满意度</w:t>
            </w:r>
          </w:p>
        </w:tc>
        <w:tc>
          <w:tcPr>
            <w:tcW w:w="847" w:type="dxa"/>
            <w:tcBorders>
              <w:top w:val="single" w:color="auto" w:sz="4" w:space="0"/>
              <w:left w:val="nil"/>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10</w:t>
            </w:r>
          </w:p>
        </w:tc>
        <w:tc>
          <w:tcPr>
            <w:tcW w:w="1165"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宋体" w:hAnsi="宋体" w:eastAsia="宋体" w:cs="宋体"/>
                <w:kern w:val="0"/>
                <w:sz w:val="28"/>
                <w:szCs w:val="28"/>
                <w:lang w:val="en-US" w:eastAsia="zh-CN"/>
              </w:rPr>
              <w:t>100</w:t>
            </w:r>
            <w:r>
              <w:rPr>
                <w:rFonts w:hint="eastAsia" w:ascii="华文仿宋" w:hAnsi="华文仿宋" w:eastAsia="华文仿宋" w:cs="宋体"/>
                <w:kern w:val="0"/>
                <w:sz w:val="28"/>
                <w:szCs w:val="28"/>
              </w:rPr>
              <w:t>℅</w:t>
            </w:r>
          </w:p>
        </w:tc>
        <w:tc>
          <w:tcPr>
            <w:tcW w:w="91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10</w:t>
            </w:r>
          </w:p>
        </w:tc>
      </w:tr>
      <w:tr>
        <w:tblPrEx>
          <w:tblLayout w:type="fixed"/>
          <w:tblCellMar>
            <w:top w:w="0" w:type="dxa"/>
            <w:left w:w="108" w:type="dxa"/>
            <w:bottom w:w="0" w:type="dxa"/>
            <w:right w:w="108" w:type="dxa"/>
          </w:tblCellMar>
        </w:tblPrEx>
        <w:trPr>
          <w:trHeight w:val="690" w:hRule="atLeast"/>
        </w:trPr>
        <w:tc>
          <w:tcPr>
            <w:tcW w:w="752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绩效自评综合得分</w:t>
            </w:r>
          </w:p>
        </w:tc>
        <w:tc>
          <w:tcPr>
            <w:tcW w:w="91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hint="default" w:ascii="华文仿宋" w:hAnsi="华文仿宋" w:eastAsia="华文仿宋" w:cs="宋体"/>
                <w:kern w:val="0"/>
                <w:sz w:val="28"/>
                <w:szCs w:val="28"/>
                <w:lang w:val="en-US" w:eastAsia="zh-CN"/>
              </w:rPr>
            </w:pPr>
            <w:r>
              <w:rPr>
                <w:rFonts w:hint="eastAsia" w:ascii="华文仿宋" w:hAnsi="华文仿宋" w:eastAsia="华文仿宋" w:cs="宋体"/>
                <w:kern w:val="0"/>
                <w:sz w:val="28"/>
                <w:szCs w:val="28"/>
                <w:lang w:val="en-US" w:eastAsia="zh-CN"/>
              </w:rPr>
              <w:t>100</w:t>
            </w:r>
          </w:p>
        </w:tc>
      </w:tr>
      <w:tr>
        <w:tblPrEx>
          <w:tblLayout w:type="fixed"/>
          <w:tblCellMar>
            <w:top w:w="0" w:type="dxa"/>
            <w:left w:w="108" w:type="dxa"/>
            <w:bottom w:w="0" w:type="dxa"/>
            <w:right w:w="108" w:type="dxa"/>
          </w:tblCellMar>
        </w:tblPrEx>
        <w:trPr>
          <w:trHeight w:val="700" w:hRule="atLeast"/>
        </w:trPr>
        <w:tc>
          <w:tcPr>
            <w:tcW w:w="752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自评等次</w:t>
            </w:r>
          </w:p>
        </w:tc>
        <w:tc>
          <w:tcPr>
            <w:tcW w:w="914" w:type="dxa"/>
            <w:tcBorders>
              <w:top w:val="single" w:color="auto" w:sz="4" w:space="0"/>
              <w:left w:val="nil"/>
              <w:bottom w:val="single" w:color="auto" w:sz="4" w:space="0"/>
              <w:right w:val="single" w:color="auto" w:sz="4" w:space="0"/>
            </w:tcBorders>
            <w:vAlign w:val="center"/>
          </w:tcPr>
          <w:p>
            <w:pPr>
              <w:widowControl/>
              <w:spacing w:after="0" w:line="540" w:lineRule="exact"/>
              <w:jc w:val="center"/>
              <w:rPr>
                <w:rFonts w:ascii="华文仿宋" w:hAnsi="华文仿宋" w:eastAsia="华文仿宋" w:cs="宋体"/>
                <w:kern w:val="0"/>
                <w:sz w:val="28"/>
                <w:szCs w:val="28"/>
              </w:rPr>
            </w:pPr>
            <w:r>
              <w:rPr>
                <w:rFonts w:hint="eastAsia" w:ascii="华文仿宋" w:hAnsi="华文仿宋" w:eastAsia="华文仿宋" w:cs="宋体"/>
                <w:kern w:val="0"/>
                <w:sz w:val="28"/>
                <w:szCs w:val="28"/>
              </w:rPr>
              <w:t>优</w:t>
            </w:r>
          </w:p>
        </w:tc>
      </w:tr>
    </w:tbl>
    <w:p>
      <w:pPr>
        <w:spacing w:after="0" w:line="540" w:lineRule="exact"/>
        <w:ind w:firstLine="640"/>
        <w:rPr>
          <w:rFonts w:ascii="华文仿宋" w:hAnsi="华文仿宋" w:eastAsia="华文仿宋" w:cs="Times New Roman"/>
          <w:b/>
          <w:sz w:val="28"/>
          <w:szCs w:val="28"/>
        </w:rPr>
      </w:pPr>
      <w:bookmarkStart w:id="9" w:name="_Toc171764863"/>
      <w:bookmarkStart w:id="10" w:name="_Toc268005765"/>
      <w:bookmarkStart w:id="11" w:name="_Toc171765188"/>
      <w:bookmarkStart w:id="12" w:name="_Toc263686390"/>
      <w:bookmarkStart w:id="13" w:name="_Toc171772698"/>
    </w:p>
    <w:p>
      <w:pPr>
        <w:spacing w:after="0" w:line="540" w:lineRule="exact"/>
        <w:ind w:firstLine="640"/>
        <w:rPr>
          <w:rFonts w:ascii="黑体" w:hAnsi="黑体" w:eastAsia="黑体" w:cs="Times New Roman"/>
          <w:b/>
          <w:sz w:val="32"/>
          <w:szCs w:val="32"/>
        </w:rPr>
      </w:pPr>
      <w:r>
        <w:rPr>
          <w:rFonts w:hint="eastAsia" w:ascii="黑体" w:hAnsi="黑体" w:eastAsia="黑体" w:cs="Times New Roman"/>
          <w:b/>
          <w:sz w:val="32"/>
          <w:szCs w:val="32"/>
        </w:rPr>
        <w:t>四、存在问题和改进措施</w:t>
      </w:r>
    </w:p>
    <w:p>
      <w:pPr>
        <w:spacing w:after="0" w:line="540" w:lineRule="exact"/>
        <w:ind w:firstLine="640"/>
        <w:rPr>
          <w:rFonts w:hint="eastAsia" w:ascii="楷体_GB2312" w:hAnsi="仿宋" w:eastAsia="楷体_GB2312" w:cs="仿宋_GB2312"/>
          <w:b/>
          <w:sz w:val="32"/>
          <w:szCs w:val="32"/>
        </w:rPr>
      </w:pPr>
      <w:r>
        <w:rPr>
          <w:rFonts w:hint="eastAsia" w:ascii="楷体_GB2312" w:hAnsi="仿宋" w:eastAsia="楷体_GB2312" w:cs="仿宋_GB2312"/>
          <w:b/>
          <w:sz w:val="32"/>
          <w:szCs w:val="32"/>
        </w:rPr>
        <w:t>（一）存在问题</w:t>
      </w:r>
    </w:p>
    <w:p>
      <w:pPr>
        <w:spacing w:line="600" w:lineRule="exact"/>
        <w:ind w:left="0" w:leftChars="0"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今年以来，区科技局在抓好全面从严治党和科技创新主责主业的同时，大胆开拓创新，在党建引领、服务企业、创新发展、自身建设等方面取得了一定成绩，但也存在一些不足，如全面从严治党力度尚需加强，党建引领和科技业务结合有待提升；科技短板依然突出，党组领导班子思想解放还不够，补强科技创新发展弱项的思路招法少等。</w:t>
      </w:r>
    </w:p>
    <w:p>
      <w:pPr>
        <w:spacing w:after="0" w:line="540" w:lineRule="exact"/>
        <w:ind w:firstLine="640"/>
        <w:rPr>
          <w:rFonts w:hint="eastAsia" w:ascii="楷体_GB2312" w:hAnsi="仿宋" w:eastAsia="楷体_GB2312" w:cs="仿宋_GB2312"/>
          <w:b/>
          <w:sz w:val="32"/>
          <w:szCs w:val="32"/>
        </w:rPr>
      </w:pPr>
      <w:r>
        <w:rPr>
          <w:rFonts w:hint="eastAsia" w:ascii="楷体_GB2312" w:hAnsi="仿宋" w:eastAsia="楷体_GB2312" w:cs="仿宋_GB2312"/>
          <w:b/>
          <w:sz w:val="32"/>
          <w:szCs w:val="32"/>
        </w:rPr>
        <w:t>（二）改进措施</w:t>
      </w:r>
    </w:p>
    <w:p>
      <w:pPr>
        <w:spacing w:line="600" w:lineRule="exact"/>
        <w:ind w:left="0" w:leftChars="0"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2022年，区科技局将持续深入贯彻</w:t>
      </w:r>
      <w:bookmarkStart w:id="14" w:name="_GoBack"/>
      <w:bookmarkEnd w:id="14"/>
      <w:r>
        <w:rPr>
          <w:rFonts w:hint="eastAsia" w:ascii="仿宋" w:hAnsi="仿宋" w:eastAsia="仿宋" w:cs="仿宋"/>
          <w:b w:val="0"/>
          <w:bCs/>
          <w:sz w:val="32"/>
          <w:szCs w:val="32"/>
          <w:lang w:val="en-US" w:eastAsia="zh-CN"/>
        </w:rPr>
        <w:t>习近平新时代中国特色社会主义思想和党的十九届六中全会精神，按照区委、区政府的工作部署，压实全面从严治党主体责任，严格落实“一岗双责”，筑牢党建工作根基，夯实党风廉政建设基础，锤炼忠诚干净担当的党员干部队伍。坚持党建引领，全面推进科技党建“共联、共建、共融”，汇聚科技创新发展“智慧”，全力打造楼宇“云工厂”，抢占创新发展“新高地”；坚持动能转换，加快引育符合和平区高质量发展的新动能，精准“引企育企护企”，着力发展新一代信息技术和高技术服务业，打造“优势产业集群”；坚持平台创新，积极构建和平区科技创新“全链条”生态体系，进一步加快创新平台建设，加快科技成果转移转化，推动形成新一代信息技术和高技术服务业集聚效应。</w:t>
      </w:r>
    </w:p>
    <w:bookmarkEnd w:id="9"/>
    <w:bookmarkEnd w:id="10"/>
    <w:bookmarkEnd w:id="11"/>
    <w:bookmarkEnd w:id="12"/>
    <w:bookmarkEnd w:id="13"/>
    <w:p>
      <w:pPr>
        <w:pStyle w:val="6"/>
        <w:spacing w:before="0" w:beforeAutospacing="0" w:after="0" w:afterAutospacing="0" w:line="540" w:lineRule="exact"/>
        <w:ind w:firstLine="643" w:firstLineChars="200"/>
        <w:jc w:val="both"/>
        <w:rPr>
          <w:rFonts w:ascii="仿宋" w:hAnsi="仿宋" w:eastAsia="黑体"/>
          <w:sz w:val="32"/>
          <w:szCs w:val="32"/>
        </w:rPr>
      </w:pPr>
      <w:r>
        <w:rPr>
          <w:rFonts w:hint="eastAsia" w:ascii="黑体" w:hAnsi="黑体" w:eastAsia="黑体" w:cs="Times New Roman"/>
          <w:b/>
          <w:color w:val="auto"/>
          <w:kern w:val="2"/>
          <w:sz w:val="32"/>
          <w:szCs w:val="32"/>
        </w:rPr>
        <w:t>五、其他需要说明的情况</w:t>
      </w:r>
    </w:p>
    <w:p>
      <w:pPr>
        <w:spacing w:after="0" w:line="540" w:lineRule="exact"/>
        <w:rPr>
          <w:rFonts w:ascii="仿宋" w:hAnsi="仿宋" w:eastAsia="仿宋"/>
          <w:sz w:val="32"/>
          <w:szCs w:val="32"/>
        </w:rPr>
      </w:pPr>
      <w:r>
        <w:rPr>
          <w:rFonts w:hint="eastAsia" w:ascii="仿宋" w:hAnsi="仿宋" w:eastAsia="仿宋"/>
          <w:sz w:val="32"/>
          <w:szCs w:val="32"/>
        </w:rPr>
        <w:t xml:space="preserve">    无 </w:t>
      </w:r>
    </w:p>
    <w:p>
      <w:pPr>
        <w:spacing w:after="0" w:line="540" w:lineRule="exact"/>
        <w:ind w:firstLine="640" w:firstLineChars="200"/>
        <w:rPr>
          <w:rFonts w:ascii="仿宋" w:hAnsi="仿宋" w:eastAsia="仿宋"/>
          <w:sz w:val="32"/>
          <w:szCs w:val="32"/>
        </w:rPr>
      </w:pPr>
    </w:p>
    <w:sectPr>
      <w:headerReference r:id="rId3" w:type="default"/>
      <w:footerReference r:id="rId4"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rStyle w:val="8"/>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4"/>
                      <w:rPr>
                        <w:rStyle w:val="8"/>
                      </w:rPr>
                    </w:pPr>
                    <w:r>
                      <w:rPr>
                        <w:rStyle w:val="8"/>
                      </w:rPr>
                      <w:fldChar w:fldCharType="begin"/>
                    </w:r>
                    <w:r>
                      <w:rPr>
                        <w:rStyle w:val="8"/>
                      </w:rPr>
                      <w:instrText xml:space="preserve">PAGE  </w:instrText>
                    </w:r>
                    <w:r>
                      <w:rPr>
                        <w:rStyle w:val="8"/>
                      </w:rPr>
                      <w:fldChar w:fldCharType="separate"/>
                    </w:r>
                    <w:r>
                      <w:rPr>
                        <w:rStyle w:val="8"/>
                      </w:rPr>
                      <w:t>8</w:t>
                    </w:r>
                    <w:r>
                      <w:rPr>
                        <w:rStyle w:val="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25D"/>
    <w:rsid w:val="00035DC8"/>
    <w:rsid w:val="000366C0"/>
    <w:rsid w:val="00096ED1"/>
    <w:rsid w:val="000A5A92"/>
    <w:rsid w:val="000B725D"/>
    <w:rsid w:val="000C0A76"/>
    <w:rsid w:val="000D28FF"/>
    <w:rsid w:val="000F506F"/>
    <w:rsid w:val="001069EE"/>
    <w:rsid w:val="0012248D"/>
    <w:rsid w:val="001619C2"/>
    <w:rsid w:val="00181A6F"/>
    <w:rsid w:val="00194659"/>
    <w:rsid w:val="001A1A5C"/>
    <w:rsid w:val="001E0BA7"/>
    <w:rsid w:val="001E31FE"/>
    <w:rsid w:val="002219E7"/>
    <w:rsid w:val="00246A8D"/>
    <w:rsid w:val="00246E9E"/>
    <w:rsid w:val="00277B60"/>
    <w:rsid w:val="002825AA"/>
    <w:rsid w:val="00291EAB"/>
    <w:rsid w:val="002B256A"/>
    <w:rsid w:val="002D6645"/>
    <w:rsid w:val="002F6958"/>
    <w:rsid w:val="00300FD7"/>
    <w:rsid w:val="00310ECE"/>
    <w:rsid w:val="00325CDC"/>
    <w:rsid w:val="0035504D"/>
    <w:rsid w:val="00374326"/>
    <w:rsid w:val="00390977"/>
    <w:rsid w:val="00443EF0"/>
    <w:rsid w:val="00487E14"/>
    <w:rsid w:val="00492B98"/>
    <w:rsid w:val="004B3AEF"/>
    <w:rsid w:val="00536A8B"/>
    <w:rsid w:val="005529C7"/>
    <w:rsid w:val="00576418"/>
    <w:rsid w:val="005877E2"/>
    <w:rsid w:val="005A75D7"/>
    <w:rsid w:val="005D1600"/>
    <w:rsid w:val="005D2417"/>
    <w:rsid w:val="005E4E1A"/>
    <w:rsid w:val="005E51C4"/>
    <w:rsid w:val="005F311F"/>
    <w:rsid w:val="006A5174"/>
    <w:rsid w:val="006E12D8"/>
    <w:rsid w:val="00726F06"/>
    <w:rsid w:val="007C30DF"/>
    <w:rsid w:val="007C48C9"/>
    <w:rsid w:val="007D0D57"/>
    <w:rsid w:val="0080545B"/>
    <w:rsid w:val="008071CA"/>
    <w:rsid w:val="008215DD"/>
    <w:rsid w:val="00825744"/>
    <w:rsid w:val="00845EC8"/>
    <w:rsid w:val="00855FBE"/>
    <w:rsid w:val="00874F1F"/>
    <w:rsid w:val="00890613"/>
    <w:rsid w:val="008951E3"/>
    <w:rsid w:val="008D26AB"/>
    <w:rsid w:val="0092425E"/>
    <w:rsid w:val="00932C43"/>
    <w:rsid w:val="00937271"/>
    <w:rsid w:val="009717E4"/>
    <w:rsid w:val="009B3402"/>
    <w:rsid w:val="009B4E28"/>
    <w:rsid w:val="009B7159"/>
    <w:rsid w:val="00A133CB"/>
    <w:rsid w:val="00A31DA3"/>
    <w:rsid w:val="00A63451"/>
    <w:rsid w:val="00A72238"/>
    <w:rsid w:val="00A8690F"/>
    <w:rsid w:val="00AB56E1"/>
    <w:rsid w:val="00AD0A06"/>
    <w:rsid w:val="00AE3BB3"/>
    <w:rsid w:val="00AF4C37"/>
    <w:rsid w:val="00B0423F"/>
    <w:rsid w:val="00B07CB5"/>
    <w:rsid w:val="00B33DAE"/>
    <w:rsid w:val="00B442BE"/>
    <w:rsid w:val="00B72591"/>
    <w:rsid w:val="00BA19A1"/>
    <w:rsid w:val="00BC38D4"/>
    <w:rsid w:val="00BC609A"/>
    <w:rsid w:val="00BC65E1"/>
    <w:rsid w:val="00BD1DBF"/>
    <w:rsid w:val="00BF686C"/>
    <w:rsid w:val="00BF6A82"/>
    <w:rsid w:val="00C0089D"/>
    <w:rsid w:val="00C03C3C"/>
    <w:rsid w:val="00C115AA"/>
    <w:rsid w:val="00C25913"/>
    <w:rsid w:val="00C263DE"/>
    <w:rsid w:val="00C37AE8"/>
    <w:rsid w:val="00C40C6E"/>
    <w:rsid w:val="00C46A26"/>
    <w:rsid w:val="00C5063C"/>
    <w:rsid w:val="00C51255"/>
    <w:rsid w:val="00C549F2"/>
    <w:rsid w:val="00C55079"/>
    <w:rsid w:val="00C747B2"/>
    <w:rsid w:val="00CB73E1"/>
    <w:rsid w:val="00CD5E41"/>
    <w:rsid w:val="00CF38CC"/>
    <w:rsid w:val="00D04AD3"/>
    <w:rsid w:val="00D06262"/>
    <w:rsid w:val="00D22EAC"/>
    <w:rsid w:val="00D32EED"/>
    <w:rsid w:val="00D43A67"/>
    <w:rsid w:val="00D519C5"/>
    <w:rsid w:val="00D576DB"/>
    <w:rsid w:val="00D616BA"/>
    <w:rsid w:val="00D81939"/>
    <w:rsid w:val="00DA0267"/>
    <w:rsid w:val="00DA59CD"/>
    <w:rsid w:val="00DD57DA"/>
    <w:rsid w:val="00DE2B8A"/>
    <w:rsid w:val="00E027E0"/>
    <w:rsid w:val="00E119AD"/>
    <w:rsid w:val="00E17EC3"/>
    <w:rsid w:val="00E26FF1"/>
    <w:rsid w:val="00E27E43"/>
    <w:rsid w:val="00E57148"/>
    <w:rsid w:val="00E938F3"/>
    <w:rsid w:val="00ED7332"/>
    <w:rsid w:val="00EF4F53"/>
    <w:rsid w:val="00F037BE"/>
    <w:rsid w:val="00F11CD0"/>
    <w:rsid w:val="00F324E1"/>
    <w:rsid w:val="00F77D55"/>
    <w:rsid w:val="00F8747A"/>
    <w:rsid w:val="00FB216A"/>
    <w:rsid w:val="00FD354B"/>
    <w:rsid w:val="00FE3852"/>
    <w:rsid w:val="02F74F86"/>
    <w:rsid w:val="031E62CB"/>
    <w:rsid w:val="03A03E1D"/>
    <w:rsid w:val="03E62C52"/>
    <w:rsid w:val="043E06DE"/>
    <w:rsid w:val="04F2770F"/>
    <w:rsid w:val="066008EA"/>
    <w:rsid w:val="090507D3"/>
    <w:rsid w:val="0A8E7BE6"/>
    <w:rsid w:val="0B1E3585"/>
    <w:rsid w:val="0D2131AD"/>
    <w:rsid w:val="0DA53A69"/>
    <w:rsid w:val="0DA651AB"/>
    <w:rsid w:val="0ECB61A8"/>
    <w:rsid w:val="11916C6D"/>
    <w:rsid w:val="14B165D3"/>
    <w:rsid w:val="163A54A1"/>
    <w:rsid w:val="191D799D"/>
    <w:rsid w:val="1B471AE5"/>
    <w:rsid w:val="1B5D75E4"/>
    <w:rsid w:val="1B7474A4"/>
    <w:rsid w:val="1BBF0B49"/>
    <w:rsid w:val="1DB01DBE"/>
    <w:rsid w:val="1DBE44DB"/>
    <w:rsid w:val="1FFC40B3"/>
    <w:rsid w:val="21B300CF"/>
    <w:rsid w:val="21B631A5"/>
    <w:rsid w:val="21C06A17"/>
    <w:rsid w:val="23AA66A7"/>
    <w:rsid w:val="24D27B28"/>
    <w:rsid w:val="255A26E9"/>
    <w:rsid w:val="2599037B"/>
    <w:rsid w:val="2661634B"/>
    <w:rsid w:val="268B30A3"/>
    <w:rsid w:val="27B87DC0"/>
    <w:rsid w:val="29F80D74"/>
    <w:rsid w:val="2A400631"/>
    <w:rsid w:val="2A816679"/>
    <w:rsid w:val="2BC56D0C"/>
    <w:rsid w:val="2EED1E9F"/>
    <w:rsid w:val="2EF91626"/>
    <w:rsid w:val="2FEE1E11"/>
    <w:rsid w:val="30375BD2"/>
    <w:rsid w:val="30A92E3B"/>
    <w:rsid w:val="31643200"/>
    <w:rsid w:val="34802092"/>
    <w:rsid w:val="356F523C"/>
    <w:rsid w:val="359B244B"/>
    <w:rsid w:val="35C00B7E"/>
    <w:rsid w:val="35C070A7"/>
    <w:rsid w:val="383513E6"/>
    <w:rsid w:val="3876316A"/>
    <w:rsid w:val="38EA4F5D"/>
    <w:rsid w:val="3A054AC9"/>
    <w:rsid w:val="3A5B2759"/>
    <w:rsid w:val="3A8A79FC"/>
    <w:rsid w:val="3B577F7D"/>
    <w:rsid w:val="3BC6785E"/>
    <w:rsid w:val="3F936BB3"/>
    <w:rsid w:val="3FCC6AD3"/>
    <w:rsid w:val="45EE109C"/>
    <w:rsid w:val="465A0F87"/>
    <w:rsid w:val="47A622EC"/>
    <w:rsid w:val="47D75983"/>
    <w:rsid w:val="498A1F75"/>
    <w:rsid w:val="49AB449D"/>
    <w:rsid w:val="4A2D0673"/>
    <w:rsid w:val="4A783AB7"/>
    <w:rsid w:val="4A9B6A93"/>
    <w:rsid w:val="4B332897"/>
    <w:rsid w:val="4CFD033E"/>
    <w:rsid w:val="4DCF2866"/>
    <w:rsid w:val="4E1C0C26"/>
    <w:rsid w:val="4EC30EFC"/>
    <w:rsid w:val="50726A1D"/>
    <w:rsid w:val="51C13FBE"/>
    <w:rsid w:val="52BD598A"/>
    <w:rsid w:val="52E403F7"/>
    <w:rsid w:val="552D0B4D"/>
    <w:rsid w:val="56175E36"/>
    <w:rsid w:val="56B91573"/>
    <w:rsid w:val="56D011AF"/>
    <w:rsid w:val="58823EF0"/>
    <w:rsid w:val="5B9938B6"/>
    <w:rsid w:val="5C0075FD"/>
    <w:rsid w:val="5C3468B5"/>
    <w:rsid w:val="5FE46715"/>
    <w:rsid w:val="61C66F49"/>
    <w:rsid w:val="641E704E"/>
    <w:rsid w:val="642A326D"/>
    <w:rsid w:val="6541194A"/>
    <w:rsid w:val="681E750B"/>
    <w:rsid w:val="68564B9A"/>
    <w:rsid w:val="68817EE4"/>
    <w:rsid w:val="68825E00"/>
    <w:rsid w:val="6A7A0D56"/>
    <w:rsid w:val="6CC37F33"/>
    <w:rsid w:val="6D7D3888"/>
    <w:rsid w:val="6FB77B20"/>
    <w:rsid w:val="70874519"/>
    <w:rsid w:val="73325D4D"/>
    <w:rsid w:val="740752C3"/>
    <w:rsid w:val="7658178E"/>
    <w:rsid w:val="7673613F"/>
    <w:rsid w:val="77F51365"/>
    <w:rsid w:val="7809282A"/>
    <w:rsid w:val="78987460"/>
    <w:rsid w:val="7A290068"/>
    <w:rsid w:val="7A2E61A1"/>
    <w:rsid w:val="7CEE5606"/>
    <w:rsid w:val="7E377C09"/>
    <w:rsid w:val="7ED530BD"/>
    <w:rsid w:val="7F6C4F4C"/>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eastAsia="宋体" w:asciiTheme="minorHAnsi" w:hAnsiTheme="minorHAnsi" w:cstheme="minorBidi"/>
      <w:kern w:val="2"/>
      <w:sz w:val="21"/>
      <w:szCs w:val="24"/>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1"/>
    <w:next w:val="1"/>
    <w:unhideWhenUsed/>
    <w:qFormat/>
    <w:uiPriority w:val="99"/>
    <w:pPr>
      <w:ind w:firstLine="420" w:firstLineChars="200"/>
    </w:pPr>
  </w:style>
  <w:style w:type="paragraph" w:styleId="3">
    <w:name w:val="Body Text Indent"/>
    <w:basedOn w:val="1"/>
    <w:link w:val="12"/>
    <w:unhideWhenUsed/>
    <w:qFormat/>
    <w:uiPriority w:val="99"/>
    <w:pPr>
      <w:ind w:left="284" w:firstLine="200" w:firstLineChars="200"/>
    </w:pPr>
    <w:rPr>
      <w:rFonts w:ascii="楷体_GB2312" w:hAnsi="Times New Roman" w:eastAsia="楷体_GB2312" w:cs="Times New Roman"/>
      <w:sz w:val="84"/>
      <w:szCs w:val="20"/>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character" w:styleId="8">
    <w:name w:val="page number"/>
    <w:basedOn w:val="7"/>
    <w:unhideWhenUsed/>
    <w:qFormat/>
    <w:uiPriority w:val="99"/>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正文文本缩进 Char"/>
    <w:basedOn w:val="7"/>
    <w:link w:val="3"/>
    <w:qFormat/>
    <w:uiPriority w:val="99"/>
    <w:rPr>
      <w:rFonts w:ascii="楷体_GB2312" w:hAnsi="Times New Roman" w:eastAsia="楷体_GB2312" w:cs="Times New Roman"/>
      <w:sz w:val="84"/>
      <w:szCs w:val="20"/>
    </w:rPr>
  </w:style>
  <w:style w:type="paragraph" w:customStyle="1"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F9E827-6876-4E82-B13A-6BC0C50B16C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3667</Words>
  <Characters>3939</Characters>
  <Lines>30</Lines>
  <Paragraphs>8</Paragraphs>
  <TotalTime>0</TotalTime>
  <ScaleCrop>false</ScaleCrop>
  <LinksUpToDate>false</LinksUpToDate>
  <CharactersWithSpaces>3965</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2018-07-23T08:42:00Z</dcterms:created>
  <dc:creator>Suda</dc:creator>
  <cp:lastModifiedBy>User</cp:lastModifiedBy>
  <cp:lastPrinted>2022-06-24T02:40:00Z</cp:lastPrinted>
  <dcterms:modified xsi:type="dcterms:W3CDTF">2023-06-27T00:54:27Z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6D3F350A7DD647A38890FFAF858F0D13</vt:lpwstr>
  </property>
</Properties>
</file>