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A5F" w:rsidRDefault="002513EB">
      <w:pPr>
        <w:spacing w:line="600" w:lineRule="exact"/>
        <w:jc w:val="center"/>
        <w:rPr>
          <w:rFonts w:ascii="宋体" w:hAnsi="宋体"/>
          <w:b/>
          <w:bCs/>
          <w:w w:val="105"/>
          <w:sz w:val="44"/>
          <w:szCs w:val="44"/>
          <w:lang w:eastAsia="zh-CN"/>
        </w:rPr>
      </w:pPr>
      <w:r>
        <w:rPr>
          <w:rFonts w:ascii="宋体" w:hAnsi="宋体" w:hint="eastAsia"/>
          <w:b/>
          <w:bCs/>
          <w:w w:val="105"/>
          <w:sz w:val="44"/>
          <w:szCs w:val="44"/>
          <w:lang w:eastAsia="zh-CN"/>
        </w:rPr>
        <w:t>2021-2022年激光雷达（成都道点位）</w:t>
      </w:r>
    </w:p>
    <w:p w:rsidR="007A7A5F" w:rsidRDefault="002513EB">
      <w:pPr>
        <w:spacing w:line="600" w:lineRule="exact"/>
        <w:jc w:val="center"/>
        <w:rPr>
          <w:rFonts w:ascii="宋体" w:hAnsi="宋体"/>
          <w:b/>
          <w:bCs/>
          <w:w w:val="105"/>
          <w:sz w:val="44"/>
          <w:szCs w:val="44"/>
          <w:lang w:eastAsia="zh-CN"/>
        </w:rPr>
      </w:pPr>
      <w:r>
        <w:rPr>
          <w:rFonts w:ascii="宋体" w:hAnsi="宋体" w:hint="eastAsia"/>
          <w:b/>
          <w:bCs/>
          <w:w w:val="105"/>
          <w:sz w:val="44"/>
          <w:szCs w:val="44"/>
          <w:lang w:eastAsia="zh-CN"/>
        </w:rPr>
        <w:t>运行维护项目</w:t>
      </w:r>
      <w:r>
        <w:rPr>
          <w:rFonts w:ascii="宋体" w:hAnsi="宋体" w:hint="eastAsia"/>
          <w:b/>
          <w:bCs/>
          <w:spacing w:val="-15"/>
          <w:w w:val="105"/>
          <w:sz w:val="44"/>
          <w:szCs w:val="44"/>
          <w:lang w:eastAsia="zh-CN"/>
        </w:rPr>
        <w:t>支出绩效自评报告</w:t>
      </w:r>
    </w:p>
    <w:p w:rsidR="007A7A5F" w:rsidRDefault="007A7A5F">
      <w:pPr>
        <w:rPr>
          <w:lang w:eastAsia="zh-CN"/>
        </w:rPr>
      </w:pPr>
    </w:p>
    <w:p w:rsidR="007A7A5F" w:rsidRDefault="002513EB">
      <w:pPr>
        <w:spacing w:line="600" w:lineRule="exact"/>
        <w:jc w:val="both"/>
        <w:rPr>
          <w:rFonts w:ascii="黑体" w:eastAsia="黑体" w:hAnsi="黑体"/>
          <w:sz w:val="32"/>
          <w:szCs w:val="32"/>
          <w:lang w:eastAsia="zh-CN"/>
        </w:rPr>
      </w:pPr>
      <w:r>
        <w:rPr>
          <w:rFonts w:ascii="黑体" w:eastAsia="黑体" w:hAnsi="黑体"/>
          <w:spacing w:val="-4"/>
          <w:w w:val="105"/>
          <w:sz w:val="32"/>
          <w:szCs w:val="32"/>
          <w:lang w:eastAsia="zh-CN"/>
        </w:rPr>
        <w:t>一、基本情况</w:t>
      </w:r>
    </w:p>
    <w:p w:rsidR="007A7A5F" w:rsidRDefault="002513EB">
      <w:pPr>
        <w:spacing w:line="480" w:lineRule="exact"/>
        <w:rPr>
          <w:rFonts w:ascii="黑体" w:eastAsia="黑体" w:hAnsi="黑体"/>
          <w:sz w:val="32"/>
          <w:szCs w:val="32"/>
          <w:lang w:eastAsia="zh-CN"/>
        </w:rPr>
      </w:pPr>
      <w:r>
        <w:rPr>
          <w:rFonts w:ascii="黑体" w:eastAsia="黑体" w:hAnsi="黑体" w:hint="eastAsia"/>
          <w:sz w:val="32"/>
          <w:szCs w:val="32"/>
          <w:lang w:eastAsia="zh-CN"/>
        </w:rPr>
        <w:t xml:space="preserve">    （一）项目概况</w:t>
      </w:r>
    </w:p>
    <w:p w:rsidR="007A7A5F" w:rsidRDefault="002513EB">
      <w:pPr>
        <w:spacing w:line="48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近年，伴随我国经济和社会的迅速发展，公众对环境空气的质量要求越来越高。和平区作为中心城区，是天津经济文化核心区域，人群较为密集，工商业废气、机动车尾气、施工和装修扬尘、餐饮油烟、散煤燃烧等构成了多种空气污染源。为了能够在冬季重污染天气出现时，尽快发现污染成因，发展趋势，定位污染源头，我局于2018年10月在成都道133号楼顶建立激光雷达自动监测站。</w:t>
      </w:r>
    </w:p>
    <w:p w:rsidR="007A7A5F" w:rsidRDefault="002513EB">
      <w:pPr>
        <w:spacing w:line="48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激光雷达监测设备的原理是运用激光发射器的空间遥感技术，对大气气溶胶（飘尘）、大气边界层、云高及多层云结构时空演变及特征等进行连续监测，得到大气环境气溶胶分布的立体结构，具有智能摄像功能，能直接连接到电子地图，从摄像水平区域中选定某一特定区域进行气溶胶扫描，从而判断当地的大气污染情况，同时也能更准确的监测定点污染源的排放对城市上空环境污染的扩散规律，从而实现面源分析到点源寻找的双重功能。</w:t>
      </w:r>
    </w:p>
    <w:p w:rsidR="007A7A5F" w:rsidRDefault="002513EB">
      <w:pPr>
        <w:spacing w:line="480" w:lineRule="exact"/>
        <w:ind w:firstLineChars="200" w:firstLine="480"/>
        <w:rPr>
          <w:sz w:val="24"/>
          <w:lang w:eastAsia="zh-CN"/>
        </w:rPr>
      </w:pPr>
      <w:r>
        <w:rPr>
          <w:rFonts w:hint="eastAsia"/>
          <w:sz w:val="24"/>
          <w:lang w:eastAsia="zh-CN"/>
        </w:rPr>
        <w:t>我局于</w:t>
      </w:r>
      <w:r>
        <w:rPr>
          <w:rFonts w:hint="eastAsia"/>
          <w:sz w:val="24"/>
          <w:lang w:eastAsia="zh-CN"/>
        </w:rPr>
        <w:t>2018</w:t>
      </w:r>
      <w:r>
        <w:rPr>
          <w:rFonts w:hint="eastAsia"/>
          <w:sz w:val="24"/>
          <w:lang w:eastAsia="zh-CN"/>
        </w:rPr>
        <w:t>年</w:t>
      </w:r>
      <w:r>
        <w:rPr>
          <w:rFonts w:hint="eastAsia"/>
          <w:sz w:val="24"/>
          <w:lang w:eastAsia="zh-CN"/>
        </w:rPr>
        <w:t>10</w:t>
      </w:r>
      <w:r>
        <w:rPr>
          <w:rFonts w:hint="eastAsia"/>
          <w:sz w:val="24"/>
          <w:lang w:eastAsia="zh-CN"/>
        </w:rPr>
        <w:t>月在成都道</w:t>
      </w:r>
      <w:r>
        <w:rPr>
          <w:rFonts w:hint="eastAsia"/>
          <w:sz w:val="24"/>
          <w:lang w:eastAsia="zh-CN"/>
        </w:rPr>
        <w:t>133</w:t>
      </w:r>
      <w:r>
        <w:rPr>
          <w:rFonts w:hint="eastAsia"/>
          <w:sz w:val="24"/>
          <w:lang w:eastAsia="zh-CN"/>
        </w:rPr>
        <w:t>号楼顶安装了激光雷达监测设备，合同金额</w:t>
      </w:r>
      <w:r>
        <w:rPr>
          <w:rFonts w:hint="eastAsia"/>
          <w:sz w:val="24"/>
          <w:lang w:eastAsia="zh-CN"/>
        </w:rPr>
        <w:t>154.77</w:t>
      </w:r>
      <w:r>
        <w:rPr>
          <w:rFonts w:hint="eastAsia"/>
          <w:sz w:val="24"/>
          <w:lang w:eastAsia="zh-CN"/>
        </w:rPr>
        <w:t>万元（包含购买设备、站房建设及一年运维服务）。合同到期后，我局于</w:t>
      </w:r>
      <w:r>
        <w:rPr>
          <w:rFonts w:hint="eastAsia"/>
          <w:sz w:val="24"/>
          <w:lang w:eastAsia="zh-CN"/>
        </w:rPr>
        <w:t>2019</w:t>
      </w:r>
      <w:r>
        <w:rPr>
          <w:rFonts w:hint="eastAsia"/>
          <w:sz w:val="24"/>
          <w:lang w:eastAsia="zh-CN"/>
        </w:rPr>
        <w:t>年</w:t>
      </w:r>
      <w:r>
        <w:rPr>
          <w:rFonts w:hint="eastAsia"/>
          <w:sz w:val="24"/>
          <w:lang w:eastAsia="zh-CN"/>
        </w:rPr>
        <w:t>10</w:t>
      </w:r>
      <w:r>
        <w:rPr>
          <w:rFonts w:hint="eastAsia"/>
          <w:sz w:val="24"/>
          <w:lang w:eastAsia="zh-CN"/>
        </w:rPr>
        <w:t>月与设备运维公司续签了一年运维合同。该设备可以全天</w:t>
      </w:r>
      <w:r>
        <w:rPr>
          <w:rFonts w:hint="eastAsia"/>
          <w:sz w:val="24"/>
          <w:lang w:eastAsia="zh-CN"/>
        </w:rPr>
        <w:t>24</w:t>
      </w:r>
      <w:r>
        <w:rPr>
          <w:rFonts w:hint="eastAsia"/>
          <w:sz w:val="24"/>
          <w:lang w:eastAsia="zh-CN"/>
        </w:rPr>
        <w:t>小时对和平区全域进行扫描，迅速定位污染源位置，有效提高了工作效率。设备运维合同于</w:t>
      </w:r>
      <w:r>
        <w:rPr>
          <w:rFonts w:hint="eastAsia"/>
          <w:sz w:val="24"/>
          <w:lang w:eastAsia="zh-CN"/>
        </w:rPr>
        <w:t>2020</w:t>
      </w:r>
      <w:r>
        <w:rPr>
          <w:rFonts w:hint="eastAsia"/>
          <w:sz w:val="24"/>
          <w:lang w:eastAsia="zh-CN"/>
        </w:rPr>
        <w:t>年</w:t>
      </w:r>
      <w:r>
        <w:rPr>
          <w:rFonts w:hint="eastAsia"/>
          <w:sz w:val="24"/>
          <w:lang w:eastAsia="zh-CN"/>
        </w:rPr>
        <w:t>10</w:t>
      </w:r>
      <w:r>
        <w:rPr>
          <w:rFonts w:hint="eastAsia"/>
          <w:sz w:val="24"/>
          <w:lang w:eastAsia="zh-CN"/>
        </w:rPr>
        <w:t>月到期。我局于</w:t>
      </w:r>
      <w:r>
        <w:rPr>
          <w:rFonts w:hint="eastAsia"/>
          <w:sz w:val="24"/>
          <w:lang w:eastAsia="zh-CN"/>
        </w:rPr>
        <w:t>2020</w:t>
      </w:r>
      <w:r>
        <w:rPr>
          <w:rFonts w:hint="eastAsia"/>
          <w:sz w:val="24"/>
          <w:lang w:eastAsia="zh-CN"/>
        </w:rPr>
        <w:t>年</w:t>
      </w:r>
      <w:r>
        <w:rPr>
          <w:rFonts w:hint="eastAsia"/>
          <w:sz w:val="24"/>
          <w:lang w:eastAsia="zh-CN"/>
        </w:rPr>
        <w:t>8</w:t>
      </w:r>
      <w:r>
        <w:rPr>
          <w:rFonts w:hint="eastAsia"/>
          <w:sz w:val="24"/>
          <w:lang w:eastAsia="zh-CN"/>
        </w:rPr>
        <w:t>月向区政府提交运维请款请示报告并得到区领导批准。但由于财政资金紧张，我局直到</w:t>
      </w:r>
      <w:r>
        <w:rPr>
          <w:rFonts w:hint="eastAsia"/>
          <w:sz w:val="24"/>
          <w:lang w:eastAsia="zh-CN"/>
        </w:rPr>
        <w:t>2021</w:t>
      </w:r>
      <w:r>
        <w:rPr>
          <w:rFonts w:hint="eastAsia"/>
          <w:sz w:val="24"/>
          <w:lang w:eastAsia="zh-CN"/>
        </w:rPr>
        <w:t>年</w:t>
      </w:r>
      <w:r>
        <w:rPr>
          <w:rFonts w:hint="eastAsia"/>
          <w:sz w:val="24"/>
          <w:lang w:eastAsia="zh-CN"/>
        </w:rPr>
        <w:t>6</w:t>
      </w:r>
      <w:r>
        <w:rPr>
          <w:rFonts w:hint="eastAsia"/>
          <w:sz w:val="24"/>
          <w:lang w:eastAsia="zh-CN"/>
        </w:rPr>
        <w:t>月才与运维公司签订运维合同，但设备由于长时间无人运维而严重损坏。经过运维方现场及远程技术服务，耗材配件更换等工作，设备依旧无法正常运行，需额外支付费用更换工控机，但更换后也无法确保设备正常运行，还需继续进行调试检查，无法预估产生费用。于是我局向区政府提出激光雷达（成都道点位）停运的申请并得到区领导批准。与运维方结算配件更换费、服务费等费用，共计</w:t>
      </w:r>
      <w:r>
        <w:rPr>
          <w:rFonts w:hint="eastAsia"/>
          <w:sz w:val="24"/>
          <w:lang w:eastAsia="zh-CN"/>
        </w:rPr>
        <w:t>16.6422</w:t>
      </w:r>
      <w:r>
        <w:rPr>
          <w:rFonts w:hint="eastAsia"/>
          <w:sz w:val="24"/>
          <w:lang w:eastAsia="zh-CN"/>
        </w:rPr>
        <w:t>万元。</w:t>
      </w:r>
    </w:p>
    <w:p w:rsidR="007A7A5F" w:rsidRDefault="007A7A5F">
      <w:pPr>
        <w:spacing w:line="480" w:lineRule="exact"/>
        <w:ind w:firstLineChars="200" w:firstLine="480"/>
        <w:rPr>
          <w:sz w:val="24"/>
          <w:lang w:eastAsia="zh-CN"/>
        </w:rPr>
      </w:pPr>
    </w:p>
    <w:p w:rsidR="007A7A5F" w:rsidRDefault="007A7A5F">
      <w:pPr>
        <w:spacing w:line="480" w:lineRule="exact"/>
        <w:ind w:firstLineChars="200" w:firstLine="480"/>
        <w:rPr>
          <w:sz w:val="24"/>
          <w:lang w:eastAsia="zh-CN"/>
        </w:rPr>
      </w:pPr>
    </w:p>
    <w:p w:rsidR="007A7A5F" w:rsidRDefault="002513EB">
      <w:pPr>
        <w:spacing w:line="480" w:lineRule="exact"/>
        <w:ind w:firstLineChars="200" w:firstLine="640"/>
        <w:rPr>
          <w:rFonts w:ascii="黑体" w:eastAsia="黑体" w:hAnsi="黑体"/>
          <w:sz w:val="24"/>
          <w:lang w:eastAsia="zh-CN"/>
        </w:rPr>
      </w:pPr>
      <w:r>
        <w:rPr>
          <w:rFonts w:ascii="黑体" w:eastAsia="黑体" w:hAnsi="黑体" w:hint="eastAsia"/>
          <w:sz w:val="32"/>
          <w:szCs w:val="32"/>
          <w:lang w:eastAsia="zh-CN"/>
        </w:rPr>
        <w:t>（二）项目绩效目标</w:t>
      </w:r>
    </w:p>
    <w:p w:rsidR="007A7A5F" w:rsidRDefault="002513EB">
      <w:pPr>
        <w:spacing w:line="480" w:lineRule="exact"/>
        <w:ind w:firstLineChars="200" w:firstLine="480"/>
        <w:rPr>
          <w:sz w:val="24"/>
          <w:lang w:eastAsia="zh-CN"/>
        </w:rPr>
      </w:pPr>
      <w:r>
        <w:rPr>
          <w:rFonts w:hint="eastAsia"/>
          <w:bCs/>
          <w:sz w:val="24"/>
          <w:lang w:eastAsia="zh-CN"/>
        </w:rPr>
        <w:t>2021-2022</w:t>
      </w:r>
      <w:r>
        <w:rPr>
          <w:rFonts w:hint="eastAsia"/>
          <w:bCs/>
          <w:sz w:val="24"/>
          <w:lang w:eastAsia="zh-CN"/>
        </w:rPr>
        <w:t>年激光雷达（成都道点位）运行维护项目总体绩效目标是可以全天</w:t>
      </w:r>
      <w:r>
        <w:rPr>
          <w:rFonts w:hint="eastAsia"/>
          <w:bCs/>
          <w:sz w:val="24"/>
          <w:lang w:eastAsia="zh-CN"/>
        </w:rPr>
        <w:t>24</w:t>
      </w:r>
      <w:r>
        <w:rPr>
          <w:rFonts w:hint="eastAsia"/>
          <w:bCs/>
          <w:sz w:val="24"/>
          <w:lang w:eastAsia="zh-CN"/>
        </w:rPr>
        <w:t>小时对和平区全域进行扫描，迅速定位污染源位置，有效提高了工作效率</w:t>
      </w:r>
      <w:r>
        <w:rPr>
          <w:rFonts w:hint="eastAsia"/>
          <w:sz w:val="24"/>
          <w:lang w:eastAsia="zh-CN"/>
        </w:rPr>
        <w:t>，可以帮助区生态环境局及时掌握空气质量异常情况，为我区空气质量改善提供强有力的数据支撑。</w:t>
      </w:r>
    </w:p>
    <w:p w:rsidR="007A7A5F" w:rsidRDefault="007A7A5F">
      <w:pPr>
        <w:spacing w:line="480" w:lineRule="exact"/>
        <w:ind w:firstLineChars="200" w:firstLine="480"/>
        <w:jc w:val="center"/>
        <w:rPr>
          <w:sz w:val="24"/>
          <w:lang w:eastAsia="zh-CN"/>
        </w:rPr>
      </w:pPr>
    </w:p>
    <w:p w:rsidR="007A7A5F" w:rsidRDefault="002513EB">
      <w:pPr>
        <w:spacing w:line="480" w:lineRule="exact"/>
        <w:ind w:firstLineChars="200" w:firstLine="480"/>
        <w:jc w:val="center"/>
        <w:rPr>
          <w:sz w:val="24"/>
          <w:lang w:eastAsia="zh-CN"/>
        </w:rPr>
      </w:pPr>
      <w:r>
        <w:rPr>
          <w:rFonts w:hint="eastAsia"/>
          <w:sz w:val="24"/>
          <w:lang w:eastAsia="zh-CN"/>
        </w:rPr>
        <w:t>表</w:t>
      </w:r>
      <w:r>
        <w:rPr>
          <w:rFonts w:hint="eastAsia"/>
          <w:sz w:val="24"/>
          <w:lang w:eastAsia="zh-CN"/>
        </w:rPr>
        <w:t xml:space="preserve">1 </w:t>
      </w:r>
      <w:r>
        <w:rPr>
          <w:rFonts w:hint="eastAsia"/>
          <w:sz w:val="24"/>
          <w:lang w:eastAsia="zh-CN"/>
        </w:rPr>
        <w:t>项目绩效指标</w:t>
      </w:r>
    </w:p>
    <w:tbl>
      <w:tblPr>
        <w:tblStyle w:val="a6"/>
        <w:tblW w:w="0" w:type="auto"/>
        <w:tblLook w:val="04A0"/>
      </w:tblPr>
      <w:tblGrid>
        <w:gridCol w:w="534"/>
        <w:gridCol w:w="1417"/>
        <w:gridCol w:w="1418"/>
        <w:gridCol w:w="3827"/>
        <w:gridCol w:w="1326"/>
      </w:tblGrid>
      <w:tr w:rsidR="007A7A5F">
        <w:trPr>
          <w:trHeight w:val="318"/>
        </w:trPr>
        <w:tc>
          <w:tcPr>
            <w:tcW w:w="534" w:type="dxa"/>
            <w:vMerge w:val="restart"/>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绩</w:t>
            </w:r>
          </w:p>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效</w:t>
            </w:r>
          </w:p>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指</w:t>
            </w:r>
          </w:p>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标</w:t>
            </w:r>
          </w:p>
        </w:tc>
        <w:tc>
          <w:tcPr>
            <w:tcW w:w="1417"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一级指标</w:t>
            </w:r>
          </w:p>
        </w:tc>
        <w:tc>
          <w:tcPr>
            <w:tcW w:w="1418"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二级指标</w:t>
            </w:r>
          </w:p>
        </w:tc>
        <w:tc>
          <w:tcPr>
            <w:tcW w:w="3827"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三级指标</w:t>
            </w:r>
          </w:p>
        </w:tc>
        <w:tc>
          <w:tcPr>
            <w:tcW w:w="1326"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指标值</w:t>
            </w:r>
          </w:p>
        </w:tc>
      </w:tr>
      <w:tr w:rsidR="007A7A5F">
        <w:trPr>
          <w:trHeight w:val="318"/>
        </w:trPr>
        <w:tc>
          <w:tcPr>
            <w:tcW w:w="534"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7" w:type="dxa"/>
            <w:vMerge w:val="restart"/>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产出指标</w:t>
            </w:r>
          </w:p>
        </w:tc>
        <w:tc>
          <w:tcPr>
            <w:tcW w:w="1418" w:type="dxa"/>
            <w:vMerge w:val="restart"/>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数量指标</w:t>
            </w:r>
          </w:p>
        </w:tc>
        <w:tc>
          <w:tcPr>
            <w:tcW w:w="3827"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监测报告数量</w:t>
            </w:r>
          </w:p>
        </w:tc>
        <w:tc>
          <w:tcPr>
            <w:tcW w:w="1326"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≥52份</w:t>
            </w:r>
          </w:p>
        </w:tc>
      </w:tr>
      <w:tr w:rsidR="007A7A5F">
        <w:trPr>
          <w:trHeight w:val="318"/>
        </w:trPr>
        <w:tc>
          <w:tcPr>
            <w:tcW w:w="534"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8"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3827"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监测数据数量</w:t>
            </w:r>
          </w:p>
        </w:tc>
        <w:tc>
          <w:tcPr>
            <w:tcW w:w="1326"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≥4380个</w:t>
            </w:r>
          </w:p>
        </w:tc>
      </w:tr>
      <w:tr w:rsidR="007A7A5F">
        <w:trPr>
          <w:trHeight w:val="318"/>
        </w:trPr>
        <w:tc>
          <w:tcPr>
            <w:tcW w:w="534"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8" w:type="dxa"/>
            <w:vMerge w:val="restart"/>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质量指标</w:t>
            </w:r>
          </w:p>
        </w:tc>
        <w:tc>
          <w:tcPr>
            <w:tcW w:w="3827"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有效数据传输率</w:t>
            </w:r>
          </w:p>
        </w:tc>
        <w:tc>
          <w:tcPr>
            <w:tcW w:w="1326"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≥90%</w:t>
            </w:r>
          </w:p>
        </w:tc>
      </w:tr>
      <w:tr w:rsidR="007A7A5F">
        <w:trPr>
          <w:trHeight w:val="318"/>
        </w:trPr>
        <w:tc>
          <w:tcPr>
            <w:tcW w:w="534"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8"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3827"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网络和平台正常运转率</w:t>
            </w:r>
          </w:p>
        </w:tc>
        <w:tc>
          <w:tcPr>
            <w:tcW w:w="1326"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≥90%</w:t>
            </w:r>
          </w:p>
        </w:tc>
      </w:tr>
      <w:tr w:rsidR="007A7A5F">
        <w:trPr>
          <w:trHeight w:val="318"/>
        </w:trPr>
        <w:tc>
          <w:tcPr>
            <w:tcW w:w="534"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8"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3827"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设备故障率</w:t>
            </w:r>
          </w:p>
        </w:tc>
        <w:tc>
          <w:tcPr>
            <w:tcW w:w="1326"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≤5%</w:t>
            </w:r>
          </w:p>
        </w:tc>
      </w:tr>
      <w:tr w:rsidR="007A7A5F">
        <w:trPr>
          <w:trHeight w:val="318"/>
        </w:trPr>
        <w:tc>
          <w:tcPr>
            <w:tcW w:w="534"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8"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时效指标</w:t>
            </w:r>
          </w:p>
        </w:tc>
        <w:tc>
          <w:tcPr>
            <w:tcW w:w="3827"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项目服务期</w:t>
            </w:r>
          </w:p>
        </w:tc>
        <w:tc>
          <w:tcPr>
            <w:tcW w:w="1326"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签订合同之日一年时间</w:t>
            </w:r>
          </w:p>
        </w:tc>
      </w:tr>
      <w:tr w:rsidR="007A7A5F">
        <w:trPr>
          <w:trHeight w:val="318"/>
        </w:trPr>
        <w:tc>
          <w:tcPr>
            <w:tcW w:w="534"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8"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成本指标</w:t>
            </w:r>
          </w:p>
        </w:tc>
        <w:tc>
          <w:tcPr>
            <w:tcW w:w="3827"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全年运维成本</w:t>
            </w:r>
          </w:p>
        </w:tc>
        <w:tc>
          <w:tcPr>
            <w:tcW w:w="1326" w:type="dxa"/>
            <w:vAlign w:val="center"/>
          </w:tcPr>
          <w:p w:rsidR="007A7A5F" w:rsidRDefault="002513EB" w:rsidP="00807DD9">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≤23.</w:t>
            </w:r>
            <w:r w:rsidR="00807DD9">
              <w:rPr>
                <w:rFonts w:asciiTheme="minorEastAsia" w:eastAsiaTheme="minorEastAsia" w:hAnsiTheme="minorEastAsia" w:hint="eastAsia"/>
                <w:color w:val="000000"/>
                <w:sz w:val="18"/>
                <w:szCs w:val="18"/>
                <w:lang w:eastAsia="zh-CN"/>
              </w:rPr>
              <w:t>6</w:t>
            </w:r>
            <w:r>
              <w:rPr>
                <w:rFonts w:asciiTheme="minorEastAsia" w:eastAsiaTheme="minorEastAsia" w:hAnsiTheme="minorEastAsia" w:hint="eastAsia"/>
                <w:color w:val="000000"/>
                <w:sz w:val="18"/>
                <w:szCs w:val="18"/>
                <w:lang w:eastAsia="zh-CN"/>
              </w:rPr>
              <w:t>万元</w:t>
            </w:r>
          </w:p>
        </w:tc>
      </w:tr>
      <w:tr w:rsidR="007A7A5F">
        <w:trPr>
          <w:trHeight w:val="318"/>
        </w:trPr>
        <w:tc>
          <w:tcPr>
            <w:tcW w:w="534"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7"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效益指标</w:t>
            </w:r>
          </w:p>
        </w:tc>
        <w:tc>
          <w:tcPr>
            <w:tcW w:w="1418"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生态效益</w:t>
            </w:r>
            <w:r>
              <w:rPr>
                <w:rFonts w:asciiTheme="minorEastAsia" w:eastAsiaTheme="minorEastAsia" w:hAnsiTheme="minorEastAsia" w:hint="eastAsia"/>
                <w:color w:val="000000"/>
                <w:sz w:val="18"/>
                <w:szCs w:val="18"/>
                <w:lang w:eastAsia="zh-CN"/>
              </w:rPr>
              <w:br/>
              <w:t>指标</w:t>
            </w:r>
          </w:p>
        </w:tc>
        <w:tc>
          <w:tcPr>
            <w:tcW w:w="3827"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和平区空气质量改善</w:t>
            </w:r>
          </w:p>
        </w:tc>
        <w:tc>
          <w:tcPr>
            <w:tcW w:w="1326"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持续改善</w:t>
            </w:r>
          </w:p>
        </w:tc>
      </w:tr>
      <w:tr w:rsidR="007A7A5F">
        <w:trPr>
          <w:trHeight w:val="318"/>
        </w:trPr>
        <w:tc>
          <w:tcPr>
            <w:tcW w:w="534" w:type="dxa"/>
            <w:vMerge/>
            <w:vAlign w:val="center"/>
          </w:tcPr>
          <w:p w:rsidR="007A7A5F" w:rsidRDefault="007A7A5F">
            <w:pPr>
              <w:widowControl/>
              <w:jc w:val="center"/>
              <w:rPr>
                <w:rFonts w:asciiTheme="minorEastAsia" w:eastAsiaTheme="minorEastAsia" w:hAnsiTheme="minorEastAsia"/>
                <w:color w:val="000000"/>
                <w:sz w:val="18"/>
                <w:szCs w:val="18"/>
                <w:lang w:eastAsia="zh-CN"/>
              </w:rPr>
            </w:pPr>
          </w:p>
        </w:tc>
        <w:tc>
          <w:tcPr>
            <w:tcW w:w="1417"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满意度指标</w:t>
            </w:r>
          </w:p>
        </w:tc>
        <w:tc>
          <w:tcPr>
            <w:tcW w:w="1418" w:type="dxa"/>
            <w:vAlign w:val="center"/>
          </w:tcPr>
          <w:p w:rsidR="007A7A5F" w:rsidRDefault="002513E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服务对象</w:t>
            </w:r>
            <w:r>
              <w:rPr>
                <w:rFonts w:asciiTheme="minorEastAsia" w:eastAsiaTheme="minorEastAsia" w:hAnsiTheme="minorEastAsia" w:hint="eastAsia"/>
                <w:color w:val="000000"/>
                <w:sz w:val="18"/>
                <w:szCs w:val="18"/>
                <w:lang w:eastAsia="zh-CN"/>
              </w:rPr>
              <w:br/>
              <w:t>满意度指标</w:t>
            </w:r>
          </w:p>
        </w:tc>
        <w:tc>
          <w:tcPr>
            <w:tcW w:w="3827"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区环保局对运维情况的满意度</w:t>
            </w:r>
          </w:p>
        </w:tc>
        <w:tc>
          <w:tcPr>
            <w:tcW w:w="1326" w:type="dxa"/>
            <w:vAlign w:val="center"/>
          </w:tcPr>
          <w:p w:rsidR="007A7A5F" w:rsidRDefault="002513E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≥99%</w:t>
            </w:r>
          </w:p>
        </w:tc>
      </w:tr>
    </w:tbl>
    <w:p w:rsidR="007A7A5F" w:rsidRDefault="002513EB">
      <w:pPr>
        <w:spacing w:line="600" w:lineRule="exact"/>
        <w:ind w:firstLineChars="200" w:firstLine="640"/>
        <w:jc w:val="both"/>
        <w:rPr>
          <w:rFonts w:ascii="黑体" w:eastAsia="黑体" w:hAnsi="黑体"/>
          <w:sz w:val="32"/>
          <w:szCs w:val="32"/>
          <w:lang w:eastAsia="zh-CN"/>
        </w:rPr>
      </w:pPr>
      <w:r>
        <w:rPr>
          <w:rFonts w:ascii="黑体" w:eastAsia="黑体" w:hAnsi="黑体"/>
          <w:sz w:val="32"/>
          <w:szCs w:val="32"/>
          <w:lang w:eastAsia="zh-CN"/>
        </w:rPr>
        <w:t>二、绩效评价工作开展情况</w:t>
      </w:r>
    </w:p>
    <w:p w:rsidR="007A7A5F" w:rsidRDefault="002513EB">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（一）</w:t>
      </w:r>
      <w:r>
        <w:rPr>
          <w:rFonts w:ascii="黑体" w:eastAsia="黑体" w:hAnsi="黑体"/>
          <w:sz w:val="32"/>
          <w:szCs w:val="32"/>
          <w:lang w:eastAsia="zh-CN"/>
        </w:rPr>
        <w:t>绩效评价</w:t>
      </w:r>
      <w:r>
        <w:rPr>
          <w:rFonts w:ascii="黑体" w:eastAsia="黑体" w:hAnsi="黑体"/>
          <w:spacing w:val="-10"/>
          <w:sz w:val="32"/>
          <w:szCs w:val="32"/>
          <w:lang w:eastAsia="zh-CN"/>
        </w:rPr>
        <w:t>目的</w:t>
      </w:r>
      <w:r>
        <w:rPr>
          <w:rFonts w:ascii="黑体" w:eastAsia="黑体" w:hAnsi="黑体" w:hint="eastAsia"/>
          <w:sz w:val="32"/>
          <w:szCs w:val="32"/>
          <w:lang w:eastAsia="zh-CN"/>
        </w:rPr>
        <w:t>、对象和范围</w:t>
      </w:r>
    </w:p>
    <w:p w:rsidR="007A7A5F" w:rsidRDefault="002513EB">
      <w:pPr>
        <w:spacing w:line="480" w:lineRule="exact"/>
        <w:ind w:firstLineChars="200" w:firstLine="480"/>
        <w:jc w:val="both"/>
        <w:rPr>
          <w:sz w:val="24"/>
          <w:lang w:eastAsia="zh-CN"/>
        </w:rPr>
      </w:pPr>
      <w:r>
        <w:rPr>
          <w:rFonts w:hint="eastAsia"/>
          <w:sz w:val="24"/>
          <w:lang w:eastAsia="zh-CN"/>
        </w:rPr>
        <w:t>严格执行区里要求，优化项目质量，提高项目资金使用效益，对</w:t>
      </w:r>
      <w:r>
        <w:rPr>
          <w:rFonts w:hint="eastAsia"/>
          <w:bCs/>
          <w:sz w:val="24"/>
          <w:lang w:eastAsia="zh-CN"/>
        </w:rPr>
        <w:t>2021-2022</w:t>
      </w:r>
      <w:r>
        <w:rPr>
          <w:rFonts w:hint="eastAsia"/>
          <w:bCs/>
          <w:sz w:val="24"/>
          <w:lang w:eastAsia="zh-CN"/>
        </w:rPr>
        <w:t>年激光雷达（成都道点位）运行维护项目</w:t>
      </w:r>
      <w:r>
        <w:rPr>
          <w:rFonts w:hint="eastAsia"/>
          <w:sz w:val="24"/>
          <w:lang w:eastAsia="zh-CN"/>
        </w:rPr>
        <w:t>支出情况开展绩效评价，保证项目资金支出合理有效。</w:t>
      </w:r>
    </w:p>
    <w:p w:rsidR="007A7A5F" w:rsidRDefault="002513EB">
      <w:pPr>
        <w:spacing w:line="600" w:lineRule="exact"/>
        <w:jc w:val="both"/>
        <w:rPr>
          <w:rFonts w:ascii="黑体" w:eastAsia="黑体" w:hAnsi="黑体"/>
          <w:sz w:val="32"/>
          <w:szCs w:val="32"/>
          <w:lang w:eastAsia="zh-CN"/>
        </w:rPr>
      </w:pPr>
      <w:r>
        <w:rPr>
          <w:rFonts w:ascii="黑体" w:eastAsia="黑体" w:hAnsi="黑体" w:hint="eastAsia"/>
          <w:sz w:val="32"/>
          <w:szCs w:val="32"/>
          <w:lang w:eastAsia="zh-CN"/>
        </w:rPr>
        <w:t xml:space="preserve">    （二）</w:t>
      </w:r>
      <w:r>
        <w:rPr>
          <w:rFonts w:ascii="黑体" w:eastAsia="黑体" w:hAnsi="黑体" w:hint="eastAsia"/>
          <w:spacing w:val="-1"/>
          <w:w w:val="103"/>
          <w:sz w:val="32"/>
          <w:szCs w:val="32"/>
          <w:lang w:eastAsia="zh-CN"/>
        </w:rPr>
        <w:t>绩效评价原则</w:t>
      </w:r>
      <w:r>
        <w:rPr>
          <w:rFonts w:ascii="黑体" w:eastAsia="黑体" w:hAnsi="黑体" w:hint="eastAsia"/>
          <w:spacing w:val="-7"/>
          <w:w w:val="103"/>
          <w:sz w:val="32"/>
          <w:szCs w:val="32"/>
          <w:lang w:eastAsia="zh-CN"/>
        </w:rPr>
        <w:t>、评价指标体系</w:t>
      </w:r>
      <w:r>
        <w:rPr>
          <w:rFonts w:ascii="黑体" w:eastAsia="黑体" w:hAnsi="黑体" w:hint="eastAsia"/>
          <w:sz w:val="32"/>
          <w:szCs w:val="32"/>
          <w:lang w:eastAsia="zh-CN"/>
        </w:rPr>
        <w:t>、评价方法、评价标准</w:t>
      </w:r>
    </w:p>
    <w:p w:rsidR="007A7A5F" w:rsidRDefault="002513EB">
      <w:pPr>
        <w:spacing w:line="480" w:lineRule="exact"/>
        <w:ind w:firstLineChars="200" w:firstLine="480"/>
        <w:jc w:val="both"/>
        <w:rPr>
          <w:rFonts w:ascii="Times New Roman" w:eastAsia="仿宋_GB2312" w:hAnsi="Times New Roman"/>
          <w:sz w:val="32"/>
          <w:szCs w:val="32"/>
          <w:lang w:eastAsia="zh-CN"/>
        </w:rPr>
      </w:pPr>
      <w:r>
        <w:rPr>
          <w:sz w:val="24"/>
          <w:lang w:eastAsia="zh-CN"/>
        </w:rPr>
        <w:t>本着客观公正和有效性原则，按照设定的指标体系，</w:t>
      </w:r>
      <w:r>
        <w:rPr>
          <w:rFonts w:hint="eastAsia"/>
          <w:sz w:val="24"/>
          <w:lang w:eastAsia="zh-CN"/>
        </w:rPr>
        <w:t>分管局领导与相关科室参与评价，科室负责人</w:t>
      </w:r>
      <w:r>
        <w:rPr>
          <w:sz w:val="24"/>
          <w:lang w:eastAsia="zh-CN"/>
        </w:rPr>
        <w:t>进行打分，由项目负责人进行梳理并整改。</w:t>
      </w:r>
    </w:p>
    <w:p w:rsidR="007A7A5F" w:rsidRDefault="002513EB">
      <w:pPr>
        <w:rPr>
          <w:rFonts w:ascii="黑体" w:eastAsia="黑体" w:hAnsi="黑体"/>
          <w:sz w:val="32"/>
          <w:szCs w:val="32"/>
          <w:lang w:eastAsia="zh-CN"/>
        </w:rPr>
      </w:pPr>
      <w:r>
        <w:rPr>
          <w:rFonts w:ascii="黑体" w:eastAsia="黑体" w:hAnsi="黑体" w:hint="eastAsia"/>
          <w:sz w:val="32"/>
          <w:szCs w:val="32"/>
          <w:lang w:eastAsia="zh-CN"/>
        </w:rPr>
        <w:t xml:space="preserve">    （三）</w:t>
      </w:r>
      <w:r>
        <w:rPr>
          <w:rFonts w:ascii="黑体" w:eastAsia="黑体" w:hAnsi="黑体"/>
          <w:sz w:val="32"/>
          <w:szCs w:val="32"/>
          <w:lang w:eastAsia="zh-CN"/>
        </w:rPr>
        <w:t>绩效评价工作过程</w:t>
      </w:r>
    </w:p>
    <w:p w:rsidR="007A7A5F" w:rsidRDefault="002513EB">
      <w:pPr>
        <w:pStyle w:val="a5"/>
        <w:spacing w:before="0" w:beforeAutospacing="0" w:after="0" w:afterAutospacing="0" w:line="480" w:lineRule="exact"/>
        <w:ind w:firstLine="306"/>
        <w:textAlignment w:val="baseline"/>
        <w:rPr>
          <w:rFonts w:ascii="Calibri" w:hAnsi="Calibri" w:cs="Times New Roman"/>
          <w:szCs w:val="22"/>
        </w:rPr>
      </w:pPr>
      <w:r>
        <w:rPr>
          <w:rFonts w:ascii="Calibri" w:hAnsi="Calibri" w:cs="Times New Roman"/>
          <w:szCs w:val="22"/>
        </w:rPr>
        <w:t>1.</w:t>
      </w:r>
      <w:r>
        <w:rPr>
          <w:rFonts w:ascii="Calibri" w:hAnsi="Calibri" w:cs="Times New Roman"/>
          <w:szCs w:val="22"/>
        </w:rPr>
        <w:t>前期准备。</w:t>
      </w:r>
      <w:r>
        <w:rPr>
          <w:rFonts w:ascii="Calibri" w:hAnsi="Calibri" w:cs="Times New Roman" w:hint="eastAsia"/>
          <w:szCs w:val="22"/>
        </w:rPr>
        <w:t>组织相关人员</w:t>
      </w:r>
      <w:r>
        <w:rPr>
          <w:rFonts w:ascii="Calibri" w:hAnsi="Calibri" w:cs="Times New Roman"/>
          <w:szCs w:val="22"/>
        </w:rPr>
        <w:t>学习评价指标体系和绩效相关文件通知。</w:t>
      </w:r>
    </w:p>
    <w:p w:rsidR="007A7A5F" w:rsidRDefault="002513EB">
      <w:pPr>
        <w:pStyle w:val="a5"/>
        <w:spacing w:before="0" w:beforeAutospacing="0" w:after="0" w:afterAutospacing="0" w:line="480" w:lineRule="exact"/>
        <w:ind w:firstLine="306"/>
        <w:textAlignment w:val="baseline"/>
        <w:rPr>
          <w:rFonts w:ascii="Calibri" w:hAnsi="Calibri" w:cs="Times New Roman"/>
          <w:szCs w:val="22"/>
        </w:rPr>
      </w:pPr>
      <w:r>
        <w:rPr>
          <w:rFonts w:ascii="Calibri" w:hAnsi="Calibri" w:cs="Times New Roman"/>
          <w:szCs w:val="22"/>
        </w:rPr>
        <w:lastRenderedPageBreak/>
        <w:t>2.</w:t>
      </w:r>
      <w:r>
        <w:rPr>
          <w:rFonts w:ascii="Calibri" w:hAnsi="Calibri" w:cs="Times New Roman"/>
          <w:szCs w:val="22"/>
        </w:rPr>
        <w:t>组织实施。按照规定的工作程序组织绩效评价自评，注重评价质量，撰写绩效评价报告。</w:t>
      </w:r>
    </w:p>
    <w:p w:rsidR="007A7A5F" w:rsidRDefault="002513EB">
      <w:pPr>
        <w:pStyle w:val="a5"/>
        <w:spacing w:before="0" w:beforeAutospacing="0" w:after="0" w:afterAutospacing="0" w:line="480" w:lineRule="exact"/>
        <w:ind w:firstLine="306"/>
        <w:textAlignment w:val="baseline"/>
        <w:rPr>
          <w:rFonts w:ascii="Calibri" w:hAnsi="Calibri" w:cs="Times New Roman"/>
          <w:szCs w:val="22"/>
        </w:rPr>
      </w:pPr>
      <w:r>
        <w:rPr>
          <w:rFonts w:ascii="Calibri" w:hAnsi="Calibri" w:cs="Times New Roman"/>
          <w:szCs w:val="22"/>
        </w:rPr>
        <w:t>3.</w:t>
      </w:r>
      <w:r>
        <w:rPr>
          <w:rFonts w:ascii="Calibri" w:hAnsi="Calibri" w:cs="Times New Roman"/>
          <w:szCs w:val="22"/>
        </w:rPr>
        <w:t>分析评价。对评价结果进行整改。</w:t>
      </w:r>
    </w:p>
    <w:p w:rsidR="007A7A5F" w:rsidRDefault="002513EB" w:rsidP="00807DD9">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hint="eastAsia"/>
          <w:spacing w:val="-4"/>
          <w:w w:val="105"/>
          <w:sz w:val="32"/>
          <w:szCs w:val="32"/>
          <w:lang w:eastAsia="zh-CN"/>
        </w:rPr>
        <w:t>三、</w:t>
      </w:r>
      <w:r>
        <w:rPr>
          <w:rFonts w:ascii="黑体" w:eastAsia="黑体" w:hAnsi="黑体"/>
          <w:spacing w:val="-4"/>
          <w:w w:val="105"/>
          <w:sz w:val="32"/>
          <w:szCs w:val="32"/>
          <w:lang w:eastAsia="zh-CN"/>
        </w:rPr>
        <w:t>综合评价情况及评价结论</w:t>
      </w:r>
    </w:p>
    <w:p w:rsidR="007A7A5F" w:rsidRDefault="002513EB">
      <w:pPr>
        <w:spacing w:line="480" w:lineRule="exact"/>
        <w:jc w:val="both"/>
        <w:rPr>
          <w:sz w:val="24"/>
          <w:lang w:eastAsia="zh-CN"/>
        </w:rPr>
      </w:pPr>
      <w:r>
        <w:rPr>
          <w:rFonts w:hint="eastAsia"/>
          <w:sz w:val="24"/>
          <w:lang w:eastAsia="zh-CN"/>
        </w:rPr>
        <w:t xml:space="preserve">    </w:t>
      </w:r>
      <w:r>
        <w:rPr>
          <w:rFonts w:hint="eastAsia"/>
          <w:sz w:val="24"/>
          <w:lang w:eastAsia="zh-CN"/>
        </w:rPr>
        <w:t>按照“项目支出自评表”进行综合评价，满分</w:t>
      </w:r>
      <w:r>
        <w:rPr>
          <w:rFonts w:hint="eastAsia"/>
          <w:sz w:val="24"/>
          <w:lang w:eastAsia="zh-CN"/>
        </w:rPr>
        <w:t>100</w:t>
      </w:r>
      <w:r>
        <w:rPr>
          <w:rFonts w:hint="eastAsia"/>
          <w:sz w:val="24"/>
          <w:lang w:eastAsia="zh-CN"/>
        </w:rPr>
        <w:t>分，自评分数为</w:t>
      </w:r>
      <w:r w:rsidR="00717CA7">
        <w:rPr>
          <w:rFonts w:hint="eastAsia"/>
          <w:sz w:val="24"/>
          <w:lang w:eastAsia="zh-CN"/>
        </w:rPr>
        <w:t>19.5</w:t>
      </w:r>
      <w:r>
        <w:rPr>
          <w:rFonts w:hint="eastAsia"/>
          <w:sz w:val="24"/>
          <w:lang w:eastAsia="zh-CN"/>
        </w:rPr>
        <w:t>分。项目过程、结果、资金支出等情况不符合预期，属于突发特殊情况。</w:t>
      </w:r>
    </w:p>
    <w:p w:rsidR="007A7A5F" w:rsidRDefault="002513EB" w:rsidP="00807DD9">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spacing w:val="-4"/>
          <w:w w:val="105"/>
          <w:sz w:val="32"/>
          <w:szCs w:val="32"/>
          <w:lang w:eastAsia="zh-CN"/>
        </w:rPr>
        <w:t>四、绩效评价指标分析</w:t>
      </w:r>
    </w:p>
    <w:p w:rsidR="007A7A5F" w:rsidRDefault="002513EB">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（一）</w:t>
      </w:r>
      <w:r>
        <w:rPr>
          <w:rFonts w:ascii="黑体" w:eastAsia="黑体" w:hAnsi="黑体"/>
          <w:sz w:val="32"/>
          <w:szCs w:val="32"/>
          <w:lang w:eastAsia="zh-CN"/>
        </w:rPr>
        <w:t>项目决策情况</w:t>
      </w:r>
    </w:p>
    <w:p w:rsidR="007A7A5F" w:rsidRDefault="002513EB">
      <w:pPr>
        <w:spacing w:line="480" w:lineRule="exact"/>
        <w:ind w:firstLineChars="200" w:firstLine="480"/>
        <w:jc w:val="both"/>
        <w:rPr>
          <w:sz w:val="24"/>
          <w:lang w:eastAsia="zh-CN"/>
        </w:rPr>
      </w:pPr>
      <w:r>
        <w:rPr>
          <w:rFonts w:hint="eastAsia"/>
          <w:sz w:val="24"/>
          <w:lang w:eastAsia="zh-CN"/>
        </w:rPr>
        <w:t>我局于</w:t>
      </w:r>
      <w:r>
        <w:rPr>
          <w:rFonts w:hint="eastAsia"/>
          <w:sz w:val="24"/>
          <w:lang w:eastAsia="zh-CN"/>
        </w:rPr>
        <w:t>2018</w:t>
      </w:r>
      <w:r>
        <w:rPr>
          <w:rFonts w:hint="eastAsia"/>
          <w:sz w:val="24"/>
          <w:lang w:eastAsia="zh-CN"/>
        </w:rPr>
        <w:t>年</w:t>
      </w:r>
      <w:r>
        <w:rPr>
          <w:rFonts w:hint="eastAsia"/>
          <w:sz w:val="24"/>
          <w:lang w:eastAsia="zh-CN"/>
        </w:rPr>
        <w:t>10</w:t>
      </w:r>
      <w:r>
        <w:rPr>
          <w:rFonts w:hint="eastAsia"/>
          <w:sz w:val="24"/>
          <w:lang w:eastAsia="zh-CN"/>
        </w:rPr>
        <w:t>月在成都道</w:t>
      </w:r>
      <w:r>
        <w:rPr>
          <w:rFonts w:hint="eastAsia"/>
          <w:sz w:val="24"/>
          <w:lang w:eastAsia="zh-CN"/>
        </w:rPr>
        <w:t>133</w:t>
      </w:r>
      <w:r>
        <w:rPr>
          <w:rFonts w:hint="eastAsia"/>
          <w:sz w:val="24"/>
          <w:lang w:eastAsia="zh-CN"/>
        </w:rPr>
        <w:t>号楼顶安装了激光雷达监测设备，合同金额</w:t>
      </w:r>
      <w:r>
        <w:rPr>
          <w:rFonts w:hint="eastAsia"/>
          <w:sz w:val="24"/>
          <w:lang w:eastAsia="zh-CN"/>
        </w:rPr>
        <w:t>154.77</w:t>
      </w:r>
      <w:r>
        <w:rPr>
          <w:rFonts w:hint="eastAsia"/>
          <w:sz w:val="24"/>
          <w:lang w:eastAsia="zh-CN"/>
        </w:rPr>
        <w:t>万元（包含购买设备、站房建设及一年运维服务）。合同到期后，我局于</w:t>
      </w:r>
      <w:r>
        <w:rPr>
          <w:rFonts w:hint="eastAsia"/>
          <w:sz w:val="24"/>
          <w:lang w:eastAsia="zh-CN"/>
        </w:rPr>
        <w:t>2019</w:t>
      </w:r>
      <w:r>
        <w:rPr>
          <w:rFonts w:hint="eastAsia"/>
          <w:sz w:val="24"/>
          <w:lang w:eastAsia="zh-CN"/>
        </w:rPr>
        <w:t>年</w:t>
      </w:r>
      <w:r>
        <w:rPr>
          <w:rFonts w:hint="eastAsia"/>
          <w:sz w:val="24"/>
          <w:lang w:eastAsia="zh-CN"/>
        </w:rPr>
        <w:t>10</w:t>
      </w:r>
      <w:r>
        <w:rPr>
          <w:rFonts w:hint="eastAsia"/>
          <w:sz w:val="24"/>
          <w:lang w:eastAsia="zh-CN"/>
        </w:rPr>
        <w:t>月与设备运维公司续签了一年运维合同。该设备可以全天</w:t>
      </w:r>
      <w:r>
        <w:rPr>
          <w:rFonts w:hint="eastAsia"/>
          <w:sz w:val="24"/>
          <w:lang w:eastAsia="zh-CN"/>
        </w:rPr>
        <w:t>24</w:t>
      </w:r>
      <w:r>
        <w:rPr>
          <w:rFonts w:hint="eastAsia"/>
          <w:sz w:val="24"/>
          <w:lang w:eastAsia="zh-CN"/>
        </w:rPr>
        <w:t>小时对和平区全域进行扫描，迅速定位污染源位置，有效提高了工作效率。设备运维合同于</w:t>
      </w:r>
      <w:r>
        <w:rPr>
          <w:rFonts w:hint="eastAsia"/>
          <w:sz w:val="24"/>
          <w:lang w:eastAsia="zh-CN"/>
        </w:rPr>
        <w:t>2020</w:t>
      </w:r>
      <w:r>
        <w:rPr>
          <w:rFonts w:hint="eastAsia"/>
          <w:sz w:val="24"/>
          <w:lang w:eastAsia="zh-CN"/>
        </w:rPr>
        <w:t>年</w:t>
      </w:r>
      <w:r>
        <w:rPr>
          <w:rFonts w:hint="eastAsia"/>
          <w:sz w:val="24"/>
          <w:lang w:eastAsia="zh-CN"/>
        </w:rPr>
        <w:t>10</w:t>
      </w:r>
      <w:r>
        <w:rPr>
          <w:rFonts w:hint="eastAsia"/>
          <w:sz w:val="24"/>
          <w:lang w:eastAsia="zh-CN"/>
        </w:rPr>
        <w:t>月到期。我局于</w:t>
      </w:r>
      <w:r>
        <w:rPr>
          <w:rFonts w:hint="eastAsia"/>
          <w:sz w:val="24"/>
          <w:lang w:eastAsia="zh-CN"/>
        </w:rPr>
        <w:t>2020</w:t>
      </w:r>
      <w:r>
        <w:rPr>
          <w:rFonts w:hint="eastAsia"/>
          <w:sz w:val="24"/>
          <w:lang w:eastAsia="zh-CN"/>
        </w:rPr>
        <w:t>年</w:t>
      </w:r>
      <w:r>
        <w:rPr>
          <w:rFonts w:hint="eastAsia"/>
          <w:sz w:val="24"/>
          <w:lang w:eastAsia="zh-CN"/>
        </w:rPr>
        <w:t>8</w:t>
      </w:r>
      <w:r>
        <w:rPr>
          <w:rFonts w:hint="eastAsia"/>
          <w:sz w:val="24"/>
          <w:lang w:eastAsia="zh-CN"/>
        </w:rPr>
        <w:t>月向区政府提交运维请款请示报告并得到区领导批准。但由于区财政资金紧张，我局直到</w:t>
      </w:r>
      <w:r>
        <w:rPr>
          <w:rFonts w:hint="eastAsia"/>
          <w:sz w:val="24"/>
          <w:lang w:eastAsia="zh-CN"/>
        </w:rPr>
        <w:t>2021</w:t>
      </w:r>
      <w:r>
        <w:rPr>
          <w:rFonts w:hint="eastAsia"/>
          <w:sz w:val="24"/>
          <w:lang w:eastAsia="zh-CN"/>
        </w:rPr>
        <w:t>年</w:t>
      </w:r>
      <w:r>
        <w:rPr>
          <w:rFonts w:hint="eastAsia"/>
          <w:sz w:val="24"/>
          <w:lang w:eastAsia="zh-CN"/>
        </w:rPr>
        <w:t>6</w:t>
      </w:r>
      <w:r>
        <w:rPr>
          <w:rFonts w:hint="eastAsia"/>
          <w:sz w:val="24"/>
          <w:lang w:eastAsia="zh-CN"/>
        </w:rPr>
        <w:t>月才与运维公司签订运维合同。</w:t>
      </w:r>
    </w:p>
    <w:p w:rsidR="007A7A5F" w:rsidRDefault="002513EB">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（二）</w:t>
      </w:r>
      <w:r>
        <w:rPr>
          <w:rFonts w:ascii="黑体" w:eastAsia="黑体" w:hAnsi="黑体"/>
          <w:sz w:val="32"/>
          <w:szCs w:val="32"/>
          <w:lang w:eastAsia="zh-CN"/>
        </w:rPr>
        <w:t>项目过程情况</w:t>
      </w:r>
    </w:p>
    <w:p w:rsidR="007A7A5F" w:rsidRDefault="002513EB">
      <w:pPr>
        <w:spacing w:line="480" w:lineRule="exact"/>
        <w:ind w:firstLineChars="200" w:firstLine="480"/>
        <w:rPr>
          <w:sz w:val="24"/>
          <w:lang w:eastAsia="zh-CN"/>
        </w:rPr>
      </w:pPr>
      <w:r>
        <w:rPr>
          <w:rFonts w:hint="eastAsia"/>
          <w:sz w:val="24"/>
          <w:lang w:eastAsia="zh-CN"/>
        </w:rPr>
        <w:t>我局于</w:t>
      </w:r>
      <w:r>
        <w:rPr>
          <w:rFonts w:hint="eastAsia"/>
          <w:sz w:val="24"/>
          <w:lang w:eastAsia="zh-CN"/>
        </w:rPr>
        <w:t>2020</w:t>
      </w:r>
      <w:r>
        <w:rPr>
          <w:rFonts w:hint="eastAsia"/>
          <w:sz w:val="24"/>
          <w:lang w:eastAsia="zh-CN"/>
        </w:rPr>
        <w:t>年</w:t>
      </w:r>
      <w:r>
        <w:rPr>
          <w:rFonts w:hint="eastAsia"/>
          <w:sz w:val="24"/>
          <w:lang w:eastAsia="zh-CN"/>
        </w:rPr>
        <w:t>8</w:t>
      </w:r>
      <w:r>
        <w:rPr>
          <w:rFonts w:hint="eastAsia"/>
          <w:sz w:val="24"/>
          <w:lang w:eastAsia="zh-CN"/>
        </w:rPr>
        <w:t>月向区政府提交运维请款请示报告并得到区领导批准。但由于区财政资金紧张，我局直到</w:t>
      </w:r>
      <w:r>
        <w:rPr>
          <w:rFonts w:hint="eastAsia"/>
          <w:sz w:val="24"/>
          <w:lang w:eastAsia="zh-CN"/>
        </w:rPr>
        <w:t>2021</w:t>
      </w:r>
      <w:r>
        <w:rPr>
          <w:rFonts w:hint="eastAsia"/>
          <w:sz w:val="24"/>
          <w:lang w:eastAsia="zh-CN"/>
        </w:rPr>
        <w:t>年</w:t>
      </w:r>
      <w:r>
        <w:rPr>
          <w:rFonts w:hint="eastAsia"/>
          <w:sz w:val="24"/>
          <w:lang w:eastAsia="zh-CN"/>
        </w:rPr>
        <w:t>6</w:t>
      </w:r>
      <w:r>
        <w:rPr>
          <w:rFonts w:hint="eastAsia"/>
          <w:sz w:val="24"/>
          <w:lang w:eastAsia="zh-CN"/>
        </w:rPr>
        <w:t>月才与运维公司签订运维合同。但由于长时间无人运维而严重损坏，经过运维方现场及远程技术服务，耗材配件更换等工作，设备依旧无法正常运行，需额外支付费用更换工控机，但更换后也无法确保设备正常运行，还需继续进行调试检查，无法预估产生费用。于是我局向区政府提出激光雷达（成都道点位）停运的申请并得到区领导批准。与运维方结算配件更换费、服务费等费用，共计</w:t>
      </w:r>
      <w:r>
        <w:rPr>
          <w:rFonts w:hint="eastAsia"/>
          <w:sz w:val="24"/>
          <w:lang w:eastAsia="zh-CN"/>
        </w:rPr>
        <w:t>16.6</w:t>
      </w:r>
      <w:r>
        <w:rPr>
          <w:rFonts w:hint="eastAsia"/>
          <w:sz w:val="24"/>
          <w:lang w:eastAsia="zh-CN"/>
        </w:rPr>
        <w:t>万元。</w:t>
      </w:r>
    </w:p>
    <w:p w:rsidR="007A7A5F" w:rsidRDefault="002513EB">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（三）</w:t>
      </w:r>
      <w:r>
        <w:rPr>
          <w:rFonts w:ascii="黑体" w:eastAsia="黑体" w:hAnsi="黑体"/>
          <w:sz w:val="32"/>
          <w:szCs w:val="32"/>
          <w:lang w:eastAsia="zh-CN"/>
        </w:rPr>
        <w:t>项目产出情况</w:t>
      </w:r>
    </w:p>
    <w:p w:rsidR="007A7A5F" w:rsidRDefault="002513EB">
      <w:pPr>
        <w:spacing w:line="360" w:lineRule="auto"/>
        <w:ind w:firstLineChars="200" w:firstLine="480"/>
        <w:rPr>
          <w:sz w:val="24"/>
          <w:lang w:eastAsia="zh-CN"/>
        </w:rPr>
      </w:pPr>
      <w:r>
        <w:rPr>
          <w:rFonts w:hint="eastAsia"/>
          <w:sz w:val="24"/>
          <w:lang w:eastAsia="zh-CN"/>
        </w:rPr>
        <w:t>由于设备损坏原因，本项目未有实际产出。</w:t>
      </w:r>
    </w:p>
    <w:p w:rsidR="007A7A5F" w:rsidRDefault="002513EB">
      <w:pPr>
        <w:spacing w:line="360" w:lineRule="auto"/>
        <w:ind w:firstLineChars="200" w:firstLine="640"/>
        <w:rPr>
          <w:rFonts w:ascii="黑体" w:eastAsia="黑体" w:hAnsi="黑体"/>
          <w:sz w:val="32"/>
          <w:szCs w:val="32"/>
          <w:lang w:eastAsia="zh-CN"/>
        </w:rPr>
      </w:pPr>
      <w:r>
        <w:rPr>
          <w:rFonts w:ascii="黑体" w:eastAsia="黑体" w:hAnsi="黑体" w:hint="eastAsia"/>
          <w:sz w:val="32"/>
          <w:szCs w:val="32"/>
          <w:lang w:eastAsia="zh-CN"/>
        </w:rPr>
        <w:t>（四）</w:t>
      </w:r>
      <w:r>
        <w:rPr>
          <w:rFonts w:ascii="黑体" w:eastAsia="黑体" w:hAnsi="黑体"/>
          <w:sz w:val="32"/>
          <w:szCs w:val="32"/>
          <w:lang w:eastAsia="zh-CN"/>
        </w:rPr>
        <w:t>项目效益情况</w:t>
      </w:r>
    </w:p>
    <w:p w:rsidR="007A7A5F" w:rsidRDefault="002513EB">
      <w:pPr>
        <w:spacing w:line="480" w:lineRule="exact"/>
        <w:ind w:firstLineChars="200" w:firstLine="480"/>
        <w:rPr>
          <w:sz w:val="24"/>
          <w:lang w:eastAsia="zh-CN"/>
        </w:rPr>
      </w:pPr>
      <w:r>
        <w:rPr>
          <w:rFonts w:hint="eastAsia"/>
          <w:sz w:val="24"/>
          <w:lang w:eastAsia="zh-CN"/>
        </w:rPr>
        <w:t>项目效益主要体现在生态效益方面。通过</w:t>
      </w:r>
      <w:r>
        <w:rPr>
          <w:rFonts w:hint="eastAsia"/>
          <w:bCs/>
          <w:sz w:val="24"/>
          <w:lang w:eastAsia="zh-CN"/>
        </w:rPr>
        <w:t>全天</w:t>
      </w:r>
      <w:r>
        <w:rPr>
          <w:rFonts w:hint="eastAsia"/>
          <w:bCs/>
          <w:sz w:val="24"/>
          <w:lang w:eastAsia="zh-CN"/>
        </w:rPr>
        <w:t>24</w:t>
      </w:r>
      <w:r>
        <w:rPr>
          <w:rFonts w:hint="eastAsia"/>
          <w:bCs/>
          <w:sz w:val="24"/>
          <w:lang w:eastAsia="zh-CN"/>
        </w:rPr>
        <w:t>小时对和平区全域进行扫</w:t>
      </w:r>
      <w:r>
        <w:rPr>
          <w:rFonts w:hint="eastAsia"/>
          <w:bCs/>
          <w:sz w:val="24"/>
          <w:lang w:eastAsia="zh-CN"/>
        </w:rPr>
        <w:lastRenderedPageBreak/>
        <w:t>描，迅速定位污染源位置，</w:t>
      </w:r>
      <w:r>
        <w:rPr>
          <w:rFonts w:hint="eastAsia"/>
          <w:sz w:val="24"/>
          <w:lang w:eastAsia="zh-CN"/>
        </w:rPr>
        <w:t>及时掌握空气质量异常情况，为我区空气质量改善提供强有力的数据支撑。但由于设备损坏原因，本项目未能产生实际效益。</w:t>
      </w:r>
    </w:p>
    <w:p w:rsidR="007A7A5F" w:rsidRDefault="002513EB" w:rsidP="00807DD9">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hint="eastAsia"/>
          <w:spacing w:val="-4"/>
          <w:w w:val="105"/>
          <w:sz w:val="32"/>
          <w:szCs w:val="32"/>
          <w:lang w:eastAsia="zh-CN"/>
        </w:rPr>
        <w:t>五</w:t>
      </w:r>
      <w:r>
        <w:rPr>
          <w:rFonts w:ascii="黑体" w:eastAsia="黑体" w:hAnsi="黑体"/>
          <w:spacing w:val="-4"/>
          <w:w w:val="105"/>
          <w:sz w:val="32"/>
          <w:szCs w:val="32"/>
          <w:lang w:eastAsia="zh-CN"/>
        </w:rPr>
        <w:t>、主要经验及做法</w:t>
      </w:r>
      <w:r>
        <w:rPr>
          <w:rFonts w:ascii="黑体" w:eastAsia="黑体" w:hAnsi="黑体" w:hint="eastAsia"/>
          <w:spacing w:val="-4"/>
          <w:w w:val="105"/>
          <w:sz w:val="32"/>
          <w:szCs w:val="32"/>
          <w:lang w:eastAsia="zh-CN"/>
        </w:rPr>
        <w:t>、</w:t>
      </w:r>
      <w:r>
        <w:rPr>
          <w:rFonts w:ascii="黑体" w:eastAsia="黑体" w:hAnsi="黑体"/>
          <w:spacing w:val="-4"/>
          <w:w w:val="105"/>
          <w:sz w:val="32"/>
          <w:szCs w:val="32"/>
          <w:lang w:eastAsia="zh-CN"/>
        </w:rPr>
        <w:t xml:space="preserve">存在的问题及原因分析 </w:t>
      </w:r>
    </w:p>
    <w:p w:rsidR="007A7A5F" w:rsidRDefault="002513EB">
      <w:pPr>
        <w:spacing w:line="480" w:lineRule="exact"/>
        <w:ind w:firstLineChars="200" w:firstLine="480"/>
        <w:jc w:val="both"/>
        <w:rPr>
          <w:sz w:val="24"/>
          <w:lang w:eastAsia="zh-CN"/>
        </w:rPr>
      </w:pPr>
      <w:r>
        <w:rPr>
          <w:rFonts w:hint="eastAsia"/>
          <w:sz w:val="24"/>
          <w:lang w:eastAsia="zh-CN"/>
        </w:rPr>
        <w:t>激光雷达（成都道点位）上份运维合同于</w:t>
      </w:r>
      <w:r>
        <w:rPr>
          <w:rFonts w:hint="eastAsia"/>
          <w:sz w:val="24"/>
          <w:lang w:eastAsia="zh-CN"/>
        </w:rPr>
        <w:t>2019</w:t>
      </w:r>
      <w:r>
        <w:rPr>
          <w:rFonts w:hint="eastAsia"/>
          <w:sz w:val="24"/>
          <w:lang w:eastAsia="zh-CN"/>
        </w:rPr>
        <w:t>年</w:t>
      </w:r>
      <w:r>
        <w:rPr>
          <w:rFonts w:hint="eastAsia"/>
          <w:sz w:val="24"/>
          <w:lang w:eastAsia="zh-CN"/>
        </w:rPr>
        <w:t>10</w:t>
      </w:r>
      <w:r>
        <w:rPr>
          <w:rFonts w:hint="eastAsia"/>
          <w:sz w:val="24"/>
          <w:lang w:eastAsia="zh-CN"/>
        </w:rPr>
        <w:t>月到期。我局于</w:t>
      </w:r>
      <w:r>
        <w:rPr>
          <w:rFonts w:hint="eastAsia"/>
          <w:sz w:val="24"/>
          <w:lang w:eastAsia="zh-CN"/>
        </w:rPr>
        <w:t>2020</w:t>
      </w:r>
      <w:r>
        <w:rPr>
          <w:rFonts w:hint="eastAsia"/>
          <w:sz w:val="24"/>
          <w:lang w:eastAsia="zh-CN"/>
        </w:rPr>
        <w:t>年</w:t>
      </w:r>
      <w:r>
        <w:rPr>
          <w:rFonts w:hint="eastAsia"/>
          <w:sz w:val="24"/>
          <w:lang w:eastAsia="zh-CN"/>
        </w:rPr>
        <w:t>8</w:t>
      </w:r>
      <w:r>
        <w:rPr>
          <w:rFonts w:hint="eastAsia"/>
          <w:sz w:val="24"/>
          <w:lang w:eastAsia="zh-CN"/>
        </w:rPr>
        <w:t>月向区政府提交运维请款请示报告并得到区领导批准。但由于区财政资金紧张，我局直到</w:t>
      </w:r>
      <w:r>
        <w:rPr>
          <w:rFonts w:hint="eastAsia"/>
          <w:sz w:val="24"/>
          <w:lang w:eastAsia="zh-CN"/>
        </w:rPr>
        <w:t>2021</w:t>
      </w:r>
      <w:r>
        <w:rPr>
          <w:rFonts w:hint="eastAsia"/>
          <w:sz w:val="24"/>
          <w:lang w:eastAsia="zh-CN"/>
        </w:rPr>
        <w:t>年</w:t>
      </w:r>
      <w:r>
        <w:rPr>
          <w:rFonts w:hint="eastAsia"/>
          <w:sz w:val="24"/>
          <w:lang w:eastAsia="zh-CN"/>
        </w:rPr>
        <w:t>6</w:t>
      </w:r>
      <w:r>
        <w:rPr>
          <w:rFonts w:hint="eastAsia"/>
          <w:sz w:val="24"/>
          <w:lang w:eastAsia="zh-CN"/>
        </w:rPr>
        <w:t>月才与运维公司签订运维合同。在</w:t>
      </w:r>
      <w:r>
        <w:rPr>
          <w:rFonts w:hint="eastAsia"/>
          <w:sz w:val="24"/>
          <w:lang w:eastAsia="zh-CN"/>
        </w:rPr>
        <w:t>2020</w:t>
      </w:r>
      <w:r>
        <w:rPr>
          <w:rFonts w:hint="eastAsia"/>
          <w:sz w:val="24"/>
          <w:lang w:eastAsia="zh-CN"/>
        </w:rPr>
        <w:t>年</w:t>
      </w:r>
      <w:r>
        <w:rPr>
          <w:rFonts w:hint="eastAsia"/>
          <w:sz w:val="24"/>
          <w:lang w:eastAsia="zh-CN"/>
        </w:rPr>
        <w:t>10</w:t>
      </w:r>
      <w:r>
        <w:rPr>
          <w:rFonts w:hint="eastAsia"/>
          <w:sz w:val="24"/>
          <w:lang w:eastAsia="zh-CN"/>
        </w:rPr>
        <w:t>月</w:t>
      </w:r>
      <w:r>
        <w:rPr>
          <w:rFonts w:hint="eastAsia"/>
          <w:sz w:val="24"/>
          <w:lang w:eastAsia="zh-CN"/>
        </w:rPr>
        <w:t>-2021</w:t>
      </w:r>
      <w:r>
        <w:rPr>
          <w:rFonts w:hint="eastAsia"/>
          <w:sz w:val="24"/>
          <w:lang w:eastAsia="zh-CN"/>
        </w:rPr>
        <w:t>年</w:t>
      </w:r>
      <w:r>
        <w:rPr>
          <w:rFonts w:hint="eastAsia"/>
          <w:sz w:val="24"/>
          <w:lang w:eastAsia="zh-CN"/>
        </w:rPr>
        <w:t>6</w:t>
      </w:r>
      <w:r>
        <w:rPr>
          <w:rFonts w:hint="eastAsia"/>
          <w:sz w:val="24"/>
          <w:lang w:eastAsia="zh-CN"/>
        </w:rPr>
        <w:t>月期间，设备由于无人运维而损坏，导致本项目出现无产出和效益的情况。我局将吸取此次教训，避免此类情况再次出现。</w:t>
      </w:r>
    </w:p>
    <w:p w:rsidR="007A7A5F" w:rsidRDefault="007A7A5F">
      <w:pPr>
        <w:spacing w:line="480" w:lineRule="exact"/>
        <w:ind w:firstLineChars="200" w:firstLine="480"/>
        <w:rPr>
          <w:sz w:val="24"/>
          <w:lang w:eastAsia="zh-CN"/>
        </w:rPr>
      </w:pPr>
      <w:bookmarkStart w:id="0" w:name="_GoBack"/>
      <w:bookmarkEnd w:id="0"/>
    </w:p>
    <w:sectPr w:rsidR="007A7A5F" w:rsidSect="007A7A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727" w:rsidRDefault="006B6727" w:rsidP="00807DD9">
      <w:r>
        <w:separator/>
      </w:r>
    </w:p>
  </w:endnote>
  <w:endnote w:type="continuationSeparator" w:id="1">
    <w:p w:rsidR="006B6727" w:rsidRDefault="006B6727" w:rsidP="00807D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727" w:rsidRDefault="006B6727" w:rsidP="00807DD9">
      <w:r>
        <w:separator/>
      </w:r>
    </w:p>
  </w:footnote>
  <w:footnote w:type="continuationSeparator" w:id="1">
    <w:p w:rsidR="006B6727" w:rsidRDefault="006B6727" w:rsidP="00807D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2IzYjA0ZWZhMDgxMWIwMzUzM2VkZjZmZWY5MzYwNjUifQ=="/>
  </w:docVars>
  <w:rsids>
    <w:rsidRoot w:val="00FD3239"/>
    <w:rsid w:val="00030244"/>
    <w:rsid w:val="000676A0"/>
    <w:rsid w:val="00097A8A"/>
    <w:rsid w:val="00135C58"/>
    <w:rsid w:val="00141B53"/>
    <w:rsid w:val="001C0E77"/>
    <w:rsid w:val="001C76F9"/>
    <w:rsid w:val="002513EB"/>
    <w:rsid w:val="002569EA"/>
    <w:rsid w:val="002A20DB"/>
    <w:rsid w:val="002B30C8"/>
    <w:rsid w:val="002C5BFB"/>
    <w:rsid w:val="002E0FE3"/>
    <w:rsid w:val="00342D9C"/>
    <w:rsid w:val="00374206"/>
    <w:rsid w:val="003D43F5"/>
    <w:rsid w:val="0045728C"/>
    <w:rsid w:val="00466AA9"/>
    <w:rsid w:val="004A6D6A"/>
    <w:rsid w:val="004C5B7B"/>
    <w:rsid w:val="005376D1"/>
    <w:rsid w:val="005860FF"/>
    <w:rsid w:val="0059686F"/>
    <w:rsid w:val="00646A8F"/>
    <w:rsid w:val="006577D0"/>
    <w:rsid w:val="006938C2"/>
    <w:rsid w:val="006A651B"/>
    <w:rsid w:val="006B6727"/>
    <w:rsid w:val="006C6581"/>
    <w:rsid w:val="006E1E15"/>
    <w:rsid w:val="00717CA7"/>
    <w:rsid w:val="00727BA2"/>
    <w:rsid w:val="0074732B"/>
    <w:rsid w:val="00772AC7"/>
    <w:rsid w:val="007A73F3"/>
    <w:rsid w:val="007A7A5F"/>
    <w:rsid w:val="007C5D95"/>
    <w:rsid w:val="007F4547"/>
    <w:rsid w:val="00807DD9"/>
    <w:rsid w:val="008677D5"/>
    <w:rsid w:val="00867E5F"/>
    <w:rsid w:val="00892540"/>
    <w:rsid w:val="008F5AD5"/>
    <w:rsid w:val="00964931"/>
    <w:rsid w:val="00993D8A"/>
    <w:rsid w:val="00A24B4C"/>
    <w:rsid w:val="00A646F2"/>
    <w:rsid w:val="00A66C17"/>
    <w:rsid w:val="00A879BF"/>
    <w:rsid w:val="00AD79F5"/>
    <w:rsid w:val="00B21BEF"/>
    <w:rsid w:val="00B40B18"/>
    <w:rsid w:val="00B53AD4"/>
    <w:rsid w:val="00B65792"/>
    <w:rsid w:val="00B767C5"/>
    <w:rsid w:val="00B97B0E"/>
    <w:rsid w:val="00BB6F40"/>
    <w:rsid w:val="00BC5BC3"/>
    <w:rsid w:val="00BC7E4F"/>
    <w:rsid w:val="00BF3ED1"/>
    <w:rsid w:val="00C3645B"/>
    <w:rsid w:val="00CC38A1"/>
    <w:rsid w:val="00D34582"/>
    <w:rsid w:val="00D37739"/>
    <w:rsid w:val="00D62C05"/>
    <w:rsid w:val="00DF3463"/>
    <w:rsid w:val="00ED00F0"/>
    <w:rsid w:val="00F061FB"/>
    <w:rsid w:val="00F65BDE"/>
    <w:rsid w:val="00F74C36"/>
    <w:rsid w:val="00F83BFC"/>
    <w:rsid w:val="00FA17E6"/>
    <w:rsid w:val="00FA3D42"/>
    <w:rsid w:val="00FA55C8"/>
    <w:rsid w:val="00FD2CB9"/>
    <w:rsid w:val="00FD3239"/>
    <w:rsid w:val="060A6136"/>
    <w:rsid w:val="065A4AD5"/>
    <w:rsid w:val="100A7068"/>
    <w:rsid w:val="1A275256"/>
    <w:rsid w:val="1E934FD2"/>
    <w:rsid w:val="24A3326F"/>
    <w:rsid w:val="25464AA3"/>
    <w:rsid w:val="26087A9E"/>
    <w:rsid w:val="2C1676EF"/>
    <w:rsid w:val="2EB67089"/>
    <w:rsid w:val="3B3C6CFE"/>
    <w:rsid w:val="3CC30D0C"/>
    <w:rsid w:val="3D452C28"/>
    <w:rsid w:val="488374D2"/>
    <w:rsid w:val="4F6D10C1"/>
    <w:rsid w:val="55731B1C"/>
    <w:rsid w:val="57771704"/>
    <w:rsid w:val="634923F5"/>
    <w:rsid w:val="6E36679A"/>
    <w:rsid w:val="6EC85C99"/>
    <w:rsid w:val="7DAF76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A7A5F"/>
    <w:pPr>
      <w:widowControl w:val="0"/>
    </w:pPr>
    <w:rPr>
      <w:rFonts w:ascii="Calibri" w:eastAsia="宋体" w:hAnsi="Calibri"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A7A5F"/>
    <w:pPr>
      <w:tabs>
        <w:tab w:val="center" w:pos="4153"/>
        <w:tab w:val="right" w:pos="8306"/>
      </w:tabs>
      <w:snapToGrid w:val="0"/>
    </w:pPr>
    <w:rPr>
      <w:sz w:val="18"/>
      <w:szCs w:val="18"/>
    </w:rPr>
  </w:style>
  <w:style w:type="paragraph" w:styleId="a4">
    <w:name w:val="header"/>
    <w:basedOn w:val="a"/>
    <w:link w:val="Char0"/>
    <w:uiPriority w:val="99"/>
    <w:semiHidden/>
    <w:unhideWhenUsed/>
    <w:qFormat/>
    <w:rsid w:val="007A7A5F"/>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sid w:val="007A7A5F"/>
    <w:pPr>
      <w:widowControl/>
      <w:spacing w:before="100" w:beforeAutospacing="1" w:after="100" w:afterAutospacing="1"/>
    </w:pPr>
    <w:rPr>
      <w:rFonts w:ascii="宋体" w:hAnsi="宋体" w:cs="宋体"/>
      <w:sz w:val="24"/>
      <w:szCs w:val="24"/>
      <w:lang w:eastAsia="zh-CN"/>
    </w:rPr>
  </w:style>
  <w:style w:type="table" w:styleId="a6">
    <w:name w:val="Table Grid"/>
    <w:basedOn w:val="a1"/>
    <w:uiPriority w:val="59"/>
    <w:qFormat/>
    <w:rsid w:val="007A7A5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7A7A5F"/>
    <w:rPr>
      <w:sz w:val="18"/>
      <w:szCs w:val="18"/>
    </w:rPr>
  </w:style>
  <w:style w:type="character" w:customStyle="1" w:styleId="Char">
    <w:name w:val="页脚 Char"/>
    <w:basedOn w:val="a0"/>
    <w:link w:val="a3"/>
    <w:uiPriority w:val="99"/>
    <w:semiHidden/>
    <w:qFormat/>
    <w:rsid w:val="007A7A5F"/>
    <w:rPr>
      <w:sz w:val="18"/>
      <w:szCs w:val="18"/>
    </w:rPr>
  </w:style>
  <w:style w:type="character" w:customStyle="1" w:styleId="font21">
    <w:name w:val="font21"/>
    <w:basedOn w:val="a0"/>
    <w:qFormat/>
    <w:rsid w:val="007A7A5F"/>
    <w:rPr>
      <w:rFonts w:ascii="宋体" w:eastAsia="宋体" w:hAnsi="宋体" w:hint="eastAsia"/>
      <w:color w:val="000000"/>
      <w:sz w:val="18"/>
      <w:szCs w:val="18"/>
      <w:u w:val="none"/>
    </w:rPr>
  </w:style>
  <w:style w:type="table" w:customStyle="1" w:styleId="1">
    <w:name w:val="浅色底纹1"/>
    <w:basedOn w:val="a1"/>
    <w:uiPriority w:val="60"/>
    <w:qFormat/>
    <w:rsid w:val="007A7A5F"/>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575B3-6205-4C3B-B886-DADFEF817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362</Words>
  <Characters>2065</Characters>
  <Application>Microsoft Office Word</Application>
  <DocSecurity>0</DocSecurity>
  <Lines>17</Lines>
  <Paragraphs>4</Paragraphs>
  <ScaleCrop>false</ScaleCrop>
  <Company>Microsoft</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Windows 用户</cp:lastModifiedBy>
  <cp:revision>26</cp:revision>
  <dcterms:created xsi:type="dcterms:W3CDTF">2021-04-26T02:33:00Z</dcterms:created>
  <dcterms:modified xsi:type="dcterms:W3CDTF">2022-08-09T01:51:00Z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0992D3040A0344D9B2CF0325FAC3082C</vt:lpwstr>
  </property>
</Properties>
</file>