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6DD" w:rsidRDefault="002138CF" w:rsidP="00810C2C">
      <w:pPr>
        <w:spacing w:line="600" w:lineRule="exact"/>
        <w:ind w:firstLineChars="200" w:firstLine="932"/>
        <w:jc w:val="center"/>
        <w:rPr>
          <w:rFonts w:ascii="宋体" w:hAnsi="宋体"/>
          <w:b/>
          <w:bCs/>
          <w:sz w:val="44"/>
          <w:szCs w:val="44"/>
          <w:lang w:eastAsia="zh-CN"/>
        </w:rPr>
      </w:pPr>
      <w:r>
        <w:rPr>
          <w:rFonts w:ascii="宋体" w:hAnsi="宋体" w:hint="eastAsia"/>
          <w:b/>
          <w:bCs/>
          <w:w w:val="105"/>
          <w:sz w:val="44"/>
          <w:szCs w:val="44"/>
          <w:lang w:eastAsia="zh-CN"/>
        </w:rPr>
        <w:t>天津市和平区生态环境局物业管理项</w:t>
      </w:r>
      <w:r>
        <w:rPr>
          <w:rFonts w:ascii="宋体" w:hAnsi="宋体" w:hint="eastAsia"/>
          <w:b/>
          <w:bCs/>
          <w:spacing w:val="-15"/>
          <w:w w:val="105"/>
          <w:sz w:val="44"/>
          <w:szCs w:val="44"/>
          <w:lang w:eastAsia="zh-CN"/>
        </w:rPr>
        <w:t>目支出绩效自评报告</w:t>
      </w:r>
    </w:p>
    <w:p w:rsidR="006946DD" w:rsidRDefault="006946DD" w:rsidP="00810C2C">
      <w:pPr>
        <w:spacing w:line="600" w:lineRule="exact"/>
        <w:ind w:firstLineChars="200" w:firstLine="654"/>
        <w:jc w:val="center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</w:p>
    <w:p w:rsidR="006946DD" w:rsidRDefault="002138CF" w:rsidP="00810C2C">
      <w:pPr>
        <w:spacing w:line="600" w:lineRule="exact"/>
        <w:ind w:firstLineChars="200" w:firstLine="654"/>
        <w:jc w:val="both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>一、基本情况</w:t>
      </w:r>
    </w:p>
    <w:p w:rsidR="006946DD" w:rsidRDefault="002138CF">
      <w:pPr>
        <w:spacing w:line="60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（一）项目概况。</w:t>
      </w:r>
    </w:p>
    <w:p w:rsidR="006946DD" w:rsidRDefault="002138CF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天津市和平区生态环境局物业管理办公区域面积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1800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平方米，日常维护的水、电、暖设施数量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20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个，物业人员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11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人（保洁员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2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名、食堂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3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人、门卫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6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名）。</w:t>
      </w:r>
    </w:p>
    <w:p w:rsidR="006946DD" w:rsidRDefault="002138CF">
      <w:pPr>
        <w:numPr>
          <w:ilvl w:val="0"/>
          <w:numId w:val="1"/>
        </w:numPr>
        <w:spacing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项目绩效目标</w:t>
      </w:r>
    </w:p>
    <w:p w:rsidR="006946DD" w:rsidRDefault="002138CF">
      <w:pPr>
        <w:spacing w:line="6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提供安全、文明的办公环境，进而提升单位开展公共事务的效率。</w:t>
      </w:r>
    </w:p>
    <w:p w:rsidR="006946DD" w:rsidRDefault="002138CF" w:rsidP="00810C2C">
      <w:pPr>
        <w:spacing w:line="600" w:lineRule="exact"/>
        <w:ind w:firstLineChars="200" w:firstLine="654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>二、绩效评价工作开展情况</w:t>
      </w:r>
    </w:p>
    <w:p w:rsidR="006946DD" w:rsidRDefault="002138CF">
      <w:pPr>
        <w:spacing w:line="600" w:lineRule="exact"/>
        <w:ind w:firstLineChars="200" w:firstLine="640"/>
        <w:jc w:val="both"/>
        <w:rPr>
          <w:rFonts w:ascii="仿宋_GB2312" w:eastAsia="仿宋_GB2312" w:hAnsi="Times New Roman" w:hint="eastAsia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（一）</w:t>
      </w:r>
      <w:r>
        <w:rPr>
          <w:rFonts w:ascii="Times New Roman" w:eastAsia="仿宋_GB2312" w:hAnsi="Times New Roman"/>
          <w:sz w:val="32"/>
          <w:szCs w:val="32"/>
          <w:lang w:eastAsia="zh-CN"/>
        </w:rPr>
        <w:t>绩效评价</w:t>
      </w:r>
      <w:r>
        <w:rPr>
          <w:rFonts w:ascii="Times New Roman" w:eastAsia="仿宋_GB2312" w:hAnsi="Times New Roman"/>
          <w:spacing w:val="-10"/>
          <w:sz w:val="32"/>
          <w:szCs w:val="32"/>
          <w:lang w:eastAsia="zh-CN"/>
        </w:rPr>
        <w:t>目的</w:t>
      </w:r>
      <w:r>
        <w:rPr>
          <w:rFonts w:ascii="仿宋_GB2312" w:eastAsia="仿宋_GB2312" w:hAnsi="Times New Roman" w:hint="eastAsia"/>
          <w:sz w:val="32"/>
          <w:szCs w:val="32"/>
          <w:lang w:eastAsia="zh-CN"/>
        </w:rPr>
        <w:t>、对象和范围。</w:t>
      </w:r>
    </w:p>
    <w:tbl>
      <w:tblPr>
        <w:tblW w:w="7875" w:type="dxa"/>
        <w:tblInd w:w="346" w:type="dxa"/>
        <w:tblLayout w:type="fixed"/>
        <w:tblLook w:val="04A0"/>
      </w:tblPr>
      <w:tblGrid>
        <w:gridCol w:w="840"/>
        <w:gridCol w:w="1334"/>
        <w:gridCol w:w="1276"/>
        <w:gridCol w:w="3135"/>
        <w:gridCol w:w="1290"/>
      </w:tblGrid>
      <w:tr w:rsidR="00810C2C" w:rsidRPr="00810C2C" w:rsidTr="00810C2C">
        <w:trPr>
          <w:trHeight w:val="66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4"/>
                <w:szCs w:val="24"/>
                <w:lang w:eastAsia="zh-CN"/>
              </w:rPr>
              <w:t>绩效指标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一级指标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二级指标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三级指标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年度指标值(A)</w:t>
            </w:r>
          </w:p>
        </w:tc>
      </w:tr>
      <w:tr w:rsidR="00810C2C" w:rsidRPr="00810C2C" w:rsidTr="00810C2C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产出指标</w:t>
            </w: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br/>
              <w:t>（50分）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物业管理办公区域面积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=1800平方米</w:t>
            </w:r>
          </w:p>
        </w:tc>
      </w:tr>
      <w:tr w:rsidR="00810C2C" w:rsidRPr="00810C2C" w:rsidTr="00810C2C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日常维护的水、电、暖设施数量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=20个</w:t>
            </w:r>
          </w:p>
        </w:tc>
      </w:tr>
      <w:tr w:rsidR="00810C2C" w:rsidRPr="00810C2C" w:rsidTr="00810C2C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物业人员数量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=11人</w:t>
            </w:r>
          </w:p>
        </w:tc>
      </w:tr>
      <w:tr w:rsidR="007225D5" w:rsidRPr="00810C2C" w:rsidTr="00816A2F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物业管理办公区域保洁达标率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≥95%</w:t>
            </w:r>
          </w:p>
        </w:tc>
      </w:tr>
      <w:tr w:rsidR="007225D5" w:rsidRPr="00810C2C" w:rsidTr="00816A2F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水、电、暖设施运行完好率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≥95%</w:t>
            </w:r>
          </w:p>
        </w:tc>
      </w:tr>
      <w:tr w:rsidR="007225D5" w:rsidRPr="00810C2C" w:rsidTr="00816A2F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办公设备使用完好率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≥95%</w:t>
            </w:r>
          </w:p>
        </w:tc>
      </w:tr>
      <w:tr w:rsidR="007225D5" w:rsidRPr="00810C2C" w:rsidTr="00872723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办公区域保洁工作及时率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≥95%</w:t>
            </w:r>
          </w:p>
        </w:tc>
      </w:tr>
      <w:tr w:rsidR="007225D5" w:rsidRPr="00810C2C" w:rsidTr="00872723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设施设备维护及时率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5D5" w:rsidRPr="00810C2C" w:rsidRDefault="007225D5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≥95%</w:t>
            </w:r>
          </w:p>
        </w:tc>
      </w:tr>
      <w:tr w:rsidR="00810C2C" w:rsidRPr="00810C2C" w:rsidTr="00810C2C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成本指标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开展各项物业服务费用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≤47.9万元</w:t>
            </w:r>
          </w:p>
        </w:tc>
      </w:tr>
      <w:tr w:rsidR="00810C2C" w:rsidRPr="00810C2C" w:rsidTr="00810C2C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效益指标</w:t>
            </w: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br/>
              <w:t>（30分）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社会效益指标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改善办公环境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改善</w:t>
            </w:r>
          </w:p>
        </w:tc>
      </w:tr>
      <w:tr w:rsidR="00810C2C" w:rsidRPr="00810C2C" w:rsidTr="00810C2C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提升单位开展公共事务的效率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提升</w:t>
            </w:r>
          </w:p>
        </w:tc>
      </w:tr>
      <w:tr w:rsidR="00810C2C" w:rsidRPr="00810C2C" w:rsidTr="00810C2C">
        <w:trPr>
          <w:trHeight w:val="66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满意度指标</w:t>
            </w: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br/>
              <w:t>（10分）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服务对象满意度指标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单位人员满意度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C2C" w:rsidRPr="00810C2C" w:rsidRDefault="00810C2C" w:rsidP="00810C2C">
            <w:pPr>
              <w:widowControl/>
              <w:jc w:val="center"/>
              <w:rPr>
                <w:rFonts w:ascii="宋体" w:hAnsi="宋体" w:cs="宋体"/>
                <w:color w:val="000000"/>
                <w:sz w:val="21"/>
                <w:szCs w:val="21"/>
                <w:lang w:eastAsia="zh-CN"/>
              </w:rPr>
            </w:pPr>
            <w:r w:rsidRPr="00810C2C"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≥95%</w:t>
            </w:r>
          </w:p>
        </w:tc>
      </w:tr>
    </w:tbl>
    <w:p w:rsidR="006946DD" w:rsidRDefault="002138CF">
      <w:pPr>
        <w:spacing w:line="600" w:lineRule="exact"/>
        <w:ind w:firstLineChars="200" w:firstLine="640"/>
        <w:jc w:val="both"/>
        <w:rPr>
          <w:rFonts w:ascii="仿宋_GB2312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（二）</w:t>
      </w:r>
      <w:r>
        <w:rPr>
          <w:rFonts w:ascii="仿宋_GB2312" w:eastAsia="仿宋_GB2312" w:hAnsi="Times New Roman" w:hint="eastAsia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ascii="仿宋_GB2312" w:eastAsia="仿宋_GB2312" w:hAnsi="Times New Roman" w:hint="eastAsia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ascii="仿宋_GB2312" w:eastAsia="仿宋_GB2312" w:hAnsi="Times New Roman" w:hint="eastAsia"/>
          <w:spacing w:val="-2"/>
          <w:w w:val="103"/>
          <w:sz w:val="32"/>
          <w:szCs w:val="32"/>
          <w:lang w:eastAsia="zh-CN"/>
        </w:rPr>
        <w:t>（</w:t>
      </w:r>
      <w:r>
        <w:rPr>
          <w:rFonts w:ascii="仿宋_GB2312" w:eastAsia="仿宋_GB2312" w:hAnsi="Times New Roman" w:hint="eastAsia"/>
          <w:w w:val="104"/>
          <w:sz w:val="32"/>
          <w:szCs w:val="32"/>
          <w:lang w:eastAsia="zh-CN"/>
        </w:rPr>
        <w:t>附表说明</w:t>
      </w:r>
      <w:r>
        <w:rPr>
          <w:rFonts w:ascii="仿宋_GB2312" w:eastAsia="仿宋_GB2312" w:hAnsi="Times New Roman" w:hint="eastAsia"/>
          <w:spacing w:val="-2"/>
          <w:w w:val="103"/>
          <w:sz w:val="32"/>
          <w:szCs w:val="32"/>
          <w:lang w:eastAsia="zh-CN"/>
        </w:rPr>
        <w:t>）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、评价方法、评价标准</w:t>
      </w:r>
      <w:r>
        <w:rPr>
          <w:rFonts w:ascii="仿宋_GB2312" w:eastAsia="仿宋_GB2312" w:hAnsi="Times New Roman" w:hint="eastAsia"/>
          <w:sz w:val="32"/>
          <w:szCs w:val="32"/>
          <w:lang w:eastAsia="zh-CN"/>
        </w:rPr>
        <w:t>等。</w:t>
      </w:r>
    </w:p>
    <w:tbl>
      <w:tblPr>
        <w:tblStyle w:val="a6"/>
        <w:tblW w:w="0" w:type="auto"/>
        <w:tblInd w:w="648" w:type="dxa"/>
        <w:tblLook w:val="04A0"/>
      </w:tblPr>
      <w:tblGrid>
        <w:gridCol w:w="1800"/>
        <w:gridCol w:w="5940"/>
      </w:tblGrid>
      <w:tr w:rsidR="006946DD">
        <w:tc>
          <w:tcPr>
            <w:tcW w:w="1800" w:type="dxa"/>
          </w:tcPr>
          <w:p w:rsidR="006946DD" w:rsidRDefault="002138CF">
            <w:pPr>
              <w:spacing w:line="600" w:lineRule="exact"/>
              <w:jc w:val="center"/>
              <w:rPr>
                <w:rFonts w:ascii="Times New Roman" w:eastAsia="仿宋_GB2312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绩效评价（</w:t>
            </w: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100%</w:t>
            </w: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940" w:type="dxa"/>
          </w:tcPr>
          <w:p w:rsidR="006946DD" w:rsidRDefault="002138CF">
            <w:pPr>
              <w:spacing w:line="600" w:lineRule="exact"/>
              <w:jc w:val="center"/>
              <w:rPr>
                <w:rFonts w:ascii="Times New Roman" w:eastAsia="仿宋_GB2312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评价项目、评价权重</w:t>
            </w:r>
          </w:p>
        </w:tc>
      </w:tr>
      <w:tr w:rsidR="006946DD">
        <w:tc>
          <w:tcPr>
            <w:tcW w:w="1800" w:type="dxa"/>
          </w:tcPr>
          <w:p w:rsidR="006946DD" w:rsidRDefault="002138CF">
            <w:pPr>
              <w:spacing w:line="600" w:lineRule="exact"/>
              <w:jc w:val="center"/>
              <w:rPr>
                <w:rFonts w:ascii="Times New Roman" w:eastAsia="仿宋_GB2312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工作态度</w:t>
            </w: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20%</w:t>
            </w:r>
          </w:p>
        </w:tc>
        <w:tc>
          <w:tcPr>
            <w:tcW w:w="5940" w:type="dxa"/>
          </w:tcPr>
          <w:p w:rsidR="006946DD" w:rsidRDefault="002138CF">
            <w:pPr>
              <w:spacing w:line="600" w:lineRule="exact"/>
              <w:jc w:val="center"/>
              <w:rPr>
                <w:rFonts w:ascii="Times New Roman" w:eastAsia="仿宋_GB2312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遵纪守规（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5%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）、责任心（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5%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）、协作配合、主动性（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10%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）</w:t>
            </w:r>
          </w:p>
        </w:tc>
      </w:tr>
      <w:tr w:rsidR="006946DD">
        <w:tc>
          <w:tcPr>
            <w:tcW w:w="1800" w:type="dxa"/>
          </w:tcPr>
          <w:p w:rsidR="006946DD" w:rsidRDefault="002138CF">
            <w:pPr>
              <w:spacing w:line="600" w:lineRule="exact"/>
              <w:jc w:val="center"/>
              <w:rPr>
                <w:rFonts w:ascii="Times New Roman" w:eastAsia="仿宋_GB2312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工作能力</w:t>
            </w: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20%</w:t>
            </w:r>
          </w:p>
        </w:tc>
        <w:tc>
          <w:tcPr>
            <w:tcW w:w="5940" w:type="dxa"/>
          </w:tcPr>
          <w:p w:rsidR="006946DD" w:rsidRDefault="002138CF">
            <w:pPr>
              <w:spacing w:line="600" w:lineRule="exact"/>
              <w:jc w:val="center"/>
              <w:rPr>
                <w:rFonts w:ascii="Times New Roman" w:eastAsia="仿宋_GB2312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业务知识技能（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5%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）、执行能力（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5%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）、问题解决能力（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10%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）</w:t>
            </w:r>
          </w:p>
        </w:tc>
      </w:tr>
      <w:tr w:rsidR="006946DD">
        <w:tc>
          <w:tcPr>
            <w:tcW w:w="1800" w:type="dxa"/>
          </w:tcPr>
          <w:p w:rsidR="006946DD" w:rsidRDefault="002138CF">
            <w:pPr>
              <w:spacing w:line="600" w:lineRule="exact"/>
              <w:jc w:val="center"/>
              <w:rPr>
                <w:rFonts w:ascii="Times New Roman" w:eastAsia="仿宋_GB2312" w:hAnsi="Times New Roman"/>
                <w:sz w:val="32"/>
                <w:szCs w:val="32"/>
                <w:lang w:eastAsia="zh-CN"/>
              </w:rPr>
            </w:pP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工作业绩</w:t>
            </w:r>
            <w:r>
              <w:rPr>
                <w:rFonts w:ascii="Times New Roman" w:eastAsia="仿宋_GB2312" w:hAnsi="Times New Roman" w:hint="eastAsia"/>
                <w:sz w:val="21"/>
                <w:szCs w:val="21"/>
                <w:lang w:eastAsia="zh-CN"/>
              </w:rPr>
              <w:t>60%</w:t>
            </w:r>
          </w:p>
        </w:tc>
        <w:tc>
          <w:tcPr>
            <w:tcW w:w="5940" w:type="dxa"/>
          </w:tcPr>
          <w:p w:rsidR="006946DD" w:rsidRDefault="002138CF">
            <w:pPr>
              <w:spacing w:line="600" w:lineRule="exact"/>
              <w:jc w:val="center"/>
              <w:rPr>
                <w:rFonts w:ascii="Times New Roman" w:eastAsia="仿宋_GB2312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工作任务完成数量（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30%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）、工作质量（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20%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）、工作效率（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10%</w:t>
            </w:r>
            <w:r>
              <w:rPr>
                <w:rFonts w:ascii="Times New Roman" w:eastAsia="仿宋_GB2312" w:hAnsi="Times New Roman" w:hint="eastAsia"/>
                <w:sz w:val="18"/>
                <w:szCs w:val="18"/>
                <w:lang w:eastAsia="zh-CN"/>
              </w:rPr>
              <w:t>）</w:t>
            </w:r>
          </w:p>
        </w:tc>
      </w:tr>
    </w:tbl>
    <w:p w:rsidR="006946DD" w:rsidRDefault="006946DD">
      <w:pPr>
        <w:spacing w:line="600" w:lineRule="exact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</w:p>
    <w:p w:rsidR="006946DD" w:rsidRDefault="002138CF" w:rsidP="00810C2C">
      <w:pPr>
        <w:spacing w:line="600" w:lineRule="exact"/>
        <w:ind w:firstLineChars="200" w:firstLine="654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>三、综合评价情况及评价结论</w:t>
      </w:r>
    </w:p>
    <w:p w:rsidR="006946DD" w:rsidRDefault="002138CF">
      <w:pPr>
        <w:spacing w:line="60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202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1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年综合评价分别从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11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个项目进行了自评：物业管理办公区域保洁达标率、水、电、暖设施运行完好率、办公设备使用完好率、办公区域保洁工作及时性、设施设备维护及时性、开展各项物业服务、改善办公环境、提升单位开展公共事务的效率、物业管理工作机制健全性、物业人员保障机制、单位人员满意度。最终自评成绩为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100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分。</w:t>
      </w:r>
    </w:p>
    <w:p w:rsidR="006946DD" w:rsidRDefault="002138CF" w:rsidP="00810C2C">
      <w:pPr>
        <w:spacing w:line="600" w:lineRule="exact"/>
        <w:ind w:firstLineChars="200" w:firstLine="654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>四、绩效评价指标分析</w:t>
      </w:r>
    </w:p>
    <w:p w:rsidR="006946DD" w:rsidRDefault="002138CF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（一）</w:t>
      </w:r>
      <w:r>
        <w:rPr>
          <w:rFonts w:ascii="Times New Roman" w:eastAsia="仿宋_GB2312" w:hAnsi="Times New Roman"/>
          <w:sz w:val="32"/>
          <w:szCs w:val="32"/>
          <w:lang w:eastAsia="zh-CN"/>
        </w:rPr>
        <w:t>项目决策情况。</w:t>
      </w:r>
    </w:p>
    <w:p w:rsidR="006946DD" w:rsidRDefault="002138CF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区级财政拨款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47.</w:t>
      </w:r>
      <w:r w:rsidR="007225D5">
        <w:rPr>
          <w:rFonts w:ascii="Times New Roman" w:eastAsia="仿宋_GB2312" w:hAnsi="Times New Roman" w:hint="eastAsia"/>
          <w:sz w:val="32"/>
          <w:szCs w:val="32"/>
          <w:lang w:eastAsia="zh-CN"/>
        </w:rPr>
        <w:t>9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万元，执行数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47.</w:t>
      </w:r>
      <w:r w:rsidR="007225D5">
        <w:rPr>
          <w:rFonts w:ascii="Times New Roman" w:eastAsia="仿宋_GB2312" w:hAnsi="Times New Roman" w:hint="eastAsia"/>
          <w:sz w:val="32"/>
          <w:szCs w:val="32"/>
          <w:lang w:eastAsia="zh-CN"/>
        </w:rPr>
        <w:t>9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万元，执行率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100%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。</w:t>
      </w:r>
    </w:p>
    <w:p w:rsidR="006946DD" w:rsidRDefault="002138CF">
      <w:pPr>
        <w:spacing w:line="60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（二）</w:t>
      </w:r>
      <w:r>
        <w:rPr>
          <w:rFonts w:ascii="Times New Roman" w:eastAsia="仿宋_GB2312" w:hAnsi="Times New Roman"/>
          <w:sz w:val="32"/>
          <w:szCs w:val="32"/>
          <w:lang w:eastAsia="zh-CN"/>
        </w:rPr>
        <w:t>项目过程情况。</w:t>
      </w:r>
    </w:p>
    <w:p w:rsidR="006946DD" w:rsidRDefault="002138CF">
      <w:pPr>
        <w:spacing w:line="60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lastRenderedPageBreak/>
        <w:t>按时结算水、电、暖费用，按月发放物业人员工资，保证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水、电、暖、气设施运行完好和办公区域整洁。</w:t>
      </w:r>
    </w:p>
    <w:p w:rsidR="006946DD" w:rsidRDefault="006946DD" w:rsidP="00810C2C">
      <w:pPr>
        <w:pStyle w:val="a0"/>
        <w:ind w:leftChars="200" w:left="440"/>
        <w:rPr>
          <w:lang w:eastAsia="zh-CN"/>
        </w:rPr>
      </w:pPr>
    </w:p>
    <w:p w:rsidR="006946DD" w:rsidRDefault="002138CF">
      <w:pPr>
        <w:numPr>
          <w:ilvl w:val="0"/>
          <w:numId w:val="1"/>
        </w:numPr>
        <w:spacing w:line="60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/>
          <w:sz w:val="32"/>
          <w:szCs w:val="32"/>
          <w:lang w:eastAsia="zh-CN"/>
        </w:rPr>
        <w:t>项目产出情况。</w:t>
      </w:r>
    </w:p>
    <w:p w:rsidR="006946DD" w:rsidRDefault="002138CF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202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1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年，区财政预拨款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52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万元，实际拨款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47.</w:t>
      </w:r>
      <w:r w:rsidR="007225D5">
        <w:rPr>
          <w:rFonts w:ascii="Times New Roman" w:eastAsia="仿宋_GB2312" w:hAnsi="Times New Roman" w:hint="eastAsia"/>
          <w:sz w:val="32"/>
          <w:szCs w:val="32"/>
          <w:lang w:eastAsia="zh-CN"/>
        </w:rPr>
        <w:t>9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万元，物业管理办公区域面积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1800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平方米，日常维护的水、电、暖设施数量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20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个，物业人员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11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人（保洁员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2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名、食堂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3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人、门卫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6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名）。</w:t>
      </w:r>
    </w:p>
    <w:p w:rsidR="006946DD" w:rsidRDefault="002138CF" w:rsidP="00810C2C">
      <w:pPr>
        <w:spacing w:line="600" w:lineRule="exact"/>
        <w:ind w:leftChars="200" w:left="4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（四）</w:t>
      </w:r>
      <w:r>
        <w:rPr>
          <w:rFonts w:ascii="Times New Roman" w:eastAsia="仿宋_GB2312" w:hAnsi="Times New Roman"/>
          <w:sz w:val="32"/>
          <w:szCs w:val="32"/>
          <w:lang w:eastAsia="zh-CN"/>
        </w:rPr>
        <w:t>项目效益情况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。</w:t>
      </w:r>
    </w:p>
    <w:p w:rsidR="006946DD" w:rsidRDefault="002138CF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物业管理办公区域保洁达标率和水、电、暖设施运行完好率和办公区域保洁工作及时性达到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95%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，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单位人员满意度达到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95%</w:t>
      </w:r>
      <w:r>
        <w:rPr>
          <w:rFonts w:ascii="Times New Roman" w:eastAsia="仿宋_GB2312" w:hAnsi="Times New Roman" w:hint="eastAsia"/>
          <w:sz w:val="32"/>
          <w:szCs w:val="32"/>
          <w:lang w:eastAsia="zh-CN"/>
        </w:rPr>
        <w:t>。</w:t>
      </w:r>
    </w:p>
    <w:p w:rsidR="006946DD" w:rsidRDefault="002138CF" w:rsidP="00810C2C">
      <w:pPr>
        <w:numPr>
          <w:ilvl w:val="0"/>
          <w:numId w:val="2"/>
        </w:numPr>
        <w:spacing w:line="600" w:lineRule="exact"/>
        <w:ind w:firstLineChars="200" w:firstLine="654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ascii="黑体" w:eastAsia="黑体" w:hAnsi="黑体" w:hint="eastAsia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>存在的问题及原因分析</w:t>
      </w:r>
    </w:p>
    <w:p w:rsidR="006946DD" w:rsidRDefault="002138CF">
      <w:pPr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hint="eastAsia"/>
          <w:sz w:val="32"/>
          <w:szCs w:val="32"/>
          <w:lang w:eastAsia="zh-CN"/>
        </w:rPr>
        <w:t>进一步完善物业人员管理制度，实现“日巡查、周检查”，优化服务流程，创新服务手段，扩展服务内涵，提升项目管理人员的业务能力和执行力，进一步提高服务对象满意度，</w:t>
      </w:r>
      <w:bookmarkStart w:id="0" w:name="_GoBack"/>
      <w:bookmarkEnd w:id="0"/>
      <w:r>
        <w:rPr>
          <w:rFonts w:ascii="Times New Roman" w:eastAsia="仿宋_GB2312" w:hAnsi="Times New Roman" w:hint="eastAsia"/>
          <w:sz w:val="32"/>
          <w:szCs w:val="32"/>
          <w:lang w:eastAsia="zh-CN"/>
        </w:rPr>
        <w:t>切实提高物业人员服务水平，确保机关内部干净整洁，安全和谐。</w:t>
      </w:r>
    </w:p>
    <w:p w:rsidR="006946DD" w:rsidRDefault="002138CF" w:rsidP="00810C2C">
      <w:pPr>
        <w:spacing w:line="600" w:lineRule="exact"/>
        <w:ind w:firstLineChars="200" w:firstLine="654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>六、有关建议</w:t>
      </w:r>
    </w:p>
    <w:p w:rsidR="006946DD" w:rsidRDefault="002138CF" w:rsidP="00810C2C">
      <w:pPr>
        <w:spacing w:line="600" w:lineRule="exact"/>
        <w:ind w:firstLineChars="200" w:firstLine="654"/>
        <w:jc w:val="both"/>
        <w:rPr>
          <w:rFonts w:ascii="黑体" w:eastAsia="黑体" w:hAnsi="黑体"/>
          <w:spacing w:val="-4"/>
          <w:w w:val="105"/>
          <w:sz w:val="32"/>
          <w:szCs w:val="32"/>
          <w:lang w:eastAsia="zh-CN"/>
        </w:rPr>
      </w:pPr>
      <w:r>
        <w:rPr>
          <w:rFonts w:ascii="黑体" w:eastAsia="黑体" w:hAnsi="黑体"/>
          <w:spacing w:val="-4"/>
          <w:w w:val="105"/>
          <w:sz w:val="32"/>
          <w:szCs w:val="32"/>
          <w:lang w:eastAsia="zh-CN"/>
        </w:rPr>
        <w:t>七、其他需要说明的问题</w:t>
      </w:r>
    </w:p>
    <w:p w:rsidR="006946DD" w:rsidRDefault="006946DD">
      <w:pPr>
        <w:spacing w:line="60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</w:p>
    <w:p w:rsidR="006946DD" w:rsidRDefault="006946DD">
      <w:pPr>
        <w:spacing w:line="60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lang w:eastAsia="zh-CN"/>
        </w:rPr>
      </w:pPr>
    </w:p>
    <w:p w:rsidR="006946DD" w:rsidRDefault="006946DD">
      <w:pPr>
        <w:rPr>
          <w:lang w:eastAsia="zh-CN"/>
        </w:rPr>
      </w:pPr>
    </w:p>
    <w:sectPr w:rsidR="006946DD" w:rsidSect="006946D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8CF" w:rsidRDefault="002138CF" w:rsidP="00810C2C">
      <w:r>
        <w:separator/>
      </w:r>
    </w:p>
  </w:endnote>
  <w:endnote w:type="continuationSeparator" w:id="1">
    <w:p w:rsidR="002138CF" w:rsidRDefault="002138CF" w:rsidP="00810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8CF" w:rsidRDefault="002138CF" w:rsidP="00810C2C">
      <w:r>
        <w:separator/>
      </w:r>
    </w:p>
  </w:footnote>
  <w:footnote w:type="continuationSeparator" w:id="1">
    <w:p w:rsidR="002138CF" w:rsidRDefault="002138CF" w:rsidP="00810C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EF357AC"/>
    <w:multiLevelType w:val="singleLevel"/>
    <w:tmpl w:val="FEF357A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FFEE05A"/>
    <w:multiLevelType w:val="singleLevel"/>
    <w:tmpl w:val="7FFEE05A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0B0E"/>
    <w:rsid w:val="002138CF"/>
    <w:rsid w:val="006946DD"/>
    <w:rsid w:val="007225D5"/>
    <w:rsid w:val="00810B0E"/>
    <w:rsid w:val="00810C2C"/>
    <w:rsid w:val="00AE6095"/>
    <w:rsid w:val="6FF7B781"/>
    <w:rsid w:val="777FAFEA"/>
    <w:rsid w:val="7B7FCDA3"/>
    <w:rsid w:val="7F7EFB7A"/>
    <w:rsid w:val="7FBC8DBD"/>
    <w:rsid w:val="8FBF13CD"/>
    <w:rsid w:val="9FEF5FA5"/>
    <w:rsid w:val="DBCC8AE2"/>
    <w:rsid w:val="DF7BC39A"/>
    <w:rsid w:val="F37BAC51"/>
    <w:rsid w:val="FDFB7A63"/>
    <w:rsid w:val="FEF96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uiPriority w:val="1"/>
    <w:qFormat/>
    <w:rsid w:val="006946DD"/>
    <w:pPr>
      <w:widowControl w:val="0"/>
    </w:pPr>
    <w:rPr>
      <w:rFonts w:ascii="Calibri" w:eastAsia="宋体" w:hAnsi="Calibri" w:cs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6946DD"/>
    <w:pPr>
      <w:jc w:val="both"/>
    </w:pPr>
    <w:rPr>
      <w:rFonts w:ascii="宋体"/>
      <w:kern w:val="2"/>
      <w:sz w:val="21"/>
      <w:szCs w:val="20"/>
      <w:u w:val="single"/>
    </w:rPr>
  </w:style>
  <w:style w:type="paragraph" w:styleId="a4">
    <w:name w:val="footer"/>
    <w:basedOn w:val="a"/>
    <w:link w:val="Char"/>
    <w:uiPriority w:val="99"/>
    <w:semiHidden/>
    <w:unhideWhenUsed/>
    <w:qFormat/>
    <w:rsid w:val="006946DD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5">
    <w:name w:val="header"/>
    <w:basedOn w:val="a"/>
    <w:link w:val="Char0"/>
    <w:uiPriority w:val="99"/>
    <w:semiHidden/>
    <w:unhideWhenUsed/>
    <w:qFormat/>
    <w:rsid w:val="006946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table" w:styleId="a6">
    <w:name w:val="Table Grid"/>
    <w:basedOn w:val="a2"/>
    <w:qFormat/>
    <w:rsid w:val="006946DD"/>
    <w:pPr>
      <w:widowControl w:val="0"/>
    </w:pPr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1"/>
    <w:link w:val="a5"/>
    <w:uiPriority w:val="99"/>
    <w:semiHidden/>
    <w:qFormat/>
    <w:rsid w:val="006946DD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semiHidden/>
    <w:qFormat/>
    <w:rsid w:val="006946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2021-05-02T15:58:00Z</dcterms:created>
  <dcterms:modified xsi:type="dcterms:W3CDTF">2022-06-28T07:13:00Z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