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78087">
      <w:pPr>
        <w:keepNext w:val="0"/>
        <w:keepLines w:val="0"/>
        <w:pageBreakBefore w:val="0"/>
        <w:widowControl w:val="0"/>
        <w:kinsoku/>
        <w:wordWrap/>
        <w:overflowPunct/>
        <w:topLinePunct w:val="0"/>
        <w:autoSpaceDE/>
        <w:autoSpaceDN/>
        <w:bidi w:val="0"/>
        <w:adjustRightInd/>
        <w:snapToGrid/>
        <w:spacing w:before="1865" w:line="760" w:lineRule="exact"/>
        <w:jc w:val="center"/>
        <w:textAlignment w:val="auto"/>
      </w:pPr>
      <w:r>
        <w:rPr>
          <w:rFonts w:hint="eastAsia" w:ascii="方正小标宋_GBK" w:hAnsi="华文中宋" w:eastAsia="方正小标宋_GBK"/>
          <w:b/>
          <w:color w:val="FF0000"/>
          <w:spacing w:val="40"/>
          <w:position w:val="6"/>
          <w:sz w:val="64"/>
          <w:szCs w:val="64"/>
        </w:rPr>
        <w:t>天津市和平区教育局文件</w:t>
      </w:r>
    </w:p>
    <w:p w14:paraId="6C431D47">
      <w:pPr>
        <w:spacing w:line="560" w:lineRule="exact"/>
      </w:pPr>
    </w:p>
    <w:p w14:paraId="25331974">
      <w:pPr>
        <w:jc w:val="center"/>
        <w:rPr>
          <w:rFonts w:eastAsia="仿宋_GB2312"/>
          <w:sz w:val="32"/>
        </w:rPr>
      </w:pPr>
      <w:r>
        <w:rPr>
          <w:rFonts w:hint="eastAsia" w:eastAsia="仿宋_GB2312"/>
          <w:sz w:val="32"/>
        </w:rPr>
        <w:t>津</w:t>
      </w:r>
      <w:r>
        <w:rPr>
          <w:rFonts w:eastAsia="仿宋_GB2312"/>
          <w:sz w:val="32"/>
        </w:rPr>
        <w:t>和</w:t>
      </w:r>
      <w:r>
        <w:rPr>
          <w:rFonts w:hint="eastAsia" w:eastAsia="仿宋_GB2312"/>
          <w:sz w:val="32"/>
        </w:rPr>
        <w:t>教</w:t>
      </w:r>
      <w:r>
        <w:rPr>
          <w:rFonts w:hint="default" w:ascii="Times New Roman" w:hAnsi="Times New Roman" w:eastAsia="仿宋_GB2312" w:cs="Times New Roman"/>
          <w:sz w:val="32"/>
        </w:rPr>
        <w:t>〔202</w:t>
      </w:r>
      <w:r>
        <w:rPr>
          <w:rFonts w:hint="eastAsia" w:eastAsia="仿宋_GB2312" w:cs="Times New Roman"/>
          <w:sz w:val="32"/>
          <w:lang w:val="en-US" w:eastAsia="zh-CN"/>
        </w:rPr>
        <w:t>5</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1</w:t>
      </w:r>
      <w:r>
        <w:rPr>
          <w:rFonts w:hint="eastAsia" w:eastAsia="仿宋_GB2312" w:cs="Times New Roman"/>
          <w:sz w:val="32"/>
          <w:lang w:val="en-US" w:eastAsia="zh-CN"/>
        </w:rPr>
        <w:t>0</w:t>
      </w:r>
      <w:r>
        <w:rPr>
          <w:rFonts w:eastAsia="仿宋_GB2312"/>
          <w:sz w:val="32"/>
        </w:rPr>
        <w:t>号</w:t>
      </w:r>
    </w:p>
    <w:p w14:paraId="52675E1B">
      <w:pPr>
        <w:widowControl/>
        <w:snapToGrid w:val="0"/>
        <w:spacing w:line="560" w:lineRule="exact"/>
        <w:jc w:val="left"/>
        <w:rPr>
          <w:rFonts w:hint="eastAsia" w:ascii="方正小标宋简体" w:hAnsi="方正小标宋简体" w:eastAsia="方正小标宋简体" w:cs="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44450</wp:posOffset>
                </wp:positionV>
                <wp:extent cx="5600700" cy="0"/>
                <wp:effectExtent l="0" t="10795" r="0" b="1778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25pt;margin-top:3.5pt;height:0pt;width:441pt;z-index:251659264;mso-width-relative:page;mso-height-relative:page;" filled="f" stroked="t" coordsize="21600,21600" o:gfxdata="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WQQUX1AAA&#10;AAUBAAAPAAAAAAAAAAEAIAAAACIAAABkcnMvZG93bnJldi54bWxQSwECFAAUAAAACACHTuJAvgX1&#10;ZOkBAADcAwAADgAAAAAAAAABACAAAAAjAQAAZHJzL2Uyb0RvYy54bWxQSwUGAAAAAAYABgBZAQAA&#10;fgUAAAAA&#10;">
                <v:fill on="f" focussize="0,0"/>
                <v:stroke weight="1.75pt" color="#FF0000" joinstyle="round"/>
                <v:imagedata o:title=""/>
                <o:lock v:ext="edit" aspectratio="f"/>
              </v:line>
            </w:pict>
          </mc:Fallback>
        </mc:AlternateContent>
      </w:r>
    </w:p>
    <w:p w14:paraId="4B08338E">
      <w:pPr>
        <w:spacing w:line="576"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和平区202</w:t>
      </w:r>
      <w:r>
        <w:rPr>
          <w:rFonts w:hint="eastAsia" w:asciiTheme="majorEastAsia" w:hAnsiTheme="majorEastAsia" w:eastAsiaTheme="majorEastAsia" w:cstheme="majorEastAsia"/>
          <w:b/>
          <w:bCs/>
          <w:sz w:val="44"/>
          <w:szCs w:val="44"/>
          <w:lang w:val="en-US" w:eastAsia="zh-CN"/>
        </w:rPr>
        <w:t>5</w:t>
      </w:r>
      <w:r>
        <w:rPr>
          <w:rFonts w:hint="eastAsia" w:asciiTheme="majorEastAsia" w:hAnsiTheme="majorEastAsia" w:eastAsiaTheme="majorEastAsia" w:cstheme="majorEastAsia"/>
          <w:b/>
          <w:bCs/>
          <w:sz w:val="44"/>
          <w:szCs w:val="44"/>
        </w:rPr>
        <w:t>年小学招生入学工作实施方案</w:t>
      </w:r>
    </w:p>
    <w:p w14:paraId="375DCC5A">
      <w:pPr>
        <w:adjustRightInd w:val="0"/>
        <w:snapToGrid w:val="0"/>
        <w:spacing w:line="560" w:lineRule="exact"/>
        <w:ind w:firstLine="640" w:firstLineChars="200"/>
        <w:rPr>
          <w:rFonts w:hint="eastAsia" w:ascii="仿宋_GB2312" w:eastAsia="仿宋_GB2312" w:cs="Calibri"/>
          <w:snapToGrid w:val="0"/>
          <w:color w:val="000000"/>
          <w:kern w:val="0"/>
          <w:sz w:val="32"/>
          <w:szCs w:val="32"/>
        </w:rPr>
      </w:pPr>
    </w:p>
    <w:p w14:paraId="0701C556">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cs="Calibri"/>
          <w:snapToGrid w:val="0"/>
          <w:color w:val="000000"/>
          <w:kern w:val="0"/>
          <w:sz w:val="32"/>
          <w:szCs w:val="32"/>
        </w:rPr>
      </w:pPr>
      <w:r>
        <w:rPr>
          <w:rFonts w:hint="eastAsia" w:ascii="仿宋_GB2312" w:eastAsia="仿宋_GB2312" w:cs="Calibri"/>
          <w:snapToGrid w:val="0"/>
          <w:color w:val="000000"/>
          <w:kern w:val="0"/>
          <w:sz w:val="32"/>
          <w:szCs w:val="32"/>
        </w:rPr>
        <w:t>依据《中华人民共和国义务教育法》和《天津市实施&lt;中华人民共和国义务教育法&gt;办法》等法律法规，</w:t>
      </w:r>
      <w:r>
        <w:rPr>
          <w:rFonts w:hint="eastAsia" w:ascii="仿宋_GB2312" w:eastAsia="仿宋_GB2312" w:cs="Calibri"/>
          <w:snapToGrid w:val="0"/>
          <w:color w:val="auto"/>
          <w:kern w:val="0"/>
          <w:sz w:val="32"/>
          <w:szCs w:val="32"/>
          <w:lang w:eastAsia="zh-CN"/>
        </w:rPr>
        <w:t>深入贯彻</w:t>
      </w:r>
      <w:r>
        <w:rPr>
          <w:rFonts w:hint="eastAsia" w:ascii="仿宋_GB2312" w:hAnsi="宋体" w:eastAsia="仿宋_GB2312" w:cs="宋体"/>
          <w:snapToGrid w:val="0"/>
          <w:color w:val="auto"/>
          <w:kern w:val="0"/>
          <w:sz w:val="32"/>
          <w:szCs w:val="32"/>
        </w:rPr>
        <w:t>落实</w:t>
      </w:r>
      <w:r>
        <w:rPr>
          <w:rFonts w:hint="eastAsia" w:ascii="仿宋_GB2312" w:hAnsi="宋体" w:eastAsia="仿宋_GB2312" w:cs="宋体"/>
          <w:snapToGrid w:val="0"/>
          <w:color w:val="auto"/>
          <w:kern w:val="0"/>
          <w:sz w:val="32"/>
          <w:szCs w:val="32"/>
          <w:lang w:eastAsia="zh-CN"/>
        </w:rPr>
        <w:t>全国教育大会精神和</w:t>
      </w:r>
      <w:r>
        <w:rPr>
          <w:rFonts w:hint="eastAsia" w:ascii="仿宋_GB2312" w:hAnsi="宋体" w:eastAsia="仿宋_GB2312" w:cs="宋体"/>
          <w:snapToGrid w:val="0"/>
          <w:color w:val="auto"/>
          <w:kern w:val="0"/>
          <w:sz w:val="32"/>
          <w:szCs w:val="32"/>
        </w:rPr>
        <w:t>《</w:t>
      </w:r>
      <w:r>
        <w:rPr>
          <w:rFonts w:hint="eastAsia" w:ascii="仿宋_GB2312" w:hAnsi="宋体" w:eastAsia="仿宋_GB2312" w:cs="宋体"/>
          <w:snapToGrid w:val="0"/>
          <w:color w:val="auto"/>
          <w:kern w:val="0"/>
          <w:sz w:val="32"/>
          <w:szCs w:val="32"/>
          <w:lang w:eastAsia="zh-CN"/>
        </w:rPr>
        <w:t>教育强国建设规划纲要（</w:t>
      </w:r>
      <w:r>
        <w:rPr>
          <w:rFonts w:hint="eastAsia" w:ascii="仿宋_GB2312" w:hAnsi="宋体" w:eastAsia="仿宋_GB2312" w:cs="宋体"/>
          <w:snapToGrid w:val="0"/>
          <w:color w:val="auto"/>
          <w:kern w:val="0"/>
          <w:sz w:val="32"/>
          <w:szCs w:val="32"/>
          <w:lang w:val="en-US" w:eastAsia="zh-CN"/>
        </w:rPr>
        <w:t>2024-2035）</w:t>
      </w:r>
      <w:r>
        <w:rPr>
          <w:rFonts w:hint="eastAsia" w:ascii="仿宋_GB2312" w:hAnsi="宋体" w:eastAsia="仿宋_GB2312" w:cs="宋体"/>
          <w:snapToGrid w:val="0"/>
          <w:color w:val="auto"/>
          <w:kern w:val="0"/>
          <w:sz w:val="32"/>
          <w:szCs w:val="32"/>
        </w:rPr>
        <w:t>》</w:t>
      </w:r>
      <w:r>
        <w:rPr>
          <w:rFonts w:hint="eastAsia" w:ascii="仿宋_GB2312" w:hAnsi="宋体" w:eastAsia="仿宋_GB2312" w:cs="宋体"/>
          <w:snapToGrid w:val="0"/>
          <w:color w:val="auto"/>
          <w:kern w:val="0"/>
          <w:sz w:val="32"/>
          <w:szCs w:val="32"/>
          <w:lang w:eastAsia="zh-CN"/>
        </w:rPr>
        <w:t>要求</w:t>
      </w:r>
      <w:r>
        <w:rPr>
          <w:rFonts w:hint="eastAsia" w:ascii="仿宋_GB2312" w:hAnsi="宋体" w:eastAsia="仿宋_GB2312" w:cs="宋体"/>
          <w:snapToGrid w:val="0"/>
          <w:color w:val="auto"/>
          <w:kern w:val="0"/>
          <w:sz w:val="32"/>
          <w:szCs w:val="32"/>
        </w:rPr>
        <w:t>，</w:t>
      </w:r>
      <w:r>
        <w:rPr>
          <w:rFonts w:hint="eastAsia" w:ascii="仿宋_GB2312" w:hAnsi="宋体" w:eastAsia="仿宋_GB2312" w:cs="宋体"/>
          <w:snapToGrid w:val="0"/>
          <w:kern w:val="0"/>
          <w:sz w:val="32"/>
          <w:szCs w:val="32"/>
        </w:rPr>
        <w:t>按照教育部关于义务教育免试就近入学工作总体部署</w:t>
      </w:r>
      <w:r>
        <w:rPr>
          <w:rFonts w:hint="eastAsia" w:ascii="仿宋_GB2312" w:hAnsi="宋体" w:eastAsia="仿宋_GB2312" w:cs="宋体"/>
          <w:snapToGrid w:val="0"/>
          <w:kern w:val="0"/>
          <w:sz w:val="32"/>
          <w:szCs w:val="32"/>
          <w:highlight w:val="none"/>
          <w:lang w:eastAsia="zh-CN"/>
        </w:rPr>
        <w:t>和</w:t>
      </w:r>
      <w:r>
        <w:rPr>
          <w:rFonts w:hint="eastAsia" w:ascii="仿宋_GB2312" w:hAnsi="宋体" w:eastAsia="仿宋_GB2312" w:cs="宋体"/>
          <w:snapToGrid w:val="0"/>
          <w:kern w:val="0"/>
          <w:sz w:val="32"/>
          <w:szCs w:val="32"/>
        </w:rPr>
        <w:t>《教育部办公厅关于开展义务教育阳光招生专项行动（202</w:t>
      </w:r>
      <w:r>
        <w:rPr>
          <w:rFonts w:hint="eastAsia" w:ascii="仿宋_GB2312" w:hAnsi="宋体" w:eastAsia="仿宋_GB2312" w:cs="宋体"/>
          <w:snapToGrid w:val="0"/>
          <w:kern w:val="0"/>
          <w:sz w:val="32"/>
          <w:szCs w:val="32"/>
          <w:lang w:val="en-US" w:eastAsia="zh-CN"/>
        </w:rPr>
        <w:t>5</w:t>
      </w:r>
      <w:r>
        <w:rPr>
          <w:rFonts w:hint="eastAsia" w:ascii="仿宋_GB2312" w:hAnsi="宋体" w:eastAsia="仿宋_GB2312" w:cs="宋体"/>
          <w:snapToGrid w:val="0"/>
          <w:kern w:val="0"/>
          <w:sz w:val="32"/>
          <w:szCs w:val="32"/>
        </w:rPr>
        <w:t>）的通知》《市教委关于做好202</w:t>
      </w:r>
      <w:r>
        <w:rPr>
          <w:rFonts w:hint="eastAsia" w:ascii="仿宋_GB2312" w:hAnsi="宋体" w:eastAsia="仿宋_GB2312" w:cs="宋体"/>
          <w:snapToGrid w:val="0"/>
          <w:kern w:val="0"/>
          <w:sz w:val="32"/>
          <w:szCs w:val="32"/>
          <w:lang w:val="en-US" w:eastAsia="zh-CN"/>
        </w:rPr>
        <w:t>5</w:t>
      </w:r>
      <w:r>
        <w:rPr>
          <w:rFonts w:hint="eastAsia" w:ascii="仿宋_GB2312" w:hAnsi="宋体" w:eastAsia="仿宋_GB2312" w:cs="宋体"/>
          <w:snapToGrid w:val="0"/>
          <w:kern w:val="0"/>
          <w:sz w:val="32"/>
          <w:szCs w:val="32"/>
        </w:rPr>
        <w:t>年天津市义务教育阶段学校招生入学工作的指导意见》</w:t>
      </w:r>
      <w:r>
        <w:rPr>
          <w:rFonts w:hint="eastAsia" w:ascii="仿宋_GB2312" w:hAnsi="宋体" w:eastAsia="仿宋_GB2312" w:cs="宋体"/>
          <w:snapToGrid w:val="0"/>
          <w:kern w:val="0"/>
          <w:sz w:val="32"/>
          <w:szCs w:val="32"/>
          <w:lang w:eastAsia="zh-CN"/>
        </w:rPr>
        <w:t>（津教政</w:t>
      </w:r>
      <w:r>
        <w:rPr>
          <w:rFonts w:hint="eastAsia" w:ascii="方正隶书_GBK" w:hAnsi="方正隶书_GBK" w:eastAsia="方正隶书_GBK" w:cs="方正隶书_GBK"/>
          <w:snapToGrid w:val="0"/>
          <w:kern w:val="0"/>
          <w:sz w:val="32"/>
          <w:szCs w:val="32"/>
          <w:lang w:val="en-US" w:eastAsia="zh-CN"/>
        </w:rPr>
        <w:t>〔</w:t>
      </w:r>
      <w:r>
        <w:rPr>
          <w:rFonts w:hint="eastAsia" w:ascii="仿宋_GB2312" w:hAnsi="宋体" w:eastAsia="仿宋_GB2312" w:cs="宋体"/>
          <w:snapToGrid w:val="0"/>
          <w:kern w:val="0"/>
          <w:sz w:val="32"/>
          <w:szCs w:val="32"/>
          <w:lang w:val="en-US" w:eastAsia="zh-CN"/>
        </w:rPr>
        <w:t>2025</w:t>
      </w:r>
      <w:r>
        <w:rPr>
          <w:rFonts w:hint="eastAsia" w:ascii="方正隶书_GBK" w:hAnsi="方正隶书_GBK" w:eastAsia="方正隶书_GBK" w:cs="方正隶书_GBK"/>
          <w:snapToGrid w:val="0"/>
          <w:kern w:val="0"/>
          <w:sz w:val="32"/>
          <w:szCs w:val="32"/>
          <w:lang w:val="en-US" w:eastAsia="zh-CN"/>
        </w:rPr>
        <w:t>〕</w:t>
      </w:r>
      <w:r>
        <w:rPr>
          <w:rFonts w:hint="eastAsia" w:ascii="仿宋_GB2312" w:hAnsi="宋体" w:eastAsia="仿宋_GB2312" w:cs="宋体"/>
          <w:snapToGrid w:val="0"/>
          <w:kern w:val="0"/>
          <w:sz w:val="32"/>
          <w:szCs w:val="32"/>
          <w:lang w:val="en-US" w:eastAsia="zh-CN"/>
        </w:rPr>
        <w:t>3号）</w:t>
      </w:r>
      <w:r>
        <w:rPr>
          <w:rFonts w:hint="eastAsia" w:ascii="仿宋_GB2312" w:hAnsi="宋体" w:eastAsia="仿宋_GB2312" w:cs="宋体"/>
          <w:snapToGrid w:val="0"/>
          <w:kern w:val="0"/>
          <w:sz w:val="32"/>
          <w:szCs w:val="32"/>
        </w:rPr>
        <w:t>要求，结合我区实际，</w:t>
      </w:r>
      <w:r>
        <w:rPr>
          <w:rFonts w:hint="eastAsia" w:ascii="仿宋_GB2312" w:eastAsia="仿宋_GB2312" w:cs="Calibri"/>
          <w:snapToGrid w:val="0"/>
          <w:color w:val="000000"/>
          <w:kern w:val="0"/>
          <w:sz w:val="32"/>
          <w:szCs w:val="32"/>
        </w:rPr>
        <w:t>制定小学招生入学工作实施方案。</w:t>
      </w:r>
    </w:p>
    <w:p w14:paraId="5A672C70">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Calibri"/>
          <w:snapToGrid w:val="0"/>
          <w:color w:val="000000"/>
          <w:kern w:val="0"/>
          <w:sz w:val="32"/>
          <w:szCs w:val="32"/>
        </w:rPr>
      </w:pPr>
      <w:r>
        <w:rPr>
          <w:rFonts w:hint="eastAsia" w:ascii="黑体" w:hAnsi="黑体" w:eastAsia="黑体" w:cs="Calibri"/>
          <w:snapToGrid w:val="0"/>
          <w:color w:val="000000"/>
          <w:kern w:val="0"/>
          <w:sz w:val="32"/>
          <w:szCs w:val="32"/>
        </w:rPr>
        <w:t>一、指导思想</w:t>
      </w:r>
    </w:p>
    <w:p w14:paraId="2AFC84BC">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以习近平新时代中国特色社会主义思想为指导，深入学习贯彻党的二十大和二十届二中</w:t>
      </w:r>
      <w:r>
        <w:rPr>
          <w:rFonts w:hint="eastAsia" w:ascii="仿宋_GB2312" w:hAnsi="宋体" w:eastAsia="仿宋_GB2312" w:cs="宋体"/>
          <w:snapToGrid w:val="0"/>
          <w:kern w:val="0"/>
          <w:sz w:val="32"/>
          <w:szCs w:val="32"/>
          <w:lang w:eastAsia="zh-CN"/>
        </w:rPr>
        <w:t>、</w:t>
      </w:r>
      <w:r>
        <w:rPr>
          <w:rFonts w:hint="eastAsia" w:ascii="仿宋_GB2312" w:hAnsi="宋体" w:eastAsia="仿宋_GB2312" w:cs="宋体"/>
          <w:snapToGrid w:val="0"/>
          <w:color w:val="auto"/>
          <w:kern w:val="0"/>
          <w:sz w:val="32"/>
          <w:szCs w:val="32"/>
          <w:lang w:eastAsia="zh-CN"/>
        </w:rPr>
        <w:t>三中</w:t>
      </w:r>
      <w:r>
        <w:rPr>
          <w:rFonts w:hint="eastAsia" w:ascii="仿宋_GB2312" w:hAnsi="宋体" w:eastAsia="仿宋_GB2312" w:cs="宋体"/>
          <w:snapToGrid w:val="0"/>
          <w:color w:val="auto"/>
          <w:kern w:val="0"/>
          <w:sz w:val="32"/>
          <w:szCs w:val="32"/>
        </w:rPr>
        <w:t>全</w:t>
      </w:r>
      <w:r>
        <w:rPr>
          <w:rFonts w:hint="eastAsia" w:ascii="仿宋_GB2312" w:hAnsi="宋体" w:eastAsia="仿宋_GB2312" w:cs="宋体"/>
          <w:snapToGrid w:val="0"/>
          <w:kern w:val="0"/>
          <w:sz w:val="32"/>
          <w:szCs w:val="32"/>
        </w:rPr>
        <w:t>会精神，认真落实习近平总书记关于教育的重要论述和视察天津重要讲话精神，</w:t>
      </w:r>
      <w:r>
        <w:rPr>
          <w:rFonts w:hint="eastAsia" w:ascii="仿宋_GB2312" w:hAnsi="宋体" w:eastAsia="仿宋_GB2312" w:cs="宋体"/>
          <w:snapToGrid w:val="0"/>
          <w:kern w:val="0"/>
          <w:sz w:val="32"/>
          <w:szCs w:val="32"/>
          <w:lang w:eastAsia="zh-CN"/>
        </w:rPr>
        <w:t>按照教育部和全市教育工作部署要求，</w:t>
      </w:r>
      <w:r>
        <w:rPr>
          <w:rFonts w:hint="eastAsia" w:ascii="仿宋_GB2312" w:hAnsi="宋体" w:eastAsia="仿宋_GB2312" w:cs="宋体"/>
          <w:snapToGrid w:val="0"/>
          <w:kern w:val="0"/>
          <w:sz w:val="32"/>
          <w:szCs w:val="32"/>
        </w:rPr>
        <w:t>坚持党的教育方针，扎实推进区域内义务教育优质均衡发展。进一步完善义务教育免试就近入学制度，严格规范招生入学工作程序，确保招生入学工作平稳有序推进，努力让每个孩子都能享有公平而有质量的教育。</w:t>
      </w:r>
    </w:p>
    <w:p w14:paraId="329A45E0">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Calibri"/>
          <w:snapToGrid w:val="0"/>
          <w:color w:val="000000"/>
          <w:kern w:val="0"/>
          <w:sz w:val="32"/>
          <w:szCs w:val="32"/>
        </w:rPr>
      </w:pPr>
      <w:r>
        <w:rPr>
          <w:rFonts w:hint="eastAsia" w:ascii="黑体" w:hAnsi="黑体" w:eastAsia="黑体" w:cs="Calibri"/>
          <w:snapToGrid w:val="0"/>
          <w:color w:val="000000"/>
          <w:kern w:val="0"/>
          <w:sz w:val="32"/>
          <w:szCs w:val="32"/>
        </w:rPr>
        <w:t>二、工作原则</w:t>
      </w:r>
    </w:p>
    <w:p w14:paraId="6E8E2B64">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hAnsi="宋体" w:eastAsia="仿宋_GB2312" w:cs="宋体"/>
          <w:snapToGrid w:val="0"/>
          <w:kern w:val="0"/>
          <w:sz w:val="32"/>
          <w:szCs w:val="32"/>
        </w:rPr>
      </w:pPr>
      <w:r>
        <w:rPr>
          <w:rFonts w:hint="eastAsia" w:hAnsi="楷体_GB2312" w:eastAsia="楷体_GB2312"/>
          <w:sz w:val="32"/>
          <w:szCs w:val="32"/>
        </w:rPr>
        <w:t>（一）</w:t>
      </w:r>
      <w:r>
        <w:rPr>
          <w:rFonts w:hint="eastAsia" w:ascii="仿宋_GB2312" w:hAnsi="宋体" w:eastAsia="仿宋_GB2312" w:cs="宋体"/>
          <w:snapToGrid w:val="0"/>
          <w:kern w:val="0"/>
          <w:sz w:val="32"/>
          <w:szCs w:val="32"/>
        </w:rPr>
        <w:t>坚持免试就近原则，</w:t>
      </w:r>
      <w:r>
        <w:rPr>
          <w:rFonts w:hint="eastAsia" w:ascii="仿宋_GB2312" w:eastAsia="仿宋_GB2312" w:cs="Calibri"/>
          <w:snapToGrid w:val="0"/>
          <w:color w:val="000000"/>
          <w:kern w:val="0"/>
          <w:sz w:val="32"/>
          <w:szCs w:val="32"/>
        </w:rPr>
        <w:t>按照“学校划片招生、生源就近入学”的总体目标，</w:t>
      </w:r>
      <w:r>
        <w:rPr>
          <w:rFonts w:hint="eastAsia" w:ascii="仿宋_GB2312" w:hAnsi="宋体" w:eastAsia="仿宋_GB2312" w:cs="宋体"/>
          <w:snapToGrid w:val="0"/>
          <w:kern w:val="0"/>
          <w:sz w:val="32"/>
          <w:szCs w:val="32"/>
        </w:rPr>
        <w:t>切实维护适龄儿童少年入学合法权益。</w:t>
      </w:r>
    </w:p>
    <w:p w14:paraId="6B822ED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hAnsi="宋体" w:eastAsia="仿宋_GB2312" w:cs="宋体"/>
          <w:snapToGrid w:val="0"/>
          <w:kern w:val="0"/>
          <w:sz w:val="32"/>
          <w:szCs w:val="32"/>
        </w:rPr>
      </w:pPr>
      <w:r>
        <w:rPr>
          <w:rFonts w:hint="eastAsia" w:hAnsi="楷体_GB2312" w:eastAsia="楷体_GB2312"/>
          <w:sz w:val="32"/>
          <w:szCs w:val="32"/>
        </w:rPr>
        <w:t>（二）</w:t>
      </w:r>
      <w:r>
        <w:rPr>
          <w:rFonts w:hint="eastAsia" w:ascii="仿宋_GB2312" w:hAnsi="宋体" w:eastAsia="仿宋_GB2312" w:cs="宋体"/>
          <w:snapToGrid w:val="0"/>
          <w:kern w:val="0"/>
          <w:sz w:val="32"/>
          <w:szCs w:val="32"/>
        </w:rPr>
        <w:t>坚持公办、民办学校同步招生。对报名人数超过招生计划的民办小学，采取随机派位方式确定入学学生。</w:t>
      </w:r>
    </w:p>
    <w:p w14:paraId="26EE63DC">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hAnsi="宋体" w:eastAsia="仿宋_GB2312" w:cs="宋体"/>
          <w:snapToGrid w:val="0"/>
          <w:kern w:val="0"/>
          <w:sz w:val="32"/>
          <w:szCs w:val="32"/>
        </w:rPr>
      </w:pPr>
      <w:r>
        <w:rPr>
          <w:rFonts w:hint="eastAsia" w:hAnsi="楷体_GB2312" w:eastAsia="楷体_GB2312"/>
          <w:sz w:val="32"/>
          <w:szCs w:val="32"/>
        </w:rPr>
        <w:t>（三）</w:t>
      </w:r>
      <w:r>
        <w:rPr>
          <w:rFonts w:hint="eastAsia" w:ascii="仿宋_GB2312" w:hAnsi="宋体" w:eastAsia="仿宋_GB2312" w:cs="宋体"/>
          <w:snapToGrid w:val="0"/>
          <w:kern w:val="0"/>
          <w:sz w:val="32"/>
          <w:szCs w:val="32"/>
        </w:rPr>
        <w:t>坚持公开、公平、公正，完善制度，规范程序，强化监督，</w:t>
      </w:r>
      <w:r>
        <w:rPr>
          <w:rFonts w:hint="eastAsia" w:ascii="仿宋_GB2312" w:hAnsi="宋体" w:eastAsia="仿宋_GB2312" w:cs="宋体"/>
          <w:snapToGrid w:val="0"/>
          <w:kern w:val="0"/>
          <w:sz w:val="32"/>
          <w:szCs w:val="32"/>
          <w:lang w:eastAsia="zh-CN"/>
        </w:rPr>
        <w:t>阳光招生，</w:t>
      </w:r>
      <w:r>
        <w:rPr>
          <w:rFonts w:hint="eastAsia" w:ascii="仿宋_GB2312" w:hAnsi="宋体" w:eastAsia="仿宋_GB2312" w:cs="宋体"/>
          <w:snapToGrid w:val="0"/>
          <w:kern w:val="0"/>
          <w:sz w:val="32"/>
          <w:szCs w:val="32"/>
        </w:rPr>
        <w:t>确保稳定。</w:t>
      </w:r>
    </w:p>
    <w:p w14:paraId="7D1FE3CB">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Calibri"/>
          <w:snapToGrid w:val="0"/>
          <w:color w:val="000000"/>
          <w:kern w:val="0"/>
          <w:sz w:val="32"/>
          <w:szCs w:val="32"/>
        </w:rPr>
      </w:pPr>
      <w:r>
        <w:rPr>
          <w:rFonts w:hint="eastAsia" w:ascii="黑体" w:hAnsi="黑体" w:eastAsia="黑体" w:cs="Calibri"/>
          <w:snapToGrid w:val="0"/>
          <w:color w:val="000000"/>
          <w:kern w:val="0"/>
          <w:sz w:val="32"/>
          <w:szCs w:val="32"/>
        </w:rPr>
        <w:t>三、工作安排</w:t>
      </w:r>
    </w:p>
    <w:p w14:paraId="26FD6E63">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Ansi="楷体_GB2312" w:eastAsia="楷体_GB2312"/>
          <w:sz w:val="32"/>
          <w:szCs w:val="32"/>
        </w:rPr>
      </w:pPr>
      <w:r>
        <w:rPr>
          <w:rFonts w:hint="eastAsia" w:hAnsi="楷体_GB2312" w:eastAsia="楷体_GB2312"/>
          <w:sz w:val="32"/>
          <w:szCs w:val="32"/>
        </w:rPr>
        <w:t>（一）入学年龄及报名时间</w:t>
      </w:r>
    </w:p>
    <w:p w14:paraId="29836203">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cs="Calibri"/>
          <w:snapToGrid w:val="0"/>
          <w:color w:val="000000"/>
          <w:kern w:val="0"/>
          <w:sz w:val="32"/>
          <w:szCs w:val="32"/>
        </w:rPr>
      </w:pPr>
      <w:r>
        <w:rPr>
          <w:rFonts w:hint="eastAsia" w:ascii="仿宋_GB2312" w:eastAsia="仿宋_GB2312" w:cs="Calibri"/>
          <w:snapToGrid w:val="0"/>
          <w:color w:val="000000"/>
          <w:kern w:val="0"/>
          <w:sz w:val="32"/>
          <w:szCs w:val="32"/>
        </w:rPr>
        <w:t>202</w:t>
      </w:r>
      <w:r>
        <w:rPr>
          <w:rFonts w:hint="eastAsia" w:ascii="仿宋_GB2312" w:eastAsia="仿宋_GB2312" w:cs="Calibri"/>
          <w:snapToGrid w:val="0"/>
          <w:color w:val="000000"/>
          <w:kern w:val="0"/>
          <w:sz w:val="32"/>
          <w:szCs w:val="32"/>
          <w:lang w:val="en-US" w:eastAsia="zh-CN"/>
        </w:rPr>
        <w:t>5</w:t>
      </w:r>
      <w:r>
        <w:rPr>
          <w:rFonts w:hint="eastAsia" w:ascii="仿宋_GB2312" w:eastAsia="仿宋_GB2312" w:cs="Calibri"/>
          <w:snapToGrid w:val="0"/>
          <w:color w:val="000000"/>
          <w:kern w:val="0"/>
          <w:sz w:val="32"/>
          <w:szCs w:val="32"/>
        </w:rPr>
        <w:t>年小学入学的适龄儿童应年满6周岁（201</w:t>
      </w:r>
      <w:r>
        <w:rPr>
          <w:rFonts w:hint="eastAsia" w:ascii="仿宋_GB2312" w:eastAsia="仿宋_GB2312" w:cs="Calibri"/>
          <w:snapToGrid w:val="0"/>
          <w:color w:val="000000"/>
          <w:kern w:val="0"/>
          <w:sz w:val="32"/>
          <w:szCs w:val="32"/>
          <w:lang w:val="en-US" w:eastAsia="zh-CN"/>
        </w:rPr>
        <w:t>9</w:t>
      </w:r>
      <w:r>
        <w:rPr>
          <w:rFonts w:hint="eastAsia" w:ascii="仿宋_GB2312" w:eastAsia="仿宋_GB2312" w:cs="Calibri"/>
          <w:snapToGrid w:val="0"/>
          <w:color w:val="000000"/>
          <w:kern w:val="0"/>
          <w:sz w:val="32"/>
          <w:szCs w:val="32"/>
        </w:rPr>
        <w:t>年8月31日以前出生）。学校不得招收不足年龄的儿童入学。</w:t>
      </w:r>
    </w:p>
    <w:p w14:paraId="618002CD">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cs="Calibri"/>
          <w:snapToGrid w:val="0"/>
          <w:color w:val="auto"/>
          <w:kern w:val="0"/>
          <w:sz w:val="32"/>
          <w:szCs w:val="32"/>
          <w:lang w:eastAsia="zh-CN"/>
        </w:rPr>
      </w:pPr>
      <w:r>
        <w:rPr>
          <w:rFonts w:hint="eastAsia" w:ascii="仿宋_GB2312" w:eastAsia="仿宋_GB2312" w:cs="Calibri"/>
          <w:snapToGrid w:val="0"/>
          <w:color w:val="auto"/>
          <w:kern w:val="0"/>
          <w:sz w:val="32"/>
          <w:szCs w:val="32"/>
        </w:rPr>
        <w:t>小学</w:t>
      </w:r>
      <w:r>
        <w:rPr>
          <w:rFonts w:hint="eastAsia" w:ascii="仿宋_GB2312" w:eastAsia="仿宋_GB2312" w:cs="Calibri"/>
          <w:snapToGrid w:val="0"/>
          <w:color w:val="auto"/>
          <w:kern w:val="0"/>
          <w:sz w:val="32"/>
          <w:szCs w:val="32"/>
          <w:lang w:eastAsia="zh-CN"/>
        </w:rPr>
        <w:t>采取线上或线下一种报名方式办理登记入学。</w:t>
      </w:r>
    </w:p>
    <w:p w14:paraId="6BC2616E">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cs="Calibri"/>
          <w:snapToGrid w:val="0"/>
          <w:color w:val="auto"/>
          <w:kern w:val="0"/>
          <w:sz w:val="32"/>
          <w:szCs w:val="32"/>
          <w:lang w:val="en-US" w:eastAsia="zh-CN"/>
        </w:rPr>
      </w:pPr>
      <w:r>
        <w:rPr>
          <w:rFonts w:hint="eastAsia" w:ascii="仿宋_GB2312" w:eastAsia="仿宋_GB2312" w:cs="Calibri"/>
          <w:snapToGrid w:val="0"/>
          <w:color w:val="auto"/>
          <w:kern w:val="0"/>
          <w:sz w:val="32"/>
          <w:szCs w:val="32"/>
          <w:lang w:eastAsia="zh-CN"/>
        </w:rPr>
        <w:t>我市今年启动“教育入学一件事”报名平台进行线上报名。适龄儿童家长可实名认证后登录“津心办”</w:t>
      </w:r>
      <w:r>
        <w:rPr>
          <w:rFonts w:hint="eastAsia" w:ascii="仿宋_GB2312" w:eastAsia="仿宋_GB2312" w:cs="Calibri"/>
          <w:snapToGrid w:val="0"/>
          <w:color w:val="auto"/>
          <w:kern w:val="0"/>
          <w:sz w:val="32"/>
          <w:szCs w:val="32"/>
          <w:lang w:val="en-US" w:eastAsia="zh-CN"/>
        </w:rPr>
        <w:t>APP，从“高效办成一件事”专区中进入教育入学场景，实现线上报名操作，</w:t>
      </w:r>
      <w:r>
        <w:rPr>
          <w:rFonts w:hint="eastAsia" w:ascii="仿宋_GB2312" w:eastAsia="仿宋_GB2312" w:cs="Calibri"/>
          <w:snapToGrid w:val="0"/>
          <w:color w:val="auto"/>
          <w:kern w:val="0"/>
          <w:sz w:val="32"/>
          <w:szCs w:val="32"/>
          <w:lang w:eastAsia="zh-CN"/>
        </w:rPr>
        <w:t>线上报名办理时间为</w:t>
      </w:r>
      <w:r>
        <w:rPr>
          <w:rFonts w:hint="eastAsia" w:ascii="仿宋_GB2312" w:eastAsia="仿宋_GB2312" w:cs="Calibri"/>
          <w:snapToGrid w:val="0"/>
          <w:color w:val="auto"/>
          <w:kern w:val="0"/>
          <w:sz w:val="32"/>
          <w:szCs w:val="32"/>
          <w:lang w:val="en-US" w:eastAsia="zh-CN"/>
        </w:rPr>
        <w:t>5月19-25日。</w:t>
      </w:r>
    </w:p>
    <w:p w14:paraId="6F818BF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cs="Calibri"/>
          <w:snapToGrid w:val="0"/>
          <w:color w:val="auto"/>
          <w:kern w:val="0"/>
          <w:sz w:val="32"/>
          <w:szCs w:val="32"/>
          <w:lang w:eastAsia="zh-CN"/>
        </w:rPr>
      </w:pPr>
      <w:r>
        <w:rPr>
          <w:rFonts w:hint="eastAsia" w:ascii="仿宋_GB2312" w:eastAsia="仿宋_GB2312" w:cs="Calibri"/>
          <w:snapToGrid w:val="0"/>
          <w:color w:val="auto"/>
          <w:kern w:val="0"/>
          <w:sz w:val="32"/>
          <w:szCs w:val="32"/>
          <w:lang w:val="en-US" w:eastAsia="zh-CN"/>
        </w:rPr>
        <w:t>线下到校</w:t>
      </w:r>
      <w:r>
        <w:rPr>
          <w:rFonts w:hint="eastAsia" w:ascii="仿宋_GB2312" w:eastAsia="仿宋_GB2312" w:cs="Calibri"/>
          <w:snapToGrid w:val="0"/>
          <w:color w:val="auto"/>
          <w:kern w:val="0"/>
          <w:sz w:val="32"/>
          <w:szCs w:val="32"/>
          <w:lang w:eastAsia="zh-CN"/>
        </w:rPr>
        <w:t>报名办理时间为</w:t>
      </w:r>
      <w:r>
        <w:rPr>
          <w:rFonts w:hint="eastAsia" w:ascii="仿宋_GB2312" w:eastAsia="仿宋_GB2312" w:cs="Calibri"/>
          <w:snapToGrid w:val="0"/>
          <w:color w:val="auto"/>
          <w:kern w:val="0"/>
          <w:sz w:val="32"/>
          <w:szCs w:val="32"/>
          <w:lang w:val="en-US" w:eastAsia="zh-CN"/>
        </w:rPr>
        <w:t>5</w:t>
      </w:r>
      <w:r>
        <w:rPr>
          <w:rFonts w:hint="eastAsia" w:ascii="仿宋_GB2312" w:eastAsia="仿宋_GB2312" w:cs="Calibri"/>
          <w:snapToGrid w:val="0"/>
          <w:color w:val="auto"/>
          <w:kern w:val="0"/>
          <w:sz w:val="32"/>
          <w:szCs w:val="32"/>
          <w:lang w:eastAsia="zh-CN"/>
        </w:rPr>
        <w:t>月</w:t>
      </w:r>
      <w:r>
        <w:rPr>
          <w:rFonts w:hint="eastAsia" w:ascii="仿宋_GB2312" w:eastAsia="仿宋_GB2312" w:cs="Calibri"/>
          <w:snapToGrid w:val="0"/>
          <w:color w:val="auto"/>
          <w:kern w:val="0"/>
          <w:sz w:val="32"/>
          <w:szCs w:val="32"/>
          <w:lang w:val="en-US" w:eastAsia="zh-CN"/>
        </w:rPr>
        <w:t>24</w:t>
      </w:r>
      <w:r>
        <w:rPr>
          <w:rFonts w:hint="eastAsia" w:ascii="仿宋_GB2312" w:eastAsia="仿宋_GB2312" w:cs="Calibri"/>
          <w:snapToGrid w:val="0"/>
          <w:color w:val="auto"/>
          <w:kern w:val="0"/>
          <w:sz w:val="32"/>
          <w:szCs w:val="32"/>
          <w:lang w:eastAsia="zh-CN"/>
        </w:rPr>
        <w:t>日（星期六）、</w:t>
      </w:r>
      <w:r>
        <w:rPr>
          <w:rFonts w:hint="eastAsia" w:ascii="仿宋_GB2312" w:eastAsia="仿宋_GB2312" w:cs="Calibri"/>
          <w:snapToGrid w:val="0"/>
          <w:color w:val="auto"/>
          <w:kern w:val="0"/>
          <w:sz w:val="32"/>
          <w:szCs w:val="32"/>
          <w:lang w:val="en-US" w:eastAsia="zh-CN"/>
        </w:rPr>
        <w:t>5</w:t>
      </w:r>
      <w:r>
        <w:rPr>
          <w:rFonts w:hint="eastAsia" w:ascii="仿宋_GB2312" w:eastAsia="仿宋_GB2312" w:cs="Calibri"/>
          <w:snapToGrid w:val="0"/>
          <w:color w:val="auto"/>
          <w:kern w:val="0"/>
          <w:sz w:val="32"/>
          <w:szCs w:val="32"/>
          <w:lang w:eastAsia="zh-CN"/>
        </w:rPr>
        <w:t>月</w:t>
      </w:r>
      <w:r>
        <w:rPr>
          <w:rFonts w:hint="eastAsia" w:ascii="仿宋_GB2312" w:eastAsia="仿宋_GB2312" w:cs="Calibri"/>
          <w:snapToGrid w:val="0"/>
          <w:color w:val="auto"/>
          <w:kern w:val="0"/>
          <w:sz w:val="32"/>
          <w:szCs w:val="32"/>
          <w:lang w:val="en-US" w:eastAsia="zh-CN"/>
        </w:rPr>
        <w:t>25</w:t>
      </w:r>
      <w:r>
        <w:rPr>
          <w:rFonts w:hint="eastAsia" w:ascii="仿宋_GB2312" w:eastAsia="仿宋_GB2312" w:cs="Calibri"/>
          <w:snapToGrid w:val="0"/>
          <w:color w:val="auto"/>
          <w:kern w:val="0"/>
          <w:sz w:val="32"/>
          <w:szCs w:val="32"/>
          <w:lang w:eastAsia="zh-CN"/>
        </w:rPr>
        <w:t>日（星期日）。</w:t>
      </w:r>
    </w:p>
    <w:p w14:paraId="01C8FD9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cs="Calibri"/>
          <w:snapToGrid w:val="0"/>
          <w:color w:val="000000"/>
          <w:kern w:val="0"/>
          <w:sz w:val="32"/>
          <w:szCs w:val="32"/>
        </w:rPr>
      </w:pPr>
      <w:r>
        <w:rPr>
          <w:rFonts w:hint="eastAsia" w:ascii="仿宋_GB2312" w:eastAsia="仿宋_GB2312" w:cs="Calibri"/>
          <w:snapToGrid w:val="0"/>
          <w:color w:val="auto"/>
          <w:kern w:val="0"/>
          <w:sz w:val="32"/>
          <w:szCs w:val="32"/>
        </w:rPr>
        <w:t>适龄儿童确因身体状况等原因需</w:t>
      </w:r>
      <w:r>
        <w:rPr>
          <w:rFonts w:hint="eastAsia" w:ascii="仿宋_GB2312" w:eastAsia="仿宋_GB2312" w:cs="Calibri"/>
          <w:snapToGrid w:val="0"/>
          <w:color w:val="000000"/>
          <w:kern w:val="0"/>
          <w:sz w:val="32"/>
          <w:szCs w:val="32"/>
        </w:rPr>
        <w:t>要延缓入学的，其父母或者其他法定监护人应当向学校提出申请，学校报教育局备案。</w:t>
      </w:r>
    </w:p>
    <w:p w14:paraId="7E671B20">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cs="Calibri"/>
          <w:snapToGrid w:val="0"/>
          <w:color w:val="000000"/>
          <w:kern w:val="0"/>
          <w:sz w:val="32"/>
          <w:szCs w:val="32"/>
        </w:rPr>
      </w:pPr>
      <w:r>
        <w:rPr>
          <w:rFonts w:hint="eastAsia" w:ascii="仿宋_GB2312" w:eastAsia="仿宋_GB2312" w:cs="Calibri"/>
          <w:snapToGrid w:val="0"/>
          <w:color w:val="000000"/>
          <w:kern w:val="0"/>
          <w:sz w:val="32"/>
          <w:szCs w:val="32"/>
        </w:rPr>
        <w:t>学生入学后，应及时提交卫生部门签发的儿童预防接种证。</w:t>
      </w:r>
    </w:p>
    <w:p w14:paraId="33B7A03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Ansi="楷体_GB2312" w:eastAsia="楷体_GB2312"/>
          <w:sz w:val="32"/>
          <w:szCs w:val="32"/>
        </w:rPr>
      </w:pPr>
      <w:r>
        <w:rPr>
          <w:rFonts w:hint="eastAsia" w:hAnsi="楷体_GB2312" w:eastAsia="楷体_GB2312"/>
          <w:sz w:val="32"/>
          <w:szCs w:val="32"/>
        </w:rPr>
        <w:t>（二）公办小学招生</w:t>
      </w:r>
    </w:p>
    <w:p w14:paraId="1F33A102">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cs="Calibri"/>
          <w:snapToGrid w:val="0"/>
          <w:color w:val="000000"/>
          <w:kern w:val="0"/>
          <w:sz w:val="32"/>
          <w:szCs w:val="32"/>
        </w:rPr>
      </w:pPr>
      <w:r>
        <w:rPr>
          <w:rFonts w:hint="eastAsia" w:ascii="仿宋_GB2312" w:eastAsia="仿宋_GB2312" w:cs="Calibri"/>
          <w:snapToGrid w:val="0"/>
          <w:color w:val="000000"/>
          <w:kern w:val="0"/>
          <w:sz w:val="32"/>
          <w:szCs w:val="32"/>
        </w:rPr>
        <w:t>采取登记入学方式。在学区片划分基本保持不动、沿袭历史、相对就近的情况下，按照公办学校的学区片招生。</w:t>
      </w:r>
    </w:p>
    <w:p w14:paraId="6036D532">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cs="Calibri"/>
          <w:snapToGrid w:val="0"/>
          <w:kern w:val="0"/>
          <w:sz w:val="32"/>
          <w:szCs w:val="32"/>
        </w:rPr>
      </w:pPr>
      <w:r>
        <w:rPr>
          <w:rFonts w:hint="eastAsia" w:ascii="仿宋_GB2312" w:eastAsia="仿宋_GB2312" w:cs="Calibri"/>
          <w:snapToGrid w:val="0"/>
          <w:color w:val="000000"/>
          <w:kern w:val="0"/>
          <w:sz w:val="32"/>
          <w:szCs w:val="32"/>
        </w:rPr>
        <w:t>依据现行户籍政策，可以实现“人户统一”的适龄儿童，应</w:t>
      </w:r>
      <w:r>
        <w:rPr>
          <w:rFonts w:hint="eastAsia" w:ascii="仿宋_GB2312" w:eastAsia="仿宋_GB2312" w:cs="Calibri"/>
          <w:snapToGrid w:val="0"/>
          <w:kern w:val="0"/>
          <w:sz w:val="32"/>
          <w:szCs w:val="32"/>
        </w:rPr>
        <w:t>先</w:t>
      </w:r>
      <w:r>
        <w:rPr>
          <w:rFonts w:hint="eastAsia" w:ascii="仿宋_GB2312" w:eastAsia="仿宋_GB2312" w:cs="Calibri"/>
          <w:snapToGrid w:val="0"/>
          <w:color w:val="000000"/>
          <w:kern w:val="0"/>
          <w:sz w:val="32"/>
          <w:szCs w:val="32"/>
        </w:rPr>
        <w:t>实现人户统一。</w:t>
      </w:r>
      <w:r>
        <w:rPr>
          <w:rFonts w:hint="eastAsia" w:ascii="仿宋_GB2312" w:eastAsia="仿宋_GB2312" w:cs="Calibri"/>
          <w:snapToGrid w:val="0"/>
          <w:kern w:val="0"/>
          <w:sz w:val="32"/>
          <w:szCs w:val="32"/>
        </w:rPr>
        <w:t>“人户统一”是指，</w:t>
      </w:r>
      <w:r>
        <w:rPr>
          <w:rFonts w:hint="eastAsia" w:ascii="仿宋_GB2312" w:eastAsia="仿宋_GB2312" w:cs="Calibri"/>
          <w:snapToGrid w:val="0"/>
          <w:color w:val="000000"/>
          <w:kern w:val="0"/>
          <w:sz w:val="32"/>
          <w:szCs w:val="32"/>
        </w:rPr>
        <w:t>适龄儿童的户籍和合法固定居所均在本区，地址完全一致，且适龄儿童户籍的户主、合法固定居所的产权所有人，必须是适龄儿童的父母、祖父母或外祖父母。凡符合以上入学条件的适龄儿童，依据居民户口簿、合法固定居所证明，到所属学区片学校登记入学。具体招生流程详见学校提前张贴的《入学须知》。</w:t>
      </w:r>
      <w:r>
        <w:rPr>
          <w:rFonts w:hint="eastAsia" w:ascii="仿宋_GB2312" w:eastAsia="仿宋_GB2312" w:cs="Calibri"/>
          <w:snapToGrid w:val="0"/>
          <w:kern w:val="0"/>
          <w:sz w:val="32"/>
          <w:szCs w:val="32"/>
        </w:rPr>
        <w:t xml:space="preserve"> </w:t>
      </w:r>
    </w:p>
    <w:p w14:paraId="55342ED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cs="Calibri"/>
          <w:snapToGrid w:val="0"/>
          <w:kern w:val="0"/>
          <w:sz w:val="32"/>
          <w:szCs w:val="32"/>
        </w:rPr>
      </w:pPr>
      <w:r>
        <w:rPr>
          <w:rFonts w:hint="eastAsia" w:ascii="仿宋_GB2312" w:eastAsia="仿宋_GB2312" w:cs="Calibri"/>
          <w:snapToGrid w:val="0"/>
          <w:color w:val="000000"/>
          <w:kern w:val="0"/>
          <w:sz w:val="32"/>
          <w:szCs w:val="32"/>
        </w:rPr>
        <w:t>依据现行户籍政策，无法实现“人户统一”</w:t>
      </w:r>
      <w:r>
        <w:rPr>
          <w:rFonts w:hint="eastAsia" w:ascii="仿宋_GB2312" w:eastAsia="仿宋_GB2312" w:cs="Calibri"/>
          <w:snapToGrid w:val="0"/>
          <w:kern w:val="0"/>
          <w:sz w:val="32"/>
          <w:szCs w:val="32"/>
        </w:rPr>
        <w:t>但在和平区实际居住的本区户籍适龄儿童，确因特殊实际困难，需确认学位且提</w:t>
      </w:r>
      <w:r>
        <w:rPr>
          <w:rFonts w:hint="eastAsia" w:ascii="仿宋_GB2312" w:eastAsia="仿宋_GB2312" w:cs="Calibri"/>
          <w:snapToGrid w:val="0"/>
          <w:color w:val="000000"/>
          <w:kern w:val="0"/>
          <w:sz w:val="32"/>
          <w:szCs w:val="32"/>
        </w:rPr>
        <w:t>供相关证明材料后，由教育局统筹安排入学。</w:t>
      </w:r>
    </w:p>
    <w:p w14:paraId="7689A7D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cs="Calibri"/>
          <w:snapToGrid w:val="0"/>
          <w:kern w:val="0"/>
          <w:sz w:val="32"/>
          <w:szCs w:val="32"/>
        </w:rPr>
      </w:pPr>
      <w:r>
        <w:rPr>
          <w:rFonts w:hint="eastAsia" w:ascii="仿宋_GB2312" w:eastAsia="仿宋_GB2312" w:cs="Calibri"/>
          <w:snapToGrid w:val="0"/>
          <w:kern w:val="0"/>
          <w:sz w:val="32"/>
          <w:szCs w:val="32"/>
        </w:rPr>
        <w:t>除上述规定外，本区户籍适龄儿童入学还需满足《天津市和平区小学就学和初中入学政策调整办法》（津和教</w:t>
      </w:r>
      <w:r>
        <w:rPr>
          <w:rFonts w:hint="eastAsia" w:ascii="仿宋_GB2312" w:hAnsi="宋体" w:eastAsia="仿宋_GB2312" w:cs="宋体"/>
          <w:snapToGrid w:val="0"/>
          <w:kern w:val="0"/>
          <w:sz w:val="32"/>
          <w:szCs w:val="32"/>
        </w:rPr>
        <w:t>〔2021〕</w:t>
      </w:r>
      <w:r>
        <w:rPr>
          <w:rFonts w:hint="eastAsia" w:ascii="仿宋_GB2312" w:eastAsia="仿宋_GB2312" w:cs="Calibri"/>
          <w:snapToGrid w:val="0"/>
          <w:kern w:val="0"/>
          <w:sz w:val="32"/>
          <w:szCs w:val="32"/>
        </w:rPr>
        <w:t>23号）；且涉及“六年一学位”学校也要满足原政策。</w:t>
      </w:r>
    </w:p>
    <w:p w14:paraId="1850C4E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Ansi="楷体_GB2312" w:eastAsia="楷体_GB2312"/>
          <w:sz w:val="32"/>
          <w:szCs w:val="32"/>
        </w:rPr>
      </w:pPr>
      <w:r>
        <w:rPr>
          <w:rFonts w:hint="eastAsia" w:hAnsi="楷体_GB2312" w:eastAsia="楷体_GB2312"/>
          <w:sz w:val="32"/>
          <w:szCs w:val="32"/>
        </w:rPr>
        <w:t>（三）民办小学招生</w:t>
      </w:r>
    </w:p>
    <w:p w14:paraId="6123B11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Calibri"/>
          <w:snapToGrid w:val="0"/>
          <w:kern w:val="0"/>
          <w:sz w:val="32"/>
          <w:szCs w:val="32"/>
        </w:rPr>
      </w:pPr>
      <w:r>
        <w:rPr>
          <w:rFonts w:hint="eastAsia" w:ascii="仿宋_GB2312" w:eastAsia="仿宋_GB2312" w:cs="Calibri"/>
          <w:snapToGrid w:val="0"/>
          <w:color w:val="000000"/>
          <w:kern w:val="0"/>
          <w:sz w:val="32"/>
          <w:szCs w:val="32"/>
        </w:rPr>
        <w:t>民办小学与公办小学同步招</w:t>
      </w:r>
      <w:r>
        <w:rPr>
          <w:rFonts w:hint="eastAsia" w:ascii="仿宋_GB2312" w:eastAsia="仿宋_GB2312" w:cs="Calibri"/>
          <w:snapToGrid w:val="0"/>
          <w:kern w:val="0"/>
          <w:sz w:val="32"/>
          <w:szCs w:val="32"/>
        </w:rPr>
        <w:t>生。符合本区公办小学入学条件的适龄儿童可以报一所审批地在和平区的民办小学，同时还必须在所属公办小学报名。</w:t>
      </w:r>
      <w:r>
        <w:rPr>
          <w:rFonts w:hint="eastAsia" w:ascii="仿宋_GB2312" w:hAnsi="宋体" w:eastAsia="仿宋_GB2312" w:cs="宋体"/>
          <w:snapToGrid w:val="0"/>
          <w:kern w:val="0"/>
          <w:sz w:val="32"/>
          <w:szCs w:val="32"/>
        </w:rPr>
        <w:t>对报名人数超过招生计划的民办小学，采取随机派位方式确定入学学生。随机派位工作由教育局统一组织，邀请人大代表、政协委员、纪检监察部门派驻工作人员和家长代表等进行全程监督。</w:t>
      </w:r>
      <w:r>
        <w:rPr>
          <w:rFonts w:hint="eastAsia" w:ascii="仿宋_GB2312" w:eastAsia="仿宋_GB2312" w:cs="Calibri"/>
          <w:snapToGrid w:val="0"/>
          <w:kern w:val="0"/>
          <w:sz w:val="32"/>
          <w:szCs w:val="32"/>
        </w:rPr>
        <w:t>具体招生条件、招生方式和收费标准等内容详见学校《</w:t>
      </w:r>
      <w:r>
        <w:rPr>
          <w:rFonts w:hint="eastAsia" w:ascii="仿宋_GB2312" w:hAnsi="宋体" w:eastAsia="仿宋_GB2312" w:cs="宋体"/>
          <w:snapToGrid w:val="0"/>
          <w:kern w:val="0"/>
          <w:sz w:val="32"/>
          <w:szCs w:val="32"/>
        </w:rPr>
        <w:t>招生简章</w:t>
      </w:r>
      <w:r>
        <w:rPr>
          <w:rFonts w:hint="eastAsia" w:ascii="仿宋_GB2312" w:eastAsia="仿宋_GB2312" w:cs="Calibri"/>
          <w:snapToGrid w:val="0"/>
          <w:kern w:val="0"/>
          <w:sz w:val="32"/>
          <w:szCs w:val="32"/>
        </w:rPr>
        <w:t>》。</w:t>
      </w:r>
    </w:p>
    <w:p w14:paraId="0719BAA7">
      <w:pPr>
        <w:pStyle w:val="5"/>
        <w:keepNext w:val="0"/>
        <w:keepLines w:val="0"/>
        <w:pageBreakBefore w:val="0"/>
        <w:widowControl w:val="0"/>
        <w:kinsoku/>
        <w:wordWrap/>
        <w:overflowPunct/>
        <w:topLinePunct w:val="0"/>
        <w:autoSpaceDE/>
        <w:autoSpaceDN/>
        <w:bidi w:val="0"/>
        <w:snapToGrid w:val="0"/>
        <w:spacing w:line="560" w:lineRule="exact"/>
        <w:ind w:firstLine="640" w:firstLineChars="200"/>
        <w:jc w:val="left"/>
        <w:textAlignment w:val="auto"/>
      </w:pPr>
      <w:r>
        <w:rPr>
          <w:rFonts w:hint="eastAsia" w:ascii="仿宋_GB2312" w:hAnsi="宋体" w:cs="宋体"/>
          <w:snapToGrid w:val="0"/>
          <w:kern w:val="0"/>
        </w:rPr>
        <w:t>严格落实《市委教育工委 市教委关于限制失信被执行人子女就读高收费民办学校的通知》（津教政〔2019〕24号）要求，对失信被执行人进行信用惩戒。</w:t>
      </w:r>
    </w:p>
    <w:p w14:paraId="294180D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楷体_GB2312" w:eastAsia="楷体_GB2312"/>
          <w:sz w:val="32"/>
          <w:szCs w:val="32"/>
          <w:lang w:eastAsia="zh-CN"/>
        </w:rPr>
      </w:pPr>
      <w:r>
        <w:rPr>
          <w:rFonts w:hint="eastAsia" w:hAnsi="楷体_GB2312" w:eastAsia="楷体_GB2312"/>
          <w:sz w:val="32"/>
          <w:szCs w:val="32"/>
        </w:rPr>
        <w:t>（四）</w:t>
      </w:r>
      <w:r>
        <w:rPr>
          <w:rFonts w:hint="eastAsia" w:hAnsi="楷体_GB2312" w:eastAsia="楷体_GB2312"/>
          <w:sz w:val="32"/>
          <w:szCs w:val="32"/>
          <w:lang w:eastAsia="zh-CN"/>
        </w:rPr>
        <w:t>保障特殊群体入学</w:t>
      </w:r>
    </w:p>
    <w:p w14:paraId="41CCF71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Calibri"/>
          <w:snapToGrid w:val="0"/>
          <w:color w:val="000000"/>
          <w:kern w:val="0"/>
          <w:sz w:val="32"/>
          <w:szCs w:val="32"/>
        </w:rPr>
      </w:pPr>
      <w:r>
        <w:rPr>
          <w:rFonts w:hint="eastAsia" w:ascii="仿宋_GB2312" w:eastAsia="仿宋_GB2312" w:cs="Calibri"/>
          <w:snapToGrid w:val="0"/>
          <w:color w:val="000000"/>
          <w:kern w:val="0"/>
          <w:sz w:val="32"/>
          <w:szCs w:val="32"/>
        </w:rPr>
        <w:t>居住证持有人可以为其共同居住生活的随迁子女申请在我区接受义务教育，教育局统筹安排符合条件的居住证持有人随迁子女在公办小学就读。具体申请条件详见《居住证持有人随迁子女申请和平区202</w:t>
      </w:r>
      <w:r>
        <w:rPr>
          <w:rFonts w:hint="eastAsia" w:ascii="仿宋_GB2312" w:eastAsia="仿宋_GB2312" w:cs="Calibri"/>
          <w:snapToGrid w:val="0"/>
          <w:color w:val="000000"/>
          <w:kern w:val="0"/>
          <w:sz w:val="32"/>
          <w:szCs w:val="32"/>
          <w:lang w:val="en-US" w:eastAsia="zh-CN"/>
        </w:rPr>
        <w:t>5</w:t>
      </w:r>
      <w:r>
        <w:rPr>
          <w:rFonts w:hint="eastAsia" w:ascii="仿宋_GB2312" w:eastAsia="仿宋_GB2312" w:cs="Calibri"/>
          <w:snapToGrid w:val="0"/>
          <w:color w:val="000000"/>
          <w:kern w:val="0"/>
          <w:sz w:val="32"/>
          <w:szCs w:val="32"/>
        </w:rPr>
        <w:t>年公办小学学位办理指南》。</w:t>
      </w:r>
    </w:p>
    <w:p w14:paraId="7F07EBF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Calibri"/>
          <w:snapToGrid w:val="0"/>
          <w:color w:val="000000"/>
          <w:kern w:val="0"/>
          <w:sz w:val="32"/>
          <w:szCs w:val="32"/>
        </w:rPr>
      </w:pPr>
      <w:r>
        <w:rPr>
          <w:rFonts w:hint="eastAsia" w:ascii="仿宋_GB2312" w:eastAsia="仿宋_GB2312" w:cs="Calibri"/>
          <w:snapToGrid w:val="0"/>
          <w:color w:val="000000"/>
          <w:kern w:val="0"/>
          <w:sz w:val="32"/>
          <w:szCs w:val="32"/>
        </w:rPr>
        <w:t>依法保障适龄残疾儿童少年接受义务教育。特殊教育学校招生与小学招生同时进行。具有接受普通教育能力的轻度残疾儿童少年，安排到普通学校随班就读；中重度残疾儿童少年，安排到培育学校登记入学；确实不能进校就读的重度残疾儿童少年，根据残疾类别和教育需求，实施送教上门服务，切实依法保障适龄残疾儿童少年接受义务教育。</w:t>
      </w:r>
    </w:p>
    <w:p w14:paraId="1959B3E4">
      <w:pPr>
        <w:pStyle w:val="5"/>
        <w:keepNext w:val="0"/>
        <w:keepLines w:val="0"/>
        <w:pageBreakBefore w:val="0"/>
        <w:widowControl w:val="0"/>
        <w:kinsoku/>
        <w:wordWrap/>
        <w:overflowPunct/>
        <w:topLinePunct w:val="0"/>
        <w:autoSpaceDE/>
        <w:autoSpaceDN/>
        <w:bidi w:val="0"/>
        <w:snapToGrid w:val="0"/>
        <w:spacing w:line="560" w:lineRule="exact"/>
        <w:ind w:firstLine="640" w:firstLineChars="200"/>
        <w:jc w:val="left"/>
        <w:textAlignment w:val="auto"/>
        <w:rPr>
          <w:rFonts w:hint="eastAsia" w:ascii="仿宋_GB2312"/>
          <w:snapToGrid w:val="0"/>
          <w:color w:val="000000"/>
          <w:kern w:val="0"/>
        </w:rPr>
      </w:pPr>
      <w:r>
        <w:rPr>
          <w:rFonts w:hint="eastAsia" w:ascii="仿宋_GB2312"/>
          <w:snapToGrid w:val="0"/>
          <w:color w:val="000000"/>
          <w:kern w:val="0"/>
        </w:rPr>
        <w:t>对烈士子女、符合条件的现役军人子女</w:t>
      </w:r>
      <w:r>
        <w:rPr>
          <w:rFonts w:hint="eastAsia" w:ascii="仿宋_GB2312" w:hAnsi="宋体" w:cs="宋体"/>
          <w:snapToGrid w:val="0"/>
        </w:rPr>
        <w:t>和国家综合性消防救援队伍人员子女</w:t>
      </w:r>
      <w:r>
        <w:rPr>
          <w:rFonts w:hint="eastAsia" w:ascii="仿宋_GB2312"/>
          <w:snapToGrid w:val="0"/>
          <w:color w:val="000000"/>
          <w:kern w:val="0"/>
        </w:rPr>
        <w:t>、公安英模和因公牺牲伤残警察子女及其他各类优抚对象，按照相关政策落实。</w:t>
      </w:r>
    </w:p>
    <w:p w14:paraId="619E4E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Calibri"/>
          <w:b/>
          <w:snapToGrid w:val="0"/>
          <w:color w:val="000000"/>
          <w:kern w:val="0"/>
          <w:sz w:val="32"/>
          <w:szCs w:val="32"/>
        </w:rPr>
      </w:pPr>
      <w:r>
        <w:rPr>
          <w:rFonts w:hint="eastAsia" w:ascii="黑体" w:hAnsi="黑体" w:eastAsia="黑体" w:cs="Calibri"/>
          <w:snapToGrid w:val="0"/>
          <w:color w:val="000000"/>
          <w:kern w:val="0"/>
          <w:sz w:val="32"/>
          <w:szCs w:val="32"/>
        </w:rPr>
        <w:t>四、工作要求</w:t>
      </w:r>
    </w:p>
    <w:p w14:paraId="1E71280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snapToGrid w:val="0"/>
          <w:sz w:val="32"/>
          <w:szCs w:val="32"/>
        </w:rPr>
      </w:pPr>
      <w:r>
        <w:rPr>
          <w:rFonts w:hint="eastAsia" w:hAnsi="楷体_GB2312" w:eastAsia="楷体_GB2312"/>
          <w:sz w:val="32"/>
          <w:szCs w:val="32"/>
        </w:rPr>
        <w:t>（一）加强招生工作领导。</w:t>
      </w:r>
      <w:r>
        <w:rPr>
          <w:rFonts w:hint="eastAsia" w:ascii="仿宋_GB2312" w:hAnsi="宋体" w:eastAsia="仿宋_GB2312" w:cs="宋体"/>
          <w:snapToGrid w:val="0"/>
          <w:sz w:val="32"/>
          <w:szCs w:val="32"/>
        </w:rPr>
        <w:t>在区政府的领导下，结合我区实际情况，科学合理地制定我区招生入学工作实施方案，上报区政府同意后实施；精心组织、周密安排、规范操作、统筹协调，确保招生工作的平稳有序。</w:t>
      </w:r>
    </w:p>
    <w:p w14:paraId="1C55F9D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snapToGrid w:val="0"/>
          <w:sz w:val="32"/>
          <w:szCs w:val="32"/>
        </w:rPr>
      </w:pPr>
      <w:r>
        <w:rPr>
          <w:rFonts w:hint="eastAsia" w:hAnsi="楷体_GB2312" w:eastAsia="楷体_GB2312"/>
          <w:sz w:val="32"/>
          <w:szCs w:val="32"/>
        </w:rPr>
        <w:t>（二）加强招生工作管理。</w:t>
      </w:r>
      <w:r>
        <w:rPr>
          <w:rFonts w:hint="eastAsia" w:ascii="仿宋_GB2312" w:hAnsi="宋体" w:eastAsia="仿宋_GB2312" w:cs="宋体"/>
          <w:snapToGrid w:val="0"/>
          <w:sz w:val="32"/>
          <w:szCs w:val="32"/>
        </w:rPr>
        <w:t xml:space="preserve">各小学要高度重视招生工作，实行一把手校长负责制和首问责任制。严格执行市教委的要求，加强培训、统一思想、提高认识，精心组织、周密安排。依照相关文件要求，结合实际情况，研究制定本校招生入学工作方案及相关问题应急预案。要切实履行义务教育控辍保学法定责任，按照法律规定和国家有关要求做好控辍保学工作。   </w:t>
      </w:r>
    </w:p>
    <w:p w14:paraId="556922D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snapToGrid w:val="0"/>
          <w:sz w:val="32"/>
          <w:szCs w:val="32"/>
        </w:rPr>
      </w:pPr>
      <w:r>
        <w:rPr>
          <w:rFonts w:hint="eastAsia" w:hAnsi="楷体_GB2312" w:eastAsia="楷体_GB2312"/>
          <w:sz w:val="32"/>
          <w:szCs w:val="32"/>
        </w:rPr>
        <w:t>（三）严肃招生工作纪律。</w:t>
      </w:r>
      <w:r>
        <w:rPr>
          <w:rFonts w:hint="eastAsia" w:ascii="仿宋_GB2312" w:hAnsi="宋体" w:eastAsia="仿宋_GB2312" w:cs="宋体"/>
          <w:snapToGrid w:val="0"/>
          <w:sz w:val="32"/>
          <w:szCs w:val="32"/>
        </w:rPr>
        <w:t>各小学要严格遵守义务教育免试就近入学规定，</w:t>
      </w:r>
      <w:r>
        <w:rPr>
          <w:rFonts w:hint="eastAsia" w:ascii="仿宋_GB2312" w:hAnsi="宋体" w:eastAsia="仿宋_GB2312" w:cs="宋体"/>
          <w:snapToGrid w:val="0"/>
          <w:color w:val="auto"/>
          <w:sz w:val="32"/>
          <w:szCs w:val="32"/>
          <w:lang w:eastAsia="zh-CN"/>
        </w:rPr>
        <w:t>不得通过文化课考试、测试等方式选拔学生，不得收取学生个人简历或视频音频等个人展示材料，</w:t>
      </w:r>
      <w:r>
        <w:rPr>
          <w:rFonts w:hint="eastAsia" w:ascii="仿宋_GB2312" w:hAnsi="宋体" w:eastAsia="仿宋_GB2312" w:cs="宋体"/>
          <w:snapToGrid w:val="0"/>
          <w:color w:val="auto"/>
          <w:sz w:val="32"/>
          <w:szCs w:val="32"/>
        </w:rPr>
        <w:t>严禁以各类</w:t>
      </w:r>
      <w:r>
        <w:rPr>
          <w:rFonts w:hint="eastAsia" w:ascii="仿宋_GB2312" w:hAnsi="宋体" w:eastAsia="仿宋_GB2312" w:cs="宋体"/>
          <w:snapToGrid w:val="0"/>
          <w:color w:val="auto"/>
          <w:sz w:val="32"/>
          <w:szCs w:val="32"/>
          <w:lang w:eastAsia="zh-CN"/>
        </w:rPr>
        <w:t>荣誉、</w:t>
      </w:r>
      <w:r>
        <w:rPr>
          <w:rFonts w:hint="eastAsia" w:ascii="仿宋_GB2312" w:hAnsi="宋体" w:eastAsia="仿宋_GB2312" w:cs="宋体"/>
          <w:snapToGrid w:val="0"/>
          <w:color w:val="auto"/>
          <w:sz w:val="32"/>
          <w:szCs w:val="32"/>
        </w:rPr>
        <w:t>考试、竞赛、培训成绩或证书证明等作为招生依据；严禁以</w:t>
      </w:r>
      <w:r>
        <w:rPr>
          <w:rFonts w:hint="eastAsia" w:ascii="仿宋_GB2312" w:hAnsi="宋体" w:eastAsia="仿宋_GB2312" w:cs="宋体"/>
          <w:snapToGrid w:val="0"/>
          <w:color w:val="auto"/>
          <w:sz w:val="32"/>
          <w:szCs w:val="32"/>
          <w:lang w:eastAsia="zh-CN"/>
        </w:rPr>
        <w:t>“校园开放日”名义进行违规招生宣传或考察学生、家长；严禁</w:t>
      </w:r>
      <w:r>
        <w:rPr>
          <w:rFonts w:hint="eastAsia" w:ascii="仿宋_GB2312" w:hAnsi="宋体" w:eastAsia="仿宋_GB2312" w:cs="宋体"/>
          <w:snapToGrid w:val="0"/>
          <w:sz w:val="32"/>
          <w:szCs w:val="32"/>
          <w:lang w:eastAsia="zh-CN"/>
        </w:rPr>
        <w:t>以</w:t>
      </w:r>
      <w:r>
        <w:rPr>
          <w:rFonts w:hint="eastAsia" w:ascii="仿宋_GB2312" w:hAnsi="宋体" w:eastAsia="仿宋_GB2312" w:cs="宋体"/>
          <w:snapToGrid w:val="0"/>
          <w:sz w:val="32"/>
          <w:szCs w:val="32"/>
        </w:rPr>
        <w:t>“国际部”“国际课程班”“境外班”等名义招生；严禁社会培训机构以“国学班”“读经班”“私塾”等形式替代义务教育的非法办学行为；严禁违规无计划、超计划</w:t>
      </w:r>
      <w:r>
        <w:rPr>
          <w:rFonts w:hint="eastAsia" w:ascii="仿宋_GB2312" w:hAnsi="宋体" w:eastAsia="仿宋_GB2312" w:cs="宋体"/>
          <w:snapToGrid w:val="0"/>
          <w:sz w:val="32"/>
          <w:szCs w:val="32"/>
          <w:lang w:eastAsia="zh-CN"/>
        </w:rPr>
        <w:t>、超范围</w:t>
      </w:r>
      <w:r>
        <w:rPr>
          <w:rFonts w:hint="eastAsia" w:ascii="仿宋_GB2312" w:hAnsi="宋体" w:eastAsia="仿宋_GB2312" w:cs="宋体"/>
          <w:snapToGrid w:val="0"/>
          <w:sz w:val="32"/>
          <w:szCs w:val="32"/>
        </w:rPr>
        <w:t>组织招生，招生结束后，学校不得擅自招收已被其他学校录取的学生；严禁违规提前组织招生，变相“掐尖”选生源；严禁公办学校与民办学校混合招生、混合编班；严禁任何学校收取或变相收取与入学挂钩的“捐资助学款”；严禁各小学设立任何名义的重点班、快慢班；严禁出现人籍分离、空挂学籍、学籍造假等现象，不得为违规跨区域招收的学生和违规转学学生办理学籍转接。</w:t>
      </w:r>
    </w:p>
    <w:p w14:paraId="704AD9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snapToGrid w:val="0"/>
          <w:color w:val="auto"/>
          <w:sz w:val="32"/>
          <w:szCs w:val="32"/>
        </w:rPr>
      </w:pPr>
      <w:r>
        <w:rPr>
          <w:rFonts w:hint="eastAsia" w:hAnsi="楷体_GB2312" w:eastAsia="楷体_GB2312"/>
          <w:sz w:val="32"/>
          <w:szCs w:val="32"/>
        </w:rPr>
        <w:t>（四）</w:t>
      </w:r>
      <w:r>
        <w:rPr>
          <w:rFonts w:hint="eastAsia" w:hAnsi="楷体_GB2312" w:eastAsia="楷体_GB2312"/>
          <w:sz w:val="32"/>
          <w:szCs w:val="32"/>
          <w:lang w:eastAsia="zh-CN"/>
        </w:rPr>
        <w:t>严格招生监督问责</w:t>
      </w:r>
      <w:r>
        <w:rPr>
          <w:rFonts w:hint="eastAsia" w:hAnsi="楷体_GB2312" w:eastAsia="楷体_GB2312"/>
          <w:sz w:val="32"/>
          <w:szCs w:val="32"/>
        </w:rPr>
        <w:t>。</w:t>
      </w:r>
      <w:r>
        <w:rPr>
          <w:rFonts w:hint="eastAsia" w:ascii="仿宋_GB2312" w:hAnsi="宋体" w:eastAsia="仿宋_GB2312" w:cs="宋体"/>
          <w:snapToGrid w:val="0"/>
          <w:sz w:val="32"/>
          <w:szCs w:val="32"/>
        </w:rPr>
        <w:t>规范招生行为，加强过程管理。教育局对各小学校长、信访接待小组、督察小组成员进行培训，各校要对参与招生的教师进行培训，坚决做到不培训不上岗，并加强对全体教职工进行相关教育。</w:t>
      </w:r>
      <w:r>
        <w:rPr>
          <w:rFonts w:hint="eastAsia" w:ascii="仿宋_GB2312" w:hAnsi="宋体" w:eastAsia="仿宋_GB2312" w:cs="宋体"/>
          <w:snapToGrid w:val="0"/>
          <w:color w:val="auto"/>
          <w:sz w:val="32"/>
          <w:szCs w:val="32"/>
        </w:rPr>
        <w:t>教育局</w:t>
      </w:r>
      <w:r>
        <w:rPr>
          <w:rFonts w:hint="eastAsia" w:ascii="仿宋_GB2312" w:hAnsi="宋体" w:eastAsia="仿宋_GB2312" w:cs="宋体"/>
          <w:snapToGrid w:val="0"/>
          <w:color w:val="auto"/>
          <w:sz w:val="32"/>
          <w:szCs w:val="32"/>
          <w:lang w:eastAsia="zh-CN"/>
        </w:rPr>
        <w:t>会同纪检监察等部门对违规违纪招生入学行为</w:t>
      </w:r>
      <w:r>
        <w:rPr>
          <w:rFonts w:hint="eastAsia" w:ascii="仿宋_GB2312" w:hAnsi="宋体" w:eastAsia="仿宋_GB2312" w:cs="宋体"/>
          <w:snapToGrid w:val="0"/>
          <w:color w:val="auto"/>
          <w:sz w:val="32"/>
          <w:szCs w:val="32"/>
          <w:highlight w:val="none"/>
          <w:lang w:eastAsia="zh-CN"/>
        </w:rPr>
        <w:t>进行</w:t>
      </w:r>
      <w:r>
        <w:rPr>
          <w:rFonts w:hint="eastAsia" w:ascii="仿宋_GB2312" w:hAnsi="宋体" w:eastAsia="仿宋_GB2312" w:cs="宋体"/>
          <w:snapToGrid w:val="0"/>
          <w:color w:val="auto"/>
          <w:sz w:val="32"/>
          <w:szCs w:val="32"/>
          <w:lang w:eastAsia="zh-CN"/>
        </w:rPr>
        <w:t>查处和责任追究，</w:t>
      </w:r>
      <w:r>
        <w:rPr>
          <w:rFonts w:hint="eastAsia" w:ascii="仿宋_GB2312" w:hAnsi="宋体" w:eastAsia="仿宋_GB2312" w:cs="宋体"/>
          <w:snapToGrid w:val="0"/>
          <w:color w:val="auto"/>
          <w:sz w:val="32"/>
          <w:szCs w:val="32"/>
        </w:rPr>
        <w:t>将继续</w:t>
      </w:r>
      <w:r>
        <w:rPr>
          <w:rFonts w:hint="eastAsia" w:ascii="仿宋_GB2312" w:hAnsi="宋体" w:eastAsia="仿宋_GB2312" w:cs="宋体"/>
          <w:snapToGrid w:val="0"/>
          <w:sz w:val="32"/>
          <w:szCs w:val="32"/>
        </w:rPr>
        <w:t>选派督察员下校检查学校招生工作，严格监督招生入学有关政策和工作要求的贯彻落实，严肃查处违规违纪行为</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color w:val="auto"/>
          <w:sz w:val="32"/>
          <w:szCs w:val="32"/>
          <w:lang w:eastAsia="zh-CN"/>
        </w:rPr>
        <w:t>杜绝招生入学环节不正之风和腐败问题</w:t>
      </w:r>
      <w:r>
        <w:rPr>
          <w:rFonts w:hint="eastAsia" w:ascii="仿宋_GB2312" w:hAnsi="宋体" w:eastAsia="仿宋_GB2312" w:cs="宋体"/>
          <w:snapToGrid w:val="0"/>
          <w:color w:val="auto"/>
          <w:sz w:val="32"/>
          <w:szCs w:val="32"/>
        </w:rPr>
        <w:t>。</w:t>
      </w:r>
    </w:p>
    <w:p w14:paraId="58C6AB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snapToGrid w:val="0"/>
          <w:sz w:val="32"/>
          <w:szCs w:val="32"/>
        </w:rPr>
      </w:pPr>
      <w:r>
        <w:rPr>
          <w:rFonts w:hint="eastAsia" w:hAnsi="楷体_GB2312" w:eastAsia="楷体_GB2312"/>
          <w:sz w:val="32"/>
          <w:szCs w:val="32"/>
        </w:rPr>
        <w:t>（五）做好招生宣传服务。</w:t>
      </w:r>
      <w:r>
        <w:rPr>
          <w:rFonts w:hint="eastAsia" w:ascii="仿宋_GB2312" w:hAnsi="宋体" w:eastAsia="仿宋_GB2312" w:cs="宋体"/>
          <w:snapToGrid w:val="0"/>
          <w:color w:val="auto"/>
          <w:sz w:val="32"/>
          <w:szCs w:val="32"/>
          <w:lang w:eastAsia="zh-CN"/>
        </w:rPr>
        <w:t>广泛宣传招生入学办理手续的相关流程，做好小学招生入学线上登记报名的宣传和准备工作，做好便民服务。</w:t>
      </w:r>
      <w:r>
        <w:rPr>
          <w:rFonts w:hint="eastAsia" w:ascii="仿宋_GB2312" w:hAnsi="宋体" w:eastAsia="仿宋_GB2312" w:cs="宋体"/>
          <w:snapToGrid w:val="0"/>
          <w:sz w:val="32"/>
          <w:szCs w:val="32"/>
        </w:rPr>
        <w:t>教育局和学校要安排专人做好招生信访接待工作，健全应急机制，及时化解矛盾，妥善处理好招生过程中出现的各种情况和问题，积极为群众排忧解难。要大力宣传我区义务教育学校现代化建设成果和推进义务教育</w:t>
      </w:r>
      <w:r>
        <w:rPr>
          <w:rFonts w:hint="eastAsia" w:ascii="仿宋_GB2312" w:hAnsi="宋体" w:eastAsia="仿宋_GB2312" w:cs="宋体"/>
          <w:snapToGrid w:val="0"/>
          <w:sz w:val="32"/>
          <w:szCs w:val="32"/>
          <w:lang w:eastAsia="zh-CN"/>
        </w:rPr>
        <w:t>优质</w:t>
      </w:r>
      <w:r>
        <w:rPr>
          <w:rFonts w:hint="eastAsia" w:ascii="仿宋_GB2312" w:hAnsi="宋体" w:eastAsia="仿宋_GB2312" w:cs="宋体"/>
          <w:snapToGrid w:val="0"/>
          <w:sz w:val="32"/>
          <w:szCs w:val="32"/>
        </w:rPr>
        <w:t>均衡发展的成果；要创造和谐环境，确保温馨服务，展示学校良好风貌；要建立好安全保卫制度，确保招生期间师生的安全。</w:t>
      </w:r>
    </w:p>
    <w:p w14:paraId="110439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snapToGrid w:val="0"/>
          <w:sz w:val="32"/>
          <w:szCs w:val="32"/>
          <w:lang w:val="en-US" w:eastAsia="zh-CN"/>
        </w:rPr>
      </w:pPr>
    </w:p>
    <w:p w14:paraId="3883CF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snapToGrid w:val="0"/>
          <w:sz w:val="32"/>
          <w:szCs w:val="32"/>
          <w:lang w:val="en-US" w:eastAsia="zh-CN"/>
        </w:rPr>
      </w:pPr>
      <w:bookmarkStart w:id="0" w:name="_GoBack"/>
      <w:bookmarkEnd w:id="0"/>
    </w:p>
    <w:p w14:paraId="375A016B">
      <w:pPr>
        <w:keepNext w:val="0"/>
        <w:keepLines w:val="0"/>
        <w:pageBreakBefore w:val="0"/>
        <w:widowControl w:val="0"/>
        <w:kinsoku/>
        <w:wordWrap/>
        <w:overflowPunct/>
        <w:topLinePunct w:val="0"/>
        <w:autoSpaceDE/>
        <w:autoSpaceDN/>
        <w:bidi w:val="0"/>
        <w:adjustRightInd w:val="0"/>
        <w:snapToGrid w:val="0"/>
        <w:spacing w:line="560" w:lineRule="exact"/>
        <w:ind w:firstLine="5440" w:firstLineChars="1700"/>
        <w:jc w:val="right"/>
        <w:textAlignment w:val="auto"/>
        <w:rPr>
          <w:rFonts w:hint="eastAsia"/>
          <w:lang w:eastAsia="zh-CN"/>
        </w:rPr>
      </w:pPr>
      <w:r>
        <w:rPr>
          <w:rFonts w:hint="eastAsia" w:ascii="仿宋_GB2312" w:hAnsi="宋体" w:eastAsia="仿宋_GB2312" w:cs="宋体"/>
          <w:snapToGrid w:val="0"/>
          <w:sz w:val="32"/>
          <w:szCs w:val="32"/>
          <w:lang w:val="en-US" w:eastAsia="zh-CN"/>
        </w:rPr>
        <w:t>2025年4月21日</w:t>
      </w:r>
    </w:p>
    <w:p w14:paraId="2DDAD064">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（此件主动公开）</w:t>
      </w:r>
    </w:p>
    <w:p w14:paraId="2065E271"/>
    <w:p w14:paraId="640E78D3">
      <w:pPr>
        <w:pStyle w:val="2"/>
      </w:pPr>
    </w:p>
    <w:p w14:paraId="0EC332F4">
      <w:pPr>
        <w:pStyle w:val="2"/>
        <w:ind w:left="0" w:leftChars="0" w:firstLine="0" w:firstLineChars="0"/>
      </w:pPr>
    </w:p>
    <w:p w14:paraId="1443ADA1">
      <w:pPr>
        <w:pBdr>
          <w:top w:val="single" w:color="auto" w:sz="12" w:space="1"/>
          <w:bottom w:val="single" w:color="auto" w:sz="12" w:space="1"/>
        </w:pBdr>
        <w:spacing w:line="460" w:lineRule="exact"/>
        <w:rPr>
          <w:rFonts w:hint="default" w:ascii="仿宋_GB2312" w:hAnsi="宋体" w:eastAsia="仿宋_GB2312" w:cs="宋体"/>
          <w:snapToGrid w:val="0"/>
          <w:sz w:val="32"/>
          <w:szCs w:val="32"/>
          <w:lang w:val="en-US" w:eastAsia="zh-CN"/>
        </w:rPr>
      </w:pPr>
      <w:r>
        <w:rPr>
          <w:rFonts w:hint="eastAsia" w:ascii="仿宋_GB2312" w:eastAsia="仿宋_GB2312" w:cs="仿宋_GB2312"/>
          <w:sz w:val="28"/>
          <w:szCs w:val="28"/>
        </w:rPr>
        <w:t>天津市和平区教育局办公室</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20</w:t>
      </w:r>
      <w:r>
        <w:rPr>
          <w:rFonts w:hint="eastAsia" w:ascii="仿宋_GB2312" w:eastAsia="仿宋_GB2312" w:cs="仿宋_GB2312"/>
          <w:sz w:val="28"/>
          <w:szCs w:val="28"/>
        </w:rPr>
        <w:t>2</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4</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21</w:t>
      </w:r>
      <w:r>
        <w:rPr>
          <w:rFonts w:hint="eastAsia" w:ascii="仿宋_GB2312" w:eastAsia="仿宋_GB2312" w:cs="仿宋_GB2312"/>
          <w:sz w:val="28"/>
          <w:szCs w:val="28"/>
        </w:rPr>
        <w:t>日印发</w:t>
      </w:r>
    </w:p>
    <w:sectPr>
      <w:headerReference r:id="rId3" w:type="default"/>
      <w:footerReference r:id="rId5" w:type="default"/>
      <w:headerReference r:id="rId4" w:type="even"/>
      <w:footerReference r:id="rId6" w:type="even"/>
      <w:pgSz w:w="11906" w:h="16838"/>
      <w:pgMar w:top="2098" w:right="1474" w:bottom="1984"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auto"/>
    <w:pitch w:val="default"/>
    <w:sig w:usb0="00000000" w:usb1="00000000" w:usb2="00000012" w:usb3="00000000" w:csb0="00040001" w:csb1="00000000"/>
  </w:font>
  <w:font w:name="方正隶书_GBK">
    <w:altName w:val="宋体"/>
    <w:panose1 w:val="02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2C072">
    <w:pPr>
      <w:pStyle w:val="9"/>
      <w:ind w:right="360" w:firstLine="7495" w:firstLineChars="2677"/>
    </w:pPr>
    <w:r>
      <w:rPr>
        <w:rFonts w:hint="eastAsia"/>
        <w:sz w:val="28"/>
      </w:rPr>
      <w:t>—</w:t>
    </w:r>
    <w:r>
      <w:rPr>
        <w:sz w:val="28"/>
      </w:rPr>
      <w:t xml:space="preserve"> </w:t>
    </w:r>
    <w:r>
      <w:rPr>
        <w:rStyle w:val="15"/>
        <w:sz w:val="28"/>
      </w:rPr>
      <w:fldChar w:fldCharType="begin"/>
    </w:r>
    <w:r>
      <w:rPr>
        <w:rStyle w:val="15"/>
        <w:sz w:val="28"/>
      </w:rPr>
      <w:instrText xml:space="preserve"> PAGE </w:instrText>
    </w:r>
    <w:r>
      <w:rPr>
        <w:rStyle w:val="15"/>
        <w:sz w:val="28"/>
      </w:rPr>
      <w:fldChar w:fldCharType="separate"/>
    </w:r>
    <w:r>
      <w:rPr>
        <w:rStyle w:val="15"/>
        <w:sz w:val="28"/>
      </w:rPr>
      <w:t>3</w:t>
    </w:r>
    <w:r>
      <w:rPr>
        <w:rStyle w:val="15"/>
        <w:sz w:val="28"/>
      </w:rPr>
      <w:fldChar w:fldCharType="end"/>
    </w:r>
    <w:r>
      <w:rPr>
        <w:sz w:val="28"/>
      </w:rPr>
      <w:t xml:space="preserve"> </w:t>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E6004">
    <w:pPr>
      <w:pStyle w:val="9"/>
      <w:framePr w:wrap="around" w:vAnchor="text" w:hAnchor="margin" w:xAlign="outside" w:y="1"/>
      <w:rPr>
        <w:rStyle w:val="15"/>
        <w:sz w:val="28"/>
      </w:rPr>
    </w:pPr>
    <w:r>
      <w:rPr>
        <w:rStyle w:val="15"/>
        <w:rFonts w:hint="eastAsia"/>
        <w:sz w:val="28"/>
      </w:rPr>
      <w:t xml:space="preserve">  —</w:t>
    </w:r>
    <w:r>
      <w:rPr>
        <w:rStyle w:val="15"/>
        <w:sz w:val="28"/>
      </w:rPr>
      <w:t xml:space="preserve"> </w:t>
    </w:r>
    <w:r>
      <w:rPr>
        <w:rStyle w:val="15"/>
        <w:sz w:val="28"/>
      </w:rPr>
      <w:fldChar w:fldCharType="begin"/>
    </w:r>
    <w:r>
      <w:rPr>
        <w:rStyle w:val="15"/>
        <w:sz w:val="28"/>
      </w:rPr>
      <w:instrText xml:space="preserve">PAGE  </w:instrText>
    </w:r>
    <w:r>
      <w:rPr>
        <w:rStyle w:val="15"/>
        <w:sz w:val="28"/>
      </w:rPr>
      <w:fldChar w:fldCharType="separate"/>
    </w:r>
    <w:r>
      <w:rPr>
        <w:rStyle w:val="15"/>
        <w:sz w:val="28"/>
      </w:rPr>
      <w:t>4</w:t>
    </w:r>
    <w:r>
      <w:rPr>
        <w:rStyle w:val="15"/>
        <w:sz w:val="28"/>
      </w:rPr>
      <w:fldChar w:fldCharType="end"/>
    </w:r>
    <w:r>
      <w:rPr>
        <w:rStyle w:val="15"/>
        <w:sz w:val="28"/>
      </w:rPr>
      <w:t xml:space="preserve"> </w:t>
    </w:r>
    <w:r>
      <w:rPr>
        <w:rStyle w:val="15"/>
        <w:rFonts w:hint="eastAsia"/>
        <w:sz w:val="28"/>
      </w:rPr>
      <w:t>—</w:t>
    </w:r>
  </w:p>
  <w:p w14:paraId="1194F7C2">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87CD6">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4D7B">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1"/>
  <w:embedSystemFonts/>
  <w:bordersDoNotSurroundHeader w:val="0"/>
  <w:bordersDoNotSurroundFooter w:val="0"/>
  <w:doNotTrackMoves/>
  <w:documentProtection w:enforcement="0"/>
  <w:defaultTabStop w:val="425"/>
  <w:evenAndOddHeaders w:val="1"/>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eldCopyNum" w:val="0000001"/>
    <w:docVar w:name="fieldSecreteDeg" w:val="绝密"/>
    <w:docVar w:name="fieldSecreteLen" w:val="★一年"/>
    <w:docVar w:name="fieldUrgencyDeg" w:val="特  急"/>
  </w:docVars>
  <w:rsids>
    <w:rsidRoot w:val="0059619D"/>
    <w:rsid w:val="000066F7"/>
    <w:rsid w:val="00007E63"/>
    <w:rsid w:val="00013533"/>
    <w:rsid w:val="00015F47"/>
    <w:rsid w:val="0003600C"/>
    <w:rsid w:val="00036611"/>
    <w:rsid w:val="00036F04"/>
    <w:rsid w:val="00040B75"/>
    <w:rsid w:val="000476CB"/>
    <w:rsid w:val="0005036E"/>
    <w:rsid w:val="000520AD"/>
    <w:rsid w:val="00077396"/>
    <w:rsid w:val="00080C17"/>
    <w:rsid w:val="00082D2D"/>
    <w:rsid w:val="0009130B"/>
    <w:rsid w:val="000A2040"/>
    <w:rsid w:val="000A29C1"/>
    <w:rsid w:val="000A30F0"/>
    <w:rsid w:val="000B02C5"/>
    <w:rsid w:val="000B76E2"/>
    <w:rsid w:val="000C411F"/>
    <w:rsid w:val="000D1853"/>
    <w:rsid w:val="000E04E4"/>
    <w:rsid w:val="000E08E0"/>
    <w:rsid w:val="0011094B"/>
    <w:rsid w:val="00114FCB"/>
    <w:rsid w:val="001431CA"/>
    <w:rsid w:val="00144274"/>
    <w:rsid w:val="00184DDD"/>
    <w:rsid w:val="00190FE7"/>
    <w:rsid w:val="001A3AA8"/>
    <w:rsid w:val="001A6F09"/>
    <w:rsid w:val="001B0021"/>
    <w:rsid w:val="001B5170"/>
    <w:rsid w:val="001C355A"/>
    <w:rsid w:val="001C4286"/>
    <w:rsid w:val="001E18C0"/>
    <w:rsid w:val="001E2888"/>
    <w:rsid w:val="001E7CB7"/>
    <w:rsid w:val="001F3C27"/>
    <w:rsid w:val="001F4933"/>
    <w:rsid w:val="001F72D6"/>
    <w:rsid w:val="00224BE6"/>
    <w:rsid w:val="00243034"/>
    <w:rsid w:val="0024791C"/>
    <w:rsid w:val="00257B09"/>
    <w:rsid w:val="002603F7"/>
    <w:rsid w:val="00292E23"/>
    <w:rsid w:val="002E67DF"/>
    <w:rsid w:val="002E682F"/>
    <w:rsid w:val="00307426"/>
    <w:rsid w:val="00316374"/>
    <w:rsid w:val="00317488"/>
    <w:rsid w:val="00323200"/>
    <w:rsid w:val="00337BA7"/>
    <w:rsid w:val="00361BCB"/>
    <w:rsid w:val="00365046"/>
    <w:rsid w:val="00370D4E"/>
    <w:rsid w:val="00371F2E"/>
    <w:rsid w:val="00375452"/>
    <w:rsid w:val="00375783"/>
    <w:rsid w:val="00377E6C"/>
    <w:rsid w:val="003B6683"/>
    <w:rsid w:val="003B74B5"/>
    <w:rsid w:val="003D0014"/>
    <w:rsid w:val="003D793D"/>
    <w:rsid w:val="003D7C11"/>
    <w:rsid w:val="003F3FB5"/>
    <w:rsid w:val="003F638B"/>
    <w:rsid w:val="004005AC"/>
    <w:rsid w:val="0041168F"/>
    <w:rsid w:val="00413762"/>
    <w:rsid w:val="004302BD"/>
    <w:rsid w:val="00451F85"/>
    <w:rsid w:val="0045677C"/>
    <w:rsid w:val="00483C8E"/>
    <w:rsid w:val="004859F3"/>
    <w:rsid w:val="00497133"/>
    <w:rsid w:val="004C2D8B"/>
    <w:rsid w:val="004C39CA"/>
    <w:rsid w:val="004D3112"/>
    <w:rsid w:val="004E01F4"/>
    <w:rsid w:val="005047FE"/>
    <w:rsid w:val="00526D45"/>
    <w:rsid w:val="00535664"/>
    <w:rsid w:val="0056098B"/>
    <w:rsid w:val="00567BA9"/>
    <w:rsid w:val="00577D71"/>
    <w:rsid w:val="0059619D"/>
    <w:rsid w:val="005A111D"/>
    <w:rsid w:val="005A477C"/>
    <w:rsid w:val="005C2EE0"/>
    <w:rsid w:val="005D2081"/>
    <w:rsid w:val="005E2441"/>
    <w:rsid w:val="005F1789"/>
    <w:rsid w:val="005F3B5F"/>
    <w:rsid w:val="005F3B9B"/>
    <w:rsid w:val="00611522"/>
    <w:rsid w:val="006673DE"/>
    <w:rsid w:val="00686D03"/>
    <w:rsid w:val="006922A5"/>
    <w:rsid w:val="00692F13"/>
    <w:rsid w:val="006975AE"/>
    <w:rsid w:val="006A1157"/>
    <w:rsid w:val="006A210B"/>
    <w:rsid w:val="006C2B47"/>
    <w:rsid w:val="006C6885"/>
    <w:rsid w:val="006E7DF4"/>
    <w:rsid w:val="006F2615"/>
    <w:rsid w:val="006F4FF9"/>
    <w:rsid w:val="006F7DB6"/>
    <w:rsid w:val="00714716"/>
    <w:rsid w:val="00721AD1"/>
    <w:rsid w:val="00724FAD"/>
    <w:rsid w:val="00727E1A"/>
    <w:rsid w:val="00741A18"/>
    <w:rsid w:val="00744616"/>
    <w:rsid w:val="007B0546"/>
    <w:rsid w:val="007C48A9"/>
    <w:rsid w:val="007F236F"/>
    <w:rsid w:val="007F65D5"/>
    <w:rsid w:val="00806C7C"/>
    <w:rsid w:val="0082797E"/>
    <w:rsid w:val="00851AAD"/>
    <w:rsid w:val="00873FCD"/>
    <w:rsid w:val="00885542"/>
    <w:rsid w:val="008972E3"/>
    <w:rsid w:val="008A1B86"/>
    <w:rsid w:val="008C5E7B"/>
    <w:rsid w:val="008D0F22"/>
    <w:rsid w:val="008D7613"/>
    <w:rsid w:val="008F6FED"/>
    <w:rsid w:val="009064A1"/>
    <w:rsid w:val="00910ADB"/>
    <w:rsid w:val="00916E45"/>
    <w:rsid w:val="00933077"/>
    <w:rsid w:val="00943F05"/>
    <w:rsid w:val="009451D0"/>
    <w:rsid w:val="009660E1"/>
    <w:rsid w:val="00984176"/>
    <w:rsid w:val="00984420"/>
    <w:rsid w:val="00993E8B"/>
    <w:rsid w:val="009B073A"/>
    <w:rsid w:val="009B239E"/>
    <w:rsid w:val="009B2F77"/>
    <w:rsid w:val="009B42F8"/>
    <w:rsid w:val="009B5C9B"/>
    <w:rsid w:val="009C1248"/>
    <w:rsid w:val="009E26AC"/>
    <w:rsid w:val="00A112F9"/>
    <w:rsid w:val="00A121D9"/>
    <w:rsid w:val="00A12AD4"/>
    <w:rsid w:val="00A54881"/>
    <w:rsid w:val="00A607A8"/>
    <w:rsid w:val="00A62389"/>
    <w:rsid w:val="00A95E63"/>
    <w:rsid w:val="00AA1BBC"/>
    <w:rsid w:val="00AA346A"/>
    <w:rsid w:val="00AB002C"/>
    <w:rsid w:val="00AC3141"/>
    <w:rsid w:val="00AC5724"/>
    <w:rsid w:val="00AE3625"/>
    <w:rsid w:val="00AE3B30"/>
    <w:rsid w:val="00AF1CB4"/>
    <w:rsid w:val="00AF2DBC"/>
    <w:rsid w:val="00B06A0C"/>
    <w:rsid w:val="00B07677"/>
    <w:rsid w:val="00B144D3"/>
    <w:rsid w:val="00B16522"/>
    <w:rsid w:val="00B20446"/>
    <w:rsid w:val="00B26AC6"/>
    <w:rsid w:val="00B27D87"/>
    <w:rsid w:val="00B6273B"/>
    <w:rsid w:val="00B6275D"/>
    <w:rsid w:val="00B742A7"/>
    <w:rsid w:val="00B747B8"/>
    <w:rsid w:val="00B87AB9"/>
    <w:rsid w:val="00B87CE5"/>
    <w:rsid w:val="00B93103"/>
    <w:rsid w:val="00B93F55"/>
    <w:rsid w:val="00B96BAD"/>
    <w:rsid w:val="00BB5203"/>
    <w:rsid w:val="00BB7F26"/>
    <w:rsid w:val="00BC57C7"/>
    <w:rsid w:val="00BD2EAE"/>
    <w:rsid w:val="00BE0176"/>
    <w:rsid w:val="00BF2F29"/>
    <w:rsid w:val="00C00978"/>
    <w:rsid w:val="00C169E5"/>
    <w:rsid w:val="00C207DB"/>
    <w:rsid w:val="00C24482"/>
    <w:rsid w:val="00C2488E"/>
    <w:rsid w:val="00C2725C"/>
    <w:rsid w:val="00C3455E"/>
    <w:rsid w:val="00C4363F"/>
    <w:rsid w:val="00C53F67"/>
    <w:rsid w:val="00C87AA0"/>
    <w:rsid w:val="00CA082A"/>
    <w:rsid w:val="00CC79C2"/>
    <w:rsid w:val="00CD59D6"/>
    <w:rsid w:val="00CE076C"/>
    <w:rsid w:val="00CE70FD"/>
    <w:rsid w:val="00D0181E"/>
    <w:rsid w:val="00D04D52"/>
    <w:rsid w:val="00D06C6F"/>
    <w:rsid w:val="00D14D20"/>
    <w:rsid w:val="00D220DB"/>
    <w:rsid w:val="00D637EB"/>
    <w:rsid w:val="00D71E26"/>
    <w:rsid w:val="00D7608C"/>
    <w:rsid w:val="00D82D07"/>
    <w:rsid w:val="00D84EB3"/>
    <w:rsid w:val="00E10707"/>
    <w:rsid w:val="00E13A32"/>
    <w:rsid w:val="00E23589"/>
    <w:rsid w:val="00E3659E"/>
    <w:rsid w:val="00E4666A"/>
    <w:rsid w:val="00E46748"/>
    <w:rsid w:val="00E52DB1"/>
    <w:rsid w:val="00E54D68"/>
    <w:rsid w:val="00E602FA"/>
    <w:rsid w:val="00E66659"/>
    <w:rsid w:val="00E71585"/>
    <w:rsid w:val="00E71A07"/>
    <w:rsid w:val="00E770DA"/>
    <w:rsid w:val="00E77825"/>
    <w:rsid w:val="00EB1038"/>
    <w:rsid w:val="00ED1607"/>
    <w:rsid w:val="00ED3AC3"/>
    <w:rsid w:val="00ED7A15"/>
    <w:rsid w:val="00EE036C"/>
    <w:rsid w:val="00EE0833"/>
    <w:rsid w:val="00F01596"/>
    <w:rsid w:val="00F320DB"/>
    <w:rsid w:val="00F42334"/>
    <w:rsid w:val="00F42F68"/>
    <w:rsid w:val="00F77FE4"/>
    <w:rsid w:val="00F861CB"/>
    <w:rsid w:val="00F87581"/>
    <w:rsid w:val="00F93451"/>
    <w:rsid w:val="00F97235"/>
    <w:rsid w:val="00FA0515"/>
    <w:rsid w:val="00FA4142"/>
    <w:rsid w:val="00FA44DE"/>
    <w:rsid w:val="00FB22BA"/>
    <w:rsid w:val="00FE6AD9"/>
    <w:rsid w:val="00FF560E"/>
    <w:rsid w:val="0FFF1C69"/>
    <w:rsid w:val="1A9000D1"/>
    <w:rsid w:val="1FAF152B"/>
    <w:rsid w:val="22F905A1"/>
    <w:rsid w:val="24833D88"/>
    <w:rsid w:val="265B1F4E"/>
    <w:rsid w:val="26D0702D"/>
    <w:rsid w:val="2BC77C40"/>
    <w:rsid w:val="2F57C0B8"/>
    <w:rsid w:val="306A4A3D"/>
    <w:rsid w:val="39FB911D"/>
    <w:rsid w:val="3A2F1BFF"/>
    <w:rsid w:val="3BFFEAD0"/>
    <w:rsid w:val="3D1C2B50"/>
    <w:rsid w:val="43AF4351"/>
    <w:rsid w:val="4DBA0F2F"/>
    <w:rsid w:val="567E774D"/>
    <w:rsid w:val="56FB1423"/>
    <w:rsid w:val="5D17B1E9"/>
    <w:rsid w:val="5FBFD458"/>
    <w:rsid w:val="5FFF8056"/>
    <w:rsid w:val="614E778B"/>
    <w:rsid w:val="64F770D6"/>
    <w:rsid w:val="659C307A"/>
    <w:rsid w:val="676F2BE1"/>
    <w:rsid w:val="6BC71FDA"/>
    <w:rsid w:val="6BF2FB50"/>
    <w:rsid w:val="6E6D00A1"/>
    <w:rsid w:val="6F583D38"/>
    <w:rsid w:val="6FBF6FCF"/>
    <w:rsid w:val="6FDFCAFD"/>
    <w:rsid w:val="75C1BB8A"/>
    <w:rsid w:val="777F4180"/>
    <w:rsid w:val="77FF696A"/>
    <w:rsid w:val="7876787D"/>
    <w:rsid w:val="7B407316"/>
    <w:rsid w:val="7B5A0360"/>
    <w:rsid w:val="7BA9B610"/>
    <w:rsid w:val="7BE7D8E0"/>
    <w:rsid w:val="7CF91631"/>
    <w:rsid w:val="7D37E605"/>
    <w:rsid w:val="7D68019C"/>
    <w:rsid w:val="7DBBBD9E"/>
    <w:rsid w:val="7DF596A0"/>
    <w:rsid w:val="7EEF6E4D"/>
    <w:rsid w:val="7EF38731"/>
    <w:rsid w:val="7FACBBE6"/>
    <w:rsid w:val="8F7D7CB6"/>
    <w:rsid w:val="9B7DF080"/>
    <w:rsid w:val="9FED8964"/>
    <w:rsid w:val="B3FF1C4C"/>
    <w:rsid w:val="BF7D068A"/>
    <w:rsid w:val="BFFBC0E2"/>
    <w:rsid w:val="CDFF054E"/>
    <w:rsid w:val="D5F65E5F"/>
    <w:rsid w:val="DCDF16D1"/>
    <w:rsid w:val="DFFF92F8"/>
    <w:rsid w:val="E65FCA11"/>
    <w:rsid w:val="E7F7C436"/>
    <w:rsid w:val="EBAD9DA1"/>
    <w:rsid w:val="F3FD26FC"/>
    <w:rsid w:val="F4FF3386"/>
    <w:rsid w:val="F54B69F6"/>
    <w:rsid w:val="F5FFA525"/>
    <w:rsid w:val="F7F75574"/>
    <w:rsid w:val="F9FF253F"/>
    <w:rsid w:val="FE525CDC"/>
    <w:rsid w:val="FE9BFA2D"/>
    <w:rsid w:val="FE9F5B2F"/>
    <w:rsid w:val="FEE3437C"/>
    <w:rsid w:val="FEF787D5"/>
    <w:rsid w:val="FEFF3F3B"/>
    <w:rsid w:val="FF3FD748"/>
    <w:rsid w:val="FFF36586"/>
    <w:rsid w:val="FFFF632E"/>
    <w:rsid w:val="FFFFF5C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4">
    <w:name w:val="caption"/>
    <w:basedOn w:val="1"/>
    <w:next w:val="1"/>
    <w:qFormat/>
    <w:uiPriority w:val="0"/>
    <w:pPr>
      <w:spacing w:before="152" w:after="160"/>
    </w:pPr>
    <w:rPr>
      <w:rFonts w:ascii="Arial" w:hAnsi="Arial" w:eastAsia="黑体"/>
    </w:rPr>
  </w:style>
  <w:style w:type="paragraph" w:styleId="5">
    <w:name w:val="Body Text"/>
    <w:basedOn w:val="1"/>
    <w:next w:val="1"/>
    <w:qFormat/>
    <w:uiPriority w:val="99"/>
    <w:pPr>
      <w:jc w:val="center"/>
    </w:pPr>
    <w:rPr>
      <w:rFonts w:eastAsia="仿宋_GB2312"/>
      <w:sz w:val="32"/>
      <w:szCs w:val="32"/>
    </w:rPr>
  </w:style>
  <w:style w:type="paragraph" w:styleId="6">
    <w:name w:val="Body Text Indent"/>
    <w:basedOn w:val="1"/>
    <w:qFormat/>
    <w:uiPriority w:val="0"/>
    <w:pPr>
      <w:ind w:firstLine="630"/>
    </w:pPr>
    <w:rPr>
      <w:rFonts w:ascii="仿宋_GB2312" w:eastAsia="仿宋_GB2312"/>
      <w:sz w:val="32"/>
    </w:rPr>
  </w:style>
  <w:style w:type="paragraph" w:styleId="7">
    <w:name w:val="Date"/>
    <w:basedOn w:val="1"/>
    <w:next w:val="1"/>
    <w:qFormat/>
    <w:uiPriority w:val="0"/>
    <w:rPr>
      <w:rFonts w:ascii="仿宋_GB2312" w:eastAsia="仿宋_GB2312"/>
      <w:sz w:val="32"/>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styleId="14">
    <w:name w:val="Strong"/>
    <w:basedOn w:val="13"/>
    <w:qFormat/>
    <w:uiPriority w:val="22"/>
  </w:style>
  <w:style w:type="character" w:styleId="15">
    <w:name w:val="page number"/>
    <w:basedOn w:val="13"/>
    <w:qFormat/>
    <w:uiPriority w:val="0"/>
  </w:style>
  <w:style w:type="character" w:styleId="16">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个人电脑</Company>
  <Pages>6</Pages>
  <Words>2924</Words>
  <Characters>2982</Characters>
  <Lines>29</Lines>
  <Paragraphs>8</Paragraphs>
  <TotalTime>6</TotalTime>
  <ScaleCrop>false</ScaleCrop>
  <LinksUpToDate>false</LinksUpToDate>
  <CharactersWithSpaces>3007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2020-04-04T18:12:00Z</dcterms:created>
  <dc:creator>领导培训</dc:creator>
  <cp:lastModifiedBy>艳艳</cp:lastModifiedBy>
  <cp:lastPrinted>2017-07-11T16:26:00Z</cp:lastPrinted>
  <dcterms:modified xsi:type="dcterms:W3CDTF">2025-04-21T01:25:24Z</dcterms:modified>
  <dc:title>0000001</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A9081107516A49B5B17E6D0121002E4A_13</vt:lpwstr>
  </property>
  <property fmtid="{D5CDD505-2E9C-101B-9397-08002B2CF9AE}" pid="4" name="KSOTemplateDocerSaveRecord">
    <vt:lpwstr>eyJoZGlkIjoiYTA0NjZlNTBkNGM5NWIyMTM0YmI5MDBkNTVhNjFlZGQiLCJ1c2VySWQiOiI1NTUzMzE4MDkifQ==</vt:lpwstr>
  </property>
</Properties>
</file>