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宋体" w:hAnsi="宋体" w:cs="宋体"/>
          <w:b/>
          <w:bCs/>
          <w:kern w:val="0"/>
          <w:sz w:val="44"/>
          <w:szCs w:val="44"/>
        </w:rPr>
      </w:pPr>
      <w:r>
        <w:rPr>
          <w:rFonts w:hint="eastAsia" w:ascii="宋体" w:hAnsi="宋体" w:cs="宋体"/>
          <w:b/>
          <w:bCs/>
          <w:kern w:val="0"/>
          <w:sz w:val="44"/>
          <w:szCs w:val="44"/>
          <w:lang w:eastAsia="zh-CN"/>
        </w:rPr>
        <w:t>区城市管理委</w:t>
      </w:r>
      <w:r>
        <w:rPr>
          <w:rFonts w:hint="eastAsia" w:ascii="宋体" w:hAnsi="宋体" w:cs="宋体"/>
          <w:b/>
          <w:bCs/>
          <w:kern w:val="0"/>
          <w:sz w:val="44"/>
          <w:szCs w:val="44"/>
        </w:rPr>
        <w:t>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center"/>
        <w:textAlignment w:val="auto"/>
        <w:rPr>
          <w:rFonts w:hint="eastAsia" w:ascii="宋体" w:hAnsi="宋体" w:cs="宋体"/>
          <w:kern w:val="0"/>
          <w:sz w:val="32"/>
          <w:szCs w:val="32"/>
          <w:lang w:eastAsia="zh-CN"/>
        </w:rPr>
      </w:pPr>
      <w:r>
        <w:rPr>
          <w:rFonts w:hint="eastAsia" w:ascii="宋体" w:hAnsi="宋体" w:cs="宋体"/>
          <w:kern w:val="0"/>
          <w:sz w:val="32"/>
          <w:szCs w:val="32"/>
          <w:lang w:eastAsia="zh-CN"/>
        </w:rPr>
        <w:t>（</w:t>
      </w:r>
      <w:r>
        <w:rPr>
          <w:rFonts w:hint="eastAsia" w:ascii="宋体" w:hAnsi="宋体" w:cs="宋体"/>
          <w:kern w:val="0"/>
          <w:sz w:val="32"/>
          <w:szCs w:val="32"/>
          <w:lang w:val="en-US" w:eastAsia="zh-CN"/>
        </w:rPr>
        <w:t>2023年度</w:t>
      </w:r>
      <w:r>
        <w:rPr>
          <w:rFonts w:hint="eastAsia" w:ascii="宋体" w:hAnsi="宋体" w:cs="宋体"/>
          <w:kern w:val="0"/>
          <w:sz w:val="32"/>
          <w:szCs w:val="32"/>
          <w:lang w:eastAsia="zh-CN"/>
        </w:rPr>
        <w:t>）</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color w:val="333333"/>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color w:val="333333"/>
          <w:sz w:val="32"/>
          <w:szCs w:val="32"/>
        </w:rPr>
      </w:pPr>
      <w:r>
        <w:rPr>
          <w:rFonts w:hint="eastAsia" w:ascii="黑体" w:hAnsi="黑体" w:eastAsia="黑体" w:cs="黑体"/>
          <w:b/>
          <w:bCs/>
          <w:color w:val="333333"/>
          <w:sz w:val="32"/>
          <w:szCs w:val="32"/>
          <w:shd w:val="clear" w:color="auto" w:fill="FFFFFF"/>
        </w:rPr>
        <w:t>一、总体情况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rPr>
        <w:t>202</w:t>
      </w:r>
      <w:r>
        <w:rPr>
          <w:rFonts w:hint="eastAsia" w:ascii="仿宋_GB2312" w:hAnsi="仿宋_GB2312" w:eastAsia="仿宋_GB2312" w:cs="仿宋_GB2312"/>
          <w:b w:val="0"/>
          <w:bCs w:val="0"/>
          <w:color w:val="333333"/>
          <w:sz w:val="32"/>
          <w:szCs w:val="32"/>
          <w:shd w:val="clear" w:color="auto" w:fill="FFFFFF"/>
          <w:lang w:val="en-US" w:eastAsia="zh-CN"/>
        </w:rPr>
        <w:t>3年</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区城管委</w:t>
      </w:r>
      <w:r>
        <w:rPr>
          <w:rFonts w:hint="eastAsia" w:ascii="仿宋_GB2312" w:hAnsi="仿宋_GB2312" w:eastAsia="仿宋_GB2312" w:cs="仿宋_GB2312"/>
          <w:b w:val="0"/>
          <w:bCs w:val="0"/>
          <w:color w:val="333333"/>
          <w:sz w:val="32"/>
          <w:szCs w:val="32"/>
          <w:shd w:val="clear" w:color="auto" w:fill="FFFFFF"/>
        </w:rPr>
        <w:t>认真贯彻落实《中华人民共和国政府信息公开条例》</w:t>
      </w:r>
      <w:r>
        <w:rPr>
          <w:rFonts w:hint="eastAsia" w:ascii="仿宋_GB2312" w:hAnsi="仿宋_GB2312" w:eastAsia="仿宋_GB2312" w:cs="仿宋_GB2312"/>
          <w:b w:val="0"/>
          <w:bCs w:val="0"/>
          <w:color w:val="333333"/>
          <w:sz w:val="32"/>
          <w:szCs w:val="32"/>
          <w:shd w:val="clear" w:color="auto" w:fill="FFFFFF"/>
          <w:lang w:val="en-US" w:eastAsia="zh-CN"/>
        </w:rPr>
        <w:t>的各项要求</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扎实推进政府信息公开工作，提升主动公开信息质量，加大</w:t>
      </w:r>
      <w:r>
        <w:rPr>
          <w:rFonts w:hint="eastAsia" w:ascii="仿宋_GB2312" w:hAnsi="仿宋_GB2312" w:eastAsia="仿宋_GB2312" w:cs="仿宋_GB2312"/>
          <w:b w:val="0"/>
          <w:bCs w:val="0"/>
          <w:color w:val="333333"/>
          <w:sz w:val="32"/>
          <w:szCs w:val="32"/>
          <w:shd w:val="clear" w:color="auto" w:fill="FFFFFF"/>
        </w:rPr>
        <w:t>重点领域信息公开</w:t>
      </w:r>
      <w:r>
        <w:rPr>
          <w:rFonts w:hint="eastAsia" w:ascii="仿宋_GB2312" w:hAnsi="仿宋_GB2312" w:eastAsia="仿宋_GB2312" w:cs="仿宋_GB2312"/>
          <w:b w:val="0"/>
          <w:bCs w:val="0"/>
          <w:color w:val="333333"/>
          <w:sz w:val="32"/>
          <w:szCs w:val="32"/>
          <w:shd w:val="clear" w:color="auto" w:fill="FFFFFF"/>
          <w:lang w:val="en-US" w:eastAsia="zh-CN"/>
        </w:rPr>
        <w:t>力度</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加强政府信息公开平台建设，增强群众公开体验和获得感</w:t>
      </w:r>
      <w:r>
        <w:rPr>
          <w:rFonts w:hint="eastAsia" w:ascii="仿宋_GB2312" w:hAnsi="仿宋_GB2312" w:eastAsia="仿宋_GB2312" w:cs="仿宋_GB2312"/>
          <w:b w:val="0"/>
          <w:bCs w:val="0"/>
          <w:color w:val="333333"/>
          <w:sz w:val="32"/>
          <w:szCs w:val="32"/>
          <w:shd w:val="clear" w:color="auto" w:fill="FFFFFF"/>
        </w:rPr>
        <w:t>，政务公开工作的质量和效果得到全面提升</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lang w:val="en-US" w:eastAsia="zh-CN"/>
        </w:rPr>
        <w:t>总体情况如下：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(一)主动公开情况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lang w:val="en-US" w:eastAsia="zh-CN"/>
        </w:rPr>
        <w:t>强化</w:t>
      </w:r>
      <w:r>
        <w:rPr>
          <w:rFonts w:hint="eastAsia" w:ascii="仿宋_GB2312" w:hAnsi="仿宋_GB2312" w:eastAsia="仿宋_GB2312" w:cs="仿宋_GB2312"/>
          <w:b w:val="0"/>
          <w:bCs w:val="0"/>
          <w:color w:val="333333"/>
          <w:sz w:val="32"/>
          <w:szCs w:val="32"/>
          <w:shd w:val="clear" w:color="auto" w:fill="FFFFFF"/>
        </w:rPr>
        <w:t>总体安排部署，</w:t>
      </w:r>
      <w:r>
        <w:rPr>
          <w:rFonts w:hint="eastAsia" w:ascii="仿宋_GB2312" w:hAnsi="仿宋_GB2312" w:eastAsia="仿宋_GB2312" w:cs="仿宋_GB2312"/>
          <w:b w:val="0"/>
          <w:bCs w:val="0"/>
          <w:color w:val="333333"/>
          <w:sz w:val="32"/>
          <w:szCs w:val="32"/>
          <w:shd w:val="clear" w:color="auto" w:fill="FFFFFF"/>
          <w:lang w:val="en-US" w:eastAsia="zh-CN"/>
        </w:rPr>
        <w:t>统筹信息公开工作</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本年度按照区委、区政府政务公开工作要求，</w:t>
      </w:r>
      <w:r>
        <w:rPr>
          <w:rFonts w:hint="eastAsia" w:ascii="仿宋_GB2312" w:hAnsi="仿宋_GB2312" w:eastAsia="仿宋_GB2312" w:cs="仿宋_GB2312"/>
          <w:b w:val="0"/>
          <w:bCs w:val="0"/>
          <w:color w:val="333333"/>
          <w:sz w:val="32"/>
          <w:szCs w:val="32"/>
          <w:shd w:val="clear" w:color="auto" w:fill="FFFFFF"/>
        </w:rPr>
        <w:t>及时更新修订信息公开指南，</w:t>
      </w:r>
      <w:r>
        <w:rPr>
          <w:rFonts w:hint="eastAsia" w:ascii="仿宋_GB2312" w:hAnsi="仿宋_GB2312" w:eastAsia="仿宋_GB2312" w:cs="仿宋_GB2312"/>
          <w:b w:val="0"/>
          <w:bCs w:val="0"/>
          <w:color w:val="333333"/>
          <w:sz w:val="32"/>
          <w:szCs w:val="32"/>
          <w:shd w:val="clear" w:color="auto" w:fill="FFFFFF"/>
          <w:lang w:val="en-US" w:eastAsia="zh-CN"/>
        </w:rPr>
        <w:t>依法主动公开公示</w:t>
      </w:r>
      <w:r>
        <w:rPr>
          <w:rFonts w:hint="eastAsia" w:ascii="仿宋_GB2312" w:hAnsi="仿宋_GB2312" w:eastAsia="仿宋_GB2312" w:cs="仿宋_GB2312"/>
          <w:b w:val="0"/>
          <w:bCs w:val="0"/>
          <w:color w:val="333333"/>
          <w:sz w:val="32"/>
          <w:szCs w:val="32"/>
          <w:shd w:val="clear" w:color="auto" w:fill="FFFFFF"/>
        </w:rPr>
        <w:t>政府信息</w:t>
      </w:r>
      <w:r>
        <w:rPr>
          <w:rFonts w:hint="eastAsia" w:ascii="仿宋_GB2312" w:hAnsi="仿宋_GB2312" w:eastAsia="仿宋_GB2312" w:cs="仿宋_GB2312"/>
          <w:b w:val="0"/>
          <w:bCs w:val="0"/>
          <w:color w:val="333333"/>
          <w:sz w:val="32"/>
          <w:szCs w:val="32"/>
          <w:shd w:val="clear" w:color="auto" w:fill="FFFFFF"/>
          <w:lang w:val="en-US" w:eastAsia="zh-CN"/>
        </w:rPr>
        <w:t>84</w:t>
      </w:r>
      <w:r>
        <w:rPr>
          <w:rFonts w:hint="eastAsia" w:ascii="仿宋_GB2312" w:hAnsi="仿宋_GB2312" w:eastAsia="仿宋_GB2312" w:cs="仿宋_GB2312"/>
          <w:b w:val="0"/>
          <w:bCs w:val="0"/>
          <w:color w:val="333333"/>
          <w:sz w:val="32"/>
          <w:szCs w:val="32"/>
          <w:shd w:val="clear" w:color="auto" w:fill="FFFFFF"/>
        </w:rPr>
        <w:t>条</w:t>
      </w:r>
      <w:r>
        <w:rPr>
          <w:rFonts w:hint="eastAsia" w:ascii="仿宋_GB2312" w:hAnsi="仿宋_GB2312" w:eastAsia="仿宋_GB2312" w:cs="仿宋_GB2312"/>
          <w:b w:val="0"/>
          <w:bCs w:val="0"/>
          <w:color w:val="333333"/>
          <w:sz w:val="32"/>
          <w:szCs w:val="32"/>
          <w:shd w:val="clear" w:color="auto" w:fill="FFFFFF"/>
          <w:lang w:val="en-US" w:eastAsia="zh-CN"/>
        </w:rPr>
        <w:t>。其中，行政处罚46条，财政预决算16条，重大民生信息12条，其他法定公开信息10条。综合行政执法支队依法作出行政处罚共计42件，均按照上级部门相关要求录入上传。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(二)依申请公开情况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严格按照法律规定和本机关职权，坚持依法依规受理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主动沟通对接、规范办理流程，及时准确向申请人公开政府信息，切实保障公众知情权。202</w:t>
      </w:r>
      <w:r>
        <w:rPr>
          <w:rFonts w:hint="eastAsia" w:ascii="仿宋_GB2312" w:hAnsi="仿宋_GB2312" w:eastAsia="仿宋_GB2312" w:cs="仿宋_GB2312"/>
          <w:b w:val="0"/>
          <w:bCs w:val="0"/>
          <w:color w:val="333333"/>
          <w:sz w:val="32"/>
          <w:szCs w:val="32"/>
          <w:shd w:val="clear" w:color="auto" w:fill="FFFFFF"/>
          <w:lang w:val="en-US" w:eastAsia="zh-CN"/>
        </w:rPr>
        <w:t>3</w:t>
      </w:r>
      <w:r>
        <w:rPr>
          <w:rFonts w:hint="eastAsia" w:ascii="仿宋_GB2312" w:hAnsi="仿宋_GB2312" w:eastAsia="仿宋_GB2312" w:cs="仿宋_GB2312"/>
          <w:b w:val="0"/>
          <w:bCs w:val="0"/>
          <w:color w:val="333333"/>
          <w:sz w:val="32"/>
          <w:szCs w:val="32"/>
          <w:shd w:val="clear" w:color="auto" w:fill="FFFFFF"/>
        </w:rPr>
        <w:t>年</w:t>
      </w:r>
      <w:r>
        <w:rPr>
          <w:rFonts w:hint="eastAsia" w:ascii="仿宋_GB2312" w:hAnsi="仿宋_GB2312" w:eastAsia="仿宋_GB2312" w:cs="仿宋_GB2312"/>
          <w:b w:val="0"/>
          <w:bCs w:val="0"/>
          <w:color w:val="333333"/>
          <w:sz w:val="32"/>
          <w:szCs w:val="32"/>
          <w:shd w:val="clear" w:color="auto" w:fill="FFFFFF"/>
          <w:lang w:val="en-US" w:eastAsia="zh-CN"/>
        </w:rPr>
        <w:t>度</w:t>
      </w:r>
      <w:r>
        <w:rPr>
          <w:rFonts w:hint="eastAsia" w:ascii="仿宋_GB2312" w:hAnsi="仿宋_GB2312" w:eastAsia="仿宋_GB2312" w:cs="仿宋_GB2312"/>
          <w:b w:val="0"/>
          <w:bCs w:val="0"/>
          <w:color w:val="333333"/>
          <w:sz w:val="32"/>
          <w:szCs w:val="32"/>
          <w:shd w:val="clear" w:color="auto" w:fill="FFFFFF"/>
        </w:rPr>
        <w:t>,</w:t>
      </w:r>
      <w:r>
        <w:rPr>
          <w:rFonts w:hint="eastAsia" w:ascii="仿宋_GB2312" w:hAnsi="仿宋_GB2312" w:eastAsia="仿宋_GB2312" w:cs="仿宋_GB2312"/>
          <w:b w:val="0"/>
          <w:bCs w:val="0"/>
          <w:color w:val="333333"/>
          <w:sz w:val="32"/>
          <w:szCs w:val="32"/>
          <w:shd w:val="clear" w:color="auto" w:fill="FFFFFF"/>
          <w:lang w:val="en-US" w:eastAsia="zh-CN"/>
        </w:rPr>
        <w:t>我委</w:t>
      </w:r>
      <w:r>
        <w:rPr>
          <w:rFonts w:hint="eastAsia" w:ascii="仿宋_GB2312" w:hAnsi="仿宋_GB2312" w:eastAsia="仿宋_GB2312" w:cs="仿宋_GB2312"/>
          <w:b w:val="0"/>
          <w:bCs w:val="0"/>
          <w:color w:val="333333"/>
          <w:sz w:val="32"/>
          <w:szCs w:val="32"/>
          <w:shd w:val="clear" w:color="auto" w:fill="FFFFFF"/>
        </w:rPr>
        <w:t>新收到依申请公开政府信息</w:t>
      </w:r>
      <w:r>
        <w:rPr>
          <w:rFonts w:hint="eastAsia" w:ascii="仿宋_GB2312" w:hAnsi="仿宋_GB2312" w:eastAsia="仿宋_GB2312" w:cs="仿宋_GB2312"/>
          <w:b w:val="0"/>
          <w:bCs w:val="0"/>
          <w:color w:val="333333"/>
          <w:sz w:val="32"/>
          <w:szCs w:val="32"/>
          <w:shd w:val="clear" w:color="auto" w:fill="FFFFFF"/>
          <w:lang w:val="en-US" w:eastAsia="zh-CN"/>
        </w:rPr>
        <w:t>13</w:t>
      </w:r>
      <w:r>
        <w:rPr>
          <w:rFonts w:hint="eastAsia" w:ascii="仿宋_GB2312" w:hAnsi="仿宋_GB2312" w:eastAsia="仿宋_GB2312" w:cs="仿宋_GB2312"/>
          <w:b w:val="0"/>
          <w:bCs w:val="0"/>
          <w:color w:val="333333"/>
          <w:sz w:val="32"/>
          <w:szCs w:val="32"/>
          <w:shd w:val="clear" w:color="auto" w:fill="FFFFFF"/>
        </w:rPr>
        <w:t>件,</w:t>
      </w:r>
      <w:r>
        <w:rPr>
          <w:rFonts w:hint="eastAsia" w:ascii="仿宋_GB2312" w:hAnsi="仿宋_GB2312" w:eastAsia="仿宋_GB2312" w:cs="仿宋_GB2312"/>
          <w:b w:val="0"/>
          <w:bCs w:val="0"/>
          <w:color w:val="333333"/>
          <w:sz w:val="32"/>
          <w:szCs w:val="32"/>
          <w:shd w:val="clear" w:color="auto" w:fill="FFFFFF"/>
          <w:lang w:val="en-US" w:eastAsia="zh-CN"/>
        </w:rPr>
        <w:t>去年结转1件，</w:t>
      </w:r>
      <w:bookmarkStart w:id="0" w:name="_GoBack"/>
      <w:bookmarkEnd w:id="0"/>
      <w:r>
        <w:rPr>
          <w:rFonts w:hint="eastAsia" w:ascii="仿宋_GB2312" w:hAnsi="仿宋_GB2312" w:eastAsia="仿宋_GB2312" w:cs="仿宋_GB2312"/>
          <w:b w:val="0"/>
          <w:bCs w:val="0"/>
          <w:color w:val="333333"/>
          <w:sz w:val="32"/>
          <w:szCs w:val="32"/>
          <w:shd w:val="clear" w:color="auto" w:fill="FFFFFF"/>
        </w:rPr>
        <w:t>已办结</w:t>
      </w:r>
      <w:r>
        <w:rPr>
          <w:rFonts w:hint="eastAsia" w:ascii="仿宋_GB2312" w:hAnsi="仿宋_GB2312" w:eastAsia="仿宋_GB2312" w:cs="仿宋_GB2312"/>
          <w:b w:val="0"/>
          <w:bCs w:val="0"/>
          <w:color w:val="333333"/>
          <w:sz w:val="32"/>
          <w:szCs w:val="32"/>
          <w:shd w:val="clear" w:color="auto" w:fill="FFFFFF"/>
          <w:lang w:val="en-US" w:eastAsia="zh-CN"/>
        </w:rPr>
        <w:t>13</w:t>
      </w:r>
      <w:r>
        <w:rPr>
          <w:rFonts w:hint="eastAsia" w:ascii="仿宋_GB2312" w:hAnsi="仿宋_GB2312" w:eastAsia="仿宋_GB2312" w:cs="仿宋_GB2312"/>
          <w:b w:val="0"/>
          <w:bCs w:val="0"/>
          <w:color w:val="333333"/>
          <w:sz w:val="32"/>
          <w:szCs w:val="32"/>
          <w:shd w:val="clear" w:color="auto" w:fill="FFFFFF"/>
        </w:rPr>
        <w:t>件,结转下年度继续办理</w:t>
      </w:r>
      <w:r>
        <w:rPr>
          <w:rFonts w:hint="eastAsia" w:ascii="仿宋_GB2312" w:hAnsi="仿宋_GB2312" w:eastAsia="仿宋_GB2312" w:cs="仿宋_GB2312"/>
          <w:b w:val="0"/>
          <w:bCs w:val="0"/>
          <w:color w:val="333333"/>
          <w:sz w:val="32"/>
          <w:szCs w:val="32"/>
          <w:shd w:val="clear" w:color="auto" w:fill="FFFFFF"/>
          <w:lang w:val="en-US" w:eastAsia="zh-CN"/>
        </w:rPr>
        <w:t>1</w:t>
      </w:r>
      <w:r>
        <w:rPr>
          <w:rFonts w:hint="eastAsia" w:ascii="仿宋_GB2312" w:hAnsi="仿宋_GB2312" w:eastAsia="仿宋_GB2312" w:cs="仿宋_GB2312"/>
          <w:b w:val="0"/>
          <w:bCs w:val="0"/>
          <w:color w:val="333333"/>
          <w:sz w:val="32"/>
          <w:szCs w:val="32"/>
          <w:shd w:val="clear" w:color="auto" w:fill="FFFFFF"/>
        </w:rPr>
        <w:t>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(三)政府信息管理情况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完善信息公开审查机制，加强信息发布管理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强化组织保障</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将政府信息公开工作纳入</w:t>
      </w:r>
      <w:r>
        <w:rPr>
          <w:rFonts w:hint="eastAsia" w:ascii="仿宋_GB2312" w:hAnsi="仿宋_GB2312" w:eastAsia="仿宋_GB2312" w:cs="仿宋_GB2312"/>
          <w:b w:val="0"/>
          <w:bCs w:val="0"/>
          <w:color w:val="333333"/>
          <w:sz w:val="32"/>
          <w:szCs w:val="32"/>
          <w:shd w:val="clear" w:color="auto" w:fill="FFFFFF"/>
          <w:lang w:val="en-US" w:eastAsia="zh-CN"/>
        </w:rPr>
        <w:t>全委</w:t>
      </w:r>
      <w:r>
        <w:rPr>
          <w:rFonts w:hint="eastAsia" w:ascii="仿宋_GB2312" w:hAnsi="仿宋_GB2312" w:eastAsia="仿宋_GB2312" w:cs="仿宋_GB2312"/>
          <w:b w:val="0"/>
          <w:bCs w:val="0"/>
          <w:color w:val="333333"/>
          <w:sz w:val="32"/>
          <w:szCs w:val="32"/>
          <w:shd w:val="clear" w:color="auto" w:fill="FFFFFF"/>
        </w:rPr>
        <w:t>整体工作进行部署，与日常业务工作同步推进</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严格流程管理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严格落实政府信息公开“三级”审查制度，严格进行保密审查，严格区分主动公开、依申请公开、不予公开工作信息，按照法定时限及时发布并实时更新法定主动公开内容。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(四)政府信息公开平台建设情况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rPr>
        <w:t>深化政府信息公开平台作用,规范重点工作信息发布</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抓好重点领域信息公开,进一步加强和完善政务网站及政务新媒体日常管理和常态化监管工作</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确保信息及时更新。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楷体_GB2312" w:hAnsi="楷体_GB2312" w:eastAsia="楷体_GB2312" w:cs="楷体_GB2312"/>
          <w:b w:val="0"/>
          <w:bCs w:val="0"/>
          <w:color w:val="333333"/>
          <w:sz w:val="32"/>
          <w:szCs w:val="32"/>
          <w:shd w:val="clear" w:color="auto" w:fill="FFFFFF"/>
        </w:rPr>
      </w:pPr>
      <w:r>
        <w:rPr>
          <w:rFonts w:hint="eastAsia" w:ascii="楷体_GB2312" w:hAnsi="楷体_GB2312" w:eastAsia="楷体_GB2312" w:cs="楷体_GB2312"/>
          <w:b w:val="0"/>
          <w:bCs w:val="0"/>
          <w:color w:val="333333"/>
          <w:sz w:val="32"/>
          <w:szCs w:val="32"/>
          <w:shd w:val="clear" w:color="auto" w:fill="FFFFFF"/>
        </w:rPr>
        <w:t>(五)监督保障情况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仿宋_GB2312" w:hAnsi="仿宋_GB2312" w:eastAsia="仿宋_GB2312" w:cs="仿宋_GB2312"/>
          <w:b w:val="0"/>
          <w:bCs w:val="0"/>
          <w:color w:val="333333"/>
          <w:sz w:val="24"/>
          <w:szCs w:val="24"/>
          <w:shd w:val="clear" w:color="auto" w:fill="FFFFFF"/>
          <w:lang w:val="en-US" w:eastAsia="zh-CN"/>
        </w:rPr>
      </w:pPr>
      <w:r>
        <w:rPr>
          <w:rFonts w:hint="eastAsia" w:ascii="仿宋_GB2312" w:hAnsi="仿宋_GB2312" w:eastAsia="仿宋_GB2312" w:cs="仿宋_GB2312"/>
          <w:b w:val="0"/>
          <w:bCs w:val="0"/>
          <w:color w:val="333333"/>
          <w:sz w:val="32"/>
          <w:szCs w:val="32"/>
          <w:shd w:val="clear" w:color="auto" w:fill="FFFFFF"/>
        </w:rPr>
        <w:t>加强政务公开工作队伍建设，强化公开理念和公开意识</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rPr>
        <w:t>建立和完善政府信息公开监督制度,主动公布咨询、监督投诉电话,接受有关部门、新闻媒体、广大群众的监督检查</w:t>
      </w:r>
      <w:r>
        <w:rPr>
          <w:rFonts w:hint="eastAsia" w:ascii="仿宋_GB2312" w:hAnsi="仿宋_GB2312" w:eastAsia="仿宋_GB2312" w:cs="仿宋_GB2312"/>
          <w:b w:val="0"/>
          <w:bCs w:val="0"/>
          <w:color w:val="333333"/>
          <w:sz w:val="32"/>
          <w:szCs w:val="32"/>
          <w:shd w:val="clear" w:color="auto" w:fill="FFFFFF"/>
          <w:lang w:eastAsia="zh-CN"/>
        </w:rPr>
        <w:t>，</w:t>
      </w:r>
      <w:r>
        <w:rPr>
          <w:rFonts w:hint="eastAsia" w:ascii="仿宋_GB2312" w:hAnsi="仿宋_GB2312" w:eastAsia="仿宋_GB2312" w:cs="仿宋_GB2312"/>
          <w:b w:val="0"/>
          <w:bCs w:val="0"/>
          <w:color w:val="333333"/>
          <w:sz w:val="32"/>
          <w:szCs w:val="32"/>
          <w:shd w:val="clear" w:color="auto" w:fill="FFFFFF"/>
          <w:lang w:val="en-US" w:eastAsia="zh-CN"/>
        </w:rPr>
        <w:t>不断推</w:t>
      </w:r>
      <w:r>
        <w:rPr>
          <w:rFonts w:hint="eastAsia" w:ascii="仿宋_GB2312" w:hAnsi="仿宋_GB2312" w:eastAsia="仿宋_GB2312" w:cs="仿宋_GB2312"/>
          <w:b w:val="0"/>
          <w:bCs w:val="0"/>
          <w:color w:val="333333"/>
          <w:sz w:val="32"/>
          <w:szCs w:val="32"/>
          <w:shd w:val="clear" w:color="auto" w:fill="FFFFFF"/>
        </w:rPr>
        <w:t>动法治政府和服务型政府建设再上新水平。</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color w:val="333333"/>
        </w:rPr>
        <w:t xml:space="preserve"> </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b/>
          <w:bCs/>
          <w:color w:val="333333"/>
          <w:shd w:val="clear" w:color="auto" w:fill="FFFFFF"/>
        </w:rPr>
        <w:t>二、主动公开政府信息情况</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color w:val="333333"/>
        </w:rPr>
        <w:t xml:space="preserve"> </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ascii="Calibri" w:hAnsi="Calibri" w:cs="Calibri"/>
                <w:color w:val="333333"/>
                <w:kern w:val="0"/>
              </w:rPr>
              <w:t> </w:t>
            </w:r>
            <w:r>
              <w:rPr>
                <w:rFonts w:hint="eastAsia" w:ascii="Calibri" w:hAnsi="Calibri" w:cs="Calibri"/>
                <w:color w:val="333333"/>
                <w:kern w:val="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default"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46</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rPr>
                <w:rFonts w:hint="eastAsia" w:ascii="宋体" w:hAnsi="宋体" w:eastAsia="宋体"/>
                <w:sz w:val="24"/>
                <w:szCs w:val="24"/>
                <w:lang w:val="en-US" w:eastAsia="zh-CN"/>
              </w:rPr>
            </w:pPr>
            <w:r>
              <w:rPr>
                <w:rFonts w:hint="eastAsia" w:ascii="宋体" w:hAnsi="宋体"/>
                <w:sz w:val="24"/>
                <w:szCs w:val="24"/>
                <w:lang w:val="en-US" w:eastAsia="zh-CN"/>
              </w:rPr>
              <w:t>0</w:t>
            </w:r>
          </w:p>
        </w:tc>
      </w:tr>
    </w:tbl>
    <w:p>
      <w:pPr>
        <w:widowControl/>
        <w:jc w:val="left"/>
      </w:pPr>
      <w:r>
        <w:t xml:space="preserve"> </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b/>
          <w:bCs/>
          <w:color w:val="333333"/>
          <w:shd w:val="clear" w:color="auto" w:fill="FFFFFF"/>
        </w:rPr>
        <w:t>三、收到和处理政府信息公开申请情况</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color w:val="333333"/>
        </w:rPr>
        <w:t xml:space="preserve"> </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20" w:lineRule="atLeast"/>
              <w:jc w:val="left"/>
              <w:rPr>
                <w:color w:val="333333"/>
              </w:rPr>
            </w:pPr>
            <w:r>
              <w:rPr>
                <w:rFonts w:hint="eastAsia" w:ascii="楷体" w:hAnsi="楷体" w:eastAsia="楷体"/>
                <w:color w:val="333333"/>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color w:val="333333"/>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color w:val="333333"/>
              </w:rPr>
            </w:pPr>
          </w:p>
        </w:tc>
        <w:tc>
          <w:tcPr>
            <w:tcW w:w="688" w:type="dxa"/>
            <w:vMerge w:val="continue"/>
            <w:tcBorders>
              <w:top w:val="nil"/>
              <w:left w:val="nil"/>
              <w:bottom w:val="single" w:color="auto" w:sz="8" w:space="0"/>
              <w:right w:val="single" w:color="auto" w:sz="8" w:space="0"/>
            </w:tcBorders>
            <w:vAlign w:val="center"/>
          </w:tcPr>
          <w:p>
            <w:pPr>
              <w:widowControl/>
              <w:jc w:val="left"/>
              <w:rPr>
                <w:color w:val="333333"/>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商业</w:t>
            </w:r>
          </w:p>
          <w:p>
            <w:pPr>
              <w:widowControl/>
              <w:spacing w:line="420" w:lineRule="atLeast"/>
              <w:jc w:val="center"/>
              <w:rPr>
                <w:color w:val="333333"/>
              </w:rPr>
            </w:pPr>
            <w:r>
              <w:rPr>
                <w:rFonts w:hint="eastAsia" w:ascii="宋体" w:hAnsi="宋体"/>
                <w:color w:val="333333"/>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科研</w:t>
            </w:r>
          </w:p>
          <w:p>
            <w:pPr>
              <w:widowControl/>
              <w:spacing w:line="420" w:lineRule="atLeast"/>
              <w:jc w:val="center"/>
              <w:rPr>
                <w:color w:val="333333"/>
              </w:rPr>
            </w:pPr>
            <w:r>
              <w:rPr>
                <w:rFonts w:hint="eastAsia" w:ascii="宋体" w:hAnsi="宋体"/>
                <w:color w:val="333333"/>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宋体" w:hAnsi="宋体"/>
                <w:color w:val="333333"/>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color w:val="333333"/>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default" w:eastAsia="宋体"/>
                <w:color w:val="333333"/>
                <w:lang w:val="en-US" w:eastAsia="zh-CN"/>
              </w:rPr>
            </w:pPr>
            <w:r>
              <w:rPr>
                <w:rFonts w:hint="eastAsia" w:ascii="Calibri" w:hAnsi="Calibri" w:cs="Calibri"/>
                <w:color w:val="333333"/>
                <w:kern w:val="0"/>
                <w:sz w:val="20"/>
                <w:szCs w:val="20"/>
                <w:lang w:val="en-US" w:eastAsia="zh-CN"/>
              </w:rPr>
              <w:t>13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default" w:eastAsia="宋体"/>
                <w:color w:val="333333"/>
                <w:lang w:val="en-US" w:eastAsia="zh-CN"/>
              </w:rPr>
            </w:pPr>
            <w:r>
              <w:rPr>
                <w:rFonts w:hint="eastAsia" w:ascii="Calibri" w:hAnsi="Calibri" w:cs="Calibri"/>
                <w:color w:val="333333"/>
                <w:kern w:val="0"/>
                <w:sz w:val="20"/>
                <w:szCs w:val="20"/>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center"/>
              <w:rPr>
                <w:rFonts w:hint="eastAsia" w:eastAsia="宋体"/>
                <w:color w:val="333333"/>
                <w:lang w:val="en-US" w:eastAsia="zh-CN"/>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（二）部分公开</w:t>
            </w:r>
            <w:r>
              <w:rPr>
                <w:rFonts w:hint="eastAsia" w:ascii="楷体" w:hAnsi="楷体" w:eastAsia="楷体"/>
                <w:color w:val="333333"/>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default"/>
                <w:color w:val="333333"/>
                <w:lang w:val="en-US"/>
              </w:rPr>
            </w:pPr>
            <w:r>
              <w:rPr>
                <w:rFonts w:hint="eastAsia" w:ascii="Calibri" w:hAnsi="Calibri" w:cs="Calibri"/>
                <w:color w:val="333333"/>
                <w:kern w:val="0"/>
                <w:sz w:val="20"/>
                <w:szCs w:val="20"/>
                <w:lang w:val="en-US" w:eastAsia="zh-CN"/>
              </w:rPr>
              <w:t>13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rFonts w:hint="default" w:eastAsia="宋体"/>
                <w:color w:val="333333"/>
                <w:lang w:val="en-US" w:eastAsia="zh-CN"/>
              </w:rPr>
            </w:pPr>
            <w:r>
              <w:rPr>
                <w:rFonts w:hint="eastAsia" w:ascii="Calibri" w:hAnsi="Calibri" w:cs="Calibri"/>
                <w:color w:val="333333"/>
                <w:kern w:val="0"/>
                <w:sz w:val="20"/>
                <w:szCs w:val="20"/>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420" w:lineRule="atLeast"/>
              <w:jc w:val="left"/>
              <w:rPr>
                <w:color w:val="333333"/>
              </w:rPr>
            </w:pPr>
            <w:r>
              <w:rPr>
                <w:rFonts w:hint="eastAsia" w:ascii="宋体" w:hAnsi="宋体"/>
                <w:color w:val="333333"/>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color w:val="333333"/>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hint="eastAsia" w:ascii="宋体" w:hAnsi="宋体"/>
                <w:color w:val="333333"/>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hint="eastAsia" w:ascii="宋体" w:hAnsi="宋体"/>
                <w:color w:val="333333"/>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rPr>
                <w:color w:val="333333"/>
              </w:rPr>
            </w:pPr>
            <w:r>
              <w:rPr>
                <w:rFonts w:hint="eastAsia" w:ascii="宋体" w:hAnsi="宋体"/>
                <w:color w:val="333333"/>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943" w:type="dxa"/>
            <w:vMerge w:val="continue"/>
            <w:tcBorders>
              <w:top w:val="nil"/>
              <w:left w:val="nil"/>
              <w:bottom w:val="inset" w:color="auto" w:sz="8" w:space="0"/>
              <w:right w:val="single" w:color="auto" w:sz="8" w:space="0"/>
            </w:tcBorders>
            <w:vAlign w:val="center"/>
          </w:tcPr>
          <w:p>
            <w:pPr>
              <w:widowControl/>
              <w:jc w:val="left"/>
              <w:rPr>
                <w:color w:val="333333"/>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color w:val="333333"/>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rFonts w:hint="default"/>
                <w:color w:val="333333"/>
                <w:lang w:val="en-US"/>
              </w:rPr>
            </w:pPr>
            <w:r>
              <w:rPr>
                <w:rFonts w:hint="eastAsia" w:ascii="Calibri" w:hAnsi="Calibri" w:cs="Calibri"/>
                <w:color w:val="333333"/>
                <w:kern w:val="0"/>
                <w:sz w:val="20"/>
                <w:szCs w:val="20"/>
                <w:lang w:val="en-US" w:eastAsia="zh-CN"/>
              </w:rPr>
              <w:t>13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rFonts w:hint="default"/>
                <w:color w:val="333333"/>
                <w:lang w:val="en-US"/>
              </w:rPr>
            </w:pPr>
            <w:r>
              <w:rPr>
                <w:rFonts w:ascii="Calibri" w:hAnsi="Calibri" w:cs="Calibri"/>
                <w:color w:val="333333"/>
                <w:kern w:val="0"/>
                <w:sz w:val="20"/>
                <w:szCs w:val="20"/>
              </w:rPr>
              <w:t> </w:t>
            </w:r>
            <w:r>
              <w:rPr>
                <w:rFonts w:hint="eastAsia" w:ascii="Calibri" w:hAnsi="Calibri" w:cs="Calibri"/>
                <w:color w:val="333333"/>
                <w:kern w:val="0"/>
                <w:sz w:val="20"/>
                <w:szCs w:val="20"/>
                <w:lang w:val="en-US" w:eastAsia="zh-CN"/>
              </w:rPr>
              <w:t>13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left"/>
              <w:rPr>
                <w:color w:val="333333"/>
              </w:rPr>
            </w:pPr>
            <w:r>
              <w:rPr>
                <w:rFonts w:hint="eastAsia" w:ascii="宋体" w:hAnsi="宋体"/>
                <w:color w:val="333333"/>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ascii="Calibri" w:hAnsi="Calibri" w:cs="Calibri"/>
                <w:color w:val="333333"/>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20" w:lineRule="atLeast"/>
              <w:jc w:val="center"/>
              <w:rPr>
                <w:color w:val="333333"/>
              </w:rPr>
            </w:pPr>
            <w:r>
              <w:rPr>
                <w:rFonts w:hint="eastAsia"/>
                <w:color w:val="333333"/>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420" w:lineRule="atLeast"/>
              <w:jc w:val="center"/>
              <w:rPr>
                <w:rFonts w:hint="eastAsia" w:ascii="宋体" w:hAnsi="宋体" w:eastAsia="宋体"/>
                <w:sz w:val="24"/>
                <w:szCs w:val="24"/>
                <w:lang w:eastAsia="zh-CN"/>
              </w:rPr>
            </w:pPr>
            <w:r>
              <w:rPr>
                <w:rFonts w:hint="eastAsia" w:ascii="Calibri" w:hAnsi="Calibri" w:cs="Calibri"/>
                <w:color w:val="333333"/>
                <w:kern w:val="0"/>
                <w:sz w:val="20"/>
                <w:szCs w:val="20"/>
                <w:lang w:val="en-US" w:eastAsia="zh-CN"/>
              </w:rPr>
              <w:t>1</w:t>
            </w:r>
          </w:p>
        </w:tc>
      </w:tr>
    </w:tbl>
    <w:p>
      <w:pPr>
        <w:widowControl/>
        <w:shd w:val="clear" w:color="auto" w:fill="FFFFFF"/>
        <w:jc w:val="center"/>
        <w:rPr>
          <w:rFonts w:ascii="宋体" w:hAnsi="宋体"/>
          <w:color w:val="333333"/>
          <w:sz w:val="24"/>
          <w:szCs w:val="24"/>
        </w:rPr>
      </w:pPr>
      <w:r>
        <w:rPr>
          <w:rFonts w:hint="eastAsia" w:ascii="宋体" w:hAnsi="宋体"/>
          <w:color w:val="333333"/>
          <w:sz w:val="24"/>
          <w:szCs w:val="24"/>
        </w:rPr>
        <w:t xml:space="preserve"> </w:t>
      </w:r>
    </w:p>
    <w:p>
      <w:pPr>
        <w:pStyle w:val="4"/>
        <w:widowControl/>
        <w:shd w:val="clear" w:color="auto" w:fill="FFFFFF"/>
        <w:spacing w:before="0" w:beforeAutospacing="0" w:after="0" w:afterAutospacing="0" w:line="420" w:lineRule="atLeast"/>
        <w:ind w:firstLine="420"/>
        <w:jc w:val="both"/>
        <w:rPr>
          <w:rFonts w:ascii="宋体" w:hAnsi="宋体"/>
          <w:color w:val="333333"/>
        </w:rPr>
      </w:pPr>
      <w:r>
        <w:rPr>
          <w:rFonts w:hint="eastAsia" w:ascii="宋体" w:hAnsi="宋体"/>
          <w:b/>
          <w:bCs/>
          <w:color w:val="333333"/>
          <w:shd w:val="clear" w:color="auto" w:fill="FFFFFF"/>
        </w:rPr>
        <w:t>四、政府信息公开行政复议、行政诉讼情况</w:t>
      </w:r>
    </w:p>
    <w:p>
      <w:pPr>
        <w:widowControl/>
        <w:shd w:val="clear" w:color="auto" w:fill="FFFFFF"/>
        <w:jc w:val="center"/>
        <w:rPr>
          <w:rFonts w:ascii="宋体" w:hAnsi="宋体"/>
          <w:color w:val="333333"/>
          <w:sz w:val="24"/>
          <w:szCs w:val="24"/>
        </w:rPr>
      </w:pPr>
      <w:r>
        <w:rPr>
          <w:rFonts w:hint="eastAsia" w:ascii="宋体" w:hAnsi="宋体"/>
          <w:color w:val="333333"/>
          <w:sz w:val="24"/>
          <w:szCs w:val="24"/>
        </w:rPr>
        <w:t xml:space="preserve"> </w:t>
      </w:r>
    </w:p>
    <w:tbl>
      <w:tblPr>
        <w:tblStyle w:val="5"/>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行政复议</w:t>
            </w:r>
          </w:p>
        </w:tc>
        <w:tc>
          <w:tcPr>
            <w:tcW w:w="6503"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结果维持</w:t>
            </w:r>
          </w:p>
        </w:tc>
        <w:tc>
          <w:tcPr>
            <w:tcW w:w="64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4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总计</w:t>
            </w:r>
          </w:p>
        </w:tc>
        <w:tc>
          <w:tcPr>
            <w:tcW w:w="324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未经复议直接起诉</w:t>
            </w:r>
          </w:p>
        </w:tc>
        <w:tc>
          <w:tcPr>
            <w:tcW w:w="325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color w:val="333333"/>
              </w:rPr>
            </w:pPr>
          </w:p>
        </w:tc>
        <w:tc>
          <w:tcPr>
            <w:tcW w:w="649" w:type="dxa"/>
            <w:vMerge w:val="continue"/>
            <w:tcBorders>
              <w:top w:val="nil"/>
              <w:left w:val="nil"/>
              <w:bottom w:val="single" w:color="auto" w:sz="8" w:space="0"/>
              <w:right w:val="single" w:color="auto" w:sz="8" w:space="0"/>
            </w:tcBorders>
            <w:vAlign w:val="center"/>
          </w:tcPr>
          <w:p>
            <w:pPr>
              <w:widowControl/>
              <w:jc w:val="left"/>
              <w:rPr>
                <w:color w:val="333333"/>
              </w:rPr>
            </w:pPr>
          </w:p>
        </w:tc>
        <w:tc>
          <w:tcPr>
            <w:tcW w:w="649" w:type="dxa"/>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649" w:type="dxa"/>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649" w:type="dxa"/>
            <w:vMerge w:val="continue"/>
            <w:tcBorders>
              <w:top w:val="single" w:color="auto" w:sz="8" w:space="0"/>
              <w:left w:val="nil"/>
              <w:bottom w:val="single" w:color="auto" w:sz="8" w:space="0"/>
              <w:right w:val="single" w:color="auto" w:sz="8" w:space="0"/>
            </w:tcBorders>
            <w:vAlign w:val="center"/>
          </w:tcPr>
          <w:p>
            <w:pPr>
              <w:widowControl/>
              <w:jc w:val="left"/>
              <w:rPr>
                <w:color w:val="333333"/>
              </w:rPr>
            </w:pP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总计</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维持</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结果</w:t>
            </w:r>
            <w:r>
              <w:rPr>
                <w:rFonts w:hint="eastAsia" w:ascii="宋体" w:hAnsi="宋体"/>
                <w:color w:val="333333"/>
                <w:kern w:val="0"/>
                <w:sz w:val="20"/>
                <w:szCs w:val="20"/>
              </w:rPr>
              <w:br w:type="textWrapping"/>
            </w:r>
            <w:r>
              <w:rPr>
                <w:rFonts w:hint="eastAsia" w:ascii="宋体" w:hAnsi="宋体"/>
                <w:color w:val="333333"/>
                <w:kern w:val="0"/>
                <w:sz w:val="20"/>
                <w:szCs w:val="20"/>
              </w:rPr>
              <w:t>纠正</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其他</w:t>
            </w:r>
            <w:r>
              <w:rPr>
                <w:rFonts w:hint="eastAsia" w:ascii="宋体" w:hAnsi="宋体"/>
                <w:color w:val="333333"/>
                <w:kern w:val="0"/>
                <w:sz w:val="20"/>
                <w:szCs w:val="20"/>
              </w:rPr>
              <w:br w:type="textWrapping"/>
            </w:r>
            <w:r>
              <w:rPr>
                <w:rFonts w:hint="eastAsia" w:ascii="宋体" w:hAnsi="宋体"/>
                <w:color w:val="333333"/>
                <w:kern w:val="0"/>
                <w:sz w:val="20"/>
                <w:szCs w:val="20"/>
              </w:rPr>
              <w:t>结果</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尚未</w:t>
            </w:r>
            <w:r>
              <w:rPr>
                <w:rFonts w:hint="eastAsia" w:ascii="宋体" w:hAnsi="宋体"/>
                <w:color w:val="333333"/>
                <w:kern w:val="0"/>
                <w:sz w:val="20"/>
                <w:szCs w:val="20"/>
              </w:rPr>
              <w:br w:type="textWrapping"/>
            </w:r>
            <w:r>
              <w:rPr>
                <w:rFonts w:hint="eastAsia" w:ascii="宋体" w:hAnsi="宋体"/>
                <w:color w:val="333333"/>
                <w:kern w:val="0"/>
                <w:sz w:val="20"/>
                <w:szCs w:val="20"/>
              </w:rPr>
              <w:t>审结</w:t>
            </w:r>
          </w:p>
        </w:tc>
        <w:tc>
          <w:tcPr>
            <w:tcW w:w="6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color w:val="333333"/>
              </w:rPr>
            </w:pPr>
            <w:r>
              <w:rPr>
                <w:rFonts w:hint="eastAsia" w:ascii="宋体" w:hAnsi="宋体"/>
                <w:color w:val="333333"/>
                <w:kern w:val="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eastAsia="黑体"/>
                <w:color w:val="333333"/>
                <w:lang w:val="en-US" w:eastAsia="zh-CN"/>
              </w:rPr>
            </w:pPr>
            <w:r>
              <w:rPr>
                <w:rFonts w:hint="eastAsia" w:ascii="黑体" w:hAnsi="宋体" w:eastAsia="黑体"/>
                <w:color w:val="333333"/>
                <w:kern w:val="0"/>
                <w:sz w:val="20"/>
                <w:szCs w:val="20"/>
              </w:rPr>
              <w:t> </w:t>
            </w:r>
            <w:r>
              <w:rPr>
                <w:rFonts w:hint="eastAsia" w:ascii="黑体" w:hAnsi="宋体" w:eastAsia="黑体"/>
                <w:color w:val="333333"/>
                <w:kern w:val="0"/>
                <w:sz w:val="20"/>
                <w:szCs w:val="20"/>
                <w:lang w:val="en-US" w:eastAsia="zh-CN"/>
              </w:rPr>
              <w:t>3</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eastAsia="宋体"/>
                <w:color w:val="333333"/>
                <w:lang w:val="en-US" w:eastAsia="zh-CN"/>
              </w:rPr>
            </w:pPr>
            <w:r>
              <w:rPr>
                <w:rFonts w:hint="eastAsia" w:ascii="宋体" w:hAnsi="宋体"/>
                <w:color w:val="333333"/>
                <w:kern w:val="0"/>
                <w:sz w:val="20"/>
                <w:szCs w:val="20"/>
              </w:rPr>
              <w:t> </w:t>
            </w:r>
            <w:r>
              <w:rPr>
                <w:rFonts w:hint="eastAsia" w:ascii="宋体" w:hAnsi="宋体"/>
                <w:color w:val="333333"/>
                <w:kern w:val="0"/>
                <w:sz w:val="20"/>
                <w:szCs w:val="20"/>
                <w:lang w:val="en-US" w:eastAsia="zh-CN"/>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eastAsia="宋体"/>
                <w:color w:val="333333"/>
                <w:lang w:val="en-US" w:eastAsia="zh-CN"/>
              </w:rPr>
            </w:pPr>
            <w:r>
              <w:rPr>
                <w:rFonts w:hint="eastAsia"/>
                <w:color w:val="333333"/>
                <w:lang w:val="en-US" w:eastAsia="zh-CN"/>
              </w:rPr>
              <w:t>3</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4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c>
          <w:tcPr>
            <w:tcW w:w="6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20" w:lineRule="atLeast"/>
              <w:jc w:val="center"/>
              <w:rPr>
                <w:rFonts w:hint="eastAsia"/>
                <w:color w:val="333333"/>
                <w:lang w:val="en-US" w:eastAsia="zh-CN"/>
              </w:rPr>
            </w:pPr>
            <w:r>
              <w:rPr>
                <w:rFonts w:hint="eastAsia"/>
                <w:color w:val="333333"/>
                <w:lang w:val="en-US" w:eastAsia="zh-CN"/>
              </w:rPr>
              <w:t>0</w:t>
            </w:r>
          </w:p>
        </w:tc>
      </w:tr>
    </w:tbl>
    <w:p>
      <w:pPr>
        <w:widowControl/>
        <w:jc w:val="left"/>
      </w:pPr>
      <w: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color w:val="333333"/>
          <w:sz w:val="32"/>
          <w:szCs w:val="32"/>
          <w:shd w:val="clear" w:color="auto" w:fill="FFFFFF"/>
          <w:lang w:val="en-US" w:eastAsia="zh-CN"/>
        </w:rPr>
        <w:t>2023年城管委政府信息公开工作取得了一定成效，但仍存在一些问题和不足，主要表现在：对政府信息公开的主动性还不够，公开形式缺少创新；公开队伍建设仍需加强，政务公开工作人员的能力和水平有待进一步提升。下一步我委将推进主动公开再深化，紧扣年度重点工作、中心工作，优化政府信息公开发布；积极组织开展学习和培训，增强主动公开意识，提升工作能力和业务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eastAsia" w:ascii="黑体" w:hAnsi="黑体" w:eastAsia="黑体" w:cs="黑体"/>
          <w:b/>
          <w:bCs/>
          <w:color w:val="333333"/>
          <w:sz w:val="32"/>
          <w:szCs w:val="32"/>
          <w:shd w:val="clear" w:color="auto" w:fill="FFFFFF"/>
        </w:rPr>
      </w:pPr>
      <w:r>
        <w:rPr>
          <w:rFonts w:hint="eastAsia" w:ascii="黑体" w:hAnsi="黑体" w:eastAsia="黑体" w:cs="黑体"/>
          <w:b/>
          <w:bCs/>
          <w:color w:val="333333"/>
          <w:sz w:val="32"/>
          <w:szCs w:val="32"/>
          <w:shd w:val="clear" w:color="auto" w:fill="FFFFFF"/>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60" w:afterAutospacing="0" w:line="560" w:lineRule="exact"/>
        <w:ind w:left="0" w:right="0" w:firstLine="420"/>
        <w:jc w:val="both"/>
        <w:textAlignment w:val="auto"/>
        <w:rPr>
          <w:rFonts w:hint="eastAsia" w:ascii="仿宋_GB2312" w:hAnsi="仿宋_GB2312" w:eastAsia="仿宋_GB2312" w:cs="仿宋_GB2312"/>
          <w:b w:val="0"/>
          <w:bCs w:val="0"/>
          <w:color w:val="333333"/>
          <w:kern w:val="0"/>
          <w:sz w:val="24"/>
          <w:szCs w:val="24"/>
          <w:shd w:val="clear" w:color="auto" w:fill="FFFFFF"/>
          <w:lang w:val="en-US" w:eastAsia="zh-CN" w:bidi="ar-SA"/>
        </w:rPr>
      </w:pPr>
      <w:r>
        <w:rPr>
          <w:rFonts w:hint="eastAsia" w:ascii="仿宋_GB2312" w:hAnsi="仿宋_GB2312" w:eastAsia="仿宋_GB2312" w:cs="仿宋_GB2312"/>
          <w:b w:val="0"/>
          <w:bCs w:val="0"/>
          <w:color w:val="333333"/>
          <w:kern w:val="0"/>
          <w:sz w:val="32"/>
          <w:szCs w:val="32"/>
          <w:shd w:val="clear" w:color="auto" w:fill="FFFFFF"/>
          <w:lang w:val="en-US" w:eastAsia="zh-CN" w:bidi="ar-SA"/>
        </w:rPr>
        <w:t>无。</w:t>
      </w:r>
      <w:r>
        <w:rPr>
          <w:rFonts w:hint="eastAsia" w:ascii="仿宋_GB2312" w:hAnsi="仿宋_GB2312" w:eastAsia="仿宋_GB2312" w:cs="仿宋_GB2312"/>
          <w:b w:val="0"/>
          <w:bCs w:val="0"/>
          <w:color w:val="333333"/>
          <w:kern w:val="0"/>
          <w:sz w:val="24"/>
          <w:szCs w:val="24"/>
          <w:shd w:val="clear" w:color="auto" w:fill="FFFFFF"/>
          <w:lang w:val="en-US" w:eastAsia="zh-CN" w:bidi="ar-S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2YjE1MmE5NGEzOTkyMTgwZDdjZTA2MjA5NWI5YzgifQ=="/>
  </w:docVars>
  <w:rsids>
    <w:rsidRoot w:val="00853F10"/>
    <w:rsid w:val="002C69AC"/>
    <w:rsid w:val="004E5F4B"/>
    <w:rsid w:val="006E54BC"/>
    <w:rsid w:val="00853F10"/>
    <w:rsid w:val="00AB6BF1"/>
    <w:rsid w:val="00C97795"/>
    <w:rsid w:val="23DB7824"/>
    <w:rsid w:val="2B0C64D5"/>
    <w:rsid w:val="3BA9648F"/>
    <w:rsid w:val="40343A2F"/>
    <w:rsid w:val="451278DC"/>
    <w:rsid w:val="509E3067"/>
    <w:rsid w:val="73AA60EC"/>
    <w:rsid w:val="7FDA508B"/>
    <w:rsid w:val="FDFF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character" w:customStyle="1" w:styleId="7">
    <w:name w:val="页眉 Char"/>
    <w:basedOn w:val="6"/>
    <w:link w:val="3"/>
    <w:semiHidden/>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206</Words>
  <Characters>1179</Characters>
  <Lines>9</Lines>
  <Paragraphs>2</Paragraphs>
  <TotalTime>10</TotalTime>
  <ScaleCrop>false</ScaleCrop>
  <LinksUpToDate>false</LinksUpToDate>
  <CharactersWithSpaces>1383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2022-12-30T09:27:00Z</dcterms:created>
  <dc:creator>1303</dc:creator>
  <cp:lastModifiedBy>Coral</cp:lastModifiedBy>
  <dcterms:modified xsi:type="dcterms:W3CDTF">2024-01-16T07:02:24Z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DCE14F114B1249EC977056A1A0656DFB_13</vt:lpwstr>
  </property>
</Properties>
</file>