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宋体" w:hAnsi="宋体" w:eastAsia="宋体" w:cs="宋体"/>
          <w:b/>
          <w:bCs w:val="0"/>
          <w:sz w:val="48"/>
          <w:szCs w:val="48"/>
          <w:lang w:eastAsia="zh-CN"/>
        </w:rPr>
      </w:pPr>
    </w:p>
    <w:p>
      <w:pPr>
        <w:pStyle w:val="2"/>
        <w:ind w:left="0" w:leftChars="0" w:firstLine="0" w:firstLineChars="0"/>
        <w:jc w:val="both"/>
        <w:rPr>
          <w:rFonts w:hint="eastAsia" w:ascii="宋体" w:hAnsi="宋体" w:eastAsia="宋体" w:cs="宋体"/>
          <w:b/>
          <w:bCs w:val="0"/>
          <w:sz w:val="44"/>
          <w:szCs w:val="44"/>
          <w:lang w:eastAsia="zh-CN"/>
        </w:rPr>
      </w:pPr>
      <w:r>
        <w:rPr>
          <w:rFonts w:hint="eastAsia" w:ascii="宋体" w:hAnsi="宋体" w:eastAsia="宋体" w:cs="宋体"/>
          <w:b/>
          <w:bCs w:val="0"/>
          <w:sz w:val="48"/>
          <w:szCs w:val="48"/>
          <w:lang w:val="en-US" w:eastAsia="zh-CN"/>
        </w:rPr>
        <w:t xml:space="preserve">     </w:t>
      </w:r>
      <w:bookmarkStart w:id="290" w:name="_GoBack"/>
      <w:bookmarkEnd w:id="290"/>
      <w:r>
        <w:rPr>
          <w:rFonts w:hint="eastAsia" w:ascii="宋体" w:hAnsi="宋体" w:eastAsia="宋体" w:cs="宋体"/>
          <w:b/>
          <w:bCs w:val="0"/>
          <w:sz w:val="44"/>
          <w:szCs w:val="44"/>
          <w:lang w:eastAsia="zh-CN"/>
        </w:rPr>
        <w:t>和平区燃气突发事件应急预案</w:t>
      </w:r>
    </w:p>
    <w:p>
      <w:pPr>
        <w:ind w:left="0" w:leftChars="0" w:firstLine="0" w:firstLineChars="0"/>
        <w:jc w:val="center"/>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（征求意见稿）</w:t>
      </w:r>
    </w:p>
    <w:p>
      <w:pPr>
        <w:rPr>
          <w:rFonts w:hint="eastAsia" w:ascii="宋体" w:hAnsi="宋体" w:eastAsia="宋体" w:cs="宋体"/>
          <w:b/>
          <w:bCs w:val="0"/>
          <w:sz w:val="48"/>
          <w:szCs w:val="48"/>
          <w:lang w:eastAsia="zh-CN"/>
        </w:rPr>
      </w:pPr>
    </w:p>
    <w:p>
      <w:pPr>
        <w:rPr>
          <w:rFonts w:hint="eastAsia" w:ascii="宋体" w:hAnsi="宋体" w:eastAsia="宋体" w:cs="宋体"/>
          <w:b/>
          <w:bCs w:val="0"/>
          <w:sz w:val="48"/>
          <w:szCs w:val="48"/>
          <w:lang w:eastAsia="zh-CN"/>
        </w:rPr>
      </w:pPr>
    </w:p>
    <w:p>
      <w:pPr>
        <w:rPr>
          <w:rFonts w:hint="eastAsia" w:ascii="宋体" w:hAnsi="宋体" w:eastAsia="宋体" w:cs="宋体"/>
          <w:b/>
          <w:bCs w:val="0"/>
          <w:sz w:val="48"/>
          <w:szCs w:val="48"/>
          <w:lang w:eastAsia="zh-CN"/>
        </w:rPr>
      </w:pPr>
    </w:p>
    <w:p>
      <w:pPr>
        <w:rPr>
          <w:rFonts w:hint="eastAsia" w:ascii="宋体" w:hAnsi="宋体" w:eastAsia="宋体" w:cs="宋体"/>
          <w:b/>
          <w:bCs w:val="0"/>
          <w:sz w:val="48"/>
          <w:szCs w:val="48"/>
          <w:lang w:eastAsia="zh-CN"/>
        </w:rPr>
      </w:pPr>
    </w:p>
    <w:p>
      <w:pPr>
        <w:rPr>
          <w:rFonts w:hint="eastAsia" w:ascii="宋体" w:hAnsi="宋体" w:eastAsia="宋体" w:cs="宋体"/>
          <w:b/>
          <w:bCs w:val="0"/>
          <w:sz w:val="48"/>
          <w:szCs w:val="48"/>
          <w:lang w:eastAsia="zh-CN"/>
        </w:rPr>
      </w:pPr>
    </w:p>
    <w:p>
      <w:pPr>
        <w:rPr>
          <w:rFonts w:hint="eastAsia" w:ascii="宋体" w:hAnsi="宋体" w:eastAsia="宋体" w:cs="宋体"/>
          <w:b/>
          <w:bCs w:val="0"/>
          <w:sz w:val="48"/>
          <w:szCs w:val="48"/>
          <w:lang w:eastAsia="zh-CN"/>
        </w:rPr>
      </w:pPr>
    </w:p>
    <w:p>
      <w:pPr>
        <w:ind w:left="0" w:leftChars="0" w:firstLine="0" w:firstLineChars="0"/>
        <w:jc w:val="both"/>
        <w:rPr>
          <w:rFonts w:hint="eastAsia" w:ascii="宋体" w:hAnsi="宋体" w:eastAsia="宋体" w:cs="宋体"/>
          <w:b w:val="0"/>
          <w:bCs/>
          <w:sz w:val="32"/>
          <w:szCs w:val="32"/>
          <w:lang w:val="en-US" w:eastAsia="zh-CN"/>
        </w:rPr>
      </w:pPr>
    </w:p>
    <w:p>
      <w:pPr>
        <w:ind w:left="0" w:leftChars="0" w:firstLine="0" w:firstLineChars="0"/>
        <w:jc w:val="both"/>
        <w:rPr>
          <w:rFonts w:hint="eastAsia" w:ascii="宋体" w:hAnsi="宋体" w:eastAsia="宋体" w:cs="宋体"/>
          <w:b w:val="0"/>
          <w:bCs/>
          <w:sz w:val="32"/>
          <w:szCs w:val="32"/>
          <w:lang w:val="en-US" w:eastAsia="zh-CN"/>
        </w:rPr>
      </w:pPr>
    </w:p>
    <w:p>
      <w:pPr>
        <w:ind w:left="0" w:leftChars="0" w:firstLine="0" w:firstLineChars="0"/>
        <w:jc w:val="center"/>
        <w:rPr>
          <w:rFonts w:hint="eastAsia" w:ascii="宋体" w:hAnsi="宋体" w:eastAsia="宋体" w:cs="宋体"/>
          <w:b w:val="0"/>
          <w:bCs/>
          <w:sz w:val="32"/>
          <w:szCs w:val="32"/>
          <w:lang w:val="en-US" w:eastAsia="zh-CN"/>
        </w:rPr>
      </w:pPr>
    </w:p>
    <w:p>
      <w:pPr>
        <w:ind w:left="0" w:leftChars="0" w:firstLine="0" w:firstLineChars="0"/>
        <w:jc w:val="center"/>
        <w:rPr>
          <w:rFonts w:hint="eastAsia" w:ascii="宋体" w:hAnsi="宋体" w:eastAsia="宋体" w:cs="宋体"/>
          <w:b w:val="0"/>
          <w:bCs/>
          <w:sz w:val="32"/>
          <w:szCs w:val="32"/>
          <w:lang w:val="en-US" w:eastAsia="zh-CN"/>
        </w:rPr>
      </w:pPr>
    </w:p>
    <w:p>
      <w:pPr>
        <w:ind w:left="0" w:leftChars="0" w:firstLine="0" w:firstLineChars="0"/>
        <w:jc w:val="center"/>
        <w:rPr>
          <w:rFonts w:hint="eastAsia" w:ascii="宋体" w:hAnsi="宋体" w:eastAsia="宋体" w:cs="宋体"/>
          <w:b w:val="0"/>
          <w:bCs/>
          <w:sz w:val="32"/>
          <w:szCs w:val="32"/>
          <w:lang w:val="en-US" w:eastAsia="zh-CN"/>
        </w:rPr>
      </w:pPr>
    </w:p>
    <w:p>
      <w:pPr>
        <w:ind w:left="0" w:leftChars="0" w:firstLine="0" w:firstLineChars="0"/>
        <w:jc w:val="center"/>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2021年9月</w:t>
      </w:r>
    </w:p>
    <w:p>
      <w:pPr>
        <w:pStyle w:val="2"/>
        <w:ind w:left="0" w:leftChars="0" w:firstLine="0" w:firstLineChars="0"/>
        <w:rPr>
          <w:rFonts w:hint="eastAsia" w:cs="黑体"/>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before="0" w:beforeLines="0" w:after="0" w:afterLines="0" w:line="240" w:lineRule="auto"/>
        <w:ind w:left="0" w:leftChars="0" w:right="0" w:rightChars="0" w:firstLine="0" w:firstLineChars="0"/>
        <w:jc w:val="center"/>
        <w:rPr>
          <w:b/>
          <w:bCs/>
          <w:sz w:val="44"/>
          <w:szCs w:val="44"/>
        </w:rPr>
      </w:pPr>
      <w:bookmarkStart w:id="0" w:name="_Toc1879626668_WPSOffice_Type3"/>
      <w:r>
        <w:rPr>
          <w:rFonts w:ascii="宋体" w:hAnsi="宋体" w:eastAsia="宋体"/>
          <w:b/>
          <w:bCs/>
          <w:sz w:val="44"/>
          <w:szCs w:val="44"/>
        </w:rPr>
        <w:t>目录</w:t>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_Toc606352840_WPSOffice_Level1 </w:instrText>
      </w:r>
      <w:r>
        <w:rPr>
          <w:sz w:val="32"/>
          <w:szCs w:val="32"/>
        </w:rPr>
        <w:fldChar w:fldCharType="separate"/>
      </w:r>
      <w:r>
        <w:rPr>
          <w:rFonts w:ascii="黑体" w:hAnsi="黑体" w:eastAsia="黑体" w:cs="Times New Roman"/>
          <w:sz w:val="32"/>
          <w:szCs w:val="32"/>
        </w:rPr>
        <w:t xml:space="preserve">1 </w:t>
      </w:r>
      <w:r>
        <w:rPr>
          <w:rFonts w:hint="eastAsia" w:ascii="黑体" w:hAnsi="黑体" w:eastAsia="黑体" w:cs="Times New Roman"/>
          <w:sz w:val="32"/>
          <w:szCs w:val="32"/>
        </w:rPr>
        <w:t>总则</w:t>
      </w:r>
      <w:r>
        <w:rPr>
          <w:sz w:val="32"/>
          <w:szCs w:val="32"/>
        </w:rPr>
        <w:tab/>
      </w:r>
      <w:bookmarkStart w:id="1" w:name="_Toc606352840_WPSOffice_Level1Page"/>
      <w:r>
        <w:rPr>
          <w:sz w:val="32"/>
          <w:szCs w:val="32"/>
        </w:rPr>
        <w:t>1</w:t>
      </w:r>
      <w:bookmarkEnd w:id="1"/>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_Toc1269411681_WPSOffice_Level2 </w:instrText>
      </w:r>
      <w:r>
        <w:rPr>
          <w:sz w:val="32"/>
          <w:szCs w:val="32"/>
        </w:rPr>
        <w:fldChar w:fldCharType="separate"/>
      </w:r>
      <w:r>
        <w:rPr>
          <w:rFonts w:hint="eastAsia" w:ascii="楷体" w:hAnsi="楷体" w:eastAsia="楷体" w:cs="楷体"/>
          <w:sz w:val="32"/>
          <w:szCs w:val="32"/>
        </w:rPr>
        <w:t>1.1 编制目的</w:t>
      </w:r>
      <w:r>
        <w:rPr>
          <w:sz w:val="32"/>
          <w:szCs w:val="32"/>
        </w:rPr>
        <w:tab/>
      </w:r>
      <w:bookmarkStart w:id="2" w:name="_Toc1269411681_WPSOffice_Level2Page"/>
      <w:r>
        <w:rPr>
          <w:sz w:val="32"/>
          <w:szCs w:val="32"/>
        </w:rPr>
        <w:t>1</w:t>
      </w:r>
      <w:bookmarkEnd w:id="2"/>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_Toc972886863_WPSOffice_Level2 </w:instrText>
      </w:r>
      <w:r>
        <w:rPr>
          <w:sz w:val="32"/>
          <w:szCs w:val="32"/>
        </w:rPr>
        <w:fldChar w:fldCharType="separate"/>
      </w:r>
      <w:r>
        <w:rPr>
          <w:rFonts w:hint="eastAsia" w:ascii="楷体" w:hAnsi="楷体" w:eastAsia="楷体" w:cs="楷体"/>
          <w:sz w:val="32"/>
          <w:szCs w:val="32"/>
        </w:rPr>
        <w:t>1.2 编制依据</w:t>
      </w:r>
      <w:r>
        <w:rPr>
          <w:sz w:val="32"/>
          <w:szCs w:val="32"/>
        </w:rPr>
        <w:tab/>
      </w:r>
      <w:bookmarkStart w:id="3" w:name="_Toc972886863_WPSOffice_Level2Page"/>
      <w:r>
        <w:rPr>
          <w:sz w:val="32"/>
          <w:szCs w:val="32"/>
        </w:rPr>
        <w:t>1</w:t>
      </w:r>
      <w:bookmarkEnd w:id="3"/>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_Toc985645652_WPSOffice_Level2 </w:instrText>
      </w:r>
      <w:r>
        <w:rPr>
          <w:sz w:val="32"/>
          <w:szCs w:val="32"/>
        </w:rPr>
        <w:fldChar w:fldCharType="separate"/>
      </w:r>
      <w:r>
        <w:rPr>
          <w:rFonts w:hint="eastAsia" w:ascii="楷体" w:hAnsi="楷体" w:eastAsia="楷体" w:cs="楷体"/>
          <w:sz w:val="32"/>
          <w:szCs w:val="32"/>
        </w:rPr>
        <w:t>1.3 分类分级</w:t>
      </w:r>
      <w:r>
        <w:rPr>
          <w:sz w:val="32"/>
          <w:szCs w:val="32"/>
        </w:rPr>
        <w:tab/>
      </w:r>
      <w:bookmarkStart w:id="4" w:name="_Toc985645652_WPSOffice_Level2Page"/>
      <w:r>
        <w:rPr>
          <w:sz w:val="32"/>
          <w:szCs w:val="32"/>
        </w:rPr>
        <w:t>2</w:t>
      </w:r>
      <w:bookmarkEnd w:id="4"/>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_Toc318751339_WPSOffice_Level2 </w:instrText>
      </w:r>
      <w:r>
        <w:rPr>
          <w:sz w:val="32"/>
          <w:szCs w:val="32"/>
        </w:rPr>
        <w:fldChar w:fldCharType="separate"/>
      </w:r>
      <w:r>
        <w:rPr>
          <w:rFonts w:hint="eastAsia" w:ascii="楷体" w:hAnsi="楷体" w:eastAsia="楷体" w:cs="楷体"/>
          <w:sz w:val="32"/>
          <w:szCs w:val="32"/>
        </w:rPr>
        <w:t>1.4 工作原则</w:t>
      </w:r>
      <w:r>
        <w:rPr>
          <w:sz w:val="32"/>
          <w:szCs w:val="32"/>
        </w:rPr>
        <w:tab/>
      </w:r>
      <w:bookmarkStart w:id="5" w:name="_Toc318751339_WPSOffice_Level2Page"/>
      <w:r>
        <w:rPr>
          <w:sz w:val="32"/>
          <w:szCs w:val="32"/>
        </w:rPr>
        <w:t>2</w:t>
      </w:r>
      <w:bookmarkEnd w:id="5"/>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_Toc1293969630_WPSOffice_Level2 </w:instrText>
      </w:r>
      <w:r>
        <w:rPr>
          <w:sz w:val="32"/>
          <w:szCs w:val="32"/>
        </w:rPr>
        <w:fldChar w:fldCharType="separate"/>
      </w:r>
      <w:r>
        <w:rPr>
          <w:rFonts w:hint="eastAsia" w:ascii="楷体" w:hAnsi="楷体" w:eastAsia="楷体" w:cs="楷体"/>
          <w:sz w:val="32"/>
          <w:szCs w:val="32"/>
        </w:rPr>
        <w:t>1.5 适用范围</w:t>
      </w:r>
      <w:r>
        <w:rPr>
          <w:sz w:val="32"/>
          <w:szCs w:val="32"/>
        </w:rPr>
        <w:tab/>
      </w:r>
      <w:bookmarkStart w:id="6" w:name="_Toc1293969630_WPSOffice_Level2Page"/>
      <w:r>
        <w:rPr>
          <w:sz w:val="32"/>
          <w:szCs w:val="32"/>
        </w:rPr>
        <w:t>2</w:t>
      </w:r>
      <w:bookmarkEnd w:id="6"/>
      <w:r>
        <w:rPr>
          <w:sz w:val="32"/>
          <w:szCs w:val="32"/>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_Toc1957224342_WPSOffice_Level1 </w:instrText>
      </w:r>
      <w:r>
        <w:rPr>
          <w:sz w:val="32"/>
          <w:szCs w:val="32"/>
        </w:rPr>
        <w:fldChar w:fldCharType="separate"/>
      </w:r>
      <w:r>
        <w:rPr>
          <w:rFonts w:hint="eastAsia" w:ascii="黑体" w:hAnsi="黑体" w:eastAsia="黑体" w:cs="黑体"/>
          <w:sz w:val="32"/>
          <w:szCs w:val="32"/>
        </w:rPr>
        <w:t>2　组织体系</w:t>
      </w:r>
      <w:r>
        <w:rPr>
          <w:sz w:val="32"/>
          <w:szCs w:val="32"/>
        </w:rPr>
        <w:tab/>
      </w:r>
      <w:bookmarkStart w:id="7" w:name="_Toc1957224342_WPSOffice_Level1Page"/>
      <w:r>
        <w:rPr>
          <w:sz w:val="32"/>
          <w:szCs w:val="32"/>
        </w:rPr>
        <w:t>2</w:t>
      </w:r>
      <w:bookmarkEnd w:id="7"/>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_Toc2020324395_WPSOffice_Level2 </w:instrText>
      </w:r>
      <w:r>
        <w:rPr>
          <w:sz w:val="32"/>
          <w:szCs w:val="32"/>
        </w:rPr>
        <w:fldChar w:fldCharType="separate"/>
      </w:r>
      <w:r>
        <w:rPr>
          <w:rFonts w:hint="eastAsia" w:ascii="楷体" w:hAnsi="楷体" w:eastAsia="楷体" w:cs="楷体"/>
          <w:sz w:val="32"/>
          <w:szCs w:val="32"/>
        </w:rPr>
        <w:t>2.1 领导机构</w:t>
      </w:r>
      <w:r>
        <w:rPr>
          <w:sz w:val="32"/>
          <w:szCs w:val="32"/>
        </w:rPr>
        <w:tab/>
      </w:r>
      <w:bookmarkStart w:id="8" w:name="_Toc2020324395_WPSOffice_Level2Page"/>
      <w:r>
        <w:rPr>
          <w:sz w:val="32"/>
          <w:szCs w:val="32"/>
        </w:rPr>
        <w:t>2</w:t>
      </w:r>
      <w:bookmarkEnd w:id="8"/>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_Toc1954037767_WPSOffice_Level2 </w:instrText>
      </w:r>
      <w:r>
        <w:rPr>
          <w:sz w:val="32"/>
          <w:szCs w:val="32"/>
        </w:rPr>
        <w:fldChar w:fldCharType="separate"/>
      </w:r>
      <w:r>
        <w:rPr>
          <w:rFonts w:hint="eastAsia" w:ascii="楷体" w:hAnsi="楷体" w:eastAsia="楷体" w:cs="楷体"/>
          <w:sz w:val="32"/>
          <w:szCs w:val="32"/>
        </w:rPr>
        <w:t>2.2 办事机构</w:t>
      </w:r>
      <w:r>
        <w:rPr>
          <w:sz w:val="32"/>
          <w:szCs w:val="32"/>
        </w:rPr>
        <w:tab/>
      </w:r>
      <w:bookmarkStart w:id="9" w:name="_Toc1954037767_WPSOffice_Level2Page"/>
      <w:r>
        <w:rPr>
          <w:sz w:val="32"/>
          <w:szCs w:val="32"/>
        </w:rPr>
        <w:t>3</w:t>
      </w:r>
      <w:bookmarkEnd w:id="9"/>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_Toc160564628_WPSOffice_Level2 </w:instrText>
      </w:r>
      <w:r>
        <w:rPr>
          <w:sz w:val="32"/>
          <w:szCs w:val="32"/>
        </w:rPr>
        <w:fldChar w:fldCharType="separate"/>
      </w:r>
      <w:r>
        <w:rPr>
          <w:rFonts w:hint="eastAsia" w:ascii="楷体" w:hAnsi="楷体" w:eastAsia="楷体" w:cs="楷体"/>
          <w:sz w:val="32"/>
          <w:szCs w:val="32"/>
        </w:rPr>
        <w:t>2.3 街道燃气应急管理机构</w:t>
      </w:r>
      <w:r>
        <w:rPr>
          <w:sz w:val="32"/>
          <w:szCs w:val="32"/>
        </w:rPr>
        <w:tab/>
      </w:r>
      <w:bookmarkStart w:id="10" w:name="_Toc160564628_WPSOffice_Level2Page"/>
      <w:r>
        <w:rPr>
          <w:sz w:val="32"/>
          <w:szCs w:val="32"/>
        </w:rPr>
        <w:t>3</w:t>
      </w:r>
      <w:bookmarkEnd w:id="10"/>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_Toc293467981_WPSOffice_Level2 </w:instrText>
      </w:r>
      <w:r>
        <w:rPr>
          <w:sz w:val="32"/>
          <w:szCs w:val="32"/>
        </w:rPr>
        <w:fldChar w:fldCharType="separate"/>
      </w:r>
      <w:r>
        <w:rPr>
          <w:rFonts w:hint="eastAsia" w:ascii="楷体" w:hAnsi="楷体" w:eastAsia="楷体" w:cs="楷体"/>
          <w:sz w:val="32"/>
          <w:szCs w:val="32"/>
        </w:rPr>
        <w:t>2.4 成员单位</w:t>
      </w:r>
      <w:r>
        <w:rPr>
          <w:sz w:val="32"/>
          <w:szCs w:val="32"/>
        </w:rPr>
        <w:tab/>
      </w:r>
      <w:bookmarkStart w:id="11" w:name="_Toc293467981_WPSOffice_Level2Page"/>
      <w:r>
        <w:rPr>
          <w:sz w:val="32"/>
          <w:szCs w:val="32"/>
        </w:rPr>
        <w:t>4</w:t>
      </w:r>
      <w:bookmarkEnd w:id="11"/>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_Toc1194385303_WPSOffice_Level2 </w:instrText>
      </w:r>
      <w:r>
        <w:rPr>
          <w:sz w:val="32"/>
          <w:szCs w:val="32"/>
        </w:rPr>
        <w:fldChar w:fldCharType="separate"/>
      </w:r>
      <w:r>
        <w:rPr>
          <w:rFonts w:hint="eastAsia" w:ascii="楷体" w:hAnsi="楷体" w:eastAsia="楷体" w:cs="楷体"/>
          <w:sz w:val="32"/>
          <w:szCs w:val="32"/>
        </w:rPr>
        <w:t>2.5 现场指挥部</w:t>
      </w:r>
      <w:r>
        <w:rPr>
          <w:sz w:val="32"/>
          <w:szCs w:val="32"/>
        </w:rPr>
        <w:tab/>
      </w:r>
      <w:bookmarkStart w:id="12" w:name="_Toc1194385303_WPSOffice_Level2Page"/>
      <w:r>
        <w:rPr>
          <w:sz w:val="32"/>
          <w:szCs w:val="32"/>
        </w:rPr>
        <w:t>5</w:t>
      </w:r>
      <w:bookmarkEnd w:id="12"/>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_Toc1231197312_WPSOffice_Level2 </w:instrText>
      </w:r>
      <w:r>
        <w:rPr>
          <w:sz w:val="32"/>
          <w:szCs w:val="32"/>
        </w:rPr>
        <w:fldChar w:fldCharType="separate"/>
      </w:r>
      <w:r>
        <w:rPr>
          <w:rFonts w:hint="eastAsia" w:ascii="楷体" w:hAnsi="楷体" w:eastAsia="楷体" w:cs="楷体"/>
          <w:sz w:val="32"/>
          <w:szCs w:val="32"/>
        </w:rPr>
        <w:t>2.6街道办事处职责</w:t>
      </w:r>
      <w:r>
        <w:rPr>
          <w:sz w:val="32"/>
          <w:szCs w:val="32"/>
        </w:rPr>
        <w:tab/>
      </w:r>
      <w:bookmarkStart w:id="13" w:name="_Toc1231197312_WPSOffice_Level2Page"/>
      <w:r>
        <w:rPr>
          <w:sz w:val="32"/>
          <w:szCs w:val="32"/>
        </w:rPr>
        <w:t>6</w:t>
      </w:r>
      <w:bookmarkEnd w:id="13"/>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_Toc1737133290_WPSOffice_Level2 </w:instrText>
      </w:r>
      <w:r>
        <w:rPr>
          <w:sz w:val="32"/>
          <w:szCs w:val="32"/>
        </w:rPr>
        <w:fldChar w:fldCharType="separate"/>
      </w:r>
      <w:r>
        <w:rPr>
          <w:rFonts w:hint="eastAsia" w:ascii="楷体" w:hAnsi="楷体" w:eastAsia="楷体" w:cs="楷体"/>
          <w:sz w:val="32"/>
          <w:szCs w:val="32"/>
        </w:rPr>
        <w:t>2.7 燃气企业职责</w:t>
      </w:r>
      <w:r>
        <w:rPr>
          <w:sz w:val="32"/>
          <w:szCs w:val="32"/>
        </w:rPr>
        <w:tab/>
      </w:r>
      <w:bookmarkStart w:id="14" w:name="_Toc1737133290_WPSOffice_Level2Page"/>
      <w:r>
        <w:rPr>
          <w:sz w:val="32"/>
          <w:szCs w:val="32"/>
        </w:rPr>
        <w:t>6</w:t>
      </w:r>
      <w:bookmarkEnd w:id="14"/>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_Toc1159344820_WPSOffice_Level2 </w:instrText>
      </w:r>
      <w:r>
        <w:rPr>
          <w:sz w:val="32"/>
          <w:szCs w:val="32"/>
        </w:rPr>
        <w:fldChar w:fldCharType="separate"/>
      </w:r>
      <w:r>
        <w:rPr>
          <w:rFonts w:hint="eastAsia" w:ascii="楷体" w:hAnsi="楷体" w:eastAsia="楷体" w:cs="楷体"/>
          <w:sz w:val="32"/>
          <w:szCs w:val="32"/>
        </w:rPr>
        <w:t>2.8  重要燃气用户职责</w:t>
      </w:r>
      <w:r>
        <w:rPr>
          <w:sz w:val="32"/>
          <w:szCs w:val="32"/>
        </w:rPr>
        <w:tab/>
      </w:r>
      <w:bookmarkStart w:id="15" w:name="_Toc1159344820_WPSOffice_Level2Page"/>
      <w:r>
        <w:rPr>
          <w:sz w:val="32"/>
          <w:szCs w:val="32"/>
        </w:rPr>
        <w:t>6</w:t>
      </w:r>
      <w:bookmarkEnd w:id="15"/>
      <w:r>
        <w:rPr>
          <w:sz w:val="32"/>
          <w:szCs w:val="32"/>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_Toc407362490_WPSOffice_Level1 </w:instrText>
      </w:r>
      <w:r>
        <w:rPr>
          <w:sz w:val="32"/>
          <w:szCs w:val="32"/>
        </w:rPr>
        <w:fldChar w:fldCharType="separate"/>
      </w:r>
      <w:r>
        <w:rPr>
          <w:rFonts w:hint="eastAsia" w:ascii="黑体" w:hAnsi="黑体" w:eastAsia="黑体" w:cs="黑体"/>
          <w:sz w:val="32"/>
          <w:szCs w:val="32"/>
        </w:rPr>
        <w:t>3　预防与预警</w:t>
      </w:r>
      <w:r>
        <w:rPr>
          <w:sz w:val="32"/>
          <w:szCs w:val="32"/>
        </w:rPr>
        <w:tab/>
      </w:r>
      <w:bookmarkStart w:id="16" w:name="_Toc407362490_WPSOffice_Level1Page"/>
      <w:r>
        <w:rPr>
          <w:sz w:val="32"/>
          <w:szCs w:val="32"/>
        </w:rPr>
        <w:t>7</w:t>
      </w:r>
      <w:bookmarkEnd w:id="16"/>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_Toc2043638286_WPSOffice_Level2 </w:instrText>
      </w:r>
      <w:r>
        <w:rPr>
          <w:sz w:val="32"/>
          <w:szCs w:val="32"/>
        </w:rPr>
        <w:fldChar w:fldCharType="separate"/>
      </w:r>
      <w:r>
        <w:rPr>
          <w:rFonts w:hint="eastAsia" w:ascii="楷体" w:hAnsi="楷体" w:eastAsia="楷体" w:cs="楷体"/>
          <w:sz w:val="32"/>
          <w:szCs w:val="32"/>
        </w:rPr>
        <w:t>3.1 风险排查</w:t>
      </w:r>
      <w:r>
        <w:rPr>
          <w:sz w:val="32"/>
          <w:szCs w:val="32"/>
        </w:rPr>
        <w:tab/>
      </w:r>
      <w:bookmarkStart w:id="17" w:name="_Toc2043638286_WPSOffice_Level2Page"/>
      <w:r>
        <w:rPr>
          <w:sz w:val="32"/>
          <w:szCs w:val="32"/>
        </w:rPr>
        <w:t>7</w:t>
      </w:r>
      <w:bookmarkEnd w:id="17"/>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_Toc833397190_WPSOffice_Level2 </w:instrText>
      </w:r>
      <w:r>
        <w:rPr>
          <w:sz w:val="32"/>
          <w:szCs w:val="32"/>
        </w:rPr>
        <w:fldChar w:fldCharType="separate"/>
      </w:r>
      <w:r>
        <w:rPr>
          <w:rFonts w:hint="eastAsia" w:ascii="楷体" w:hAnsi="楷体" w:eastAsia="楷体" w:cs="楷体"/>
          <w:sz w:val="32"/>
          <w:szCs w:val="32"/>
        </w:rPr>
        <w:t>3.2 风险监测</w:t>
      </w:r>
      <w:r>
        <w:rPr>
          <w:sz w:val="32"/>
          <w:szCs w:val="32"/>
        </w:rPr>
        <w:tab/>
      </w:r>
      <w:bookmarkStart w:id="18" w:name="_Toc833397190_WPSOffice_Level2Page"/>
      <w:r>
        <w:rPr>
          <w:sz w:val="32"/>
          <w:szCs w:val="32"/>
        </w:rPr>
        <w:t>7</w:t>
      </w:r>
      <w:bookmarkEnd w:id="18"/>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_Toc215416521_WPSOffice_Level2 </w:instrText>
      </w:r>
      <w:r>
        <w:rPr>
          <w:sz w:val="32"/>
          <w:szCs w:val="32"/>
        </w:rPr>
        <w:fldChar w:fldCharType="separate"/>
      </w:r>
      <w:r>
        <w:rPr>
          <w:rFonts w:hint="eastAsia" w:ascii="楷体" w:hAnsi="楷体" w:eastAsia="楷体" w:cs="楷体"/>
          <w:sz w:val="32"/>
          <w:szCs w:val="32"/>
        </w:rPr>
        <w:t>3.3 预防</w:t>
      </w:r>
      <w:r>
        <w:rPr>
          <w:sz w:val="32"/>
          <w:szCs w:val="32"/>
        </w:rPr>
        <w:tab/>
      </w:r>
      <w:bookmarkStart w:id="19" w:name="_Toc215416521_WPSOffice_Level2Page"/>
      <w:r>
        <w:rPr>
          <w:sz w:val="32"/>
          <w:szCs w:val="32"/>
        </w:rPr>
        <w:t>7</w:t>
      </w:r>
      <w:bookmarkEnd w:id="19"/>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_Toc1864347171_WPSOffice_Level2 </w:instrText>
      </w:r>
      <w:r>
        <w:rPr>
          <w:sz w:val="32"/>
          <w:szCs w:val="32"/>
        </w:rPr>
        <w:fldChar w:fldCharType="separate"/>
      </w:r>
      <w:r>
        <w:rPr>
          <w:rFonts w:hint="eastAsia" w:ascii="楷体" w:hAnsi="楷体" w:eastAsia="楷体" w:cs="楷体"/>
          <w:sz w:val="32"/>
          <w:szCs w:val="32"/>
        </w:rPr>
        <w:t>3.4 预警级别</w:t>
      </w:r>
      <w:r>
        <w:rPr>
          <w:sz w:val="32"/>
          <w:szCs w:val="32"/>
        </w:rPr>
        <w:tab/>
      </w:r>
      <w:bookmarkStart w:id="20" w:name="_Toc1864347171_WPSOffice_Level2Page"/>
      <w:r>
        <w:rPr>
          <w:sz w:val="32"/>
          <w:szCs w:val="32"/>
        </w:rPr>
        <w:t>8</w:t>
      </w:r>
      <w:bookmarkEnd w:id="20"/>
      <w:r>
        <w:rPr>
          <w:sz w:val="32"/>
          <w:szCs w:val="32"/>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_Toc1955390667_WPSOffice_Level3 </w:instrText>
      </w:r>
      <w:r>
        <w:rPr>
          <w:sz w:val="32"/>
          <w:szCs w:val="32"/>
        </w:rPr>
        <w:fldChar w:fldCharType="separate"/>
      </w:r>
      <w:r>
        <w:rPr>
          <w:rFonts w:hint="eastAsia" w:ascii="仿宋_GB2312" w:hAnsi="仿宋_GB2312" w:eastAsia="仿宋_GB2312" w:cs="仿宋_GB2312"/>
          <w:sz w:val="32"/>
          <w:szCs w:val="32"/>
        </w:rPr>
        <w:t>3.4.1红色预警</w:t>
      </w:r>
      <w:r>
        <w:rPr>
          <w:sz w:val="32"/>
          <w:szCs w:val="32"/>
        </w:rPr>
        <w:tab/>
      </w:r>
      <w:bookmarkStart w:id="21" w:name="_Toc1955390667_WPSOffice_Level3Page"/>
      <w:r>
        <w:rPr>
          <w:sz w:val="32"/>
          <w:szCs w:val="32"/>
        </w:rPr>
        <w:t>9</w:t>
      </w:r>
      <w:bookmarkEnd w:id="21"/>
      <w:r>
        <w:rPr>
          <w:sz w:val="32"/>
          <w:szCs w:val="32"/>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_Toc429929459_WPSOffice_Level3 </w:instrText>
      </w:r>
      <w:r>
        <w:rPr>
          <w:sz w:val="32"/>
          <w:szCs w:val="32"/>
        </w:rPr>
        <w:fldChar w:fldCharType="separate"/>
      </w:r>
      <w:r>
        <w:rPr>
          <w:rFonts w:hint="eastAsia" w:ascii="仿宋_GB2312" w:hAnsi="仿宋_GB2312" w:eastAsia="仿宋_GB2312" w:cs="仿宋_GB2312"/>
          <w:sz w:val="32"/>
          <w:szCs w:val="32"/>
        </w:rPr>
        <w:t>3.4.2橙色预警</w:t>
      </w:r>
      <w:r>
        <w:rPr>
          <w:sz w:val="32"/>
          <w:szCs w:val="32"/>
        </w:rPr>
        <w:tab/>
      </w:r>
      <w:bookmarkStart w:id="22" w:name="_Toc429929459_WPSOffice_Level3Page"/>
      <w:r>
        <w:rPr>
          <w:sz w:val="32"/>
          <w:szCs w:val="32"/>
        </w:rPr>
        <w:t>9</w:t>
      </w:r>
      <w:bookmarkEnd w:id="22"/>
      <w:r>
        <w:rPr>
          <w:sz w:val="32"/>
          <w:szCs w:val="32"/>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_Toc1413952827_WPSOffice_Level3 </w:instrText>
      </w:r>
      <w:r>
        <w:rPr>
          <w:sz w:val="32"/>
          <w:szCs w:val="32"/>
        </w:rPr>
        <w:fldChar w:fldCharType="separate"/>
      </w:r>
      <w:r>
        <w:rPr>
          <w:rFonts w:hint="eastAsia" w:ascii="仿宋_GB2312" w:hAnsi="仿宋_GB2312" w:eastAsia="仿宋_GB2312" w:cs="仿宋_GB2312"/>
          <w:sz w:val="32"/>
          <w:szCs w:val="32"/>
        </w:rPr>
        <w:t>3.4.3黄色预警</w:t>
      </w:r>
      <w:r>
        <w:rPr>
          <w:sz w:val="32"/>
          <w:szCs w:val="32"/>
        </w:rPr>
        <w:tab/>
      </w:r>
      <w:bookmarkStart w:id="23" w:name="_Toc1413952827_WPSOffice_Level3Page"/>
      <w:r>
        <w:rPr>
          <w:sz w:val="32"/>
          <w:szCs w:val="32"/>
        </w:rPr>
        <w:t>9</w:t>
      </w:r>
      <w:bookmarkEnd w:id="23"/>
      <w:r>
        <w:rPr>
          <w:sz w:val="32"/>
          <w:szCs w:val="32"/>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_Toc1806320605_WPSOffice_Level3 </w:instrText>
      </w:r>
      <w:r>
        <w:rPr>
          <w:sz w:val="32"/>
          <w:szCs w:val="32"/>
        </w:rPr>
        <w:fldChar w:fldCharType="separate"/>
      </w:r>
      <w:r>
        <w:rPr>
          <w:rFonts w:hint="eastAsia" w:ascii="仿宋_GB2312" w:hAnsi="仿宋_GB2312" w:eastAsia="仿宋_GB2312" w:cs="仿宋_GB2312"/>
          <w:sz w:val="32"/>
          <w:szCs w:val="32"/>
        </w:rPr>
        <w:t>3.4.4蓝色预警</w:t>
      </w:r>
      <w:r>
        <w:rPr>
          <w:sz w:val="32"/>
          <w:szCs w:val="32"/>
        </w:rPr>
        <w:tab/>
      </w:r>
      <w:bookmarkStart w:id="24" w:name="_Toc1806320605_WPSOffice_Level3Page"/>
      <w:r>
        <w:rPr>
          <w:sz w:val="32"/>
          <w:szCs w:val="32"/>
        </w:rPr>
        <w:t>10</w:t>
      </w:r>
      <w:bookmarkEnd w:id="24"/>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_Toc166010185_WPSOffice_Level2 </w:instrText>
      </w:r>
      <w:r>
        <w:rPr>
          <w:sz w:val="32"/>
          <w:szCs w:val="32"/>
        </w:rPr>
        <w:fldChar w:fldCharType="separate"/>
      </w:r>
      <w:r>
        <w:rPr>
          <w:rFonts w:hint="eastAsia" w:ascii="楷体" w:hAnsi="楷体" w:eastAsia="楷体" w:cs="楷体"/>
          <w:sz w:val="32"/>
          <w:szCs w:val="32"/>
        </w:rPr>
        <w:t>3.5 预警的发布、解除与调整</w:t>
      </w:r>
      <w:r>
        <w:rPr>
          <w:sz w:val="32"/>
          <w:szCs w:val="32"/>
        </w:rPr>
        <w:tab/>
      </w:r>
      <w:bookmarkStart w:id="25" w:name="_Toc166010185_WPSOffice_Level2Page"/>
      <w:r>
        <w:rPr>
          <w:sz w:val="32"/>
          <w:szCs w:val="32"/>
        </w:rPr>
        <w:t>10</w:t>
      </w:r>
      <w:bookmarkEnd w:id="25"/>
      <w:r>
        <w:rPr>
          <w:sz w:val="32"/>
          <w:szCs w:val="32"/>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_Toc1587747485_WPSOffice_Level3 </w:instrText>
      </w:r>
      <w:r>
        <w:rPr>
          <w:sz w:val="32"/>
          <w:szCs w:val="32"/>
        </w:rPr>
        <w:fldChar w:fldCharType="separate"/>
      </w:r>
      <w:r>
        <w:rPr>
          <w:rFonts w:hint="eastAsia" w:ascii="仿宋_GB2312" w:hAnsi="仿宋_GB2312" w:eastAsia="仿宋_GB2312" w:cs="仿宋_GB2312"/>
          <w:sz w:val="32"/>
          <w:szCs w:val="32"/>
        </w:rPr>
        <w:t>3.5.1预警发布和解除</w:t>
      </w:r>
      <w:r>
        <w:rPr>
          <w:sz w:val="32"/>
          <w:szCs w:val="32"/>
        </w:rPr>
        <w:tab/>
      </w:r>
      <w:bookmarkStart w:id="26" w:name="_Toc1587747485_WPSOffice_Level3Page"/>
      <w:r>
        <w:rPr>
          <w:sz w:val="32"/>
          <w:szCs w:val="32"/>
        </w:rPr>
        <w:t>10</w:t>
      </w:r>
      <w:bookmarkEnd w:id="26"/>
      <w:r>
        <w:rPr>
          <w:sz w:val="32"/>
          <w:szCs w:val="32"/>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_Toc50623009_WPSOffice_Level3 </w:instrText>
      </w:r>
      <w:r>
        <w:rPr>
          <w:sz w:val="32"/>
          <w:szCs w:val="32"/>
        </w:rPr>
        <w:fldChar w:fldCharType="separate"/>
      </w:r>
      <w:r>
        <w:rPr>
          <w:rFonts w:hint="eastAsia" w:ascii="仿宋_GB2312" w:hAnsi="仿宋_GB2312" w:eastAsia="仿宋_GB2312" w:cs="仿宋_GB2312"/>
          <w:sz w:val="32"/>
          <w:szCs w:val="32"/>
        </w:rPr>
        <w:t>3.5.2预警级别调整</w:t>
      </w:r>
      <w:r>
        <w:rPr>
          <w:sz w:val="32"/>
          <w:szCs w:val="32"/>
        </w:rPr>
        <w:tab/>
      </w:r>
      <w:bookmarkStart w:id="27" w:name="_Toc50623009_WPSOffice_Level3Page"/>
      <w:r>
        <w:rPr>
          <w:sz w:val="32"/>
          <w:szCs w:val="32"/>
        </w:rPr>
        <w:t>11</w:t>
      </w:r>
      <w:bookmarkEnd w:id="27"/>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_Toc976296268_WPSOffice_Level2 </w:instrText>
      </w:r>
      <w:r>
        <w:rPr>
          <w:sz w:val="32"/>
          <w:szCs w:val="32"/>
        </w:rPr>
        <w:fldChar w:fldCharType="separate"/>
      </w:r>
      <w:r>
        <w:rPr>
          <w:rFonts w:hint="eastAsia" w:ascii="楷体" w:hAnsi="楷体" w:eastAsia="楷体" w:cs="楷体"/>
          <w:sz w:val="32"/>
          <w:szCs w:val="32"/>
        </w:rPr>
        <w:t>3.6 预警措施</w:t>
      </w:r>
      <w:r>
        <w:rPr>
          <w:sz w:val="32"/>
          <w:szCs w:val="32"/>
        </w:rPr>
        <w:tab/>
      </w:r>
      <w:bookmarkStart w:id="28" w:name="_Toc976296268_WPSOffice_Level2Page"/>
      <w:r>
        <w:rPr>
          <w:sz w:val="32"/>
          <w:szCs w:val="32"/>
        </w:rPr>
        <w:t>11</w:t>
      </w:r>
      <w:bookmarkEnd w:id="28"/>
      <w:r>
        <w:rPr>
          <w:sz w:val="32"/>
          <w:szCs w:val="32"/>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_Toc1543233704_WPSOffice_Level1 </w:instrText>
      </w:r>
      <w:r>
        <w:rPr>
          <w:sz w:val="32"/>
          <w:szCs w:val="32"/>
        </w:rPr>
        <w:fldChar w:fldCharType="separate"/>
      </w:r>
      <w:r>
        <w:rPr>
          <w:rFonts w:hint="eastAsia" w:ascii="黑体" w:hAnsi="黑体" w:eastAsia="黑体" w:cs="黑体"/>
          <w:sz w:val="32"/>
          <w:szCs w:val="32"/>
        </w:rPr>
        <w:t>4　应急处置</w:t>
      </w:r>
      <w:r>
        <w:rPr>
          <w:sz w:val="32"/>
          <w:szCs w:val="32"/>
        </w:rPr>
        <w:tab/>
      </w:r>
      <w:bookmarkStart w:id="29" w:name="_Toc1543233704_WPSOffice_Level1Page"/>
      <w:r>
        <w:rPr>
          <w:sz w:val="32"/>
          <w:szCs w:val="32"/>
        </w:rPr>
        <w:t>11</w:t>
      </w:r>
      <w:bookmarkEnd w:id="29"/>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_Toc1032663357_WPSOffice_Level2 </w:instrText>
      </w:r>
      <w:r>
        <w:rPr>
          <w:sz w:val="32"/>
          <w:szCs w:val="32"/>
        </w:rPr>
        <w:fldChar w:fldCharType="separate"/>
      </w:r>
      <w:r>
        <w:rPr>
          <w:rFonts w:hint="eastAsia" w:ascii="楷体" w:hAnsi="楷体" w:eastAsia="楷体" w:cs="楷体"/>
          <w:sz w:val="32"/>
          <w:szCs w:val="32"/>
        </w:rPr>
        <w:t>4.1 信息报告</w:t>
      </w:r>
      <w:r>
        <w:rPr>
          <w:sz w:val="32"/>
          <w:szCs w:val="32"/>
        </w:rPr>
        <w:tab/>
      </w:r>
      <w:bookmarkStart w:id="30" w:name="_Toc1032663357_WPSOffice_Level2Page"/>
      <w:r>
        <w:rPr>
          <w:sz w:val="32"/>
          <w:szCs w:val="32"/>
        </w:rPr>
        <w:t>11</w:t>
      </w:r>
      <w:bookmarkEnd w:id="30"/>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_Toc134654724_WPSOffice_Level2 </w:instrText>
      </w:r>
      <w:r>
        <w:rPr>
          <w:sz w:val="32"/>
          <w:szCs w:val="32"/>
        </w:rPr>
        <w:fldChar w:fldCharType="separate"/>
      </w:r>
      <w:r>
        <w:rPr>
          <w:rFonts w:hint="eastAsia" w:ascii="楷体" w:hAnsi="楷体" w:eastAsia="楷体" w:cs="楷体"/>
          <w:sz w:val="32"/>
          <w:szCs w:val="32"/>
        </w:rPr>
        <w:t>4.2 先期处置</w:t>
      </w:r>
      <w:r>
        <w:rPr>
          <w:sz w:val="32"/>
          <w:szCs w:val="32"/>
        </w:rPr>
        <w:tab/>
      </w:r>
      <w:bookmarkStart w:id="31" w:name="_Toc134654724_WPSOffice_Level2Page"/>
      <w:r>
        <w:rPr>
          <w:sz w:val="32"/>
          <w:szCs w:val="32"/>
        </w:rPr>
        <w:t>12</w:t>
      </w:r>
      <w:bookmarkEnd w:id="31"/>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_Toc2102896_WPSOffice_Level2 </w:instrText>
      </w:r>
      <w:r>
        <w:rPr>
          <w:sz w:val="32"/>
          <w:szCs w:val="32"/>
        </w:rPr>
        <w:fldChar w:fldCharType="separate"/>
      </w:r>
      <w:r>
        <w:rPr>
          <w:rFonts w:hint="eastAsia" w:ascii="楷体" w:hAnsi="楷体" w:eastAsia="楷体" w:cs="楷体"/>
          <w:sz w:val="32"/>
          <w:szCs w:val="32"/>
        </w:rPr>
        <w:t>4.3 应急响应</w:t>
      </w:r>
      <w:r>
        <w:rPr>
          <w:sz w:val="32"/>
          <w:szCs w:val="32"/>
        </w:rPr>
        <w:tab/>
      </w:r>
      <w:bookmarkStart w:id="32" w:name="_Toc2102896_WPSOffice_Level2Page"/>
      <w:r>
        <w:rPr>
          <w:sz w:val="32"/>
          <w:szCs w:val="32"/>
        </w:rPr>
        <w:t>13</w:t>
      </w:r>
      <w:bookmarkEnd w:id="32"/>
      <w:r>
        <w:rPr>
          <w:sz w:val="32"/>
          <w:szCs w:val="32"/>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_Toc154591390_WPSOffice_Level3 </w:instrText>
      </w:r>
      <w:r>
        <w:rPr>
          <w:sz w:val="32"/>
          <w:szCs w:val="32"/>
        </w:rPr>
        <w:fldChar w:fldCharType="separate"/>
      </w:r>
      <w:r>
        <w:rPr>
          <w:rFonts w:hint="eastAsia" w:ascii="仿宋_GB2312" w:hAnsi="仿宋_GB2312" w:eastAsia="仿宋_GB2312" w:cs="仿宋_GB2312"/>
          <w:sz w:val="32"/>
          <w:szCs w:val="32"/>
        </w:rPr>
        <w:t>4.3.1Ⅰ级应急响应</w:t>
      </w:r>
      <w:r>
        <w:rPr>
          <w:sz w:val="32"/>
          <w:szCs w:val="32"/>
        </w:rPr>
        <w:tab/>
      </w:r>
      <w:bookmarkStart w:id="33" w:name="_Toc154591390_WPSOffice_Level3Page"/>
      <w:r>
        <w:rPr>
          <w:sz w:val="32"/>
          <w:szCs w:val="32"/>
        </w:rPr>
        <w:t>13</w:t>
      </w:r>
      <w:bookmarkEnd w:id="33"/>
      <w:r>
        <w:rPr>
          <w:sz w:val="32"/>
          <w:szCs w:val="32"/>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_Toc1107541587_WPSOffice_Level3 </w:instrText>
      </w:r>
      <w:r>
        <w:rPr>
          <w:sz w:val="32"/>
          <w:szCs w:val="32"/>
        </w:rPr>
        <w:fldChar w:fldCharType="separate"/>
      </w:r>
      <w:r>
        <w:rPr>
          <w:rFonts w:hint="eastAsia" w:ascii="仿宋_GB2312" w:hAnsi="仿宋_GB2312" w:eastAsia="仿宋_GB2312" w:cs="仿宋_GB2312"/>
          <w:sz w:val="32"/>
          <w:szCs w:val="32"/>
        </w:rPr>
        <w:t>4.3.2Ⅱ级应急响应</w:t>
      </w:r>
      <w:r>
        <w:rPr>
          <w:sz w:val="32"/>
          <w:szCs w:val="32"/>
        </w:rPr>
        <w:tab/>
      </w:r>
      <w:bookmarkStart w:id="34" w:name="_Toc1107541587_WPSOffice_Level3Page"/>
      <w:r>
        <w:rPr>
          <w:sz w:val="32"/>
          <w:szCs w:val="32"/>
        </w:rPr>
        <w:t>13</w:t>
      </w:r>
      <w:bookmarkEnd w:id="34"/>
      <w:r>
        <w:rPr>
          <w:sz w:val="32"/>
          <w:szCs w:val="32"/>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_Toc987748548_WPSOffice_Level3 </w:instrText>
      </w:r>
      <w:r>
        <w:rPr>
          <w:sz w:val="32"/>
          <w:szCs w:val="32"/>
        </w:rPr>
        <w:fldChar w:fldCharType="separate"/>
      </w:r>
      <w:r>
        <w:rPr>
          <w:rFonts w:hint="eastAsia" w:ascii="仿宋_GB2312" w:hAnsi="仿宋_GB2312" w:eastAsia="仿宋_GB2312" w:cs="仿宋_GB2312"/>
          <w:sz w:val="32"/>
          <w:szCs w:val="32"/>
        </w:rPr>
        <w:t>4.3.3响应等级调整</w:t>
      </w:r>
      <w:r>
        <w:rPr>
          <w:sz w:val="32"/>
          <w:szCs w:val="32"/>
        </w:rPr>
        <w:tab/>
      </w:r>
      <w:bookmarkStart w:id="35" w:name="_Toc987748548_WPSOffice_Level3Page"/>
      <w:r>
        <w:rPr>
          <w:sz w:val="32"/>
          <w:szCs w:val="32"/>
        </w:rPr>
        <w:t>14</w:t>
      </w:r>
      <w:bookmarkEnd w:id="35"/>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_Toc473342729_WPSOffice_Level2 </w:instrText>
      </w:r>
      <w:r>
        <w:rPr>
          <w:sz w:val="32"/>
          <w:szCs w:val="32"/>
        </w:rPr>
        <w:fldChar w:fldCharType="separate"/>
      </w:r>
      <w:r>
        <w:rPr>
          <w:rFonts w:hint="eastAsia" w:ascii="楷体" w:hAnsi="楷体" w:eastAsia="楷体" w:cs="楷体"/>
          <w:sz w:val="32"/>
          <w:szCs w:val="32"/>
        </w:rPr>
        <w:t>4.4 信息发布</w:t>
      </w:r>
      <w:r>
        <w:rPr>
          <w:sz w:val="32"/>
          <w:szCs w:val="32"/>
        </w:rPr>
        <w:tab/>
      </w:r>
      <w:bookmarkStart w:id="36" w:name="_Toc473342729_WPSOffice_Level2Page"/>
      <w:r>
        <w:rPr>
          <w:sz w:val="32"/>
          <w:szCs w:val="32"/>
        </w:rPr>
        <w:t>14</w:t>
      </w:r>
      <w:bookmarkEnd w:id="36"/>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_Toc254027569_WPSOffice_Level2 </w:instrText>
      </w:r>
      <w:r>
        <w:rPr>
          <w:sz w:val="32"/>
          <w:szCs w:val="32"/>
        </w:rPr>
        <w:fldChar w:fldCharType="separate"/>
      </w:r>
      <w:r>
        <w:rPr>
          <w:rFonts w:hint="eastAsia" w:ascii="楷体" w:hAnsi="楷体" w:eastAsia="楷体" w:cs="楷体"/>
          <w:sz w:val="32"/>
          <w:szCs w:val="32"/>
        </w:rPr>
        <w:t>4.5 安全防护</w:t>
      </w:r>
      <w:r>
        <w:rPr>
          <w:sz w:val="32"/>
          <w:szCs w:val="32"/>
        </w:rPr>
        <w:tab/>
      </w:r>
      <w:bookmarkStart w:id="37" w:name="_Toc254027569_WPSOffice_Level2Page"/>
      <w:r>
        <w:rPr>
          <w:sz w:val="32"/>
          <w:szCs w:val="32"/>
        </w:rPr>
        <w:t>15</w:t>
      </w:r>
      <w:bookmarkEnd w:id="37"/>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_Toc797489242_WPSOffice_Level2 </w:instrText>
      </w:r>
      <w:r>
        <w:rPr>
          <w:sz w:val="32"/>
          <w:szCs w:val="32"/>
        </w:rPr>
        <w:fldChar w:fldCharType="separate"/>
      </w:r>
      <w:r>
        <w:rPr>
          <w:rFonts w:hint="eastAsia" w:ascii="楷体" w:hAnsi="楷体" w:eastAsia="楷体" w:cs="楷体"/>
          <w:sz w:val="32"/>
          <w:szCs w:val="32"/>
        </w:rPr>
        <w:t>4.6 应急结束</w:t>
      </w:r>
      <w:r>
        <w:rPr>
          <w:sz w:val="32"/>
          <w:szCs w:val="32"/>
        </w:rPr>
        <w:tab/>
      </w:r>
      <w:bookmarkStart w:id="38" w:name="_Toc797489242_WPSOffice_Level2Page"/>
      <w:r>
        <w:rPr>
          <w:sz w:val="32"/>
          <w:szCs w:val="32"/>
        </w:rPr>
        <w:t>15</w:t>
      </w:r>
      <w:bookmarkEnd w:id="38"/>
      <w:r>
        <w:rPr>
          <w:sz w:val="32"/>
          <w:szCs w:val="32"/>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_Toc346183476_WPSOffice_Level1 </w:instrText>
      </w:r>
      <w:r>
        <w:rPr>
          <w:sz w:val="32"/>
          <w:szCs w:val="32"/>
        </w:rPr>
        <w:fldChar w:fldCharType="separate"/>
      </w:r>
      <w:r>
        <w:rPr>
          <w:rFonts w:hint="eastAsia" w:ascii="黑体" w:hAnsi="黑体" w:eastAsia="黑体" w:cs="黑体"/>
          <w:sz w:val="32"/>
          <w:szCs w:val="32"/>
        </w:rPr>
        <w:t>5　后期处置</w:t>
      </w:r>
      <w:r>
        <w:rPr>
          <w:sz w:val="32"/>
          <w:szCs w:val="32"/>
        </w:rPr>
        <w:tab/>
      </w:r>
      <w:bookmarkStart w:id="39" w:name="_Toc346183476_WPSOffice_Level1Page"/>
      <w:r>
        <w:rPr>
          <w:sz w:val="32"/>
          <w:szCs w:val="32"/>
        </w:rPr>
        <w:t>16</w:t>
      </w:r>
      <w:bookmarkEnd w:id="39"/>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_Toc60581688_WPSOffice_Level2 </w:instrText>
      </w:r>
      <w:r>
        <w:rPr>
          <w:sz w:val="32"/>
          <w:szCs w:val="32"/>
        </w:rPr>
        <w:fldChar w:fldCharType="separate"/>
      </w:r>
      <w:r>
        <w:rPr>
          <w:rFonts w:hint="eastAsia" w:ascii="楷体" w:hAnsi="楷体" w:eastAsia="楷体" w:cs="楷体"/>
          <w:sz w:val="32"/>
          <w:szCs w:val="32"/>
        </w:rPr>
        <w:t>5.1 恢复生产</w:t>
      </w:r>
      <w:r>
        <w:rPr>
          <w:sz w:val="32"/>
          <w:szCs w:val="32"/>
        </w:rPr>
        <w:tab/>
      </w:r>
      <w:bookmarkStart w:id="40" w:name="_Toc60581688_WPSOffice_Level2Page"/>
      <w:r>
        <w:rPr>
          <w:sz w:val="32"/>
          <w:szCs w:val="32"/>
        </w:rPr>
        <w:t>16</w:t>
      </w:r>
      <w:bookmarkEnd w:id="40"/>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_Toc958053870_WPSOffice_Level2 </w:instrText>
      </w:r>
      <w:r>
        <w:rPr>
          <w:sz w:val="32"/>
          <w:szCs w:val="32"/>
        </w:rPr>
        <w:fldChar w:fldCharType="separate"/>
      </w:r>
      <w:r>
        <w:rPr>
          <w:rFonts w:hint="eastAsia" w:ascii="楷体" w:hAnsi="楷体" w:eastAsia="楷体" w:cs="楷体"/>
          <w:sz w:val="32"/>
          <w:szCs w:val="32"/>
        </w:rPr>
        <w:t>5.2 调查评估</w:t>
      </w:r>
      <w:r>
        <w:rPr>
          <w:sz w:val="32"/>
          <w:szCs w:val="32"/>
        </w:rPr>
        <w:tab/>
      </w:r>
      <w:bookmarkStart w:id="41" w:name="_Toc958053870_WPSOffice_Level2Page"/>
      <w:r>
        <w:rPr>
          <w:sz w:val="32"/>
          <w:szCs w:val="32"/>
        </w:rPr>
        <w:t>16</w:t>
      </w:r>
      <w:bookmarkEnd w:id="41"/>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_Toc639651457_WPSOffice_Level2 </w:instrText>
      </w:r>
      <w:r>
        <w:rPr>
          <w:sz w:val="32"/>
          <w:szCs w:val="32"/>
        </w:rPr>
        <w:fldChar w:fldCharType="separate"/>
      </w:r>
      <w:r>
        <w:rPr>
          <w:rFonts w:hint="eastAsia" w:ascii="楷体" w:hAnsi="楷体" w:eastAsia="楷体" w:cs="楷体"/>
          <w:sz w:val="32"/>
          <w:szCs w:val="32"/>
        </w:rPr>
        <w:t>5.3 善后处置</w:t>
      </w:r>
      <w:r>
        <w:rPr>
          <w:sz w:val="32"/>
          <w:szCs w:val="32"/>
        </w:rPr>
        <w:tab/>
      </w:r>
      <w:bookmarkStart w:id="42" w:name="_Toc639651457_WPSOffice_Level2Page"/>
      <w:r>
        <w:rPr>
          <w:sz w:val="32"/>
          <w:szCs w:val="32"/>
        </w:rPr>
        <w:t>16</w:t>
      </w:r>
      <w:bookmarkEnd w:id="42"/>
      <w:r>
        <w:rPr>
          <w:sz w:val="32"/>
          <w:szCs w:val="32"/>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_Toc1254966992_WPSOffice_Level1 </w:instrText>
      </w:r>
      <w:r>
        <w:rPr>
          <w:sz w:val="32"/>
          <w:szCs w:val="32"/>
        </w:rPr>
        <w:fldChar w:fldCharType="separate"/>
      </w:r>
      <w:r>
        <w:rPr>
          <w:rFonts w:hint="eastAsia" w:ascii="黑体" w:hAnsi="黑体" w:eastAsia="黑体" w:cs="黑体"/>
          <w:sz w:val="32"/>
          <w:szCs w:val="32"/>
        </w:rPr>
        <w:t>6　应急保障</w:t>
      </w:r>
      <w:r>
        <w:rPr>
          <w:sz w:val="32"/>
          <w:szCs w:val="32"/>
        </w:rPr>
        <w:tab/>
      </w:r>
      <w:bookmarkStart w:id="43" w:name="_Toc1254966992_WPSOffice_Level1Page"/>
      <w:r>
        <w:rPr>
          <w:sz w:val="32"/>
          <w:szCs w:val="32"/>
        </w:rPr>
        <w:t>16</w:t>
      </w:r>
      <w:bookmarkEnd w:id="43"/>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_Toc41767534_WPSOffice_Level2 </w:instrText>
      </w:r>
      <w:r>
        <w:rPr>
          <w:sz w:val="32"/>
          <w:szCs w:val="32"/>
        </w:rPr>
        <w:fldChar w:fldCharType="separate"/>
      </w:r>
      <w:r>
        <w:rPr>
          <w:rFonts w:hint="eastAsia" w:ascii="楷体" w:hAnsi="楷体" w:eastAsia="楷体" w:cs="楷体"/>
          <w:sz w:val="32"/>
          <w:szCs w:val="32"/>
        </w:rPr>
        <w:t>6.1 应急队伍保障</w:t>
      </w:r>
      <w:r>
        <w:rPr>
          <w:sz w:val="32"/>
          <w:szCs w:val="32"/>
        </w:rPr>
        <w:tab/>
      </w:r>
      <w:bookmarkStart w:id="44" w:name="_Toc41767534_WPSOffice_Level2Page"/>
      <w:r>
        <w:rPr>
          <w:sz w:val="32"/>
          <w:szCs w:val="32"/>
        </w:rPr>
        <w:t>16</w:t>
      </w:r>
      <w:bookmarkEnd w:id="44"/>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_Toc229301099_WPSOffice_Level2 </w:instrText>
      </w:r>
      <w:r>
        <w:rPr>
          <w:sz w:val="32"/>
          <w:szCs w:val="32"/>
        </w:rPr>
        <w:fldChar w:fldCharType="separate"/>
      </w:r>
      <w:r>
        <w:rPr>
          <w:rFonts w:hint="eastAsia" w:ascii="楷体" w:hAnsi="楷体" w:eastAsia="楷体" w:cs="楷体"/>
          <w:sz w:val="32"/>
          <w:szCs w:val="32"/>
        </w:rPr>
        <w:t>6.2 物资保障</w:t>
      </w:r>
      <w:r>
        <w:rPr>
          <w:sz w:val="32"/>
          <w:szCs w:val="32"/>
        </w:rPr>
        <w:tab/>
      </w:r>
      <w:bookmarkStart w:id="45" w:name="_Toc229301099_WPSOffice_Level2Page"/>
      <w:r>
        <w:rPr>
          <w:sz w:val="32"/>
          <w:szCs w:val="32"/>
        </w:rPr>
        <w:t>17</w:t>
      </w:r>
      <w:bookmarkEnd w:id="45"/>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_Toc266828164_WPSOffice_Level2 </w:instrText>
      </w:r>
      <w:r>
        <w:rPr>
          <w:sz w:val="32"/>
          <w:szCs w:val="32"/>
        </w:rPr>
        <w:fldChar w:fldCharType="separate"/>
      </w:r>
      <w:r>
        <w:rPr>
          <w:rFonts w:hint="eastAsia" w:ascii="楷体" w:hAnsi="楷体" w:eastAsia="楷体" w:cs="楷体"/>
          <w:sz w:val="32"/>
          <w:szCs w:val="32"/>
        </w:rPr>
        <w:t>6.3 资金保障</w:t>
      </w:r>
      <w:r>
        <w:rPr>
          <w:sz w:val="32"/>
          <w:szCs w:val="32"/>
        </w:rPr>
        <w:tab/>
      </w:r>
      <w:bookmarkStart w:id="46" w:name="_Toc266828164_WPSOffice_Level2Page"/>
      <w:r>
        <w:rPr>
          <w:sz w:val="32"/>
          <w:szCs w:val="32"/>
        </w:rPr>
        <w:t>18</w:t>
      </w:r>
      <w:bookmarkEnd w:id="46"/>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_Toc449130025_WPSOffice_Level2 </w:instrText>
      </w:r>
      <w:r>
        <w:rPr>
          <w:sz w:val="32"/>
          <w:szCs w:val="32"/>
        </w:rPr>
        <w:fldChar w:fldCharType="separate"/>
      </w:r>
      <w:r>
        <w:rPr>
          <w:rFonts w:hint="eastAsia" w:ascii="楷体" w:hAnsi="楷体" w:eastAsia="楷体" w:cs="楷体"/>
          <w:sz w:val="32"/>
          <w:szCs w:val="32"/>
        </w:rPr>
        <w:t>6.4 技术保障</w:t>
      </w:r>
      <w:r>
        <w:rPr>
          <w:sz w:val="32"/>
          <w:szCs w:val="32"/>
        </w:rPr>
        <w:tab/>
      </w:r>
      <w:bookmarkStart w:id="47" w:name="_Toc449130025_WPSOffice_Level2Page"/>
      <w:r>
        <w:rPr>
          <w:sz w:val="32"/>
          <w:szCs w:val="32"/>
        </w:rPr>
        <w:t>18</w:t>
      </w:r>
      <w:bookmarkEnd w:id="47"/>
      <w:r>
        <w:rPr>
          <w:sz w:val="32"/>
          <w:szCs w:val="32"/>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_Toc125455737_WPSOffice_Level1 </w:instrText>
      </w:r>
      <w:r>
        <w:rPr>
          <w:sz w:val="32"/>
          <w:szCs w:val="32"/>
        </w:rPr>
        <w:fldChar w:fldCharType="separate"/>
      </w:r>
      <w:r>
        <w:rPr>
          <w:rFonts w:hint="eastAsia" w:ascii="黑体" w:hAnsi="黑体" w:eastAsia="黑体" w:cs="黑体"/>
          <w:sz w:val="32"/>
          <w:szCs w:val="32"/>
        </w:rPr>
        <w:t>7　宣传教育、培训与应急演练</w:t>
      </w:r>
      <w:r>
        <w:rPr>
          <w:sz w:val="32"/>
          <w:szCs w:val="32"/>
        </w:rPr>
        <w:tab/>
      </w:r>
      <w:bookmarkStart w:id="48" w:name="_Toc125455737_WPSOffice_Level1Page"/>
      <w:r>
        <w:rPr>
          <w:sz w:val="32"/>
          <w:szCs w:val="32"/>
        </w:rPr>
        <w:t>18</w:t>
      </w:r>
      <w:bookmarkEnd w:id="48"/>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_Toc1100225354_WPSOffice_Level2 </w:instrText>
      </w:r>
      <w:r>
        <w:rPr>
          <w:sz w:val="32"/>
          <w:szCs w:val="32"/>
        </w:rPr>
        <w:fldChar w:fldCharType="separate"/>
      </w:r>
      <w:r>
        <w:rPr>
          <w:rFonts w:hint="eastAsia" w:ascii="楷体" w:hAnsi="楷体" w:eastAsia="楷体" w:cs="楷体"/>
          <w:sz w:val="32"/>
          <w:szCs w:val="32"/>
        </w:rPr>
        <w:t>7.1 宣传教育</w:t>
      </w:r>
      <w:r>
        <w:rPr>
          <w:sz w:val="32"/>
          <w:szCs w:val="32"/>
        </w:rPr>
        <w:tab/>
      </w:r>
      <w:bookmarkStart w:id="49" w:name="_Toc1100225354_WPSOffice_Level2Page"/>
      <w:r>
        <w:rPr>
          <w:sz w:val="32"/>
          <w:szCs w:val="32"/>
        </w:rPr>
        <w:t>18</w:t>
      </w:r>
      <w:bookmarkEnd w:id="49"/>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_Toc664546546_WPSOffice_Level2 </w:instrText>
      </w:r>
      <w:r>
        <w:rPr>
          <w:sz w:val="32"/>
          <w:szCs w:val="32"/>
        </w:rPr>
        <w:fldChar w:fldCharType="separate"/>
      </w:r>
      <w:r>
        <w:rPr>
          <w:rFonts w:hint="eastAsia" w:ascii="楷体" w:hAnsi="楷体" w:eastAsia="楷体" w:cs="楷体"/>
          <w:sz w:val="32"/>
          <w:szCs w:val="32"/>
        </w:rPr>
        <w:t>7.2 培训</w:t>
      </w:r>
      <w:r>
        <w:rPr>
          <w:sz w:val="32"/>
          <w:szCs w:val="32"/>
        </w:rPr>
        <w:tab/>
      </w:r>
      <w:bookmarkStart w:id="50" w:name="_Toc664546546_WPSOffice_Level2Page"/>
      <w:r>
        <w:rPr>
          <w:sz w:val="32"/>
          <w:szCs w:val="32"/>
        </w:rPr>
        <w:t>19</w:t>
      </w:r>
      <w:bookmarkEnd w:id="50"/>
      <w:r>
        <w:rPr>
          <w:sz w:val="32"/>
          <w:szCs w:val="32"/>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_Toc1989802908_WPSOffice_Level2 </w:instrText>
      </w:r>
      <w:r>
        <w:rPr>
          <w:sz w:val="32"/>
          <w:szCs w:val="32"/>
        </w:rPr>
        <w:fldChar w:fldCharType="separate"/>
      </w:r>
      <w:r>
        <w:rPr>
          <w:rFonts w:hint="eastAsia" w:ascii="楷体" w:hAnsi="楷体" w:eastAsia="楷体" w:cs="楷体"/>
          <w:sz w:val="32"/>
          <w:szCs w:val="32"/>
        </w:rPr>
        <w:t>7.3 应急演练</w:t>
      </w:r>
      <w:r>
        <w:rPr>
          <w:sz w:val="32"/>
          <w:szCs w:val="32"/>
        </w:rPr>
        <w:tab/>
      </w:r>
      <w:bookmarkStart w:id="51" w:name="_Toc1989802908_WPSOffice_Level2Page"/>
      <w:r>
        <w:rPr>
          <w:sz w:val="32"/>
          <w:szCs w:val="32"/>
        </w:rPr>
        <w:t>19</w:t>
      </w:r>
      <w:bookmarkEnd w:id="51"/>
      <w:r>
        <w:rPr>
          <w:sz w:val="32"/>
          <w:szCs w:val="32"/>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_Toc908132374_WPSOffice_Level1 </w:instrText>
      </w:r>
      <w:r>
        <w:rPr>
          <w:sz w:val="32"/>
          <w:szCs w:val="32"/>
        </w:rPr>
        <w:fldChar w:fldCharType="separate"/>
      </w:r>
      <w:r>
        <w:rPr>
          <w:rFonts w:hint="eastAsia" w:ascii="黑体" w:hAnsi="黑体" w:eastAsia="黑体" w:cs="黑体"/>
          <w:sz w:val="32"/>
          <w:szCs w:val="32"/>
        </w:rPr>
        <w:t>8　附则</w:t>
      </w:r>
      <w:r>
        <w:rPr>
          <w:sz w:val="32"/>
          <w:szCs w:val="32"/>
        </w:rPr>
        <w:tab/>
      </w:r>
      <w:bookmarkStart w:id="52" w:name="_Toc908132374_WPSOffice_Level1Page"/>
      <w:r>
        <w:rPr>
          <w:sz w:val="32"/>
          <w:szCs w:val="32"/>
        </w:rPr>
        <w:t>20</w:t>
      </w:r>
      <w:bookmarkEnd w:id="52"/>
      <w:r>
        <w:rPr>
          <w:sz w:val="32"/>
          <w:szCs w:val="32"/>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_Toc1094476005_WPSOffice_Level1 </w:instrText>
      </w:r>
      <w:r>
        <w:rPr>
          <w:sz w:val="32"/>
          <w:szCs w:val="32"/>
        </w:rPr>
        <w:fldChar w:fldCharType="separate"/>
      </w:r>
      <w:r>
        <w:rPr>
          <w:rFonts w:hint="eastAsia" w:ascii="仿宋_GB2312" w:hAnsi="仿宋_GB2312" w:eastAsia="仿宋_GB2312" w:cs="仿宋_GB2312"/>
          <w:sz w:val="32"/>
          <w:szCs w:val="32"/>
        </w:rPr>
        <w:t>附件1:和平区燃气突发事件分类分级</w:t>
      </w:r>
      <w:r>
        <w:rPr>
          <w:sz w:val="32"/>
          <w:szCs w:val="32"/>
        </w:rPr>
        <w:tab/>
      </w:r>
      <w:bookmarkStart w:id="53" w:name="_Toc1094476005_WPSOffice_Level1Page"/>
      <w:r>
        <w:rPr>
          <w:sz w:val="32"/>
          <w:szCs w:val="32"/>
        </w:rPr>
        <w:t>20</w:t>
      </w:r>
      <w:bookmarkEnd w:id="53"/>
      <w:r>
        <w:rPr>
          <w:sz w:val="32"/>
          <w:szCs w:val="32"/>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_Toc1256272088_WPSOffice_Level1 </w:instrText>
      </w:r>
      <w:r>
        <w:rPr>
          <w:sz w:val="32"/>
          <w:szCs w:val="32"/>
        </w:rPr>
        <w:fldChar w:fldCharType="separate"/>
      </w:r>
      <w:r>
        <w:rPr>
          <w:rFonts w:hint="eastAsia" w:ascii="仿宋_GB2312" w:hAnsi="仿宋_GB2312" w:eastAsia="仿宋_GB2312" w:cs="仿宋_GB2312"/>
          <w:sz w:val="32"/>
          <w:szCs w:val="32"/>
        </w:rPr>
        <w:t>附件2：和平区燃气突发事件应急抢险救援队伍</w:t>
      </w:r>
      <w:r>
        <w:rPr>
          <w:sz w:val="32"/>
          <w:szCs w:val="32"/>
        </w:rPr>
        <w:tab/>
      </w:r>
      <w:bookmarkStart w:id="54" w:name="_Toc1256272088_WPSOffice_Level1Page"/>
      <w:r>
        <w:rPr>
          <w:sz w:val="32"/>
          <w:szCs w:val="32"/>
        </w:rPr>
        <w:t>20</w:t>
      </w:r>
      <w:bookmarkEnd w:id="54"/>
      <w:r>
        <w:rPr>
          <w:sz w:val="32"/>
          <w:szCs w:val="32"/>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_Toc566969331_WPSOffice_Level1 </w:instrText>
      </w:r>
      <w:r>
        <w:rPr>
          <w:sz w:val="32"/>
          <w:szCs w:val="32"/>
        </w:rPr>
        <w:fldChar w:fldCharType="separate"/>
      </w:r>
      <w:r>
        <w:rPr>
          <w:rFonts w:hint="eastAsia" w:ascii="宋体" w:hAnsi="宋体" w:eastAsia="宋体" w:cs="宋体"/>
          <w:sz w:val="32"/>
          <w:szCs w:val="32"/>
        </w:rPr>
        <w:t>和平区燃气突发事件分类分级</w:t>
      </w:r>
      <w:r>
        <w:rPr>
          <w:sz w:val="32"/>
          <w:szCs w:val="32"/>
        </w:rPr>
        <w:tab/>
      </w:r>
      <w:bookmarkStart w:id="55" w:name="_Toc566969331_WPSOffice_Level1Page"/>
      <w:r>
        <w:rPr>
          <w:sz w:val="32"/>
          <w:szCs w:val="32"/>
        </w:rPr>
        <w:t>21</w:t>
      </w:r>
      <w:bookmarkEnd w:id="55"/>
      <w:r>
        <w:rPr>
          <w:sz w:val="32"/>
          <w:szCs w:val="32"/>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_Toc1260486190_WPSOffice_Level1 </w:instrText>
      </w:r>
      <w:r>
        <w:rPr>
          <w:sz w:val="32"/>
          <w:szCs w:val="32"/>
        </w:rPr>
        <w:fldChar w:fldCharType="separate"/>
      </w:r>
      <w:r>
        <w:rPr>
          <w:rFonts w:hint="eastAsia" w:ascii="黑体" w:hAnsi="黑体" w:eastAsia="黑体" w:cs="黑体"/>
          <w:sz w:val="32"/>
          <w:szCs w:val="32"/>
        </w:rPr>
        <w:t>一、气源供应类事件分级</w:t>
      </w:r>
      <w:r>
        <w:rPr>
          <w:sz w:val="32"/>
          <w:szCs w:val="32"/>
        </w:rPr>
        <w:tab/>
      </w:r>
      <w:bookmarkStart w:id="56" w:name="_Toc1260486190_WPSOffice_Level1Page"/>
      <w:r>
        <w:rPr>
          <w:sz w:val="32"/>
          <w:szCs w:val="32"/>
        </w:rPr>
        <w:t>21</w:t>
      </w:r>
      <w:bookmarkEnd w:id="56"/>
      <w:r>
        <w:rPr>
          <w:sz w:val="32"/>
          <w:szCs w:val="32"/>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_Toc1650255697_WPSOffice_Level1 </w:instrText>
      </w:r>
      <w:r>
        <w:rPr>
          <w:sz w:val="32"/>
          <w:szCs w:val="32"/>
        </w:rPr>
        <w:fldChar w:fldCharType="separate"/>
      </w:r>
      <w:r>
        <w:rPr>
          <w:rFonts w:hint="eastAsia" w:ascii="黑体" w:hAnsi="黑体" w:eastAsia="黑体" w:cs="黑体"/>
          <w:sz w:val="32"/>
          <w:szCs w:val="32"/>
        </w:rPr>
        <w:t>二、 燃气泄漏类事件分级</w:t>
      </w:r>
      <w:r>
        <w:rPr>
          <w:sz w:val="32"/>
          <w:szCs w:val="32"/>
        </w:rPr>
        <w:tab/>
      </w:r>
      <w:bookmarkStart w:id="57" w:name="_Toc1650255697_WPSOffice_Level1Page"/>
      <w:r>
        <w:rPr>
          <w:sz w:val="32"/>
          <w:szCs w:val="32"/>
        </w:rPr>
        <w:t>22</w:t>
      </w:r>
      <w:bookmarkEnd w:id="57"/>
      <w:r>
        <w:rPr>
          <w:sz w:val="32"/>
          <w:szCs w:val="32"/>
        </w:rPr>
        <w:fldChar w:fldCharType="end"/>
      </w:r>
    </w:p>
    <w:bookmarkEnd w:id="0"/>
    <w:p>
      <w:bookmarkStart w:id="58" w:name="_Toc1779479314_WPSOffice_Level1"/>
    </w:p>
    <w:p/>
    <w:p/>
    <w:p/>
    <w:p/>
    <w:p/>
    <w:p/>
    <w:p>
      <w:pPr>
        <w:pStyle w:val="2"/>
        <w:numPr>
          <w:ilvl w:val="0"/>
          <w:numId w:val="1"/>
        </w:numPr>
        <w:ind w:firstLine="640"/>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pStyle w:val="2"/>
        <w:numPr>
          <w:ilvl w:val="0"/>
          <w:numId w:val="1"/>
        </w:numPr>
        <w:ind w:firstLine="640"/>
      </w:pPr>
      <w:bookmarkStart w:id="59" w:name="_Toc606352840_WPSOffice_Level1"/>
      <w:r>
        <w:rPr>
          <w:rFonts w:hint="eastAsia"/>
        </w:rPr>
        <w:t>总则</w:t>
      </w:r>
      <w:bookmarkEnd w:id="58"/>
      <w:bookmarkEnd w:id="59"/>
    </w:p>
    <w:p>
      <w:pPr>
        <w:pStyle w:val="3"/>
        <w:ind w:firstLine="560"/>
        <w:rPr>
          <w:rFonts w:hint="eastAsia" w:ascii="楷体" w:hAnsi="楷体" w:eastAsia="楷体" w:cs="楷体"/>
          <w:sz w:val="32"/>
          <w:szCs w:val="32"/>
        </w:rPr>
      </w:pPr>
      <w:bookmarkStart w:id="60" w:name="_Toc49881166"/>
      <w:bookmarkStart w:id="61" w:name="_Toc1269411681_WPSOffice_Level2"/>
      <w:r>
        <w:rPr>
          <w:rFonts w:hint="eastAsia" w:ascii="楷体" w:hAnsi="楷体" w:eastAsia="楷体" w:cs="楷体"/>
          <w:sz w:val="32"/>
          <w:szCs w:val="32"/>
        </w:rPr>
        <w:t>1.1 编制目的</w:t>
      </w:r>
      <w:bookmarkEnd w:id="60"/>
      <w:bookmarkEnd w:id="61"/>
      <w:r>
        <w:rPr>
          <w:rFonts w:hint="eastAsia" w:ascii="楷体" w:hAnsi="楷体" w:eastAsia="楷体" w:cs="楷体"/>
          <w:sz w:val="32"/>
          <w:szCs w:val="32"/>
        </w:rPr>
        <w:tab/>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TW" w:eastAsia="zh-TW" w:bidi="zh-TW"/>
        </w:rPr>
        <w:t>最大限度地减少燃气突发事件造成的人员伤亡和财产损失，提高燃气安全供气的保障能力和突发事件应对能力，保障经济发展和社会稳定。</w:t>
      </w:r>
    </w:p>
    <w:p>
      <w:pPr>
        <w:pStyle w:val="3"/>
        <w:wordWrap/>
        <w:snapToGrid/>
        <w:spacing w:line="560" w:lineRule="exact"/>
        <w:ind w:firstLine="560"/>
        <w:textAlignment w:val="auto"/>
        <w:rPr>
          <w:rFonts w:hint="eastAsia" w:ascii="楷体" w:hAnsi="楷体" w:eastAsia="楷体" w:cs="楷体"/>
          <w:sz w:val="32"/>
          <w:szCs w:val="32"/>
        </w:rPr>
      </w:pPr>
      <w:bookmarkStart w:id="62" w:name="_Toc49881167"/>
      <w:bookmarkStart w:id="63" w:name="_Toc972886863_WPSOffice_Level2"/>
      <w:r>
        <w:rPr>
          <w:rFonts w:hint="eastAsia" w:ascii="楷体" w:hAnsi="楷体" w:eastAsia="楷体" w:cs="楷体"/>
          <w:sz w:val="32"/>
          <w:szCs w:val="32"/>
        </w:rPr>
        <w:t>1.2 编制依据</w:t>
      </w:r>
      <w:bookmarkEnd w:id="62"/>
      <w:bookmarkEnd w:id="63"/>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本预案的编制依据相关法律、法规、文件。作为本预案编制和应急救援的依据主要包括：</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1、《中华人民共和国突发事件应对法》（国家主席令</w:t>
      </w:r>
      <w:r>
        <w:rPr>
          <w:rFonts w:hint="eastAsia" w:ascii="仿宋_GB2312" w:hAnsi="仿宋_GB2312" w:eastAsia="仿宋_GB2312" w:cs="仿宋_GB2312"/>
          <w:kern w:val="0"/>
          <w:sz w:val="32"/>
          <w:szCs w:val="32"/>
        </w:rPr>
        <w:t>[2007]第69号</w:t>
      </w:r>
      <w:r>
        <w:rPr>
          <w:rFonts w:hint="eastAsia" w:ascii="仿宋_GB2312" w:hAnsi="仿宋_GB2312" w:eastAsia="仿宋_GB2312" w:cs="仿宋_GB2312"/>
          <w:sz w:val="32"/>
          <w:szCs w:val="32"/>
        </w:rPr>
        <w:t>）</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2、《中华人民共和国安全生产法》（国家主席令[2014]第13号）</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3、《中华人民共和国石油天然气管道保护法》（国家主席令[2010]第30号）</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4、《中华人民共和国道路交通安全法》（国家主席令[2011]第47号）</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5、《城镇燃气管理条例》（国务院令[2016]第666号）</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6、《特种设备安全监察条例》（国务院令第549号）</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7、《天津市燃气管理条例》</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8、《天津市突发事件总体应急预案》（津政发〔2013〕3号）</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9、《天津市实施〈中华人民共和国突发事件应对法〉办法》（天津市常委公告第三十号文）</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10、《生产安全事故应急管理条例》（国务院令第708号）</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11、《天津市应急救援队伍建设管理办法》(津政办规〔2020〕4号)</w:t>
      </w:r>
    </w:p>
    <w:p>
      <w:pPr>
        <w:pStyle w:val="3"/>
        <w:wordWrap/>
        <w:snapToGrid/>
        <w:spacing w:line="560" w:lineRule="exact"/>
        <w:ind w:firstLine="560"/>
        <w:textAlignment w:val="auto"/>
        <w:rPr>
          <w:rFonts w:hint="eastAsia" w:ascii="楷体" w:hAnsi="楷体" w:eastAsia="楷体" w:cs="楷体"/>
          <w:sz w:val="32"/>
          <w:szCs w:val="32"/>
        </w:rPr>
      </w:pPr>
      <w:bookmarkStart w:id="64" w:name="_Toc49881168"/>
      <w:bookmarkStart w:id="65" w:name="_Toc985645652_WPSOffice_Level2"/>
      <w:r>
        <w:rPr>
          <w:rFonts w:hint="eastAsia" w:ascii="楷体" w:hAnsi="楷体" w:eastAsia="楷体" w:cs="楷体"/>
          <w:sz w:val="32"/>
          <w:szCs w:val="32"/>
        </w:rPr>
        <w:t>1.3 分类分级</w:t>
      </w:r>
      <w:bookmarkEnd w:id="64"/>
      <w:bookmarkEnd w:id="65"/>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本预案所称燃气突发事件，是指燃气气源供应、设施故障、燃气泄漏，造成或可能造成社会危害，需要采取应急处置措施予以应对的燃气事件。根据国务院有关规定</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u w:val="none"/>
          <w:lang w:eastAsia="zh-CN"/>
        </w:rPr>
        <w:t>和平区</w:t>
      </w:r>
      <w:r>
        <w:rPr>
          <w:rFonts w:hint="eastAsia" w:ascii="仿宋_GB2312" w:hAnsi="仿宋_GB2312" w:eastAsia="仿宋_GB2312" w:cs="仿宋_GB2312"/>
          <w:color w:val="auto"/>
          <w:sz w:val="32"/>
          <w:szCs w:val="32"/>
        </w:rPr>
        <w:t>燃气行业特点，将</w:t>
      </w:r>
      <w:r>
        <w:rPr>
          <w:rFonts w:hint="eastAsia" w:ascii="仿宋_GB2312" w:hAnsi="仿宋_GB2312" w:eastAsia="仿宋_GB2312" w:cs="仿宋_GB2312"/>
          <w:color w:val="auto"/>
          <w:sz w:val="32"/>
          <w:szCs w:val="32"/>
          <w:u w:val="none"/>
          <w:lang w:eastAsia="zh-CN"/>
        </w:rPr>
        <w:t>和平区</w:t>
      </w:r>
      <w:r>
        <w:rPr>
          <w:rFonts w:hint="eastAsia" w:ascii="仿宋_GB2312" w:hAnsi="仿宋_GB2312" w:eastAsia="仿宋_GB2312" w:cs="仿宋_GB2312"/>
          <w:color w:val="auto"/>
          <w:sz w:val="32"/>
          <w:szCs w:val="32"/>
        </w:rPr>
        <w:t>燃气突发事件分为燃气供应中断、燃气泄漏、燃气着火爆炸三类。其中，燃气着火爆炸突发事件的应急处置参照《天津市火灾事故应急预案》执行。燃气供应不足或中断、燃气泄漏突发事</w:t>
      </w:r>
      <w:r>
        <w:rPr>
          <w:rFonts w:hint="eastAsia" w:ascii="仿宋_GB2312" w:hAnsi="仿宋_GB2312" w:eastAsia="仿宋_GB2312" w:cs="仿宋_GB2312"/>
          <w:sz w:val="32"/>
          <w:szCs w:val="32"/>
        </w:rPr>
        <w:t>件，分为Ⅰ级（特别重大）、Ⅱ级（重大）、Ⅲ级（较大）和Ⅳ级（一般），具体分级标准见附件。</w:t>
      </w:r>
    </w:p>
    <w:p>
      <w:pPr>
        <w:pStyle w:val="3"/>
        <w:wordWrap/>
        <w:snapToGrid/>
        <w:spacing w:line="560" w:lineRule="exact"/>
        <w:ind w:firstLine="560"/>
        <w:textAlignment w:val="auto"/>
        <w:rPr>
          <w:rFonts w:hint="eastAsia" w:ascii="楷体" w:hAnsi="楷体" w:eastAsia="楷体" w:cs="楷体"/>
          <w:sz w:val="32"/>
          <w:szCs w:val="32"/>
        </w:rPr>
      </w:pPr>
      <w:bookmarkStart w:id="66" w:name="_Toc318751339_WPSOffice_Level2"/>
      <w:bookmarkStart w:id="67" w:name="_Toc49881169"/>
      <w:r>
        <w:rPr>
          <w:rFonts w:hint="eastAsia" w:ascii="楷体" w:hAnsi="楷体" w:eastAsia="楷体" w:cs="楷体"/>
          <w:sz w:val="32"/>
          <w:szCs w:val="32"/>
        </w:rPr>
        <w:t>1.4 工作原则</w:t>
      </w:r>
      <w:bookmarkEnd w:id="66"/>
      <w:bookmarkEnd w:id="67"/>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以人为本、科学决策；平战结合、预防为主；统一指挥、分级负责；属地管理、条块结合;快速反应、专业处置；资源共享、协同应对。</w:t>
      </w:r>
    </w:p>
    <w:p>
      <w:pPr>
        <w:pStyle w:val="3"/>
        <w:wordWrap/>
        <w:snapToGrid/>
        <w:spacing w:line="560" w:lineRule="exact"/>
        <w:ind w:firstLine="560"/>
        <w:textAlignment w:val="auto"/>
        <w:rPr>
          <w:rFonts w:hint="eastAsia" w:ascii="楷体" w:hAnsi="楷体" w:eastAsia="楷体" w:cs="楷体"/>
          <w:sz w:val="32"/>
          <w:szCs w:val="32"/>
        </w:rPr>
      </w:pPr>
      <w:bookmarkStart w:id="68" w:name="_Toc1293969630_WPSOffice_Level2"/>
      <w:bookmarkStart w:id="69" w:name="_Toc49881170"/>
      <w:r>
        <w:rPr>
          <w:rFonts w:hint="eastAsia" w:ascii="楷体" w:hAnsi="楷体" w:eastAsia="楷体" w:cs="楷体"/>
          <w:sz w:val="32"/>
          <w:szCs w:val="32"/>
        </w:rPr>
        <w:t>1.5 适用范围</w:t>
      </w:r>
      <w:bookmarkEnd w:id="68"/>
      <w:bookmarkEnd w:id="69"/>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本预案是我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应对燃气突发事件的专项应急预案，适用于本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行政区域内燃气经营企业各类燃气供应不足或中断、燃气泄漏等突发事件的预防和处置。</w:t>
      </w:r>
    </w:p>
    <w:p>
      <w:pPr>
        <w:pStyle w:val="2"/>
        <w:wordWrap/>
        <w:snapToGrid/>
        <w:spacing w:line="560" w:lineRule="exact"/>
        <w:ind w:firstLine="640"/>
        <w:textAlignment w:val="auto"/>
        <w:rPr>
          <w:rFonts w:hint="eastAsia" w:ascii="仿宋_GB2312" w:hAnsi="仿宋_GB2312" w:eastAsia="仿宋_GB2312" w:cs="仿宋_GB2312"/>
          <w:sz w:val="32"/>
          <w:szCs w:val="32"/>
        </w:rPr>
      </w:pPr>
      <w:bookmarkStart w:id="70" w:name="_Toc74252163_WPSOffice_Level1"/>
      <w:bookmarkStart w:id="71" w:name="_Toc49881171"/>
      <w:bookmarkStart w:id="72" w:name="_Toc1957224342_WPSOffice_Level1"/>
      <w:r>
        <w:rPr>
          <w:rFonts w:hint="eastAsia" w:ascii="黑体" w:hAnsi="黑体" w:eastAsia="黑体" w:cs="黑体"/>
          <w:sz w:val="32"/>
          <w:szCs w:val="32"/>
        </w:rPr>
        <w:t>2　组织体系</w:t>
      </w:r>
      <w:bookmarkEnd w:id="70"/>
      <w:bookmarkEnd w:id="71"/>
      <w:bookmarkEnd w:id="72"/>
    </w:p>
    <w:p>
      <w:pPr>
        <w:pStyle w:val="3"/>
        <w:wordWrap/>
        <w:snapToGrid/>
        <w:spacing w:line="560" w:lineRule="exact"/>
        <w:ind w:firstLine="560"/>
        <w:textAlignment w:val="auto"/>
        <w:rPr>
          <w:rFonts w:hint="eastAsia" w:ascii="楷体" w:hAnsi="楷体" w:eastAsia="楷体" w:cs="楷体"/>
          <w:sz w:val="32"/>
          <w:szCs w:val="32"/>
        </w:rPr>
      </w:pPr>
      <w:bookmarkStart w:id="73" w:name="_Toc49881172"/>
      <w:bookmarkStart w:id="74" w:name="_Toc2020324395_WPSOffice_Level2"/>
      <w:r>
        <w:rPr>
          <w:rFonts w:hint="eastAsia" w:ascii="楷体" w:hAnsi="楷体" w:eastAsia="楷体" w:cs="楷体"/>
          <w:sz w:val="32"/>
          <w:szCs w:val="32"/>
        </w:rPr>
        <w:t>2.1 领导机构</w:t>
      </w:r>
      <w:bookmarkEnd w:id="73"/>
      <w:bookmarkEnd w:id="74"/>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2.1.1设立</w:t>
      </w:r>
      <w:r>
        <w:rPr>
          <w:rFonts w:hint="eastAsia" w:ascii="仿宋_GB2312" w:hAnsi="仿宋_GB2312" w:eastAsia="仿宋_GB2312" w:cs="仿宋_GB2312"/>
          <w:sz w:val="32"/>
          <w:szCs w:val="32"/>
          <w:lang w:eastAsia="zh-CN"/>
        </w:rPr>
        <w:t>和平区</w:t>
      </w:r>
      <w:r>
        <w:rPr>
          <w:rFonts w:hint="eastAsia" w:ascii="仿宋_GB2312" w:hAnsi="仿宋_GB2312" w:eastAsia="仿宋_GB2312" w:cs="仿宋_GB2312"/>
          <w:sz w:val="32"/>
          <w:szCs w:val="32"/>
        </w:rPr>
        <w:t>燃气突发事件应急指挥部（以下简称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指挥部总指挥由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人民政府分管城</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工作的副</w:t>
      </w:r>
      <w:r>
        <w:rPr>
          <w:rFonts w:hint="eastAsia" w:ascii="仿宋_GB2312" w:hAnsi="仿宋_GB2312" w:eastAsia="仿宋_GB2312" w:cs="仿宋_GB2312"/>
          <w:sz w:val="32"/>
          <w:szCs w:val="32"/>
          <w:lang w:eastAsia="zh-CN"/>
        </w:rPr>
        <w:t>区长</w:t>
      </w:r>
      <w:r>
        <w:rPr>
          <w:rFonts w:hint="eastAsia" w:ascii="仿宋_GB2312" w:hAnsi="仿宋_GB2312" w:eastAsia="仿宋_GB2312" w:cs="仿宋_GB2312"/>
          <w:sz w:val="32"/>
          <w:szCs w:val="32"/>
        </w:rPr>
        <w:t>担任，副总指挥由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人民政府分管</w:t>
      </w:r>
      <w:r>
        <w:rPr>
          <w:rFonts w:hint="eastAsia" w:ascii="仿宋_GB2312" w:hAnsi="仿宋_GB2312" w:eastAsia="仿宋_GB2312" w:cs="仿宋_GB2312"/>
          <w:sz w:val="32"/>
          <w:szCs w:val="32"/>
          <w:lang w:eastAsia="zh-CN"/>
        </w:rPr>
        <w:t>副主任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应急局局长、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城市管理委主任担任。</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指挥部的主要职责是：贯彻落实市委、市政府</w:t>
      </w:r>
      <w:r>
        <w:rPr>
          <w:rFonts w:hint="eastAsia" w:ascii="仿宋_GB2312" w:hAnsi="仿宋_GB2312" w:eastAsia="仿宋_GB2312" w:cs="仿宋_GB2312"/>
          <w:sz w:val="32"/>
          <w:szCs w:val="32"/>
          <w:lang w:eastAsia="zh-CN"/>
        </w:rPr>
        <w:t>和区委、区政府</w:t>
      </w:r>
      <w:r>
        <w:rPr>
          <w:rFonts w:hint="eastAsia" w:ascii="仿宋_GB2312" w:hAnsi="仿宋_GB2312" w:eastAsia="仿宋_GB2312" w:cs="仿宋_GB2312"/>
          <w:sz w:val="32"/>
          <w:szCs w:val="32"/>
        </w:rPr>
        <w:t>关于燃气突发事件应急应对的决策部署；研究制定</w:t>
      </w:r>
      <w:r>
        <w:rPr>
          <w:rFonts w:hint="eastAsia" w:ascii="仿宋_GB2312" w:hAnsi="仿宋_GB2312" w:eastAsia="仿宋_GB2312" w:cs="仿宋_GB2312"/>
          <w:sz w:val="32"/>
          <w:szCs w:val="32"/>
          <w:lang w:eastAsia="zh-CN"/>
        </w:rPr>
        <w:t>本区</w:t>
      </w:r>
      <w:r>
        <w:rPr>
          <w:rFonts w:hint="eastAsia" w:ascii="仿宋_GB2312" w:hAnsi="仿宋_GB2312" w:eastAsia="仿宋_GB2312" w:cs="仿宋_GB2312"/>
          <w:sz w:val="32"/>
          <w:szCs w:val="32"/>
        </w:rPr>
        <w:t>应对燃气突发事件的政策、措施和指导意见；组织指挥突发事件的应对工作，指导</w:t>
      </w:r>
      <w:r>
        <w:rPr>
          <w:rFonts w:hint="eastAsia" w:ascii="仿宋_GB2312" w:hAnsi="仿宋_GB2312" w:eastAsia="仿宋_GB2312" w:cs="仿宋_GB2312"/>
          <w:sz w:val="32"/>
          <w:szCs w:val="32"/>
          <w:lang w:eastAsia="zh-CN"/>
        </w:rPr>
        <w:t>各街道、各燃气经营企业</w:t>
      </w:r>
      <w:r>
        <w:rPr>
          <w:rFonts w:hint="eastAsia" w:ascii="仿宋_GB2312" w:hAnsi="仿宋_GB2312" w:eastAsia="仿宋_GB2312" w:cs="仿宋_GB2312"/>
          <w:sz w:val="32"/>
          <w:szCs w:val="32"/>
        </w:rPr>
        <w:t>开展较大以下突发事件的应对工作；指导全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燃气突发事件应急队伍、应急物资的建设和管理工作。</w:t>
      </w:r>
    </w:p>
    <w:p>
      <w:pPr>
        <w:pStyle w:val="3"/>
        <w:wordWrap/>
        <w:snapToGrid/>
        <w:spacing w:line="560" w:lineRule="exact"/>
        <w:ind w:firstLine="560"/>
        <w:textAlignment w:val="auto"/>
        <w:rPr>
          <w:rFonts w:hint="eastAsia" w:ascii="楷体" w:hAnsi="楷体" w:eastAsia="楷体" w:cs="楷体"/>
          <w:sz w:val="32"/>
          <w:szCs w:val="32"/>
        </w:rPr>
      </w:pPr>
      <w:bookmarkStart w:id="75" w:name="_Toc49881173"/>
      <w:bookmarkStart w:id="76" w:name="_Toc1954037767_WPSOffice_Level2"/>
      <w:r>
        <w:rPr>
          <w:rFonts w:hint="eastAsia" w:ascii="楷体" w:hAnsi="楷体" w:eastAsia="楷体" w:cs="楷体"/>
          <w:sz w:val="32"/>
          <w:szCs w:val="32"/>
        </w:rPr>
        <w:t>2.2 办事机构</w:t>
      </w:r>
      <w:bookmarkEnd w:id="75"/>
      <w:bookmarkEnd w:id="76"/>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指挥部下设</w:t>
      </w:r>
      <w:r>
        <w:rPr>
          <w:rFonts w:hint="eastAsia" w:ascii="仿宋_GB2312" w:hAnsi="仿宋_GB2312" w:eastAsia="仿宋_GB2312" w:cs="仿宋_GB2312"/>
          <w:sz w:val="32"/>
          <w:szCs w:val="32"/>
          <w:lang w:eastAsia="zh-CN"/>
        </w:rPr>
        <w:t>和平区</w:t>
      </w:r>
      <w:r>
        <w:rPr>
          <w:rFonts w:hint="eastAsia" w:ascii="仿宋_GB2312" w:hAnsi="仿宋_GB2312" w:eastAsia="仿宋_GB2312" w:cs="仿宋_GB2312"/>
          <w:sz w:val="32"/>
          <w:szCs w:val="32"/>
        </w:rPr>
        <w:t>燃气突发事件应急指挥部办公室（以下简称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指挥部办公室）,设在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城市管理委</w:t>
      </w:r>
      <w:r>
        <w:rPr>
          <w:rFonts w:hint="eastAsia" w:ascii="仿宋_GB2312" w:hAnsi="仿宋_GB2312" w:eastAsia="仿宋_GB2312" w:cs="仿宋_GB2312"/>
          <w:sz w:val="32"/>
          <w:szCs w:val="32"/>
          <w:lang w:eastAsia="zh-CN"/>
        </w:rPr>
        <w:t>供热燃气科，</w:t>
      </w:r>
      <w:r>
        <w:rPr>
          <w:rFonts w:hint="eastAsia" w:ascii="仿宋_GB2312" w:hAnsi="仿宋_GB2312" w:eastAsia="仿宋_GB2312" w:cs="仿宋_GB2312"/>
          <w:sz w:val="32"/>
          <w:szCs w:val="32"/>
        </w:rPr>
        <w:t>办公室主任由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城市管理委</w:t>
      </w:r>
      <w:r>
        <w:rPr>
          <w:rFonts w:hint="eastAsia" w:ascii="仿宋_GB2312" w:hAnsi="仿宋_GB2312" w:eastAsia="仿宋_GB2312" w:cs="仿宋_GB2312"/>
          <w:sz w:val="32"/>
          <w:szCs w:val="32"/>
          <w:lang w:eastAsia="zh-CN"/>
        </w:rPr>
        <w:t>供热燃气科科长</w:t>
      </w:r>
      <w:r>
        <w:rPr>
          <w:rFonts w:hint="eastAsia" w:ascii="仿宋_GB2312" w:hAnsi="仿宋_GB2312" w:eastAsia="仿宋_GB2312" w:cs="仿宋_GB2312"/>
          <w:sz w:val="32"/>
          <w:szCs w:val="32"/>
        </w:rPr>
        <w:t>兼任。</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指挥部办公室的主要职责是：负责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指挥部日常工作，起草</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指挥部有关文件，组织落实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指挥部各项工作部署；组织修订</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燃气突发事件应急预案，负责对燃气企业编制修订的应急预案进行备案管理工作，并组织宣传教育、培训和应急演练；负责燃气突发事件应急队伍、物资、设备建设管理工作的监督检查；承办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指挥部交办的其他工作。</w:t>
      </w:r>
    </w:p>
    <w:p>
      <w:pPr>
        <w:pStyle w:val="3"/>
        <w:wordWrap/>
        <w:snapToGrid/>
        <w:spacing w:line="560" w:lineRule="exact"/>
        <w:ind w:firstLine="560"/>
        <w:textAlignment w:val="auto"/>
        <w:rPr>
          <w:rFonts w:hint="eastAsia" w:ascii="楷体" w:hAnsi="楷体" w:eastAsia="楷体" w:cs="楷体"/>
          <w:sz w:val="32"/>
          <w:szCs w:val="32"/>
        </w:rPr>
      </w:pPr>
      <w:bookmarkStart w:id="77" w:name="_Toc49881174"/>
      <w:bookmarkStart w:id="78" w:name="_Toc160564628_WPSOffice_Level2"/>
      <w:r>
        <w:rPr>
          <w:rFonts w:hint="eastAsia" w:ascii="楷体" w:hAnsi="楷体" w:eastAsia="楷体" w:cs="楷体"/>
          <w:sz w:val="32"/>
          <w:szCs w:val="32"/>
        </w:rPr>
        <w:t xml:space="preserve">2.3 </w:t>
      </w:r>
      <w:r>
        <w:rPr>
          <w:rFonts w:hint="eastAsia" w:ascii="楷体" w:hAnsi="楷体" w:eastAsia="楷体" w:cs="楷体"/>
          <w:sz w:val="32"/>
          <w:szCs w:val="32"/>
          <w:lang w:eastAsia="zh-CN"/>
        </w:rPr>
        <w:t>街道</w:t>
      </w:r>
      <w:r>
        <w:rPr>
          <w:rFonts w:hint="eastAsia" w:ascii="楷体" w:hAnsi="楷体" w:eastAsia="楷体" w:cs="楷体"/>
          <w:sz w:val="32"/>
          <w:szCs w:val="32"/>
        </w:rPr>
        <w:t>燃气应急管理机构</w:t>
      </w:r>
      <w:bookmarkEnd w:id="77"/>
      <w:bookmarkEnd w:id="78"/>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建立健全燃气突发事件应急管理机构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负责人由</w:t>
      </w:r>
      <w:r>
        <w:rPr>
          <w:rFonts w:hint="eastAsia" w:ascii="仿宋_GB2312" w:hAnsi="仿宋_GB2312" w:eastAsia="仿宋_GB2312" w:cs="仿宋_GB2312"/>
          <w:sz w:val="32"/>
          <w:szCs w:val="32"/>
          <w:lang w:eastAsia="zh-CN"/>
        </w:rPr>
        <w:t>本街道</w:t>
      </w:r>
      <w:r>
        <w:rPr>
          <w:rFonts w:hint="eastAsia" w:ascii="仿宋_GB2312" w:hAnsi="仿宋_GB2312" w:eastAsia="仿宋_GB2312" w:cs="仿宋_GB2312"/>
          <w:sz w:val="32"/>
          <w:szCs w:val="32"/>
        </w:rPr>
        <w:t>分管领导担任；下设燃气应急管理办公室，负责本</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燃气突发事件应对工作。</w:t>
      </w:r>
    </w:p>
    <w:p>
      <w:pPr>
        <w:pStyle w:val="3"/>
        <w:wordWrap/>
        <w:snapToGrid/>
        <w:spacing w:line="560" w:lineRule="exact"/>
        <w:ind w:firstLine="560"/>
        <w:textAlignment w:val="auto"/>
        <w:rPr>
          <w:rFonts w:hint="eastAsia" w:ascii="楷体" w:hAnsi="楷体" w:eastAsia="楷体" w:cs="楷体"/>
          <w:sz w:val="32"/>
          <w:szCs w:val="32"/>
        </w:rPr>
      </w:pPr>
      <w:bookmarkStart w:id="79" w:name="_Toc49881175"/>
      <w:bookmarkStart w:id="80" w:name="_Toc293467981_WPSOffice_Level2"/>
      <w:r>
        <w:rPr>
          <w:rFonts w:hint="eastAsia" w:ascii="楷体" w:hAnsi="楷体" w:eastAsia="楷体" w:cs="楷体"/>
          <w:sz w:val="32"/>
          <w:szCs w:val="32"/>
        </w:rPr>
        <w:t>2.4 成员单位</w:t>
      </w:r>
      <w:bookmarkEnd w:id="79"/>
      <w:bookmarkEnd w:id="80"/>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城市管理委：承担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指挥部办公室日常工作；负责</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燃气突发事件应急指挥、组织协调工作；负责组织燃气设施抢修及燃气供应的恢复；负责道路、桥梁等城市基础设施的抢修工作；负责会同有关部门做好应急供气的平衡调度工作；负责配合</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应急局等部门进行燃气事故调查。</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负责组织燃气经营企业生产经营活动中发生的燃气泄漏事故的调查和处理工作；组织相关突发事件的调查处理；组织火灾控制与扑救。制定燃气突发事件应急物资储备和应急救援装备规划并组织实施；指导应急队伍建设；开展应急管理工作的交流与合作；组织燃气突发事件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际救援工作。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住房城乡建设委：主要负责开展燃气事故毁坏建筑工程设施的抢修，</w:t>
      </w:r>
      <w:r>
        <w:rPr>
          <w:rFonts w:hint="eastAsia" w:ascii="仿宋_GB2312" w:hAnsi="仿宋_GB2312" w:eastAsia="仿宋_GB2312" w:cs="仿宋_GB2312"/>
          <w:sz w:val="32"/>
          <w:szCs w:val="32"/>
          <w:lang w:eastAsia="zh-CN"/>
        </w:rPr>
        <w:t>协助</w:t>
      </w:r>
      <w:r>
        <w:rPr>
          <w:rFonts w:hint="eastAsia" w:ascii="仿宋_GB2312" w:hAnsi="仿宋_GB2312" w:eastAsia="仿宋_GB2312" w:cs="仿宋_GB2312"/>
          <w:sz w:val="32"/>
          <w:szCs w:val="32"/>
        </w:rPr>
        <w:t>开展灾区道路抢通、废墟清理等工作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负责突发事件区域属电力公司维护的外部供电电力设施巡查、抢险及电力供应。</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商务局：负责各类燃气突发事件应对方案的有关配合工作；负责组织有关商业用户配合做好应急供气平衡方案的实施工作。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区教育局</w:t>
      </w:r>
      <w:r>
        <w:rPr>
          <w:rFonts w:hint="eastAsia" w:ascii="仿宋_GB2312" w:hAnsi="仿宋_GB2312" w:eastAsia="仿宋_GB2312" w:cs="仿宋_GB2312"/>
          <w:sz w:val="32"/>
          <w:szCs w:val="32"/>
        </w:rPr>
        <w:t>：负责各类燃气突发事件应对方案的有关配合工作；负责组织有关院校做好应急供气平衡方案的实施，并保证正常的教学工作；负责将燃气安全知识纳入学校安全教育内容。</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公安局（含</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安交管局）：负责燃气突发事件警戒范围设置与人员疏散；负责公共秩序和社会治安的维护工作；组织相关突发事件的调查处理；组织实施突发事件区域的交通管制工作，开通应急气源运输车辆、抢险车辆的绿色通道，保证救援抢险车辆安全快速通行。</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财政局：负责按照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指挥部意见，为燃气突发事件应急处置工作提供资金保障。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市场监管委：参与组织燃气泄漏、着火爆炸类突发事件相关压力容器等特种设备的应急处置和事故调查相关工作。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民政局：负责指导事发</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做好受灾群众保障救助工作，</w:t>
      </w:r>
      <w:r>
        <w:rPr>
          <w:rFonts w:hint="eastAsia" w:ascii="仿宋_GB2312" w:hAnsi="仿宋_GB2312" w:eastAsia="仿宋_GB2312" w:cs="仿宋_GB2312"/>
          <w:sz w:val="32"/>
          <w:szCs w:val="32"/>
          <w:lang w:eastAsia="zh-CN"/>
        </w:rPr>
        <w:t>协助做好</w:t>
      </w:r>
      <w:r>
        <w:rPr>
          <w:rFonts w:hint="eastAsia" w:ascii="仿宋_GB2312" w:hAnsi="仿宋_GB2312" w:eastAsia="仿宋_GB2312" w:cs="仿宋_GB2312"/>
          <w:sz w:val="32"/>
          <w:szCs w:val="32"/>
        </w:rPr>
        <w:t>死亡人员的善后处理工作。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卫生健康委：负责受伤人员的现场医疗救治、转运、院内救治和现场卫生防疫等工作；及时向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指挥部报告伤员数量及医疗救治情况。</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文化和旅游局：负责配合各类燃气突发事件应对方案的实施，对职责管理范围内的旅游场所正常运营进行监督指导。</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生态环境局：负责燃气泄漏突发事件的现场环境污染</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及时为</w:t>
      </w:r>
      <w:r>
        <w:rPr>
          <w:rFonts w:hint="eastAsia" w:ascii="仿宋_GB2312" w:hAnsi="仿宋_GB2312" w:eastAsia="仿宋_GB2312" w:cs="仿宋_GB2312"/>
          <w:sz w:val="32"/>
          <w:szCs w:val="32"/>
        </w:rPr>
        <w:t>指挥部</w:t>
      </w:r>
      <w:r>
        <w:rPr>
          <w:rFonts w:hint="eastAsia" w:ascii="仿宋_GB2312" w:hAnsi="仿宋_GB2312" w:eastAsia="仿宋_GB2312" w:cs="仿宋_GB2312"/>
          <w:sz w:val="32"/>
          <w:szCs w:val="32"/>
          <w:lang w:eastAsia="zh-CN"/>
        </w:rPr>
        <w:t>提供相关数据</w:t>
      </w:r>
      <w:r>
        <w:rPr>
          <w:rFonts w:hint="eastAsia" w:ascii="仿宋_GB2312" w:hAnsi="仿宋_GB2312" w:eastAsia="仿宋_GB2312" w:cs="仿宋_GB2312"/>
          <w:sz w:val="32"/>
          <w:szCs w:val="32"/>
        </w:rPr>
        <w:t>。</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区委宣传部</w:t>
      </w:r>
      <w:r>
        <w:rPr>
          <w:rFonts w:hint="eastAsia" w:ascii="仿宋_GB2312" w:hAnsi="仿宋_GB2312" w:eastAsia="仿宋_GB2312" w:cs="仿宋_GB2312"/>
          <w:sz w:val="32"/>
          <w:szCs w:val="32"/>
        </w:rPr>
        <w:t>：负责指导有关部门发布燃气突发事件信息，及时引导舆论；协调相关新闻单位做好对外宣传工作。</w:t>
      </w:r>
    </w:p>
    <w:p>
      <w:pPr>
        <w:pStyle w:val="3"/>
        <w:wordWrap/>
        <w:snapToGrid/>
        <w:spacing w:line="560" w:lineRule="exact"/>
        <w:ind w:firstLine="560"/>
        <w:textAlignment w:val="auto"/>
        <w:rPr>
          <w:rFonts w:hint="eastAsia" w:ascii="楷体" w:hAnsi="楷体" w:eastAsia="楷体" w:cs="楷体"/>
          <w:sz w:val="32"/>
          <w:szCs w:val="32"/>
        </w:rPr>
      </w:pPr>
      <w:bookmarkStart w:id="81" w:name="_Toc1194385303_WPSOffice_Level2"/>
      <w:bookmarkStart w:id="82" w:name="_Toc49881176"/>
      <w:r>
        <w:rPr>
          <w:rFonts w:hint="eastAsia" w:ascii="楷体" w:hAnsi="楷体" w:eastAsia="楷体" w:cs="楷体"/>
          <w:sz w:val="32"/>
          <w:szCs w:val="32"/>
        </w:rPr>
        <w:t>2.5 现场指挥部</w:t>
      </w:r>
      <w:bookmarkEnd w:id="81"/>
      <w:bookmarkEnd w:id="82"/>
    </w:p>
    <w:p>
      <w:pPr>
        <w:wordWrap/>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2.5.1根据应急处置工作需要，由相关成员单位、事发</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、相关燃气企业组成现场指挥部。视情况，由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指挥部总指挥或副总指挥兼任现场总指挥。</w:t>
      </w:r>
    </w:p>
    <w:p>
      <w:pPr>
        <w:wordWrap/>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2.5.2现场指挥部的主要职责是：全力组织伤员救治、人员疏散转移和群众安置工作，维护现场治安和交通秩序，防止事态进一步扩大；对突发事件进行综合分析、快速研判，确定现场应急处置方案；统一组织相关部门、单位和</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，调动应急救援队伍，调集应急救援物资装备，开展应急处置工作；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指挥部决定开展的其他工作。</w:t>
      </w:r>
    </w:p>
    <w:p>
      <w:pPr>
        <w:pStyle w:val="3"/>
        <w:wordWrap/>
        <w:snapToGrid/>
        <w:spacing w:line="560" w:lineRule="exact"/>
        <w:ind w:firstLine="560"/>
        <w:textAlignment w:val="auto"/>
        <w:rPr>
          <w:rFonts w:hint="eastAsia" w:ascii="楷体" w:hAnsi="楷体" w:eastAsia="楷体" w:cs="楷体"/>
          <w:sz w:val="32"/>
          <w:szCs w:val="32"/>
        </w:rPr>
      </w:pPr>
      <w:bookmarkStart w:id="83" w:name="_Toc49881177"/>
      <w:bookmarkStart w:id="84" w:name="_Toc1231197312_WPSOffice_Level2"/>
      <w:r>
        <w:rPr>
          <w:rFonts w:hint="eastAsia" w:ascii="楷体" w:hAnsi="楷体" w:eastAsia="楷体" w:cs="楷体"/>
          <w:sz w:val="32"/>
          <w:szCs w:val="32"/>
        </w:rPr>
        <w:t>2.6</w:t>
      </w:r>
      <w:bookmarkEnd w:id="83"/>
      <w:bookmarkStart w:id="85" w:name="_Toc49881178"/>
      <w:r>
        <w:rPr>
          <w:rFonts w:hint="eastAsia" w:ascii="楷体" w:hAnsi="楷体" w:eastAsia="楷体" w:cs="楷体"/>
          <w:sz w:val="32"/>
          <w:szCs w:val="32"/>
          <w:lang w:eastAsia="zh-CN"/>
        </w:rPr>
        <w:t>街道办事处</w:t>
      </w:r>
      <w:r>
        <w:rPr>
          <w:rFonts w:hint="eastAsia" w:ascii="楷体" w:hAnsi="楷体" w:eastAsia="楷体" w:cs="楷体"/>
          <w:sz w:val="32"/>
          <w:szCs w:val="32"/>
        </w:rPr>
        <w:t>职责</w:t>
      </w:r>
      <w:bookmarkEnd w:id="84"/>
      <w:bookmarkEnd w:id="85"/>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负责辖区燃气突发事件的先期处置及应对工作；负责辖区燃气安全宣传</w:t>
      </w:r>
      <w:r>
        <w:rPr>
          <w:rFonts w:hint="eastAsia" w:ascii="仿宋_GB2312" w:hAnsi="仿宋_GB2312" w:eastAsia="仿宋_GB2312" w:cs="仿宋_GB2312"/>
          <w:sz w:val="32"/>
          <w:szCs w:val="32"/>
          <w:lang w:eastAsia="zh-CN"/>
        </w:rPr>
        <w:t>、人员疏散和群众</w:t>
      </w:r>
      <w:r>
        <w:rPr>
          <w:rFonts w:hint="eastAsia" w:ascii="仿宋_GB2312" w:hAnsi="仿宋_GB2312" w:eastAsia="仿宋_GB2312" w:cs="仿宋_GB2312"/>
          <w:sz w:val="32"/>
          <w:szCs w:val="32"/>
        </w:rPr>
        <w:t>工作；负责指导</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居委会燃气突发事件应急工作。</w:t>
      </w:r>
    </w:p>
    <w:p>
      <w:pPr>
        <w:pStyle w:val="3"/>
        <w:wordWrap/>
        <w:snapToGrid/>
        <w:spacing w:line="560" w:lineRule="exact"/>
        <w:ind w:firstLine="560"/>
        <w:textAlignment w:val="auto"/>
        <w:rPr>
          <w:rFonts w:hint="eastAsia" w:ascii="楷体" w:hAnsi="楷体" w:eastAsia="楷体" w:cs="楷体"/>
          <w:sz w:val="32"/>
          <w:szCs w:val="32"/>
        </w:rPr>
      </w:pPr>
      <w:bookmarkStart w:id="86" w:name="_Toc1737133290_WPSOffice_Level2"/>
      <w:bookmarkStart w:id="87" w:name="_Toc49881179"/>
      <w:r>
        <w:rPr>
          <w:rFonts w:hint="eastAsia" w:ascii="楷体" w:hAnsi="楷体" w:eastAsia="楷体" w:cs="楷体"/>
          <w:sz w:val="32"/>
          <w:szCs w:val="32"/>
        </w:rPr>
        <w:t>2.</w:t>
      </w:r>
      <w:r>
        <w:rPr>
          <w:rFonts w:hint="eastAsia" w:ascii="楷体" w:hAnsi="楷体" w:eastAsia="楷体" w:cs="楷体"/>
          <w:sz w:val="32"/>
          <w:szCs w:val="32"/>
          <w:lang w:val="en-US" w:eastAsia="zh-CN"/>
        </w:rPr>
        <w:t>7</w:t>
      </w:r>
      <w:r>
        <w:rPr>
          <w:rFonts w:hint="eastAsia" w:ascii="楷体" w:hAnsi="楷体" w:eastAsia="楷体" w:cs="楷体"/>
          <w:sz w:val="32"/>
          <w:szCs w:val="32"/>
        </w:rPr>
        <w:t xml:space="preserve"> 燃气企业职责</w:t>
      </w:r>
      <w:bookmarkEnd w:id="86"/>
      <w:bookmarkEnd w:id="87"/>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建立燃气突发事件预防体系并组织实施；负责燃气用户安全用气的宣传教育；负责按照本预案，做好燃气供应中断、燃气泄漏企业分类应急预案的编制和备案工作；负责组建应急队伍、配备抢修物资及抢修设备；负责做好应急培训、演练；负责及时、准确上报突发事件信息；负责组织实施供应区域燃气突发事件的专业处置和应急响应工作；负责供气恢复工作；完成</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指挥部下达的其他应急任务。</w:t>
      </w:r>
    </w:p>
    <w:p>
      <w:pPr>
        <w:pStyle w:val="3"/>
        <w:wordWrap/>
        <w:snapToGrid/>
        <w:spacing w:line="560" w:lineRule="exact"/>
        <w:ind w:firstLine="560"/>
        <w:textAlignment w:val="auto"/>
        <w:rPr>
          <w:rFonts w:hint="eastAsia" w:ascii="楷体" w:hAnsi="楷体" w:eastAsia="楷体" w:cs="楷体"/>
          <w:sz w:val="32"/>
          <w:szCs w:val="32"/>
        </w:rPr>
      </w:pPr>
      <w:bookmarkStart w:id="88" w:name="_Toc1159344820_WPSOffice_Level2"/>
      <w:bookmarkStart w:id="89" w:name="_Toc49881180"/>
      <w:r>
        <w:rPr>
          <w:rFonts w:hint="eastAsia" w:ascii="楷体" w:hAnsi="楷体" w:eastAsia="楷体" w:cs="楷体"/>
          <w:sz w:val="32"/>
          <w:szCs w:val="32"/>
        </w:rPr>
        <w:t>2.</w:t>
      </w:r>
      <w:r>
        <w:rPr>
          <w:rFonts w:hint="eastAsia" w:ascii="楷体" w:hAnsi="楷体" w:eastAsia="楷体" w:cs="楷体"/>
          <w:sz w:val="32"/>
          <w:szCs w:val="32"/>
          <w:lang w:val="en-US" w:eastAsia="zh-CN"/>
        </w:rPr>
        <w:t xml:space="preserve">8  </w:t>
      </w:r>
      <w:r>
        <w:rPr>
          <w:rFonts w:hint="eastAsia" w:ascii="楷体" w:hAnsi="楷体" w:eastAsia="楷体" w:cs="楷体"/>
          <w:sz w:val="32"/>
          <w:szCs w:val="32"/>
        </w:rPr>
        <w:t>重要燃气用户职责</w:t>
      </w:r>
      <w:bookmarkEnd w:id="88"/>
      <w:bookmarkEnd w:id="89"/>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负责制定本单位停气、减气的应急预案；负责本企业管理燃气设施的安全检查和维护；负责本企业燃气事故的预防、处置及燃气突发事件的先期处置；服从燃气调度统一指挥，确保燃气安全。</w:t>
      </w:r>
    </w:p>
    <w:p>
      <w:pPr>
        <w:pStyle w:val="2"/>
        <w:wordWrap/>
        <w:snapToGrid/>
        <w:spacing w:line="560" w:lineRule="exact"/>
        <w:ind w:firstLine="640"/>
        <w:textAlignment w:val="auto"/>
        <w:rPr>
          <w:rFonts w:hint="eastAsia" w:ascii="黑体" w:hAnsi="黑体" w:eastAsia="黑体" w:cs="黑体"/>
          <w:sz w:val="32"/>
          <w:szCs w:val="32"/>
        </w:rPr>
      </w:pPr>
      <w:bookmarkStart w:id="90" w:name="_Toc49881182"/>
      <w:bookmarkStart w:id="91" w:name="_Toc407362490_WPSOffice_Level1"/>
      <w:bookmarkStart w:id="92" w:name="_Toc773615802_WPSOffice_Level1"/>
      <w:r>
        <w:rPr>
          <w:rFonts w:hint="eastAsia" w:ascii="黑体" w:hAnsi="黑体" w:eastAsia="黑体" w:cs="黑体"/>
          <w:sz w:val="32"/>
          <w:szCs w:val="32"/>
        </w:rPr>
        <w:t>3　预防与预警</w:t>
      </w:r>
      <w:bookmarkEnd w:id="90"/>
      <w:bookmarkEnd w:id="91"/>
      <w:bookmarkEnd w:id="92"/>
    </w:p>
    <w:p>
      <w:pPr>
        <w:pStyle w:val="3"/>
        <w:wordWrap/>
        <w:snapToGrid/>
        <w:spacing w:line="560" w:lineRule="exact"/>
        <w:ind w:firstLine="560"/>
        <w:textAlignment w:val="auto"/>
        <w:rPr>
          <w:rFonts w:hint="eastAsia" w:ascii="楷体" w:hAnsi="楷体" w:eastAsia="楷体" w:cs="楷体"/>
          <w:sz w:val="32"/>
          <w:szCs w:val="32"/>
        </w:rPr>
      </w:pPr>
      <w:bookmarkStart w:id="93" w:name="_Toc49881183"/>
      <w:bookmarkStart w:id="94" w:name="_Toc2043638286_WPSOffice_Level2"/>
      <w:r>
        <w:rPr>
          <w:rFonts w:hint="eastAsia" w:ascii="楷体" w:hAnsi="楷体" w:eastAsia="楷体" w:cs="楷体"/>
          <w:sz w:val="32"/>
          <w:szCs w:val="32"/>
        </w:rPr>
        <w:t>3.1 风险排查</w:t>
      </w:r>
      <w:bookmarkEnd w:id="93"/>
      <w:bookmarkEnd w:id="94"/>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3.1.1区相关部门应定期组织燃气行业内专家，开展燃气安全生产隐患排查整治行动，着力排查燃气安全风险重点部位和关键环节，严厉打击燃气安全违法违规行为，最大程度的减少或避免燃气事故发生。</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加大燃气行业隐患整改力度。对排查出存在风险隐患的企业，要落实相关责任人和整改时间表，对短期内能完成整改的要立即消除隐患；对情况复杂、短期内难以完成整改的要限期整改；对重大隐患，要立即依法停产整顿或关闭。对整改完毕的企业，要再次进行风险排查，以保证燃气企业的安全运行。</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3.1.3燃气企业应制定完善的安全管理制度。明确部门和责任人，建立台账，定期进行自查自检工作，发现问题及时整改上报。</w:t>
      </w:r>
    </w:p>
    <w:p>
      <w:pPr>
        <w:pStyle w:val="3"/>
        <w:wordWrap/>
        <w:snapToGrid/>
        <w:spacing w:line="560" w:lineRule="exact"/>
        <w:ind w:firstLine="560"/>
        <w:textAlignment w:val="auto"/>
        <w:rPr>
          <w:rFonts w:hint="eastAsia" w:ascii="楷体" w:hAnsi="楷体" w:eastAsia="楷体" w:cs="楷体"/>
          <w:sz w:val="32"/>
          <w:szCs w:val="32"/>
        </w:rPr>
      </w:pPr>
      <w:bookmarkStart w:id="95" w:name="_Toc833397190_WPSOffice_Level2"/>
      <w:bookmarkStart w:id="96" w:name="_Toc49881184"/>
      <w:r>
        <w:rPr>
          <w:rFonts w:hint="eastAsia" w:ascii="楷体" w:hAnsi="楷体" w:eastAsia="楷体" w:cs="楷体"/>
          <w:sz w:val="32"/>
          <w:szCs w:val="32"/>
        </w:rPr>
        <w:t>3.2 风险监测</w:t>
      </w:r>
      <w:bookmarkEnd w:id="95"/>
      <w:bookmarkEnd w:id="96"/>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加强燃气行业风险隐患监测。</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指挥部办公室应与相关部门、单位保持联络畅通，及时掌握我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燃气行业的安全运行相关情况。同时燃气企业应制定内部监测制度，保证数据共享系统的正常运转，保障采集、上传数据的及时性和完整性。</w:t>
      </w:r>
    </w:p>
    <w:p>
      <w:pPr>
        <w:pStyle w:val="3"/>
        <w:wordWrap/>
        <w:snapToGrid/>
        <w:spacing w:line="560" w:lineRule="exact"/>
        <w:ind w:firstLine="560"/>
        <w:textAlignment w:val="auto"/>
        <w:rPr>
          <w:rFonts w:hint="eastAsia" w:ascii="楷体" w:hAnsi="楷体" w:eastAsia="楷体" w:cs="楷体"/>
          <w:sz w:val="32"/>
          <w:szCs w:val="32"/>
        </w:rPr>
      </w:pPr>
      <w:bookmarkStart w:id="97" w:name="_Toc215416521_WPSOffice_Level2"/>
      <w:bookmarkStart w:id="98" w:name="_Toc49881185"/>
      <w:r>
        <w:rPr>
          <w:rFonts w:hint="eastAsia" w:ascii="楷体" w:hAnsi="楷体" w:eastAsia="楷体" w:cs="楷体"/>
          <w:sz w:val="32"/>
          <w:szCs w:val="32"/>
        </w:rPr>
        <w:t>3.3 预防</w:t>
      </w:r>
      <w:bookmarkEnd w:id="97"/>
      <w:bookmarkEnd w:id="98"/>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在日常工作中根据市委、市政府和区</w:t>
      </w:r>
      <w:r>
        <w:rPr>
          <w:rFonts w:hint="eastAsia" w:ascii="仿宋_GB2312" w:hAnsi="仿宋_GB2312" w:eastAsia="仿宋_GB2312" w:cs="仿宋_GB2312"/>
          <w:sz w:val="32"/>
          <w:szCs w:val="32"/>
          <w:lang w:eastAsia="zh-CN"/>
        </w:rPr>
        <w:t>委、区</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指挥部的工作部署，由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指挥部办公室负责总体预防工作，指导</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、企业组织预防工作，采取以下预防措施：</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（1）建立与上游供气单位的沟通机制，对我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燃气资源的供需平衡状况实施动态监控；</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（2）加强敏感时期、敏感地点燃气设施安全运行的检查；</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（3）实施《天津市城镇燃气供气设施运行管理标准》，定期对燃气运行设施进行完好性检查； </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（4）建立燃气突发事件信息库，对已发生的各类事件进行记录，将分析和总结的结果存入信息库，并以此为基础不断完善各项安全生产管理制度及应急预案； </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（5）建立危险源档案，定期进行隐患排查；</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（6）企业要加强极端天气条件下关键燃气设施的安全监控；   </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（7）企业定期采用技术手段进行燃气管网、设施的泄漏检查工作，并建立数据档案； </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（8）企业定期进行居民户内燃气设施的安全检查；  </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（9）企业要加强燃气管网设施保护区范围内和市政道路施工现场燃气设施的安全监护；</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（10）企业应加强用气负荷数据库建设，做好燃气用气量的预测工作。                                                                                                                                                               </w:t>
      </w:r>
    </w:p>
    <w:p>
      <w:pPr>
        <w:pStyle w:val="3"/>
        <w:wordWrap/>
        <w:snapToGrid/>
        <w:spacing w:line="560" w:lineRule="exact"/>
        <w:ind w:firstLine="560"/>
        <w:textAlignment w:val="auto"/>
        <w:rPr>
          <w:rFonts w:hint="eastAsia" w:ascii="楷体" w:hAnsi="楷体" w:eastAsia="楷体" w:cs="楷体"/>
          <w:sz w:val="32"/>
          <w:szCs w:val="32"/>
        </w:rPr>
      </w:pPr>
      <w:bookmarkStart w:id="99" w:name="_Toc49881186"/>
      <w:bookmarkStart w:id="100" w:name="_Toc1864347171_WPSOffice_Level2"/>
      <w:r>
        <w:rPr>
          <w:rFonts w:hint="eastAsia" w:ascii="楷体" w:hAnsi="楷体" w:eastAsia="楷体" w:cs="楷体"/>
          <w:sz w:val="32"/>
          <w:szCs w:val="32"/>
        </w:rPr>
        <w:t>3.4 预警级别</w:t>
      </w:r>
      <w:bookmarkEnd w:id="99"/>
      <w:bookmarkEnd w:id="100"/>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根据燃气气源中断可能造成的气量缺口程度、影响范围大小、持续时间长短和发展趋势等因素，将预警级别从高到低分为四级，依次用红色、橙色、黄色和蓝色标示。</w:t>
      </w:r>
    </w:p>
    <w:p>
      <w:pPr>
        <w:pStyle w:val="3"/>
        <w:wordWrap/>
        <w:snapToGrid/>
        <w:spacing w:line="560" w:lineRule="exact"/>
        <w:ind w:firstLine="560"/>
        <w:textAlignment w:val="auto"/>
        <w:rPr>
          <w:rFonts w:hint="eastAsia" w:ascii="仿宋_GB2312" w:hAnsi="仿宋_GB2312" w:eastAsia="仿宋_GB2312" w:cs="仿宋_GB2312"/>
          <w:b/>
          <w:bCs/>
          <w:sz w:val="32"/>
          <w:szCs w:val="32"/>
        </w:rPr>
      </w:pPr>
      <w:bookmarkStart w:id="101" w:name="_Toc49881187"/>
      <w:bookmarkStart w:id="102" w:name="_Toc1955390667_WPSOffice_Level3"/>
      <w:r>
        <w:rPr>
          <w:rFonts w:hint="eastAsia" w:ascii="仿宋_GB2312" w:hAnsi="仿宋_GB2312" w:eastAsia="仿宋_GB2312" w:cs="仿宋_GB2312"/>
          <w:b/>
          <w:bCs/>
          <w:sz w:val="32"/>
          <w:szCs w:val="32"/>
        </w:rPr>
        <w:t>3.4.1红色预警</w:t>
      </w:r>
      <w:bookmarkEnd w:id="101"/>
      <w:bookmarkEnd w:id="102"/>
    </w:p>
    <w:p>
      <w:pPr>
        <w:wordWrap/>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有下列情况之一者，为红色预警：</w:t>
      </w:r>
    </w:p>
    <w:p>
      <w:pPr>
        <w:wordWrap/>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（1）预测我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未来7天内燃气日供需差达20%；</w:t>
      </w:r>
    </w:p>
    <w:p>
      <w:pPr>
        <w:wordWrap/>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（2）因各类因素可能造成燃气供应中断，影响居民用户10万户以上，并将持续72小时以上；</w:t>
      </w:r>
    </w:p>
    <w:p>
      <w:pPr>
        <w:wordWrap/>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（3）因各类因素可能影响燃气供应中断，造成区范围内全面停气48小时以上；</w:t>
      </w:r>
    </w:p>
    <w:p>
      <w:pPr>
        <w:wordWrap/>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（4）因各类因素可能影响燃气供应中断，造成供气规模在4000万立方米/年以上的管道燃气供应企业全面停止供气48小时以上。</w:t>
      </w:r>
    </w:p>
    <w:p>
      <w:pPr>
        <w:pStyle w:val="4"/>
        <w:wordWrap/>
        <w:snapToGrid/>
        <w:spacing w:line="560" w:lineRule="exact"/>
        <w:ind w:firstLine="560"/>
        <w:textAlignment w:val="auto"/>
        <w:rPr>
          <w:rFonts w:hint="eastAsia" w:ascii="仿宋_GB2312" w:hAnsi="仿宋_GB2312" w:eastAsia="仿宋_GB2312" w:cs="仿宋_GB2312"/>
          <w:b/>
          <w:bCs/>
          <w:sz w:val="32"/>
          <w:szCs w:val="32"/>
        </w:rPr>
      </w:pPr>
      <w:bookmarkStart w:id="103" w:name="_Toc49881188"/>
      <w:bookmarkStart w:id="104" w:name="_Toc429929459_WPSOffice_Level3"/>
      <w:r>
        <w:rPr>
          <w:rFonts w:hint="eastAsia" w:ascii="仿宋_GB2312" w:hAnsi="仿宋_GB2312" w:eastAsia="仿宋_GB2312" w:cs="仿宋_GB2312"/>
          <w:b/>
          <w:bCs/>
          <w:sz w:val="32"/>
          <w:szCs w:val="32"/>
        </w:rPr>
        <w:t>3.4.2橙色预警</w:t>
      </w:r>
      <w:bookmarkEnd w:id="103"/>
      <w:bookmarkEnd w:id="104"/>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有下列情况之一者，为橙色预警：</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（1）预测我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未来5天内燃气日供需差达15%；</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（2）因各类因素可能造成燃气供应中断，影响居民用户8万户以上，并将持续48小时以上；</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（3）重大节假日、重要活动期间，因各类因素可能造成连续停气24小时以上；</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（4）因各类因素可能影响燃气供应中断，造成区范围内全面停气24小时以上；</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（5）因各类因素可能影响燃气供应中断，造成供气规模在4000万立方米/年以上的管道燃气供应企业全面停止供气24小时以上。</w:t>
      </w:r>
    </w:p>
    <w:p>
      <w:pPr>
        <w:pStyle w:val="4"/>
        <w:wordWrap/>
        <w:snapToGrid/>
        <w:spacing w:line="560" w:lineRule="exact"/>
        <w:ind w:firstLine="560"/>
        <w:textAlignment w:val="auto"/>
        <w:rPr>
          <w:rFonts w:hint="eastAsia" w:ascii="仿宋_GB2312" w:hAnsi="仿宋_GB2312" w:eastAsia="仿宋_GB2312" w:cs="仿宋_GB2312"/>
          <w:b/>
          <w:bCs/>
          <w:sz w:val="32"/>
          <w:szCs w:val="32"/>
        </w:rPr>
      </w:pPr>
      <w:bookmarkStart w:id="105" w:name="_Toc49881189"/>
      <w:bookmarkStart w:id="106" w:name="_Toc1413952827_WPSOffice_Level3"/>
      <w:r>
        <w:rPr>
          <w:rFonts w:hint="eastAsia" w:ascii="仿宋_GB2312" w:hAnsi="仿宋_GB2312" w:eastAsia="仿宋_GB2312" w:cs="仿宋_GB2312"/>
          <w:b/>
          <w:bCs/>
          <w:sz w:val="32"/>
          <w:szCs w:val="32"/>
        </w:rPr>
        <w:t>3.4.3黄色预警</w:t>
      </w:r>
      <w:bookmarkEnd w:id="105"/>
      <w:bookmarkEnd w:id="106"/>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有下列情况之一者，为黄色预警：</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（1）预测我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未来3天内燃气日供需差达10%；</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（2）因各类因素可能造成燃气供应中断，影响居民用户5万户以上，并将持续24小时以上；</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（3）重大节假日、重要活动期间，因各类因素可能造成连续停气12小时以上；</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（4）因各类因素可能影响燃气供应中断，造成区范围内全面停气12小时以上；</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（5）因各类因素可能影响燃气供应中断，造成供气规模在4000万立方米/年以上的管道燃气供应企业全面停止供气12小时以上。</w:t>
      </w:r>
    </w:p>
    <w:p>
      <w:pPr>
        <w:pStyle w:val="4"/>
        <w:wordWrap/>
        <w:snapToGrid/>
        <w:spacing w:line="560" w:lineRule="exact"/>
        <w:ind w:firstLine="560"/>
        <w:textAlignment w:val="auto"/>
        <w:rPr>
          <w:rFonts w:hint="eastAsia" w:ascii="仿宋_GB2312" w:hAnsi="仿宋_GB2312" w:eastAsia="仿宋_GB2312" w:cs="仿宋_GB2312"/>
          <w:b/>
          <w:bCs/>
          <w:sz w:val="32"/>
          <w:szCs w:val="32"/>
        </w:rPr>
      </w:pPr>
      <w:bookmarkStart w:id="107" w:name="_Toc49881190"/>
      <w:bookmarkStart w:id="108" w:name="_Toc1806320605_WPSOffice_Level3"/>
      <w:r>
        <w:rPr>
          <w:rFonts w:hint="eastAsia" w:ascii="仿宋_GB2312" w:hAnsi="仿宋_GB2312" w:eastAsia="仿宋_GB2312" w:cs="仿宋_GB2312"/>
          <w:b/>
          <w:bCs/>
          <w:sz w:val="32"/>
          <w:szCs w:val="32"/>
        </w:rPr>
        <w:t>3.4.4蓝色预警</w:t>
      </w:r>
      <w:bookmarkEnd w:id="107"/>
      <w:bookmarkEnd w:id="108"/>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有下列情况之一者，为蓝色预警：</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（1）预测我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未来2天内燃气日供需差达5%；</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（2）因各类因素可能造成燃气供应中断，影响居民用户1万户以上，并将持续24小时以上；</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（3）因各类因素可能造成农村煤改气燃气供应中断，影响居民用户3000户以上，并将持续24小时以上。</w:t>
      </w:r>
    </w:p>
    <w:p>
      <w:pPr>
        <w:pStyle w:val="3"/>
        <w:wordWrap/>
        <w:snapToGrid/>
        <w:spacing w:line="560" w:lineRule="exact"/>
        <w:ind w:firstLine="560"/>
        <w:textAlignment w:val="auto"/>
        <w:rPr>
          <w:rFonts w:hint="eastAsia" w:ascii="楷体" w:hAnsi="楷体" w:eastAsia="楷体" w:cs="楷体"/>
          <w:sz w:val="32"/>
          <w:szCs w:val="32"/>
        </w:rPr>
      </w:pPr>
      <w:bookmarkStart w:id="109" w:name="_Toc166010185_WPSOffice_Level2"/>
      <w:bookmarkStart w:id="110" w:name="_Toc49881191"/>
      <w:r>
        <w:rPr>
          <w:rFonts w:hint="eastAsia" w:ascii="楷体" w:hAnsi="楷体" w:eastAsia="楷体" w:cs="楷体"/>
          <w:sz w:val="32"/>
          <w:szCs w:val="32"/>
        </w:rPr>
        <w:t>3.5 预警的发布、解除与调整</w:t>
      </w:r>
      <w:bookmarkEnd w:id="109"/>
      <w:bookmarkEnd w:id="110"/>
    </w:p>
    <w:p>
      <w:pPr>
        <w:pStyle w:val="4"/>
        <w:wordWrap/>
        <w:snapToGrid/>
        <w:spacing w:line="560" w:lineRule="exact"/>
        <w:ind w:firstLine="560"/>
        <w:textAlignment w:val="auto"/>
        <w:rPr>
          <w:rFonts w:hint="eastAsia" w:ascii="仿宋_GB2312" w:hAnsi="仿宋_GB2312" w:eastAsia="仿宋_GB2312" w:cs="仿宋_GB2312"/>
          <w:b/>
          <w:bCs/>
          <w:sz w:val="32"/>
          <w:szCs w:val="32"/>
        </w:rPr>
      </w:pPr>
      <w:bookmarkStart w:id="111" w:name="_Toc49881192"/>
      <w:bookmarkStart w:id="112" w:name="_Toc1587747485_WPSOffice_Level3"/>
      <w:r>
        <w:rPr>
          <w:rFonts w:hint="eastAsia" w:ascii="仿宋_GB2312" w:hAnsi="仿宋_GB2312" w:eastAsia="仿宋_GB2312" w:cs="仿宋_GB2312"/>
          <w:b/>
          <w:bCs/>
          <w:sz w:val="32"/>
          <w:szCs w:val="32"/>
        </w:rPr>
        <w:t>3.5.1预警发布和解除</w:t>
      </w:r>
      <w:bookmarkEnd w:id="111"/>
      <w:bookmarkEnd w:id="112"/>
    </w:p>
    <w:p>
      <w:pPr>
        <w:wordWrap/>
        <w:snapToGrid/>
        <w:spacing w:line="560" w:lineRule="exact"/>
        <w:ind w:firstLine="5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（1）蓝色预警、黄色预警：由</w:t>
      </w:r>
      <w:r>
        <w:rPr>
          <w:rFonts w:hint="eastAsia" w:ascii="仿宋_GB2312" w:hAnsi="仿宋_GB2312" w:eastAsia="仿宋_GB2312" w:cs="仿宋_GB2312"/>
          <w:sz w:val="32"/>
          <w:szCs w:val="32"/>
          <w:lang w:eastAsia="zh-CN"/>
        </w:rPr>
        <w:t>区指挥部办公室提出建议，</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rPr>
        <w:t>批准后，由区应急办公室负责发布和解除。</w:t>
      </w:r>
      <w:r>
        <w:rPr>
          <w:rFonts w:hint="eastAsia" w:ascii="仿宋_GB2312" w:hAnsi="仿宋_GB2312" w:eastAsia="仿宋_GB2312" w:cs="仿宋_GB2312"/>
          <w:color w:val="auto"/>
          <w:sz w:val="32"/>
          <w:szCs w:val="32"/>
          <w:lang w:eastAsia="zh-CN"/>
        </w:rPr>
        <w:t>属地管理部门和</w:t>
      </w:r>
      <w:r>
        <w:rPr>
          <w:rFonts w:hint="eastAsia" w:ascii="仿宋_GB2312" w:hAnsi="仿宋_GB2312" w:eastAsia="仿宋_GB2312" w:cs="仿宋_GB2312"/>
          <w:color w:val="auto"/>
          <w:sz w:val="32"/>
          <w:szCs w:val="32"/>
        </w:rPr>
        <w:t>燃气企业负责向相关用户传达区的预警发布和解除信息。</w:t>
      </w:r>
    </w:p>
    <w:p>
      <w:pPr>
        <w:wordWrap/>
        <w:snapToGrid/>
        <w:spacing w:line="560" w:lineRule="exact"/>
        <w:ind w:firstLine="5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（2）橙色预警、红色预警：由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指挥部办公室提出建议，报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指挥部办公室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市指挥部总指挥。</w:t>
      </w:r>
      <w:r>
        <w:rPr>
          <w:rFonts w:hint="eastAsia" w:ascii="仿宋_GB2312" w:hAnsi="仿宋_GB2312" w:eastAsia="仿宋_GB2312" w:cs="仿宋_GB2312"/>
          <w:sz w:val="32"/>
          <w:szCs w:val="32"/>
          <w:lang w:eastAsia="zh-CN"/>
        </w:rPr>
        <w:t>属地</w:t>
      </w:r>
      <w:r>
        <w:rPr>
          <w:rFonts w:hint="eastAsia" w:ascii="仿宋_GB2312" w:hAnsi="仿宋_GB2312" w:eastAsia="仿宋_GB2312" w:cs="仿宋_GB2312"/>
          <w:color w:val="auto"/>
          <w:sz w:val="32"/>
          <w:szCs w:val="32"/>
          <w:lang w:eastAsia="zh-CN"/>
        </w:rPr>
        <w:t>管理部门和</w:t>
      </w:r>
      <w:r>
        <w:rPr>
          <w:rFonts w:hint="eastAsia" w:ascii="仿宋_GB2312" w:hAnsi="仿宋_GB2312" w:eastAsia="仿宋_GB2312" w:cs="仿宋_GB2312"/>
          <w:color w:val="auto"/>
          <w:sz w:val="32"/>
          <w:szCs w:val="32"/>
        </w:rPr>
        <w:t>燃气企业负责向相关用户传达市</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指挥部的预警发布和解除信息。</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（3）预警信息的发布解除可以通过通信、信息网络、广播、电视、报刊、宣传车和其他方式进行。</w:t>
      </w:r>
    </w:p>
    <w:p>
      <w:pPr>
        <w:pStyle w:val="4"/>
        <w:wordWrap/>
        <w:snapToGrid/>
        <w:spacing w:line="560" w:lineRule="exact"/>
        <w:ind w:firstLine="560"/>
        <w:textAlignment w:val="auto"/>
        <w:rPr>
          <w:rFonts w:hint="eastAsia" w:ascii="仿宋_GB2312" w:hAnsi="仿宋_GB2312" w:eastAsia="仿宋_GB2312" w:cs="仿宋_GB2312"/>
          <w:b/>
          <w:bCs/>
          <w:sz w:val="32"/>
          <w:szCs w:val="32"/>
        </w:rPr>
      </w:pPr>
      <w:bookmarkStart w:id="113" w:name="_Toc50623009_WPSOffice_Level3"/>
      <w:bookmarkStart w:id="114" w:name="_Toc49881193"/>
      <w:r>
        <w:rPr>
          <w:rFonts w:hint="eastAsia" w:ascii="仿宋_GB2312" w:hAnsi="仿宋_GB2312" w:eastAsia="仿宋_GB2312" w:cs="仿宋_GB2312"/>
          <w:b/>
          <w:bCs/>
          <w:sz w:val="32"/>
          <w:szCs w:val="32"/>
        </w:rPr>
        <w:t>3.5.2预警级别调整</w:t>
      </w:r>
      <w:bookmarkEnd w:id="113"/>
      <w:bookmarkEnd w:id="114"/>
    </w:p>
    <w:p>
      <w:pPr>
        <w:wordWrap/>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根据突发事件的发展态势和处置进展，预警信息发布单位应对预警级别和处置措施做出调整。                 </w:t>
      </w:r>
    </w:p>
    <w:p>
      <w:pPr>
        <w:pStyle w:val="3"/>
        <w:wordWrap/>
        <w:snapToGrid/>
        <w:spacing w:line="560" w:lineRule="exact"/>
        <w:ind w:firstLine="560"/>
        <w:textAlignment w:val="auto"/>
        <w:rPr>
          <w:rFonts w:hint="eastAsia" w:ascii="楷体" w:hAnsi="楷体" w:eastAsia="楷体" w:cs="楷体"/>
          <w:sz w:val="32"/>
          <w:szCs w:val="32"/>
        </w:rPr>
      </w:pPr>
      <w:bookmarkStart w:id="115" w:name="_Toc49881194"/>
      <w:bookmarkStart w:id="116" w:name="_Toc976296268_WPSOffice_Level2"/>
      <w:r>
        <w:rPr>
          <w:rFonts w:hint="eastAsia" w:ascii="楷体" w:hAnsi="楷体" w:eastAsia="楷体" w:cs="楷体"/>
          <w:sz w:val="32"/>
          <w:szCs w:val="32"/>
        </w:rPr>
        <w:t>3.6 预警措施</w:t>
      </w:r>
      <w:bookmarkEnd w:id="115"/>
      <w:bookmarkEnd w:id="116"/>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3.6.1区指挥部向相关部门发布预警信息，成员单位应及时实施预警响应措施。</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3.6.2燃气企业按照企业应急预案实施预警响应，迅速调集应急队伍、设备、物资、车辆，做好应急准备工作，及时向区指挥部办公室报告预警响应进展情况。</w:t>
      </w:r>
    </w:p>
    <w:p>
      <w:pPr>
        <w:pStyle w:val="2"/>
        <w:wordWrap/>
        <w:snapToGrid/>
        <w:spacing w:line="560" w:lineRule="exact"/>
        <w:ind w:firstLine="640"/>
        <w:textAlignment w:val="auto"/>
        <w:rPr>
          <w:rFonts w:hint="eastAsia" w:ascii="黑体" w:hAnsi="黑体" w:eastAsia="黑体" w:cs="黑体"/>
          <w:sz w:val="32"/>
          <w:szCs w:val="32"/>
        </w:rPr>
      </w:pPr>
      <w:bookmarkStart w:id="117" w:name="_Toc1996283619_WPSOffice_Level1"/>
      <w:bookmarkStart w:id="118" w:name="_Toc1543233704_WPSOffice_Level1"/>
      <w:bookmarkStart w:id="119" w:name="_Toc49881195"/>
      <w:r>
        <w:rPr>
          <w:rFonts w:hint="eastAsia" w:ascii="黑体" w:hAnsi="黑体" w:eastAsia="黑体" w:cs="黑体"/>
          <w:sz w:val="32"/>
          <w:szCs w:val="32"/>
        </w:rPr>
        <w:t>4　应急处置</w:t>
      </w:r>
      <w:bookmarkEnd w:id="117"/>
      <w:bookmarkEnd w:id="118"/>
      <w:bookmarkEnd w:id="119"/>
    </w:p>
    <w:p>
      <w:pPr>
        <w:pStyle w:val="3"/>
        <w:wordWrap/>
        <w:snapToGrid/>
        <w:spacing w:line="560" w:lineRule="exact"/>
        <w:ind w:firstLine="560"/>
        <w:jc w:val="both"/>
        <w:textAlignment w:val="auto"/>
        <w:rPr>
          <w:rFonts w:hint="eastAsia" w:ascii="楷体" w:hAnsi="楷体" w:eastAsia="楷体" w:cs="楷体"/>
          <w:sz w:val="32"/>
          <w:szCs w:val="32"/>
        </w:rPr>
      </w:pPr>
      <w:bookmarkStart w:id="120" w:name="_Toc1032663357_WPSOffice_Level2"/>
      <w:bookmarkStart w:id="121" w:name="_Toc49881196"/>
      <w:r>
        <w:rPr>
          <w:rFonts w:hint="eastAsia" w:ascii="楷体" w:hAnsi="楷体" w:eastAsia="楷体" w:cs="楷体"/>
          <w:sz w:val="32"/>
          <w:szCs w:val="32"/>
        </w:rPr>
        <w:t>4.1 信息报告</w:t>
      </w:r>
      <w:bookmarkEnd w:id="120"/>
      <w:bookmarkEnd w:id="121"/>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4.1.1突发事件发生后，燃气企业应立即将事件情况上报区人民政府和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指挥部办公室，在30分钟内电话报告，在1小时内书面报告。对于要求核报的情况，必须在20分钟内进行反馈，并根据事态发展和处置情况及时报告相关信息。</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指挥部办公室接到报告后，应立即向燃气企业发出指令，及时汇总相关信息，通报有关部门和单位。</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4.1.3发生重大及以上燃气突发事件，</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指挥部办公室必须在半小时内向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应急指挥中心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市指挥部</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电话报告，书面报告不得迟于事发后1小时，并根据事态发展和处置情况及时续报相关信息。</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4.1.4信息报告通常包括以下内容：</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（1）事件的时间、地点、气源介质、设施名称、泄漏程度、突发事件发生单位及联系电话；</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（2）事件可能造成的影响范围、损失程度，事件造成的伤亡人数；</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（3）事件发生后采取的先期处置措施情况；</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（4）需要有关部门和单位协助的有关事宜；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（5）由此事件引发次生灾害或社会影响的初步分析；</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（6）其他需要上报的有关事项。</w:t>
      </w:r>
    </w:p>
    <w:p>
      <w:pPr>
        <w:pStyle w:val="3"/>
        <w:wordWrap/>
        <w:snapToGrid/>
        <w:spacing w:line="560" w:lineRule="exact"/>
        <w:ind w:firstLine="560"/>
        <w:textAlignment w:val="auto"/>
        <w:rPr>
          <w:rFonts w:hint="eastAsia" w:ascii="楷体" w:hAnsi="楷体" w:eastAsia="楷体" w:cs="楷体"/>
          <w:sz w:val="32"/>
          <w:szCs w:val="32"/>
        </w:rPr>
      </w:pPr>
      <w:bookmarkStart w:id="122" w:name="_Toc134654724_WPSOffice_Level2"/>
      <w:bookmarkStart w:id="123" w:name="_Toc49881197"/>
      <w:r>
        <w:rPr>
          <w:rFonts w:hint="eastAsia" w:ascii="楷体" w:hAnsi="楷体" w:eastAsia="楷体" w:cs="楷体"/>
          <w:sz w:val="32"/>
          <w:szCs w:val="32"/>
        </w:rPr>
        <w:t>4.2 先期处置</w:t>
      </w:r>
      <w:bookmarkEnd w:id="122"/>
      <w:bookmarkEnd w:id="123"/>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4.2.1燃气突发事件发生后，事发单位和所在</w:t>
      </w:r>
      <w:r>
        <w:rPr>
          <w:rFonts w:hint="eastAsia" w:ascii="仿宋_GB2312" w:hAnsi="仿宋_GB2312" w:eastAsia="仿宋_GB2312" w:cs="仿宋_GB2312"/>
          <w:sz w:val="32"/>
          <w:szCs w:val="32"/>
          <w:lang w:eastAsia="zh-CN"/>
        </w:rPr>
        <w:t>街道、社区</w:t>
      </w:r>
      <w:r>
        <w:rPr>
          <w:rFonts w:hint="eastAsia" w:ascii="仿宋_GB2312" w:hAnsi="仿宋_GB2312" w:eastAsia="仿宋_GB2312" w:cs="仿宋_GB2312"/>
          <w:sz w:val="32"/>
          <w:szCs w:val="32"/>
        </w:rPr>
        <w:t>第一时间启动先期处置方案；事发单位应采取相关应急措施及时排除故障，防止事态扩大；当突发事件先期处置失效，组织有关应急力量开展必要的人员疏散和自救互救行动。</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4.2.2燃气泄漏突发事件发生后，燃气企业要迅速调集应急队伍、器材、设备赶赴现场，设置警示区域，开展以关闸断气、查找漏点、抢险堵漏为重点的先期处置工作。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4.2.3燃气企业启动企业突发事件应急预案时，应及时将事件情况向区人民政府报告。</w:t>
      </w:r>
    </w:p>
    <w:p>
      <w:pPr>
        <w:pStyle w:val="3"/>
        <w:wordWrap/>
        <w:snapToGrid/>
        <w:spacing w:line="560" w:lineRule="exact"/>
        <w:ind w:firstLine="560"/>
        <w:textAlignment w:val="auto"/>
        <w:rPr>
          <w:rFonts w:hint="eastAsia" w:ascii="楷体" w:hAnsi="楷体" w:eastAsia="楷体" w:cs="楷体"/>
          <w:sz w:val="32"/>
          <w:szCs w:val="32"/>
        </w:rPr>
      </w:pPr>
      <w:bookmarkStart w:id="124" w:name="_Toc2102896_WPSOffice_Level2"/>
      <w:bookmarkStart w:id="125" w:name="_Toc49881198"/>
      <w:r>
        <w:rPr>
          <w:rFonts w:hint="eastAsia" w:ascii="楷体" w:hAnsi="楷体" w:eastAsia="楷体" w:cs="楷体"/>
          <w:sz w:val="32"/>
          <w:szCs w:val="32"/>
        </w:rPr>
        <w:t>4.3 应急响应</w:t>
      </w:r>
      <w:bookmarkEnd w:id="124"/>
      <w:bookmarkEnd w:id="125"/>
    </w:p>
    <w:p>
      <w:pPr>
        <w:pStyle w:val="4"/>
        <w:wordWrap/>
        <w:snapToGrid/>
        <w:spacing w:line="560" w:lineRule="exact"/>
        <w:ind w:firstLine="560"/>
        <w:textAlignment w:val="auto"/>
        <w:rPr>
          <w:rFonts w:hint="eastAsia" w:ascii="仿宋_GB2312" w:hAnsi="仿宋_GB2312" w:eastAsia="仿宋_GB2312" w:cs="仿宋_GB2312"/>
          <w:b/>
          <w:bCs/>
          <w:sz w:val="32"/>
          <w:szCs w:val="32"/>
        </w:rPr>
      </w:pPr>
      <w:bookmarkStart w:id="126" w:name="_Toc49881199"/>
      <w:bookmarkStart w:id="127" w:name="_Toc154591390_WPSOffice_Level3"/>
      <w:r>
        <w:rPr>
          <w:rFonts w:hint="eastAsia" w:ascii="仿宋_GB2312" w:hAnsi="仿宋_GB2312" w:eastAsia="仿宋_GB2312" w:cs="仿宋_GB2312"/>
          <w:b/>
          <w:bCs/>
          <w:sz w:val="32"/>
          <w:szCs w:val="32"/>
        </w:rPr>
        <w:t>4.3.1Ⅰ级应急响应</w:t>
      </w:r>
      <w:bookmarkEnd w:id="126"/>
      <w:bookmarkEnd w:id="127"/>
    </w:p>
    <w:p>
      <w:pPr>
        <w:wordWrap/>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发生重大及以上燃气突发事件，由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指挥部负责确认</w:t>
      </w:r>
      <w:r>
        <w:rPr>
          <w:rFonts w:hint="eastAsia" w:ascii="仿宋_GB2312" w:hAnsi="仿宋_GB2312" w:eastAsia="仿宋_GB2312" w:cs="仿宋_GB2312"/>
          <w:sz w:val="32"/>
          <w:szCs w:val="32"/>
          <w:lang w:eastAsia="zh-CN"/>
        </w:rPr>
        <w:t>，并报市指挥部办公室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指挥部成员立即赶到现场，成立现场指挥部，由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w:t>
      </w:r>
      <w:r>
        <w:rPr>
          <w:rFonts w:hint="eastAsia" w:ascii="仿宋_GB2312" w:hAnsi="仿宋_GB2312" w:eastAsia="仿宋_GB2312" w:cs="仿宋_GB2312"/>
          <w:sz w:val="32"/>
          <w:szCs w:val="32"/>
          <w:lang w:eastAsia="zh-CN"/>
        </w:rPr>
        <w:t>总指挥</w:t>
      </w:r>
      <w:r>
        <w:rPr>
          <w:rFonts w:hint="eastAsia" w:ascii="仿宋_GB2312" w:hAnsi="仿宋_GB2312" w:eastAsia="仿宋_GB2312" w:cs="仿宋_GB2312"/>
          <w:sz w:val="32"/>
          <w:szCs w:val="32"/>
        </w:rPr>
        <w:t>或副</w:t>
      </w:r>
      <w:r>
        <w:rPr>
          <w:rFonts w:hint="eastAsia" w:ascii="仿宋_GB2312" w:hAnsi="仿宋_GB2312" w:eastAsia="仿宋_GB2312" w:cs="仿宋_GB2312"/>
          <w:sz w:val="32"/>
          <w:szCs w:val="32"/>
          <w:lang w:eastAsia="zh-CN"/>
        </w:rPr>
        <w:t>总指挥</w:t>
      </w:r>
      <w:r>
        <w:rPr>
          <w:rFonts w:hint="eastAsia" w:ascii="仿宋_GB2312" w:hAnsi="仿宋_GB2312" w:eastAsia="仿宋_GB2312" w:cs="仿宋_GB2312"/>
          <w:sz w:val="32"/>
          <w:szCs w:val="32"/>
        </w:rPr>
        <w:t>负责组织应急处置工作</w:t>
      </w:r>
      <w:r>
        <w:rPr>
          <w:rFonts w:hint="eastAsia" w:ascii="仿宋_GB2312" w:hAnsi="仿宋_GB2312" w:eastAsia="仿宋_GB2312" w:cs="仿宋_GB2312"/>
          <w:sz w:val="32"/>
          <w:szCs w:val="32"/>
          <w:lang w:eastAsia="zh-CN"/>
        </w:rPr>
        <w:t>，待市指挥部总指挥或副总指挥到达现场移交指挥权</w:t>
      </w:r>
      <w:r>
        <w:rPr>
          <w:rFonts w:hint="eastAsia" w:ascii="仿宋_GB2312" w:hAnsi="仿宋_GB2312" w:eastAsia="仿宋_GB2312" w:cs="仿宋_GB2312"/>
          <w:sz w:val="32"/>
          <w:szCs w:val="32"/>
        </w:rPr>
        <w:t>。组织、指挥、协调、调度本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应急力量和资源，统一实施应急处置。各级工作人员迅速到位，按照各自职责和分工，密切配合，共同实施应急处置。</w:t>
      </w:r>
    </w:p>
    <w:p>
      <w:pPr>
        <w:pStyle w:val="4"/>
        <w:wordWrap/>
        <w:snapToGrid/>
        <w:spacing w:line="560" w:lineRule="exact"/>
        <w:ind w:firstLine="560"/>
        <w:textAlignment w:val="auto"/>
        <w:rPr>
          <w:rFonts w:hint="eastAsia" w:ascii="仿宋_GB2312" w:hAnsi="仿宋_GB2312" w:eastAsia="仿宋_GB2312" w:cs="仿宋_GB2312"/>
          <w:b/>
          <w:bCs/>
          <w:sz w:val="32"/>
          <w:szCs w:val="32"/>
        </w:rPr>
      </w:pPr>
      <w:bookmarkStart w:id="128" w:name="_Toc1107541587_WPSOffice_Level3"/>
      <w:bookmarkStart w:id="129" w:name="_Toc49881200"/>
      <w:r>
        <w:rPr>
          <w:rFonts w:hint="eastAsia" w:ascii="仿宋_GB2312" w:hAnsi="仿宋_GB2312" w:eastAsia="仿宋_GB2312" w:cs="仿宋_GB2312"/>
          <w:b/>
          <w:bCs/>
          <w:sz w:val="32"/>
          <w:szCs w:val="32"/>
        </w:rPr>
        <w:t>4.3.2Ⅱ级应急响应</w:t>
      </w:r>
      <w:bookmarkEnd w:id="128"/>
      <w:bookmarkEnd w:id="129"/>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发生较大</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以下燃气突发事件，由区人民政府确认和启动Ⅱ级应急响应。组织、指挥、协调、调度辖区应急力量和资源，实施应急处置。</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（1）气源供应不足或中断类事件</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因燃气企业设备故障造成的燃气供应不足或供应中断，区城市管理委立即与辖区内燃气企业进行协调对接，做好应急供气的协调工作。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做好辖区内工</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用户限供、停供的协调工作。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燃气企业按照燃气供应中断应急预案，启动应急储备气源，实施应急处置，最大限度保证事件区域内居民、医院、学校等用户的用气。</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区各有关部门、单位按照各自职责和分工，密切配合，共同实施应急处置。</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（2）燃气泄漏类事件</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区应急管理局：负责组织燃气泄漏突发事件处置工作。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区城市管理委：负责组织燃气泄漏抢修,应急气源组织和供气恢复。</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区公安局：立即进行警戒范围设置，实施交通管制，必要时进行人员疏散等工作；维护公共秩序和社会治安。</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燃气企业：迅速调集应急队伍、抢修物资及设备，实施抢险救援工作，并及时恢复供气。</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：负责组织燃气泄漏区域内人员的疏散安置，负责社会稳定工作；引导抢险车辆进入现场。</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区各有关部门、单位按照各自职责和分工，密切配合，共同实施应急处置。</w:t>
      </w:r>
    </w:p>
    <w:p>
      <w:pPr>
        <w:pStyle w:val="4"/>
        <w:wordWrap/>
        <w:snapToGrid/>
        <w:spacing w:line="560" w:lineRule="exact"/>
        <w:ind w:firstLine="560"/>
        <w:jc w:val="both"/>
        <w:textAlignment w:val="auto"/>
        <w:rPr>
          <w:rFonts w:hint="eastAsia" w:ascii="仿宋_GB2312" w:hAnsi="仿宋_GB2312" w:eastAsia="仿宋_GB2312" w:cs="仿宋_GB2312"/>
          <w:b/>
          <w:bCs/>
          <w:sz w:val="32"/>
          <w:szCs w:val="32"/>
        </w:rPr>
      </w:pPr>
      <w:bookmarkStart w:id="130" w:name="_Toc987748548_WPSOffice_Level3"/>
      <w:bookmarkStart w:id="131" w:name="_Toc49881201"/>
      <w:r>
        <w:rPr>
          <w:rFonts w:hint="eastAsia" w:ascii="仿宋_GB2312" w:hAnsi="仿宋_GB2312" w:eastAsia="仿宋_GB2312" w:cs="仿宋_GB2312"/>
          <w:b/>
          <w:bCs/>
          <w:sz w:val="32"/>
          <w:szCs w:val="32"/>
        </w:rPr>
        <w:t>4.3.3响应等级调整</w:t>
      </w:r>
      <w:bookmarkEnd w:id="130"/>
      <w:bookmarkEnd w:id="131"/>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对涉外、敏感区域的燃气突发事件，应加强情况报告并提高响应等级。</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燃气泄漏、着火爆炸突发事件有可能转化为燃气供应中断，应根据实际情况确定突发事件的响应等级及处置措施。</w:t>
      </w:r>
    </w:p>
    <w:p>
      <w:pPr>
        <w:widowControl/>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响应等级一般由低向高递升，出现紧急情况和严重态势时，直接提高响应等级。</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当燃气突发事件严重程度和造成的危害已超出本级指挥部控制能力时，应及时向上级人民政府报告启动突发事件升级程序。</w:t>
      </w:r>
    </w:p>
    <w:p>
      <w:pPr>
        <w:pStyle w:val="3"/>
        <w:wordWrap/>
        <w:snapToGrid/>
        <w:spacing w:line="560" w:lineRule="exact"/>
        <w:ind w:firstLine="560"/>
        <w:textAlignment w:val="auto"/>
        <w:rPr>
          <w:rFonts w:hint="eastAsia" w:ascii="楷体" w:hAnsi="楷体" w:eastAsia="楷体" w:cs="楷体"/>
          <w:sz w:val="32"/>
          <w:szCs w:val="32"/>
        </w:rPr>
      </w:pPr>
      <w:bookmarkStart w:id="132" w:name="_Toc49881202"/>
      <w:bookmarkStart w:id="133" w:name="_Toc473342729_WPSOffice_Level2"/>
      <w:r>
        <w:rPr>
          <w:rFonts w:hint="eastAsia" w:ascii="楷体" w:hAnsi="楷体" w:eastAsia="楷体" w:cs="楷体"/>
          <w:sz w:val="32"/>
          <w:szCs w:val="32"/>
        </w:rPr>
        <w:t>4.4 信息发布</w:t>
      </w:r>
      <w:bookmarkEnd w:id="132"/>
      <w:bookmarkEnd w:id="133"/>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4.4.1燃气突发事件的信息报道实行集中、统一、规范化管理；信息发布要求及时、准确、客观、全面；信息渠道、信息分类、新闻保密和新闻发布等要符合规定的要求。</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4.4.2区级政府负责Ⅱ级响应燃气突发事件新闻报道和信息发布工作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Ⅰ级响应燃气突发事件</w:t>
      </w:r>
      <w:r>
        <w:rPr>
          <w:rFonts w:hint="eastAsia" w:ascii="仿宋_GB2312" w:hAnsi="仿宋_GB2312" w:eastAsia="仿宋_GB2312" w:cs="仿宋_GB2312"/>
          <w:sz w:val="32"/>
          <w:szCs w:val="32"/>
          <w:lang w:eastAsia="zh-CN"/>
        </w:rPr>
        <w:t>，由区指挥部上报市指挥部确认后，</w:t>
      </w:r>
      <w:r>
        <w:rPr>
          <w:rFonts w:hint="eastAsia" w:ascii="仿宋_GB2312" w:hAnsi="仿宋_GB2312" w:eastAsia="仿宋_GB2312" w:cs="仿宋_GB2312"/>
          <w:sz w:val="32"/>
          <w:szCs w:val="32"/>
        </w:rPr>
        <w:t>发布新闻报道和信息；</w:t>
      </w:r>
    </w:p>
    <w:p>
      <w:pPr>
        <w:pStyle w:val="3"/>
        <w:wordWrap/>
        <w:snapToGrid/>
        <w:spacing w:line="560" w:lineRule="exact"/>
        <w:ind w:firstLine="560"/>
        <w:jc w:val="both"/>
        <w:textAlignment w:val="auto"/>
        <w:rPr>
          <w:rFonts w:hint="eastAsia" w:ascii="楷体" w:hAnsi="楷体" w:eastAsia="楷体" w:cs="楷体"/>
          <w:sz w:val="32"/>
          <w:szCs w:val="32"/>
        </w:rPr>
      </w:pPr>
      <w:bookmarkStart w:id="134" w:name="_Toc254027569_WPSOffice_Level2"/>
      <w:bookmarkStart w:id="135" w:name="_Toc49881203"/>
      <w:r>
        <w:rPr>
          <w:rFonts w:hint="eastAsia" w:ascii="楷体" w:hAnsi="楷体" w:eastAsia="楷体" w:cs="楷体"/>
          <w:sz w:val="32"/>
          <w:szCs w:val="32"/>
        </w:rPr>
        <w:t>4.5 安全防护</w:t>
      </w:r>
      <w:bookmarkEnd w:id="134"/>
      <w:bookmarkEnd w:id="135"/>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4.5.1抢险单位要建立健全应急抢修规章制度和操作规程，配备现场抢修所必须的器材设备、备品备件；设施必须定期维护，保证完好状态。</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4.5.2燃气企业和抢险单位实施现场处置时，必须按照预案要求，落实抢险、抢修和控制事态发展的安全措施，杜绝违章指挥、违章作业，防止应急处置人员伤亡和事态扩大。</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4.5.3一旦突发事件超出抢险单位处置能力时，要立即报告，请求支援。</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4.5.4</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公安局针对燃气突发事件可能造成的损害和发展态势，可采取封闭、隔离或限制使用有关场所等措施，以防次生、衍生事故的发生。</w:t>
      </w:r>
    </w:p>
    <w:p>
      <w:pPr>
        <w:wordWrap/>
        <w:snapToGrid/>
        <w:spacing w:line="560" w:lineRule="exact"/>
        <w:ind w:firstLine="56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4.5.5区、</w:t>
      </w:r>
      <w:r>
        <w:rPr>
          <w:rFonts w:hint="eastAsia" w:ascii="仿宋_GB2312" w:hAnsi="仿宋_GB2312" w:eastAsia="仿宋_GB2312" w:cs="仿宋_GB2312"/>
          <w:kern w:val="0"/>
          <w:sz w:val="32"/>
          <w:szCs w:val="32"/>
          <w:lang w:eastAsia="zh-CN"/>
        </w:rPr>
        <w:t>街道办事处</w:t>
      </w:r>
      <w:r>
        <w:rPr>
          <w:rFonts w:hint="eastAsia" w:ascii="仿宋_GB2312" w:hAnsi="仿宋_GB2312" w:eastAsia="仿宋_GB2312" w:cs="仿宋_GB2312"/>
          <w:kern w:val="0"/>
          <w:sz w:val="32"/>
          <w:szCs w:val="32"/>
        </w:rPr>
        <w:t>应建立专（兼）应急抢险队伍，以满足救援抢险的工作需要。</w:t>
      </w:r>
    </w:p>
    <w:p>
      <w:pPr>
        <w:pStyle w:val="3"/>
        <w:wordWrap/>
        <w:snapToGrid/>
        <w:spacing w:line="560" w:lineRule="exact"/>
        <w:ind w:firstLine="560"/>
        <w:textAlignment w:val="auto"/>
        <w:rPr>
          <w:rFonts w:hint="eastAsia" w:ascii="楷体" w:hAnsi="楷体" w:eastAsia="楷体" w:cs="楷体"/>
          <w:sz w:val="32"/>
          <w:szCs w:val="32"/>
        </w:rPr>
      </w:pPr>
      <w:bookmarkStart w:id="136" w:name="_Toc49881204"/>
      <w:bookmarkStart w:id="137" w:name="_Toc797489242_WPSOffice_Level2"/>
      <w:r>
        <w:rPr>
          <w:rFonts w:hint="eastAsia" w:ascii="楷体" w:hAnsi="楷体" w:eastAsia="楷体" w:cs="楷体"/>
          <w:sz w:val="32"/>
          <w:szCs w:val="32"/>
        </w:rPr>
        <w:t>4.6 应急结束</w:t>
      </w:r>
      <w:bookmarkEnd w:id="136"/>
      <w:bookmarkEnd w:id="137"/>
    </w:p>
    <w:p>
      <w:pPr>
        <w:widowControl/>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在突发事件基本处置完毕，经有关机构和专家评估，发生次生、衍生灾害的风险基本消除，由区人民政府宣布应急结束，并通报各成员单位。现场处置结束后，根据现场指挥部的统一指令，各参与单位有序撤离现场。 </w:t>
      </w:r>
    </w:p>
    <w:p>
      <w:pPr>
        <w:pStyle w:val="2"/>
        <w:wordWrap/>
        <w:snapToGrid/>
        <w:spacing w:line="560" w:lineRule="exact"/>
        <w:ind w:firstLine="640"/>
        <w:textAlignment w:val="auto"/>
        <w:rPr>
          <w:rFonts w:hint="eastAsia" w:ascii="黑体" w:hAnsi="黑体" w:eastAsia="黑体" w:cs="黑体"/>
          <w:sz w:val="32"/>
          <w:szCs w:val="32"/>
        </w:rPr>
      </w:pPr>
      <w:bookmarkStart w:id="138" w:name="_Toc49881205"/>
      <w:bookmarkStart w:id="139" w:name="_Toc836923788_WPSOffice_Level1"/>
      <w:bookmarkStart w:id="140" w:name="_Toc346183476_WPSOffice_Level1"/>
      <w:r>
        <w:rPr>
          <w:rFonts w:hint="eastAsia" w:ascii="黑体" w:hAnsi="黑体" w:eastAsia="黑体" w:cs="黑体"/>
          <w:sz w:val="32"/>
          <w:szCs w:val="32"/>
        </w:rPr>
        <w:t>5　后期处置</w:t>
      </w:r>
      <w:bookmarkEnd w:id="138"/>
      <w:bookmarkEnd w:id="139"/>
      <w:bookmarkEnd w:id="140"/>
    </w:p>
    <w:p>
      <w:pPr>
        <w:pStyle w:val="3"/>
        <w:wordWrap/>
        <w:snapToGrid/>
        <w:spacing w:line="560" w:lineRule="exact"/>
        <w:ind w:firstLine="560"/>
        <w:textAlignment w:val="auto"/>
        <w:rPr>
          <w:rFonts w:hint="eastAsia" w:ascii="楷体" w:hAnsi="楷体" w:eastAsia="楷体" w:cs="楷体"/>
          <w:sz w:val="32"/>
          <w:szCs w:val="32"/>
        </w:rPr>
      </w:pPr>
      <w:bookmarkStart w:id="141" w:name="_Toc49881206"/>
      <w:bookmarkStart w:id="142" w:name="_Toc60581688_WPSOffice_Level2"/>
      <w:r>
        <w:rPr>
          <w:rFonts w:hint="eastAsia" w:ascii="楷体" w:hAnsi="楷体" w:eastAsia="楷体" w:cs="楷体"/>
          <w:sz w:val="32"/>
          <w:szCs w:val="32"/>
        </w:rPr>
        <w:t>5.1 恢复生产</w:t>
      </w:r>
      <w:bookmarkEnd w:id="141"/>
      <w:bookmarkEnd w:id="142"/>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5.1.1燃气企业负责现场清理工作；负责及时修复燃气泄漏、着火爆炸突发事件中受损的燃气设施；负责调度气源及时恢复燃气正常供应。</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5.1.2区指挥部相关成员单位依据各自职责，负责电力、供水、供暖、道路等设施的检查和受损设施修复工作。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5.1.3 </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负责监督管理辖区内燃气设施的修复恢复工作。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5.1.4燃气企业负责向区人民政府报告恢复情况。</w:t>
      </w:r>
    </w:p>
    <w:p>
      <w:pPr>
        <w:pStyle w:val="3"/>
        <w:wordWrap/>
        <w:snapToGrid/>
        <w:spacing w:line="560" w:lineRule="exact"/>
        <w:ind w:firstLine="560"/>
        <w:textAlignment w:val="auto"/>
        <w:rPr>
          <w:rFonts w:hint="eastAsia" w:ascii="楷体" w:hAnsi="楷体" w:eastAsia="楷体" w:cs="楷体"/>
          <w:sz w:val="32"/>
          <w:szCs w:val="32"/>
        </w:rPr>
      </w:pPr>
      <w:bookmarkStart w:id="143" w:name="_Toc958053870_WPSOffice_Level2"/>
      <w:bookmarkStart w:id="144" w:name="_Toc49881207"/>
      <w:r>
        <w:rPr>
          <w:rFonts w:hint="eastAsia" w:ascii="楷体" w:hAnsi="楷体" w:eastAsia="楷体" w:cs="楷体"/>
          <w:sz w:val="32"/>
          <w:szCs w:val="32"/>
        </w:rPr>
        <w:t>5.2 调查评估</w:t>
      </w:r>
      <w:bookmarkEnd w:id="143"/>
      <w:bookmarkEnd w:id="144"/>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发生较大及以下燃气突发事件后，由区人民政府组织有关部门开展事故调查评估、责任认定工作，并提出整改意见。调查评估报告在事件结束后30日内上报市指挥部办公室。</w:t>
      </w:r>
    </w:p>
    <w:p>
      <w:pPr>
        <w:pStyle w:val="3"/>
        <w:wordWrap/>
        <w:snapToGrid/>
        <w:spacing w:line="560" w:lineRule="exact"/>
        <w:ind w:firstLine="560"/>
        <w:textAlignment w:val="auto"/>
        <w:rPr>
          <w:rFonts w:hint="eastAsia" w:ascii="楷体" w:hAnsi="楷体" w:eastAsia="楷体" w:cs="楷体"/>
          <w:sz w:val="32"/>
          <w:szCs w:val="32"/>
        </w:rPr>
      </w:pPr>
      <w:bookmarkStart w:id="145" w:name="_Toc639651457_WPSOffice_Level2"/>
      <w:bookmarkStart w:id="146" w:name="_Toc49881208"/>
      <w:r>
        <w:rPr>
          <w:rFonts w:hint="eastAsia" w:ascii="楷体" w:hAnsi="楷体" w:eastAsia="楷体" w:cs="楷体"/>
          <w:sz w:val="32"/>
          <w:szCs w:val="32"/>
        </w:rPr>
        <w:t>5.3 善后处置</w:t>
      </w:r>
      <w:bookmarkEnd w:id="145"/>
      <w:bookmarkEnd w:id="146"/>
    </w:p>
    <w:p>
      <w:pPr>
        <w:wordWrap/>
        <w:snapToGrid/>
        <w:spacing w:line="560" w:lineRule="exact"/>
        <w:ind w:firstLine="56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5.3.1民政部门</w:t>
      </w:r>
      <w:r>
        <w:rPr>
          <w:rFonts w:hint="eastAsia" w:ascii="仿宋_GB2312" w:hAnsi="仿宋_GB2312" w:eastAsia="仿宋_GB2312" w:cs="仿宋_GB2312"/>
          <w:sz w:val="32"/>
          <w:szCs w:val="32"/>
          <w:lang w:eastAsia="zh-CN"/>
        </w:rPr>
        <w:t>及时落实救助政策，保障受灾群众的基本生活。</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5.3.2事故调查结束后，相关燃气企业、事故单位必须积极配合，做好受害家庭的安抚、赔偿工作。</w:t>
      </w:r>
    </w:p>
    <w:p>
      <w:pPr>
        <w:pStyle w:val="2"/>
        <w:wordWrap/>
        <w:snapToGrid/>
        <w:spacing w:line="560" w:lineRule="exact"/>
        <w:ind w:firstLine="640"/>
        <w:textAlignment w:val="auto"/>
        <w:rPr>
          <w:rFonts w:hint="eastAsia" w:ascii="黑体" w:hAnsi="黑体" w:eastAsia="黑体" w:cs="黑体"/>
          <w:sz w:val="32"/>
          <w:szCs w:val="32"/>
        </w:rPr>
      </w:pPr>
      <w:bookmarkStart w:id="147" w:name="_Toc49881209"/>
      <w:bookmarkStart w:id="148" w:name="_Toc1419311643_WPSOffice_Level1"/>
      <w:bookmarkStart w:id="149" w:name="_Toc1254966992_WPSOffice_Level1"/>
      <w:r>
        <w:rPr>
          <w:rFonts w:hint="eastAsia" w:ascii="黑体" w:hAnsi="黑体" w:eastAsia="黑体" w:cs="黑体"/>
          <w:sz w:val="32"/>
          <w:szCs w:val="32"/>
        </w:rPr>
        <w:t>6　应急保障</w:t>
      </w:r>
      <w:bookmarkEnd w:id="147"/>
      <w:bookmarkEnd w:id="148"/>
      <w:bookmarkEnd w:id="149"/>
    </w:p>
    <w:p>
      <w:pPr>
        <w:pStyle w:val="3"/>
        <w:wordWrap/>
        <w:snapToGrid/>
        <w:spacing w:line="560" w:lineRule="exact"/>
        <w:ind w:firstLine="560"/>
        <w:textAlignment w:val="auto"/>
        <w:rPr>
          <w:rFonts w:hint="eastAsia" w:ascii="楷体" w:hAnsi="楷体" w:eastAsia="楷体" w:cs="楷体"/>
          <w:sz w:val="32"/>
          <w:szCs w:val="32"/>
        </w:rPr>
      </w:pPr>
      <w:bookmarkStart w:id="150" w:name="_Toc49881210"/>
      <w:bookmarkStart w:id="151" w:name="_Toc41767534_WPSOffice_Level2"/>
      <w:r>
        <w:rPr>
          <w:rFonts w:hint="eastAsia" w:ascii="楷体" w:hAnsi="楷体" w:eastAsia="楷体" w:cs="楷体"/>
          <w:sz w:val="32"/>
          <w:szCs w:val="32"/>
        </w:rPr>
        <w:t>6.1 应急队伍保障</w:t>
      </w:r>
      <w:bookmarkEnd w:id="150"/>
      <w:bookmarkEnd w:id="151"/>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6.1.1各燃气企业要根据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指挥部的要求，按照供应燃气的性质、设备设施的类型和供应规模，建立企业燃气应急抢险队伍，并要分布合理；重要燃气用户应建立相应的应急抢险队伍，做好突发事件情况下的企业自救工作。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6.1.2由区城市管理委牵头，根据各区燃气设施规模和特点，建立不少于50人的区级专业应急救援队伍，与社会应急力量开展合作，联合培训、联合演练，提高协同救援的能力。</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6.1.3由</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牵头，组建专（兼）职应急救援队伍，做好自救互救、人员疏散、秩序维护等相关应急处置工作。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6.1.4各应急队伍负责人要熟悉相关预案，具有组织协调能力；从事燃气应急处置人员须经业务技术培训，具备燃气行业安全、抢险、防护等相关知识和技能。</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6.1.5各燃气企业应急队伍要服从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指挥部统一调动；保持信息互通，确保应急救援联系渠道畅通和应急救援队伍快速反应。</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6.1.6当燃气事故所在单位、部门的应急力量不足，需要支援时，由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指挥部组织协调有关应急力量进入现场开展应急处置工作。</w:t>
      </w:r>
    </w:p>
    <w:p>
      <w:pPr>
        <w:pStyle w:val="3"/>
        <w:wordWrap/>
        <w:snapToGrid/>
        <w:spacing w:line="560" w:lineRule="exact"/>
        <w:ind w:firstLine="560"/>
        <w:textAlignment w:val="auto"/>
        <w:rPr>
          <w:rFonts w:hint="eastAsia" w:ascii="楷体" w:hAnsi="楷体" w:eastAsia="楷体" w:cs="楷体"/>
          <w:sz w:val="32"/>
          <w:szCs w:val="32"/>
        </w:rPr>
      </w:pPr>
      <w:bookmarkStart w:id="152" w:name="_Toc49881211"/>
      <w:bookmarkStart w:id="153" w:name="_Toc229301099_WPSOffice_Level2"/>
      <w:r>
        <w:rPr>
          <w:rFonts w:hint="eastAsia" w:ascii="楷体" w:hAnsi="楷体" w:eastAsia="楷体" w:cs="楷体"/>
          <w:sz w:val="32"/>
          <w:szCs w:val="32"/>
        </w:rPr>
        <w:t>6.2 物资保障</w:t>
      </w:r>
      <w:bookmarkEnd w:id="152"/>
      <w:bookmarkEnd w:id="153"/>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应急局应建立相关应急物资生产、经营重点企业名册；制定应急物资管理制度。</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指挥部在应急处置工作中，可在各燃气企业间紧急调用设备、物资和场地。</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燃气企业根据供气方式和供应规模配置必需的燃气应急机具、车辆和物资；区域供气的燃气企业必须建立移动式CNG、LNG等移动供气保障系统，并保证与燃气供应系统的对接；燃气企业按照应急预案规定配备的抢险专业工具、设备和车辆必须定期进行维护、保养、更换，保持良好状态。</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燃气企业要建立完善的抢险物资管理制度和定期检查、保养、更新制度；指定专人负责管理，并建立使用状况台账，定期检测和维护；</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指挥部办公室不定期进行督导检查。</w:t>
      </w:r>
    </w:p>
    <w:p>
      <w:pPr>
        <w:pStyle w:val="3"/>
        <w:wordWrap/>
        <w:snapToGrid/>
        <w:spacing w:line="560" w:lineRule="exact"/>
        <w:ind w:firstLine="560"/>
        <w:textAlignment w:val="auto"/>
        <w:rPr>
          <w:rFonts w:hint="eastAsia" w:ascii="楷体" w:hAnsi="楷体" w:eastAsia="楷体" w:cs="楷体"/>
          <w:sz w:val="32"/>
          <w:szCs w:val="32"/>
        </w:rPr>
      </w:pPr>
      <w:bookmarkStart w:id="154" w:name="_Toc266828164_WPSOffice_Level2"/>
      <w:bookmarkStart w:id="155" w:name="_Toc49881212"/>
      <w:r>
        <w:rPr>
          <w:rFonts w:hint="eastAsia" w:ascii="楷体" w:hAnsi="楷体" w:eastAsia="楷体" w:cs="楷体"/>
          <w:sz w:val="32"/>
          <w:szCs w:val="32"/>
        </w:rPr>
        <w:t>6.3 资金保障</w:t>
      </w:r>
      <w:bookmarkEnd w:id="154"/>
      <w:bookmarkEnd w:id="155"/>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区财政局按年度安排应急补助资金，用于燃气应急工作。</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燃气企业要将燃气抢险设施购置和维护、应急物资储备、应急演练等费用纳入年度预算，并按计划实施。</w:t>
      </w:r>
    </w:p>
    <w:p>
      <w:pPr>
        <w:pStyle w:val="3"/>
        <w:wordWrap/>
        <w:snapToGrid/>
        <w:spacing w:line="560" w:lineRule="exact"/>
        <w:ind w:firstLine="560"/>
        <w:textAlignment w:val="auto"/>
        <w:rPr>
          <w:rFonts w:hint="eastAsia" w:ascii="楷体" w:hAnsi="楷体" w:eastAsia="楷体" w:cs="楷体"/>
          <w:sz w:val="32"/>
          <w:szCs w:val="32"/>
        </w:rPr>
      </w:pPr>
      <w:bookmarkStart w:id="156" w:name="_Toc49881213"/>
      <w:bookmarkStart w:id="157" w:name="_Toc449130025_WPSOffice_Level2"/>
      <w:r>
        <w:rPr>
          <w:rFonts w:hint="eastAsia" w:ascii="楷体" w:hAnsi="楷体" w:eastAsia="楷体" w:cs="楷体"/>
          <w:sz w:val="32"/>
          <w:szCs w:val="32"/>
        </w:rPr>
        <w:t>6.4 技术保障</w:t>
      </w:r>
      <w:bookmarkEnd w:id="156"/>
      <w:bookmarkEnd w:id="157"/>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城市管理委组织燃气企业逐步实施我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燃气</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压主干管网互联互通，满足不同区域、不同企业间应急气源的相互调度供应。</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燃气企业负责对承担重要公共服务职能和生产工艺特殊的不可中断用户现有燃气设施实施改造，增加燃气应急接头；新建燃气设施必须设置燃气应急接头，遇有气源供应不足或中断突发事件可通过压缩天然气、液化天然气等设施进行应急供气。</w:t>
      </w:r>
    </w:p>
    <w:p>
      <w:pPr>
        <w:pStyle w:val="2"/>
        <w:wordWrap/>
        <w:snapToGrid/>
        <w:spacing w:line="560" w:lineRule="exact"/>
        <w:ind w:firstLine="640"/>
        <w:textAlignment w:val="auto"/>
        <w:rPr>
          <w:rFonts w:hint="eastAsia" w:ascii="黑体" w:hAnsi="黑体" w:eastAsia="黑体" w:cs="黑体"/>
          <w:sz w:val="32"/>
          <w:szCs w:val="32"/>
        </w:rPr>
      </w:pPr>
      <w:bookmarkStart w:id="158" w:name="_Toc49881214"/>
      <w:bookmarkStart w:id="159" w:name="_Toc760696626_WPSOffice_Level1"/>
      <w:bookmarkStart w:id="160" w:name="_Toc125455737_WPSOffice_Level1"/>
      <w:r>
        <w:rPr>
          <w:rFonts w:hint="eastAsia" w:ascii="黑体" w:hAnsi="黑体" w:eastAsia="黑体" w:cs="黑体"/>
          <w:sz w:val="32"/>
          <w:szCs w:val="32"/>
        </w:rPr>
        <w:t>7　宣传教育、培训与应急演练</w:t>
      </w:r>
      <w:bookmarkEnd w:id="158"/>
      <w:bookmarkEnd w:id="159"/>
      <w:bookmarkEnd w:id="160"/>
    </w:p>
    <w:p>
      <w:pPr>
        <w:pStyle w:val="3"/>
        <w:wordWrap/>
        <w:snapToGrid/>
        <w:spacing w:line="560" w:lineRule="exact"/>
        <w:ind w:firstLine="560"/>
        <w:textAlignment w:val="auto"/>
        <w:rPr>
          <w:rFonts w:hint="eastAsia" w:ascii="楷体" w:hAnsi="楷体" w:eastAsia="楷体" w:cs="楷体"/>
          <w:sz w:val="32"/>
          <w:szCs w:val="32"/>
        </w:rPr>
      </w:pPr>
      <w:bookmarkStart w:id="161" w:name="_Toc49881215"/>
      <w:bookmarkStart w:id="162" w:name="_Toc1100225354_WPSOffice_Level2"/>
      <w:r>
        <w:rPr>
          <w:rFonts w:hint="eastAsia" w:ascii="楷体" w:hAnsi="楷体" w:eastAsia="楷体" w:cs="楷体"/>
          <w:sz w:val="32"/>
          <w:szCs w:val="32"/>
        </w:rPr>
        <w:t>7.1 宣传教育</w:t>
      </w:r>
      <w:bookmarkEnd w:id="161"/>
      <w:bookmarkEnd w:id="162"/>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7.1.1</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相关部门要依据《城镇燃气管理条例》、《天津市燃气管理条例》，加强燃气安全知识宣传工作。 </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7.1.2</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要将燃气安全宣传纳入社区工作内容，搞好燃气设施安全保护和安全使用燃气的宣传教育。</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7.1.3</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教委负责对在校学生进行燃气安全知识宣传教育，提高学生的安全意识。</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7.1.4各有关职能部门按照职责范围做好燃气安全宣传教育。</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7.1.5燃气企业要加强燃气安全进社区的宣传，不断提高燃气用户的安全意识和安全用气知识；加强职工安全教育，提高职工安全生产意识和应急处置能力。</w:t>
      </w:r>
    </w:p>
    <w:p>
      <w:pPr>
        <w:pStyle w:val="3"/>
        <w:wordWrap/>
        <w:snapToGrid/>
        <w:spacing w:line="560" w:lineRule="exact"/>
        <w:ind w:firstLine="560"/>
        <w:textAlignment w:val="auto"/>
        <w:rPr>
          <w:rFonts w:hint="eastAsia" w:ascii="楷体" w:hAnsi="楷体" w:eastAsia="楷体" w:cs="楷体"/>
          <w:sz w:val="32"/>
          <w:szCs w:val="32"/>
        </w:rPr>
      </w:pPr>
      <w:bookmarkStart w:id="163" w:name="_Toc49881216"/>
      <w:bookmarkStart w:id="164" w:name="_Toc664546546_WPSOffice_Level2"/>
      <w:r>
        <w:rPr>
          <w:rFonts w:hint="eastAsia" w:ascii="楷体" w:hAnsi="楷体" w:eastAsia="楷体" w:cs="楷体"/>
          <w:sz w:val="32"/>
          <w:szCs w:val="32"/>
        </w:rPr>
        <w:t>7.2 培训</w:t>
      </w:r>
      <w:bookmarkEnd w:id="163"/>
      <w:bookmarkEnd w:id="164"/>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燃气企业定期组织对关键岗位工作人员和应急抢险人员进行应急预案培训，编制应急演练总结，提高应急处置能力。</w:t>
      </w:r>
    </w:p>
    <w:p>
      <w:pPr>
        <w:pStyle w:val="3"/>
        <w:wordWrap/>
        <w:snapToGrid/>
        <w:spacing w:line="560" w:lineRule="exact"/>
        <w:ind w:firstLine="560"/>
        <w:textAlignment w:val="auto"/>
        <w:rPr>
          <w:rFonts w:hint="eastAsia" w:ascii="楷体" w:hAnsi="楷体" w:eastAsia="楷体" w:cs="楷体"/>
          <w:sz w:val="32"/>
          <w:szCs w:val="32"/>
        </w:rPr>
      </w:pPr>
      <w:bookmarkStart w:id="165" w:name="_Toc1989802908_WPSOffice_Level2"/>
      <w:bookmarkStart w:id="166" w:name="_Toc49881217"/>
      <w:r>
        <w:rPr>
          <w:rFonts w:hint="eastAsia" w:ascii="楷体" w:hAnsi="楷体" w:eastAsia="楷体" w:cs="楷体"/>
          <w:sz w:val="32"/>
          <w:szCs w:val="32"/>
        </w:rPr>
        <w:t>7.3 应急演练</w:t>
      </w:r>
      <w:bookmarkEnd w:id="165"/>
      <w:bookmarkEnd w:id="166"/>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7.3.1</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指挥部办公室根据实际工作需要，建立演练制度，组织相关成员单位每年进行1次气源供应</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燃气泄漏预案演练。通过应急演练，培训应急队伍，改进和完善应急预案。</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指挥部办公室负责对燃气企业应急演练实施情况进行监督检查，并做好典型经验交流推广。</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7.3.2相关部门、</w:t>
      </w:r>
      <w:r>
        <w:rPr>
          <w:rFonts w:hint="eastAsia" w:ascii="仿宋_GB2312" w:hAnsi="仿宋_GB2312" w:eastAsia="仿宋_GB2312" w:cs="仿宋_GB2312"/>
          <w:sz w:val="32"/>
          <w:szCs w:val="32"/>
          <w:lang w:eastAsia="zh-CN"/>
        </w:rPr>
        <w:t>街道社区</w:t>
      </w:r>
      <w:r>
        <w:rPr>
          <w:rFonts w:hint="eastAsia" w:ascii="仿宋_GB2312" w:hAnsi="仿宋_GB2312" w:eastAsia="仿宋_GB2312" w:cs="仿宋_GB2312"/>
          <w:sz w:val="32"/>
          <w:szCs w:val="32"/>
        </w:rPr>
        <w:t>、燃气企业对燃气安全事故应急预案内容定期开展实地演练，检验应急队伍，改进和完善应急预案，并建立燃气事故统计分析制度，定期通报事故处理结果；负责对本辖区内燃气企业应急演练实施情况进行监督检查，并做好典型经验交流推广。</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7.3.3燃气企业根据国家</w:t>
      </w:r>
      <w:r>
        <w:rPr>
          <w:rFonts w:hint="eastAsia" w:ascii="仿宋_GB2312" w:hAnsi="仿宋_GB2312" w:eastAsia="仿宋_GB2312" w:cs="仿宋_GB2312"/>
          <w:sz w:val="32"/>
          <w:szCs w:val="32"/>
          <w:lang w:eastAsia="zh-CN"/>
        </w:rPr>
        <w:t>、天津</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和本区</w:t>
      </w:r>
      <w:r>
        <w:rPr>
          <w:rFonts w:hint="eastAsia" w:ascii="仿宋_GB2312" w:hAnsi="仿宋_GB2312" w:eastAsia="仿宋_GB2312" w:cs="仿宋_GB2312"/>
          <w:sz w:val="32"/>
          <w:szCs w:val="32"/>
        </w:rPr>
        <w:t xml:space="preserve">有关规定，每半年至少组织1次演练，不断提高燃气工作人员的抢险救灾能力，并确保负责急修、抢修的队伍始终保持良好的工作准备状态。 </w:t>
      </w:r>
    </w:p>
    <w:p>
      <w:pPr>
        <w:wordWrap/>
        <w:snapToGrid/>
        <w:spacing w:line="560" w:lineRule="exact"/>
        <w:ind w:firstLine="560"/>
        <w:jc w:val="both"/>
        <w:textAlignment w:val="auto"/>
        <w:rPr>
          <w:rFonts w:hint="eastAsia" w:ascii="黑体" w:hAnsi="黑体" w:eastAsia="黑体" w:cs="黑体"/>
          <w:sz w:val="32"/>
          <w:szCs w:val="32"/>
        </w:rPr>
      </w:pPr>
      <w:bookmarkStart w:id="167" w:name="_Toc407595783_WPSOffice_Level1"/>
      <w:bookmarkStart w:id="168" w:name="_Toc49881218"/>
      <w:bookmarkStart w:id="169" w:name="_Toc908132374_WPSOffice_Level1"/>
      <w:r>
        <w:rPr>
          <w:rFonts w:hint="eastAsia" w:ascii="黑体" w:hAnsi="黑体" w:eastAsia="黑体" w:cs="黑体"/>
          <w:sz w:val="32"/>
          <w:szCs w:val="32"/>
        </w:rPr>
        <w:t>8　附则</w:t>
      </w:r>
      <w:bookmarkEnd w:id="167"/>
      <w:bookmarkEnd w:id="168"/>
      <w:bookmarkEnd w:id="169"/>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 本预案由市燃气突发事件应急指挥部办公室负责解释。</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 各成员单位</w:t>
      </w:r>
      <w:r>
        <w:rPr>
          <w:rFonts w:hint="eastAsia" w:ascii="仿宋_GB2312" w:hAnsi="仿宋_GB2312" w:eastAsia="仿宋_GB2312" w:cs="仿宋_GB2312"/>
          <w:sz w:val="32"/>
          <w:szCs w:val="32"/>
          <w:lang w:eastAsia="zh-CN"/>
        </w:rPr>
        <w:t>、各街道办事处</w:t>
      </w:r>
      <w:r>
        <w:rPr>
          <w:rFonts w:hint="eastAsia" w:ascii="仿宋_GB2312" w:hAnsi="仿宋_GB2312" w:eastAsia="仿宋_GB2312" w:cs="仿宋_GB2312"/>
          <w:sz w:val="32"/>
          <w:szCs w:val="32"/>
        </w:rPr>
        <w:t>按照本预案确定的职责，制定本部门燃气突发事件应急预案和应急保障预案，并报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指挥部办公室备案。</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企业应依据本预案，编制燃气供应不足和中断、燃气泄漏企业分类应急预案；燃气供应不足和中断预案中应明确停、限气企业排序名单。企业应急预案须经专家论证，并报区燃气管理部门和区应急管理部门备案，同时抄送</w:t>
      </w:r>
      <w:r>
        <w:rPr>
          <w:rFonts w:hint="eastAsia" w:ascii="仿宋_GB2312" w:hAnsi="仿宋_GB2312" w:eastAsia="仿宋_GB2312" w:cs="仿宋_GB2312"/>
          <w:sz w:val="32"/>
          <w:szCs w:val="32"/>
          <w:lang w:eastAsia="zh-CN"/>
        </w:rPr>
        <w:t>区、市</w:t>
      </w:r>
      <w:r>
        <w:rPr>
          <w:rFonts w:hint="eastAsia" w:ascii="仿宋_GB2312" w:hAnsi="仿宋_GB2312" w:eastAsia="仿宋_GB2312" w:cs="仿宋_GB2312"/>
          <w:sz w:val="32"/>
          <w:szCs w:val="32"/>
        </w:rPr>
        <w:t>指挥部办公室。</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8.3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指挥部办公室应结合应急管理工作实践，及时组织修订预案。遇有特殊情况可随时修订。修订后的应急预案应重新办理审查、论证、备案等各项程序。</w:t>
      </w:r>
    </w:p>
    <w:p>
      <w:pPr>
        <w:wordWrap/>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 本预案自发布之日起实施。</w:t>
      </w:r>
    </w:p>
    <w:p>
      <w:pPr>
        <w:wordWrap/>
        <w:snapToGrid/>
        <w:spacing w:line="560" w:lineRule="exact"/>
        <w:ind w:firstLine="560"/>
        <w:textAlignment w:val="auto"/>
        <w:rPr>
          <w:rFonts w:hint="eastAsia" w:ascii="仿宋_GB2312" w:hAnsi="仿宋_GB2312" w:eastAsia="仿宋_GB2312" w:cs="仿宋_GB2312"/>
          <w:sz w:val="32"/>
          <w:szCs w:val="32"/>
        </w:rPr>
      </w:pPr>
    </w:p>
    <w:p>
      <w:pPr>
        <w:wordWrap/>
        <w:snapToGrid/>
        <w:spacing w:line="560" w:lineRule="exact"/>
        <w:ind w:firstLine="560"/>
        <w:textAlignment w:val="auto"/>
        <w:rPr>
          <w:rFonts w:hint="eastAsia" w:ascii="仿宋_GB2312" w:hAnsi="仿宋_GB2312" w:eastAsia="仿宋_GB2312" w:cs="仿宋_GB2312"/>
          <w:sz w:val="32"/>
          <w:szCs w:val="32"/>
        </w:rPr>
      </w:pPr>
      <w:bookmarkStart w:id="170" w:name="_Toc1573153717_WPSOffice_Level1"/>
      <w:bookmarkStart w:id="171" w:name="_Toc1094476005_WPSOffice_Level1"/>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和平区</w:t>
      </w:r>
      <w:r>
        <w:rPr>
          <w:rFonts w:hint="eastAsia" w:ascii="仿宋_GB2312" w:hAnsi="仿宋_GB2312" w:eastAsia="仿宋_GB2312" w:cs="仿宋_GB2312"/>
          <w:sz w:val="32"/>
          <w:szCs w:val="32"/>
        </w:rPr>
        <w:t>燃气突发事件分类分级</w:t>
      </w:r>
      <w:bookmarkEnd w:id="170"/>
      <w:bookmarkEnd w:id="171"/>
    </w:p>
    <w:p>
      <w:pPr>
        <w:wordWrap/>
        <w:adjustRightInd w:val="0"/>
        <w:snapToGrid/>
        <w:spacing w:line="560" w:lineRule="exact"/>
        <w:ind w:left="0" w:leftChars="0" w:firstLine="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bookmarkStart w:id="172" w:name="_Toc1256272088_WPSOffice_Level1"/>
      <w:bookmarkStart w:id="173" w:name="_Toc1617886807_WPSOffice_Level1"/>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2：和平区燃气突发事件应急抢险救援队伍</w:t>
      </w:r>
      <w:bookmarkEnd w:id="172"/>
      <w:bookmarkEnd w:id="173"/>
    </w:p>
    <w:p>
      <w:pPr>
        <w:spacing w:line="556" w:lineRule="exact"/>
        <w:ind w:firstLine="560"/>
        <w:rPr>
          <w:rFonts w:hint="default" w:ascii="宋体" w:hAnsi="宋体" w:eastAsia="宋体" w:cs="宋体"/>
          <w:szCs w:val="28"/>
          <w:lang w:val="en-US" w:eastAsia="zh-CN"/>
        </w:rPr>
      </w:pPr>
    </w:p>
    <w:p>
      <w:pPr>
        <w:spacing w:line="556" w:lineRule="exact"/>
        <w:ind w:left="0" w:leftChars="0" w:firstLine="0" w:firstLineChars="0"/>
        <w:rPr>
          <w:rFonts w:hint="eastAsia" w:ascii="黑体" w:hAnsi="黑体" w:eastAsia="黑体" w:cs="黑体"/>
          <w:szCs w:val="28"/>
          <w:lang w:val="en-US" w:eastAsia="zh-CN"/>
        </w:rPr>
      </w:pPr>
      <w:r>
        <w:rPr>
          <w:rFonts w:hint="eastAsia" w:ascii="宋体" w:hAnsi="宋体" w:cs="宋体"/>
          <w:szCs w:val="28"/>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56" w:lineRule="exact"/>
        <w:ind w:firstLine="560"/>
        <w:rPr>
          <w:rFonts w:ascii="宋体" w:hAnsi="宋体" w:cs="宋体"/>
          <w:szCs w:val="28"/>
        </w:rPr>
      </w:pPr>
    </w:p>
    <w:p>
      <w:pPr>
        <w:adjustRightInd w:val="0"/>
        <w:spacing w:line="556" w:lineRule="exact"/>
        <w:ind w:firstLine="880"/>
        <w:jc w:val="center"/>
        <w:outlineLvl w:val="0"/>
        <w:rPr>
          <w:rFonts w:ascii="宋体" w:hAnsi="宋体" w:cs="宋体"/>
          <w:b/>
          <w:bCs/>
          <w:sz w:val="44"/>
          <w:szCs w:val="44"/>
        </w:rPr>
      </w:pPr>
      <w:bookmarkStart w:id="174" w:name="_Toc49881219"/>
      <w:bookmarkStart w:id="175" w:name="_Toc354619513_WPSOffice_Level1"/>
      <w:bookmarkStart w:id="176" w:name="_Toc1845907822_WPSOffice_Level1"/>
      <w:bookmarkStart w:id="177" w:name="_Toc1294306240_WPSOffice_Level1"/>
      <w:bookmarkStart w:id="178" w:name="_Toc566969331_WPSOffice_Level1"/>
      <w:r>
        <w:rPr>
          <w:rFonts w:hint="eastAsia" w:ascii="宋体" w:hAnsi="宋体" w:cs="宋体"/>
          <w:b/>
          <w:bCs/>
          <w:sz w:val="44"/>
          <w:szCs w:val="44"/>
          <w:lang w:eastAsia="zh-CN"/>
        </w:rPr>
        <w:t>和平区</w:t>
      </w:r>
      <w:r>
        <w:rPr>
          <w:rFonts w:hint="eastAsia" w:ascii="宋体" w:hAnsi="宋体" w:cs="宋体"/>
          <w:b/>
          <w:bCs/>
          <w:sz w:val="44"/>
          <w:szCs w:val="44"/>
        </w:rPr>
        <w:t>燃气突发事件分类分级</w:t>
      </w:r>
      <w:bookmarkEnd w:id="174"/>
      <w:bookmarkEnd w:id="175"/>
      <w:bookmarkEnd w:id="176"/>
      <w:bookmarkEnd w:id="177"/>
      <w:bookmarkEnd w:id="178"/>
    </w:p>
    <w:p>
      <w:pPr>
        <w:adjustRightInd w:val="0"/>
        <w:spacing w:line="556" w:lineRule="exact"/>
        <w:ind w:firstLine="560"/>
        <w:rPr>
          <w:rFonts w:ascii="宋体" w:hAnsi="宋体" w:cs="宋体"/>
          <w:szCs w:val="28"/>
        </w:rPr>
      </w:pPr>
    </w:p>
    <w:p>
      <w:pPr>
        <w:widowControl w:val="0"/>
        <w:wordWrap/>
        <w:snapToGrid/>
        <w:spacing w:line="560" w:lineRule="exact"/>
        <w:ind w:firstLine="640"/>
        <w:textAlignment w:val="auto"/>
        <w:outlineLvl w:val="0"/>
        <w:rPr>
          <w:rFonts w:hint="eastAsia" w:ascii="黑体" w:hAnsi="黑体" w:eastAsia="黑体" w:cs="黑体"/>
          <w:sz w:val="32"/>
          <w:szCs w:val="32"/>
        </w:rPr>
      </w:pPr>
      <w:bookmarkStart w:id="179" w:name="_Toc269046609"/>
      <w:bookmarkStart w:id="180" w:name="_Toc49881220"/>
      <w:bookmarkStart w:id="181" w:name="_Toc300637817"/>
      <w:bookmarkStart w:id="182" w:name="_Toc15892"/>
      <w:bookmarkStart w:id="183" w:name="_Toc434976234_WPSOffice_Level1"/>
      <w:bookmarkStart w:id="184" w:name="_Toc1578818916_WPSOffice_Level1"/>
      <w:bookmarkStart w:id="185" w:name="_Toc292342905_WPSOffice_Level1"/>
      <w:bookmarkStart w:id="186" w:name="_Toc878989644_WPSOffice_Level1"/>
      <w:bookmarkStart w:id="187" w:name="_Toc1100551205_WPSOffice_Level1"/>
      <w:bookmarkStart w:id="188" w:name="_Toc289924607"/>
      <w:bookmarkStart w:id="189" w:name="_Toc1260486190_WPSOffice_Level1"/>
      <w:r>
        <w:rPr>
          <w:rFonts w:hint="eastAsia" w:ascii="黑体" w:hAnsi="黑体" w:eastAsia="黑体" w:cs="黑体"/>
          <w:sz w:val="32"/>
          <w:szCs w:val="32"/>
        </w:rPr>
        <w:t>一、气源供应类事件</w:t>
      </w:r>
      <w:bookmarkEnd w:id="179"/>
      <w:r>
        <w:rPr>
          <w:rFonts w:hint="eastAsia" w:ascii="黑体" w:hAnsi="黑体" w:eastAsia="黑体" w:cs="黑体"/>
          <w:sz w:val="32"/>
          <w:szCs w:val="32"/>
        </w:rPr>
        <w:t>分级</w:t>
      </w:r>
      <w:bookmarkEnd w:id="180"/>
      <w:bookmarkEnd w:id="181"/>
      <w:bookmarkEnd w:id="182"/>
      <w:bookmarkEnd w:id="183"/>
      <w:bookmarkEnd w:id="184"/>
      <w:bookmarkEnd w:id="185"/>
      <w:bookmarkEnd w:id="186"/>
      <w:bookmarkEnd w:id="187"/>
      <w:bookmarkEnd w:id="188"/>
      <w:bookmarkEnd w:id="189"/>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燃气气源供应和使用情况，按照气源供应不足或中断事件造成的影响范围、持续时间等因素，将</w:t>
      </w:r>
      <w:r>
        <w:rPr>
          <w:rFonts w:hint="eastAsia" w:ascii="仿宋_GB2312" w:hAnsi="仿宋_GB2312" w:eastAsia="仿宋_GB2312" w:cs="仿宋_GB2312"/>
          <w:sz w:val="32"/>
          <w:szCs w:val="32"/>
          <w:lang w:eastAsia="zh-CN"/>
        </w:rPr>
        <w:t>和平区</w:t>
      </w:r>
      <w:r>
        <w:rPr>
          <w:rFonts w:hint="eastAsia" w:ascii="仿宋_GB2312" w:hAnsi="仿宋_GB2312" w:eastAsia="仿宋_GB2312" w:cs="仿宋_GB2312"/>
          <w:sz w:val="32"/>
          <w:szCs w:val="32"/>
        </w:rPr>
        <w:t>气源供应不足或中断突发事件分为四级。</w:t>
      </w:r>
    </w:p>
    <w:p>
      <w:pPr>
        <w:widowControl w:val="0"/>
        <w:wordWrap/>
        <w:adjustRightInd w:val="0"/>
        <w:snapToGrid/>
        <w:spacing w:line="560" w:lineRule="exact"/>
        <w:ind w:firstLine="560"/>
        <w:textAlignment w:val="auto"/>
        <w:outlineLvl w:val="1"/>
        <w:rPr>
          <w:rFonts w:hint="eastAsia" w:ascii="楷体" w:hAnsi="楷体" w:eastAsia="楷体" w:cs="楷体"/>
          <w:sz w:val="32"/>
          <w:szCs w:val="32"/>
        </w:rPr>
      </w:pPr>
      <w:bookmarkStart w:id="190" w:name="_Toc259741703"/>
      <w:bookmarkStart w:id="191" w:name="_Toc269046610"/>
      <w:bookmarkStart w:id="192" w:name="_Toc258189389"/>
      <w:bookmarkStart w:id="193" w:name="_Toc2076716772_WPSOffice_Level2"/>
      <w:bookmarkStart w:id="194" w:name="_Toc49881221"/>
      <w:bookmarkStart w:id="195" w:name="_Toc1489850731_WPSOffice_Level2"/>
      <w:bookmarkStart w:id="196" w:name="_Toc394954896_WPSOffice_Level2"/>
      <w:bookmarkStart w:id="197" w:name="_Toc30421"/>
      <w:bookmarkStart w:id="198" w:name="_Toc844209023_WPSOffice_Level2"/>
      <w:bookmarkStart w:id="199" w:name="_Toc1022130989_WPSOffice_Level2"/>
      <w:bookmarkStart w:id="200" w:name="_Toc696535925_WPSOffice_Level2"/>
      <w:r>
        <w:rPr>
          <w:rFonts w:hint="eastAsia" w:ascii="楷体" w:hAnsi="楷体" w:eastAsia="楷体" w:cs="楷体"/>
          <w:sz w:val="32"/>
          <w:szCs w:val="32"/>
        </w:rPr>
        <w:t>（一）Ⅰ级</w:t>
      </w:r>
      <w:bookmarkEnd w:id="190"/>
      <w:bookmarkEnd w:id="191"/>
      <w:bookmarkEnd w:id="192"/>
      <w:r>
        <w:rPr>
          <w:rFonts w:hint="eastAsia" w:ascii="楷体" w:hAnsi="楷体" w:eastAsia="楷体" w:cs="楷体"/>
          <w:sz w:val="32"/>
          <w:szCs w:val="32"/>
        </w:rPr>
        <w:t>（特别重大）</w:t>
      </w:r>
      <w:bookmarkEnd w:id="193"/>
      <w:bookmarkEnd w:id="194"/>
      <w:bookmarkEnd w:id="195"/>
      <w:bookmarkEnd w:id="196"/>
      <w:bookmarkEnd w:id="197"/>
      <w:bookmarkEnd w:id="198"/>
      <w:bookmarkEnd w:id="199"/>
      <w:bookmarkEnd w:id="200"/>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有下列情况之一者，为特别重大事件:</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1.气源供应不足，造成</w:t>
      </w:r>
      <w:r>
        <w:rPr>
          <w:rFonts w:hint="eastAsia" w:ascii="仿宋_GB2312" w:hAnsi="仿宋_GB2312" w:eastAsia="仿宋_GB2312" w:cs="仿宋_GB2312"/>
          <w:sz w:val="32"/>
          <w:szCs w:val="32"/>
          <w:lang w:eastAsia="zh-CN"/>
        </w:rPr>
        <w:t>和平区</w:t>
      </w:r>
      <w:r>
        <w:rPr>
          <w:rFonts w:hint="eastAsia" w:ascii="仿宋_GB2312" w:hAnsi="仿宋_GB2312" w:eastAsia="仿宋_GB2312" w:cs="仿宋_GB2312"/>
          <w:sz w:val="32"/>
          <w:szCs w:val="32"/>
        </w:rPr>
        <w:t>日供气缺口达20%以上，并将持续7天以上；</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.年供气规模在4000万立方米以上管道燃气供应企业全面停止供气48小时以上；</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.因各类燃气事故导致10万户以上居民连续停止供气72小时以上。</w:t>
      </w:r>
    </w:p>
    <w:p>
      <w:pPr>
        <w:widowControl w:val="0"/>
        <w:wordWrap/>
        <w:adjustRightInd w:val="0"/>
        <w:snapToGrid/>
        <w:spacing w:line="560" w:lineRule="exact"/>
        <w:ind w:firstLine="560"/>
        <w:textAlignment w:val="auto"/>
        <w:outlineLvl w:val="1"/>
        <w:rPr>
          <w:rFonts w:hint="eastAsia" w:ascii="楷体" w:hAnsi="楷体" w:eastAsia="楷体" w:cs="楷体"/>
          <w:sz w:val="32"/>
          <w:szCs w:val="32"/>
        </w:rPr>
      </w:pPr>
      <w:bookmarkStart w:id="201" w:name="_Toc617592340_WPSOffice_Level2"/>
      <w:bookmarkStart w:id="202" w:name="_Toc1454038028_WPSOffice_Level2"/>
      <w:bookmarkStart w:id="203" w:name="_Toc49881222"/>
      <w:bookmarkStart w:id="204" w:name="_Toc21702"/>
      <w:bookmarkStart w:id="205" w:name="_Toc1689109079_WPSOffice_Level2"/>
      <w:bookmarkStart w:id="206" w:name="_Toc952312076_WPSOffice_Level2"/>
      <w:bookmarkStart w:id="207" w:name="_Toc254628006_WPSOffice_Level2"/>
      <w:bookmarkStart w:id="208" w:name="_Toc1444595424_WPSOffice_Level2"/>
      <w:r>
        <w:rPr>
          <w:rFonts w:hint="eastAsia" w:ascii="楷体" w:hAnsi="楷体" w:eastAsia="楷体" w:cs="楷体"/>
          <w:sz w:val="32"/>
          <w:szCs w:val="32"/>
        </w:rPr>
        <w:t>（二）Ⅱ级(重大)</w:t>
      </w:r>
      <w:bookmarkEnd w:id="201"/>
      <w:bookmarkEnd w:id="202"/>
      <w:bookmarkEnd w:id="203"/>
      <w:bookmarkEnd w:id="204"/>
      <w:bookmarkEnd w:id="205"/>
      <w:bookmarkEnd w:id="206"/>
      <w:bookmarkEnd w:id="207"/>
      <w:bookmarkEnd w:id="208"/>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有下列情况之一者，为重大事件:</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1.气源供应不足，造成</w:t>
      </w:r>
      <w:r>
        <w:rPr>
          <w:rFonts w:hint="eastAsia" w:ascii="仿宋_GB2312" w:hAnsi="仿宋_GB2312" w:eastAsia="仿宋_GB2312" w:cs="仿宋_GB2312"/>
          <w:sz w:val="32"/>
          <w:szCs w:val="32"/>
          <w:lang w:eastAsia="zh-CN"/>
        </w:rPr>
        <w:t>和平区</w:t>
      </w:r>
      <w:r>
        <w:rPr>
          <w:rFonts w:hint="eastAsia" w:ascii="仿宋_GB2312" w:hAnsi="仿宋_GB2312" w:eastAsia="仿宋_GB2312" w:cs="仿宋_GB2312"/>
          <w:sz w:val="32"/>
          <w:szCs w:val="32"/>
        </w:rPr>
        <w:t>日供气缺口达15%以上，并将持续5天以上；</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2.因各类燃气事故导致8万户以上居民连续停止供气48小时以上；或在敏感时间、敏感地段连续停止供气24小时以上。</w:t>
      </w:r>
    </w:p>
    <w:p>
      <w:pPr>
        <w:widowControl w:val="0"/>
        <w:wordWrap/>
        <w:adjustRightInd w:val="0"/>
        <w:snapToGrid/>
        <w:spacing w:line="560" w:lineRule="exact"/>
        <w:ind w:firstLine="560"/>
        <w:textAlignment w:val="auto"/>
        <w:outlineLvl w:val="1"/>
        <w:rPr>
          <w:rFonts w:hint="eastAsia" w:ascii="楷体" w:hAnsi="楷体" w:eastAsia="楷体" w:cs="楷体"/>
          <w:sz w:val="32"/>
          <w:szCs w:val="32"/>
        </w:rPr>
      </w:pPr>
      <w:bookmarkStart w:id="209" w:name="_Toc1004911254_WPSOffice_Level2"/>
      <w:bookmarkStart w:id="210" w:name="_Toc1235409561_WPSOffice_Level2"/>
      <w:bookmarkStart w:id="211" w:name="_Toc89298810_WPSOffice_Level2"/>
      <w:bookmarkStart w:id="212" w:name="_Toc5835"/>
      <w:bookmarkStart w:id="213" w:name="_Toc2030544142_WPSOffice_Level2"/>
      <w:bookmarkStart w:id="214" w:name="_Toc1587683887_WPSOffice_Level2"/>
      <w:bookmarkStart w:id="215" w:name="_Toc573610115_WPSOffice_Level2"/>
      <w:bookmarkStart w:id="216" w:name="_Toc49881223"/>
      <w:r>
        <w:rPr>
          <w:rFonts w:hint="eastAsia" w:ascii="楷体" w:hAnsi="楷体" w:eastAsia="楷体" w:cs="楷体"/>
          <w:sz w:val="32"/>
          <w:szCs w:val="32"/>
        </w:rPr>
        <w:t>（三）Ⅲ级(较大)</w:t>
      </w:r>
      <w:bookmarkEnd w:id="209"/>
      <w:bookmarkEnd w:id="210"/>
      <w:bookmarkEnd w:id="211"/>
      <w:bookmarkEnd w:id="212"/>
      <w:bookmarkEnd w:id="213"/>
      <w:bookmarkEnd w:id="214"/>
      <w:bookmarkEnd w:id="215"/>
      <w:bookmarkEnd w:id="216"/>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有下列情况之一者，为较大事件:</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1.气源供应不足，造成</w:t>
      </w:r>
      <w:r>
        <w:rPr>
          <w:rFonts w:hint="eastAsia" w:ascii="仿宋_GB2312" w:hAnsi="仿宋_GB2312" w:eastAsia="仿宋_GB2312" w:cs="仿宋_GB2312"/>
          <w:sz w:val="32"/>
          <w:szCs w:val="32"/>
          <w:lang w:eastAsia="zh-CN"/>
        </w:rPr>
        <w:t>和平区</w:t>
      </w:r>
      <w:r>
        <w:rPr>
          <w:rFonts w:hint="eastAsia" w:ascii="仿宋_GB2312" w:hAnsi="仿宋_GB2312" w:eastAsia="仿宋_GB2312" w:cs="仿宋_GB2312"/>
          <w:sz w:val="32"/>
          <w:szCs w:val="32"/>
        </w:rPr>
        <w:t>日供气缺口达10%以上，并将持续3天以上；</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2.因各类燃气事故导致5万户以上居民连续停止供气24小时以上；或在敏感时间、敏感地段连续停止供气12小时以上。</w:t>
      </w:r>
    </w:p>
    <w:p>
      <w:pPr>
        <w:widowControl w:val="0"/>
        <w:wordWrap/>
        <w:adjustRightInd w:val="0"/>
        <w:snapToGrid/>
        <w:spacing w:line="560" w:lineRule="exact"/>
        <w:ind w:firstLine="560"/>
        <w:textAlignment w:val="auto"/>
        <w:outlineLvl w:val="1"/>
        <w:rPr>
          <w:rFonts w:hint="eastAsia" w:ascii="楷体" w:hAnsi="楷体" w:eastAsia="楷体" w:cs="楷体"/>
          <w:sz w:val="32"/>
          <w:szCs w:val="32"/>
        </w:rPr>
      </w:pPr>
      <w:bookmarkStart w:id="217" w:name="_Toc2012841703_WPSOffice_Level2"/>
      <w:bookmarkStart w:id="218" w:name="_Toc49881224"/>
      <w:bookmarkStart w:id="219" w:name="_Toc921185999_WPSOffice_Level2"/>
      <w:bookmarkStart w:id="220" w:name="_Toc1279185257_WPSOffice_Level2"/>
      <w:bookmarkStart w:id="221" w:name="_Toc808222769_WPSOffice_Level2"/>
      <w:bookmarkStart w:id="222" w:name="_Toc1083191919_WPSOffice_Level2"/>
      <w:bookmarkStart w:id="223" w:name="_Toc92285981_WPSOffice_Level2"/>
      <w:bookmarkStart w:id="224" w:name="_Toc8162"/>
      <w:r>
        <w:rPr>
          <w:rFonts w:hint="eastAsia" w:ascii="楷体" w:hAnsi="楷体" w:eastAsia="楷体" w:cs="楷体"/>
          <w:sz w:val="32"/>
          <w:szCs w:val="32"/>
        </w:rPr>
        <w:t>（四）Ⅳ级（一般）</w:t>
      </w:r>
      <w:bookmarkEnd w:id="217"/>
      <w:bookmarkEnd w:id="218"/>
      <w:bookmarkEnd w:id="219"/>
      <w:bookmarkEnd w:id="220"/>
      <w:bookmarkEnd w:id="221"/>
      <w:bookmarkEnd w:id="222"/>
      <w:bookmarkEnd w:id="223"/>
      <w:bookmarkEnd w:id="224"/>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有下列情况之一者，为一般事件:</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1.气源供应不足，造成</w:t>
      </w:r>
      <w:r>
        <w:rPr>
          <w:rFonts w:hint="eastAsia" w:ascii="仿宋_GB2312" w:hAnsi="仿宋_GB2312" w:eastAsia="仿宋_GB2312" w:cs="仿宋_GB2312"/>
          <w:sz w:val="32"/>
          <w:szCs w:val="32"/>
          <w:lang w:eastAsia="zh-CN"/>
        </w:rPr>
        <w:t>和平区</w:t>
      </w:r>
      <w:r>
        <w:rPr>
          <w:rFonts w:hint="eastAsia" w:ascii="仿宋_GB2312" w:hAnsi="仿宋_GB2312" w:eastAsia="仿宋_GB2312" w:cs="仿宋_GB2312"/>
          <w:sz w:val="32"/>
          <w:szCs w:val="32"/>
        </w:rPr>
        <w:t>日供气缺口达5%以上，并将持续2天以上；</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2.因各类燃气事故导致1万户以上居民连续停止供气24小时以上</w:t>
      </w:r>
      <w:bookmarkStart w:id="225" w:name="_Toc289924608"/>
      <w:r>
        <w:rPr>
          <w:rFonts w:hint="eastAsia" w:ascii="仿宋_GB2312" w:hAnsi="仿宋_GB2312" w:eastAsia="仿宋_GB2312" w:cs="仿宋_GB2312"/>
          <w:sz w:val="32"/>
          <w:szCs w:val="32"/>
        </w:rPr>
        <w:t>。</w:t>
      </w:r>
    </w:p>
    <w:p>
      <w:pPr>
        <w:widowControl w:val="0"/>
        <w:wordWrap/>
        <w:snapToGrid/>
        <w:spacing w:line="560" w:lineRule="exact"/>
        <w:ind w:firstLine="640"/>
        <w:textAlignment w:val="auto"/>
        <w:outlineLvl w:val="0"/>
        <w:rPr>
          <w:rFonts w:hint="eastAsia" w:ascii="黑体" w:hAnsi="黑体" w:eastAsia="黑体" w:cs="黑体"/>
          <w:sz w:val="32"/>
          <w:szCs w:val="32"/>
        </w:rPr>
      </w:pPr>
      <w:bookmarkStart w:id="226" w:name="_Toc1123990830_WPSOffice_Level1"/>
      <w:bookmarkStart w:id="227" w:name="_Toc1650255697_WPSOffice_Level1"/>
      <w:bookmarkStart w:id="228" w:name="_Toc49881225"/>
      <w:bookmarkStart w:id="229" w:name="_Toc2012877240_WPSOffice_Level1"/>
      <w:bookmarkStart w:id="230" w:name="_Toc2054072321_WPSOffice_Level1"/>
      <w:bookmarkStart w:id="231" w:name="_Toc1488728493_WPSOffice_Level1"/>
      <w:bookmarkStart w:id="232" w:name="_Toc300637818"/>
      <w:bookmarkStart w:id="233" w:name="_Toc1115444341_WPSOffice_Level1"/>
      <w:bookmarkStart w:id="234" w:name="_Toc12061"/>
      <w:r>
        <w:rPr>
          <w:rFonts w:hint="eastAsia" w:ascii="黑体" w:hAnsi="黑体" w:eastAsia="黑体" w:cs="黑体"/>
          <w:sz w:val="32"/>
          <w:szCs w:val="32"/>
        </w:rPr>
        <w:t>二、 燃气泄漏类事件分级</w:t>
      </w:r>
      <w:bookmarkEnd w:id="225"/>
      <w:bookmarkEnd w:id="226"/>
      <w:bookmarkEnd w:id="227"/>
      <w:bookmarkEnd w:id="228"/>
      <w:bookmarkEnd w:id="229"/>
      <w:bookmarkEnd w:id="230"/>
      <w:bookmarkEnd w:id="231"/>
      <w:bookmarkEnd w:id="232"/>
      <w:bookmarkEnd w:id="233"/>
      <w:bookmarkEnd w:id="234"/>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燃气输配设施的特点，按照突发事件发生的位置、影响范围和可能造成的危害程度，将燃气泄漏突发事件分为四级。</w:t>
      </w:r>
    </w:p>
    <w:p>
      <w:pPr>
        <w:widowControl w:val="0"/>
        <w:wordWrap/>
        <w:adjustRightInd w:val="0"/>
        <w:snapToGrid/>
        <w:spacing w:line="560" w:lineRule="exact"/>
        <w:ind w:firstLine="560"/>
        <w:textAlignment w:val="auto"/>
        <w:outlineLvl w:val="1"/>
        <w:rPr>
          <w:rFonts w:hint="eastAsia" w:ascii="楷体" w:hAnsi="楷体" w:eastAsia="楷体" w:cs="楷体"/>
          <w:sz w:val="32"/>
          <w:szCs w:val="32"/>
        </w:rPr>
      </w:pPr>
      <w:bookmarkStart w:id="235" w:name="_Toc49881226"/>
      <w:bookmarkStart w:id="236" w:name="_Toc293556922_WPSOffice_Level2"/>
      <w:bookmarkStart w:id="237" w:name="_Toc1595697752_WPSOffice_Level2"/>
      <w:bookmarkStart w:id="238" w:name="_Toc223953534_WPSOffice_Level2"/>
      <w:bookmarkStart w:id="239" w:name="_Toc31259"/>
      <w:bookmarkStart w:id="240" w:name="_Toc1312419817_WPSOffice_Level2"/>
      <w:bookmarkStart w:id="241" w:name="_Toc1581164864_WPSOffice_Level2"/>
      <w:bookmarkStart w:id="242" w:name="_Toc412556117_WPSOffice_Level2"/>
      <w:r>
        <w:rPr>
          <w:rFonts w:hint="eastAsia" w:ascii="楷体" w:hAnsi="楷体" w:eastAsia="楷体" w:cs="楷体"/>
          <w:sz w:val="32"/>
          <w:szCs w:val="32"/>
        </w:rPr>
        <w:t>（一）Ⅰ级（特别重大）</w:t>
      </w:r>
      <w:bookmarkEnd w:id="235"/>
      <w:bookmarkEnd w:id="236"/>
      <w:bookmarkEnd w:id="237"/>
      <w:bookmarkEnd w:id="238"/>
      <w:bookmarkEnd w:id="239"/>
      <w:bookmarkEnd w:id="240"/>
      <w:bookmarkEnd w:id="241"/>
      <w:bookmarkEnd w:id="242"/>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有下列情况之一者，为特别重大事件：</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1.燃气门站、储配站储罐发生严重泄漏；</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2.液化天然气储备基地、液化石油气储备基地的储罐发生严重泄漏；</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压A(4MPa≥P＞2.5 MPa)级别的天然气管线及调压站发生严重泄漏。</w:t>
      </w:r>
    </w:p>
    <w:p>
      <w:pPr>
        <w:widowControl w:val="0"/>
        <w:wordWrap/>
        <w:adjustRightInd w:val="0"/>
        <w:snapToGrid/>
        <w:spacing w:line="560" w:lineRule="exact"/>
        <w:ind w:firstLine="560"/>
        <w:textAlignment w:val="auto"/>
        <w:outlineLvl w:val="1"/>
        <w:rPr>
          <w:rFonts w:hint="eastAsia" w:ascii="楷体" w:hAnsi="楷体" w:eastAsia="楷体" w:cs="楷体"/>
          <w:sz w:val="32"/>
          <w:szCs w:val="32"/>
        </w:rPr>
      </w:pPr>
      <w:bookmarkStart w:id="243" w:name="_Toc94388877_WPSOffice_Level2"/>
      <w:bookmarkStart w:id="244" w:name="_Toc1666"/>
      <w:bookmarkStart w:id="245" w:name="_Toc151356143_WPSOffice_Level2"/>
      <w:bookmarkStart w:id="246" w:name="_Toc280547358"/>
      <w:bookmarkStart w:id="247" w:name="_Toc1772341792_WPSOffice_Level2"/>
      <w:bookmarkStart w:id="248" w:name="_Toc599007451_WPSOffice_Level2"/>
      <w:bookmarkStart w:id="249" w:name="_Toc278464803"/>
      <w:bookmarkStart w:id="250" w:name="_Toc49881227"/>
      <w:bookmarkStart w:id="251" w:name="_Toc1906885237_WPSOffice_Level2"/>
      <w:bookmarkStart w:id="252" w:name="_Toc942674840_WPSOffice_Level2"/>
      <w:r>
        <w:rPr>
          <w:rFonts w:hint="eastAsia" w:ascii="楷体" w:hAnsi="楷体" w:eastAsia="楷体" w:cs="楷体"/>
          <w:sz w:val="32"/>
          <w:szCs w:val="32"/>
        </w:rPr>
        <w:t>（二）Ⅱ级(重大)</w:t>
      </w:r>
      <w:bookmarkEnd w:id="243"/>
      <w:bookmarkEnd w:id="244"/>
      <w:bookmarkEnd w:id="245"/>
      <w:bookmarkEnd w:id="246"/>
      <w:bookmarkEnd w:id="247"/>
      <w:bookmarkEnd w:id="248"/>
      <w:bookmarkEnd w:id="249"/>
      <w:bookmarkEnd w:id="250"/>
      <w:bookmarkEnd w:id="251"/>
      <w:bookmarkEnd w:id="252"/>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有下列情况之一者，为重大事件：</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1.高压B、次高压A（2.5MPa≥P&gt;0.8MPa）级别的天然气管线及调压站发生严重泄漏；</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2.压缩天然气供应站、液化天然气气化站、大型液化石油气储配站、燃气汽车加气站等燃气供应系统发生严重泄漏；</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3.在敏感时间、敏感地点发生严重泄漏。</w:t>
      </w:r>
      <w:bookmarkStart w:id="253" w:name="_Toc278464804"/>
    </w:p>
    <w:bookmarkEnd w:id="253"/>
    <w:p>
      <w:pPr>
        <w:widowControl w:val="0"/>
        <w:wordWrap/>
        <w:adjustRightInd w:val="0"/>
        <w:snapToGrid/>
        <w:spacing w:line="560" w:lineRule="exact"/>
        <w:ind w:firstLine="560"/>
        <w:textAlignment w:val="auto"/>
        <w:outlineLvl w:val="1"/>
        <w:rPr>
          <w:rFonts w:hint="eastAsia" w:ascii="楷体" w:hAnsi="楷体" w:eastAsia="楷体" w:cs="楷体"/>
          <w:sz w:val="32"/>
          <w:szCs w:val="32"/>
        </w:rPr>
      </w:pPr>
      <w:bookmarkStart w:id="254" w:name="_Toc916670295_WPSOffice_Level2"/>
      <w:bookmarkStart w:id="255" w:name="_Toc49881228"/>
      <w:bookmarkStart w:id="256" w:name="_Toc1804847087_WPSOffice_Level2"/>
      <w:bookmarkStart w:id="257" w:name="_Toc1368678238_WPSOffice_Level2"/>
      <w:bookmarkStart w:id="258" w:name="_Toc164421504_WPSOffice_Level2"/>
      <w:bookmarkStart w:id="259" w:name="_Toc374384052_WPSOffice_Level2"/>
      <w:bookmarkStart w:id="260" w:name="_Toc21207"/>
      <w:bookmarkStart w:id="261" w:name="_Toc2088028259_WPSOffice_Level2"/>
      <w:r>
        <w:rPr>
          <w:rFonts w:hint="eastAsia" w:ascii="楷体" w:hAnsi="楷体" w:eastAsia="楷体" w:cs="楷体"/>
          <w:sz w:val="32"/>
          <w:szCs w:val="32"/>
        </w:rPr>
        <w:t>（三）Ⅲ级(较大)</w:t>
      </w:r>
      <w:bookmarkEnd w:id="254"/>
      <w:bookmarkEnd w:id="255"/>
      <w:bookmarkEnd w:id="256"/>
      <w:bookmarkEnd w:id="257"/>
      <w:bookmarkEnd w:id="258"/>
      <w:bookmarkEnd w:id="259"/>
      <w:bookmarkEnd w:id="260"/>
      <w:bookmarkEnd w:id="261"/>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有下列情况之一者，为较大事件：</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1.次高压B（0.8 MPa≥P＞0.4 MPa）级别的天然气管线及调压站发生严重泄漏；</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2.在大型公共建筑、人群聚集区、本市消防安全重点单位等发生泄漏；</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3.小型液化石油气储配站发生严重泄漏。</w:t>
      </w:r>
    </w:p>
    <w:p>
      <w:pPr>
        <w:widowControl w:val="0"/>
        <w:wordWrap/>
        <w:adjustRightInd w:val="0"/>
        <w:snapToGrid/>
        <w:spacing w:line="560" w:lineRule="exact"/>
        <w:ind w:firstLine="560"/>
        <w:textAlignment w:val="auto"/>
        <w:outlineLvl w:val="1"/>
        <w:rPr>
          <w:rFonts w:hint="eastAsia" w:ascii="楷体" w:hAnsi="楷体" w:eastAsia="楷体" w:cs="楷体"/>
          <w:sz w:val="32"/>
          <w:szCs w:val="32"/>
        </w:rPr>
      </w:pPr>
      <w:bookmarkStart w:id="262" w:name="_Toc1884170017_WPSOffice_Level2"/>
      <w:bookmarkStart w:id="263" w:name="_Toc1331495122_WPSOffice_Level2"/>
      <w:bookmarkStart w:id="264" w:name="_Toc1293617892_WPSOffice_Level2"/>
      <w:bookmarkStart w:id="265" w:name="_Toc1998744792_WPSOffice_Level2"/>
      <w:bookmarkStart w:id="266" w:name="_Toc898357734_WPSOffice_Level2"/>
      <w:bookmarkStart w:id="267" w:name="_Toc1200463842_WPSOffice_Level2"/>
      <w:bookmarkStart w:id="268" w:name="_Toc11312"/>
      <w:bookmarkStart w:id="269" w:name="_Toc49881229"/>
      <w:r>
        <w:rPr>
          <w:rFonts w:hint="eastAsia" w:ascii="楷体" w:hAnsi="楷体" w:eastAsia="楷体" w:cs="楷体"/>
          <w:sz w:val="32"/>
          <w:szCs w:val="32"/>
        </w:rPr>
        <w:t>（四）Ⅳ级(一般)</w:t>
      </w:r>
      <w:bookmarkEnd w:id="262"/>
      <w:bookmarkEnd w:id="263"/>
      <w:bookmarkEnd w:id="264"/>
      <w:bookmarkEnd w:id="265"/>
      <w:bookmarkEnd w:id="266"/>
      <w:bookmarkEnd w:id="267"/>
      <w:bookmarkEnd w:id="268"/>
      <w:bookmarkEnd w:id="269"/>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有下列情况之一者，为一般事件：</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bookmarkStart w:id="270" w:name="_Toc1115444341_WPSOffice_Level3"/>
      <w:bookmarkStart w:id="271" w:name="_Toc1488728493_WPSOffice_Level3"/>
      <w:bookmarkStart w:id="272" w:name="_Toc283062754_WPSOffice_Level3"/>
      <w:bookmarkStart w:id="273" w:name="_Toc1057791810_WPSOffice_Level3"/>
      <w:bookmarkStart w:id="274" w:name="_Toc1082137425_WPSOffice_Level3"/>
      <w:bookmarkStart w:id="275" w:name="_Toc2054072321_WPSOffice_Level3"/>
      <w:r>
        <w:rPr>
          <w:rFonts w:hint="eastAsia" w:ascii="仿宋_GB2312" w:hAnsi="仿宋_GB2312" w:eastAsia="仿宋_GB2312" w:cs="仿宋_GB2312"/>
          <w:sz w:val="32"/>
          <w:szCs w:val="32"/>
        </w:rPr>
        <w:t>1.中、低压（P≤0.4 MPa）公共输配燃气管线及调压站发生严重泄漏；</w:t>
      </w:r>
      <w:bookmarkEnd w:id="270"/>
      <w:bookmarkEnd w:id="271"/>
      <w:bookmarkEnd w:id="272"/>
      <w:bookmarkEnd w:id="273"/>
      <w:bookmarkEnd w:id="274"/>
      <w:bookmarkEnd w:id="275"/>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bookmarkStart w:id="276" w:name="_Toc1741579845_WPSOffice_Level3"/>
      <w:bookmarkStart w:id="277" w:name="_Toc1333275122_WPSOffice_Level3"/>
      <w:bookmarkStart w:id="278" w:name="_Toc765429199_WPSOffice_Level3"/>
      <w:bookmarkStart w:id="279" w:name="_Toc1889281298_WPSOffice_Level3"/>
      <w:bookmarkStart w:id="280" w:name="_Toc130706169_WPSOffice_Level3"/>
      <w:bookmarkStart w:id="281" w:name="_Toc711155904_WPSOffice_Level3"/>
      <w:r>
        <w:rPr>
          <w:rFonts w:hint="eastAsia" w:ascii="仿宋_GB2312" w:hAnsi="仿宋_GB2312" w:eastAsia="仿宋_GB2312" w:cs="仿宋_GB2312"/>
          <w:sz w:val="32"/>
          <w:szCs w:val="32"/>
        </w:rPr>
        <w:t>2.液化石油气瓶装供应站发生严重泄漏。</w:t>
      </w:r>
      <w:bookmarkEnd w:id="276"/>
      <w:bookmarkEnd w:id="277"/>
      <w:bookmarkEnd w:id="278"/>
      <w:bookmarkEnd w:id="279"/>
      <w:bookmarkEnd w:id="280"/>
      <w:bookmarkEnd w:id="281"/>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rPr>
      </w:pPr>
    </w:p>
    <w:p>
      <w:pPr>
        <w:adjustRightInd w:val="0"/>
        <w:spacing w:line="556" w:lineRule="exact"/>
        <w:ind w:left="0" w:leftChars="0" w:firstLine="0" w:firstLineChars="0"/>
        <w:rPr>
          <w:rFonts w:hint="eastAsia" w:ascii="宋体" w:hAnsi="宋体" w:cs="宋体"/>
          <w:szCs w:val="28"/>
        </w:rPr>
      </w:pPr>
    </w:p>
    <w:p>
      <w:pPr>
        <w:adjustRightInd w:val="0"/>
        <w:spacing w:line="556"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adjustRightInd w:val="0"/>
        <w:spacing w:line="556" w:lineRule="exact"/>
        <w:ind w:left="0" w:leftChars="0" w:firstLine="0" w:firstLineChars="0"/>
        <w:rPr>
          <w:rFonts w:hint="eastAsia" w:ascii="宋体" w:hAnsi="宋体" w:cs="宋体"/>
          <w:szCs w:val="28"/>
          <w:lang w:val="en-US" w:eastAsia="zh-CN"/>
        </w:rPr>
      </w:pPr>
    </w:p>
    <w:p>
      <w:pPr>
        <w:adjustRightInd w:val="0"/>
        <w:spacing w:line="556" w:lineRule="exact"/>
        <w:ind w:left="0" w:leftChars="0" w:firstLine="0" w:firstLineChars="0"/>
        <w:jc w:val="center"/>
        <w:rPr>
          <w:rFonts w:hint="eastAsia" w:ascii="宋体" w:hAnsi="宋体" w:cs="宋体"/>
          <w:b/>
          <w:bCs/>
          <w:sz w:val="44"/>
          <w:szCs w:val="44"/>
          <w:lang w:val="en-US" w:eastAsia="zh-CN"/>
        </w:rPr>
      </w:pPr>
      <w:bookmarkStart w:id="282" w:name="_Toc1032773682_WPSOffice_Level1"/>
      <w:bookmarkStart w:id="283" w:name="_Toc1585522691_WPSOffice_Level1"/>
      <w:r>
        <w:rPr>
          <w:rFonts w:hint="eastAsia" w:ascii="宋体" w:hAnsi="宋体" w:cs="宋体"/>
          <w:b/>
          <w:bCs/>
          <w:sz w:val="44"/>
          <w:szCs w:val="44"/>
          <w:lang w:val="en-US" w:eastAsia="zh-CN"/>
        </w:rPr>
        <w:t>和平区燃气突发事件应急抢险救援队伍</w:t>
      </w:r>
      <w:bookmarkEnd w:id="282"/>
      <w:bookmarkEnd w:id="283"/>
    </w:p>
    <w:p>
      <w:pPr>
        <w:adjustRightInd w:val="0"/>
        <w:spacing w:line="556" w:lineRule="exact"/>
        <w:ind w:left="0" w:leftChars="0" w:firstLine="0" w:firstLineChars="0"/>
        <w:jc w:val="center"/>
        <w:rPr>
          <w:rFonts w:hint="eastAsia" w:ascii="宋体" w:hAnsi="宋体" w:cs="宋体"/>
          <w:b/>
          <w:bCs/>
          <w:sz w:val="44"/>
          <w:szCs w:val="44"/>
          <w:lang w:val="en-US" w:eastAsia="zh-CN"/>
        </w:rPr>
      </w:pPr>
    </w:p>
    <w:p>
      <w:pPr>
        <w:adjustRightInd w:val="0"/>
        <w:spacing w:line="556" w:lineRule="exact"/>
        <w:ind w:left="0" w:leftChars="0" w:firstLine="0" w:firstLineChars="0"/>
        <w:jc w:val="left"/>
        <w:rPr>
          <w:rFonts w:hint="default" w:ascii="宋体" w:hAnsi="宋体" w:cs="宋体"/>
          <w:b/>
          <w:bCs/>
          <w:sz w:val="44"/>
          <w:szCs w:val="44"/>
          <w:lang w:val="en-US" w:eastAsia="zh-CN"/>
        </w:rPr>
      </w:pP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lang w:eastAsia="zh-CN"/>
        </w:rPr>
      </w:pPr>
      <w:bookmarkStart w:id="284" w:name="_Toc1024935348_WPSOffice_Level1"/>
      <w:r>
        <w:rPr>
          <w:rFonts w:hint="eastAsia" w:ascii="仿宋_GB2312" w:hAnsi="仿宋_GB2312" w:eastAsia="仿宋_GB2312" w:cs="仿宋_GB2312"/>
          <w:sz w:val="32"/>
          <w:szCs w:val="32"/>
          <w:lang w:eastAsia="zh-CN"/>
        </w:rPr>
        <w:t>组  长：李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杨  洋</w:t>
      </w:r>
      <w:bookmarkEnd w:id="284"/>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lang w:eastAsia="zh-CN"/>
        </w:rPr>
      </w:pPr>
      <w:bookmarkStart w:id="285" w:name="_Toc1209385474_WPSOffice_Level1"/>
      <w:r>
        <w:rPr>
          <w:rFonts w:hint="eastAsia" w:ascii="仿宋_GB2312" w:hAnsi="仿宋_GB2312" w:eastAsia="仿宋_GB2312" w:cs="仿宋_GB2312"/>
          <w:sz w:val="32"/>
          <w:szCs w:val="32"/>
          <w:lang w:eastAsia="zh-CN"/>
        </w:rPr>
        <w:t xml:space="preserve">副组长：郑子学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磊</w:t>
      </w:r>
      <w:bookmarkEnd w:id="285"/>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lang w:eastAsia="zh-CN"/>
        </w:rPr>
      </w:pPr>
      <w:bookmarkStart w:id="286" w:name="_Toc1023482925_WPSOffice_Level1"/>
      <w:r>
        <w:rPr>
          <w:rFonts w:hint="eastAsia" w:ascii="仿宋_GB2312" w:hAnsi="仿宋_GB2312" w:eastAsia="仿宋_GB2312" w:cs="仿宋_GB2312"/>
          <w:sz w:val="32"/>
          <w:szCs w:val="32"/>
          <w:lang w:eastAsia="zh-CN"/>
        </w:rPr>
        <w:t xml:space="preserve">成  员：谢  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姜  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相  辉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邵  彬 </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周浩冉</w:t>
      </w:r>
      <w:bookmarkEnd w:id="286"/>
      <w:r>
        <w:rPr>
          <w:rFonts w:hint="eastAsia" w:ascii="仿宋_GB2312" w:hAnsi="仿宋_GB2312" w:eastAsia="仿宋_GB2312" w:cs="仿宋_GB2312"/>
          <w:sz w:val="32"/>
          <w:szCs w:val="32"/>
          <w:lang w:eastAsia="zh-CN"/>
        </w:rPr>
        <w:t xml:space="preserve"> </w:t>
      </w:r>
      <w:bookmarkStart w:id="287" w:name="_Toc1359002070_WPSOffice_Level1"/>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张俊江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周秉元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张连奎   </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刘  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马  巍</w:t>
      </w:r>
      <w:bookmarkEnd w:id="287"/>
      <w:r>
        <w:rPr>
          <w:rFonts w:hint="eastAsia" w:ascii="仿宋_GB2312" w:hAnsi="仿宋_GB2312" w:eastAsia="仿宋_GB2312" w:cs="仿宋_GB2312"/>
          <w:sz w:val="32"/>
          <w:szCs w:val="32"/>
          <w:lang w:eastAsia="zh-CN"/>
        </w:rPr>
        <w:t xml:space="preserve"> </w:t>
      </w:r>
      <w:bookmarkStart w:id="288" w:name="_Toc1094687337_WPSOffice_Level1"/>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王  旭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王勇斌  </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陈  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徐建辉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赵伟红</w:t>
      </w:r>
      <w:bookmarkEnd w:id="288"/>
      <w:r>
        <w:rPr>
          <w:rFonts w:hint="eastAsia" w:ascii="仿宋_GB2312" w:hAnsi="仿宋_GB2312" w:eastAsia="仿宋_GB2312" w:cs="仿宋_GB2312"/>
          <w:sz w:val="32"/>
          <w:szCs w:val="32"/>
          <w:lang w:val="en-US" w:eastAsia="zh-CN"/>
        </w:rPr>
        <w:t xml:space="preserve"> </w:t>
      </w:r>
      <w:bookmarkStart w:id="289" w:name="_Toc1610595789_WPSOffice_Level1"/>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王德炜</w:t>
      </w:r>
      <w:r>
        <w:rPr>
          <w:rFonts w:hint="eastAsia" w:ascii="仿宋_GB2312" w:hAnsi="仿宋_GB2312" w:eastAsia="仿宋_GB2312" w:cs="仿宋_GB2312"/>
          <w:sz w:val="32"/>
          <w:szCs w:val="32"/>
          <w:lang w:val="en-US" w:eastAsia="zh-CN"/>
        </w:rPr>
        <w:t xml:space="preserve">  </w:t>
      </w:r>
    </w:p>
    <w:p>
      <w:pPr>
        <w:widowControl w:val="0"/>
        <w:wordWrap/>
        <w:adjustRightInd w:val="0"/>
        <w:snapToGrid/>
        <w:spacing w:line="560" w:lineRule="exact"/>
        <w:ind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陈  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罗雪军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扈  珊</w:t>
      </w:r>
      <w:bookmarkEnd w:id="289"/>
      <w:r>
        <w:rPr>
          <w:rFonts w:hint="eastAsia" w:ascii="仿宋_GB2312" w:hAnsi="仿宋_GB2312" w:eastAsia="仿宋_GB2312" w:cs="仿宋_GB2312"/>
          <w:sz w:val="32"/>
          <w:szCs w:val="32"/>
          <w:lang w:val="en-US" w:eastAsia="zh-CN"/>
        </w:rPr>
        <w:t xml:space="preserve">    </w:t>
      </w:r>
    </w:p>
    <w:p>
      <w:pPr>
        <w:adjustRightInd w:val="0"/>
        <w:spacing w:line="556" w:lineRule="exact"/>
        <w:ind w:firstLine="560"/>
        <w:rPr>
          <w:rFonts w:hint="eastAsia" w:ascii="宋体" w:hAnsi="宋体" w:cs="宋体"/>
          <w:szCs w:val="28"/>
          <w:lang w:eastAsia="zh-CN"/>
        </w:rPr>
      </w:pPr>
    </w:p>
    <w:p>
      <w:pPr>
        <w:adjustRightInd w:val="0"/>
        <w:spacing w:line="556" w:lineRule="exact"/>
        <w:ind w:firstLine="560"/>
        <w:rPr>
          <w:rFonts w:hint="eastAsia" w:ascii="宋体" w:hAnsi="宋体" w:cs="宋体"/>
          <w:szCs w:val="28"/>
          <w:lang w:eastAsia="zh-CN"/>
        </w:rPr>
      </w:pPr>
    </w:p>
    <w:p>
      <w:pPr>
        <w:adjustRightInd w:val="0"/>
        <w:spacing w:line="556" w:lineRule="exact"/>
        <w:ind w:firstLine="560"/>
        <w:rPr>
          <w:rFonts w:hint="eastAsia" w:ascii="宋体" w:hAnsi="宋体" w:cs="宋体"/>
          <w:szCs w:val="28"/>
        </w:rPr>
      </w:pPr>
    </w:p>
    <w:p>
      <w:pPr>
        <w:adjustRightInd w:val="0"/>
        <w:spacing w:line="556" w:lineRule="exact"/>
        <w:ind w:firstLine="560"/>
        <w:rPr>
          <w:rFonts w:hint="eastAsia" w:ascii="宋体" w:hAnsi="宋体" w:cs="宋体"/>
          <w:szCs w:val="28"/>
        </w:rPr>
      </w:pPr>
    </w:p>
    <w:p>
      <w:pPr>
        <w:adjustRightInd w:val="0"/>
        <w:spacing w:line="556" w:lineRule="exact"/>
        <w:ind w:firstLine="560"/>
        <w:rPr>
          <w:rFonts w:hint="eastAsia" w:ascii="宋体" w:hAnsi="宋体" w:cs="宋体"/>
          <w:szCs w:val="28"/>
        </w:rPr>
      </w:pPr>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PAGE   \* MERGEFORMAT</w:instrText>
    </w:r>
    <w:r>
      <w:fldChar w:fldCharType="separate"/>
    </w:r>
    <w:r>
      <w:rPr>
        <w:lang w:val="zh-CN"/>
      </w:rPr>
      <w:t>1</w:t>
    </w:r>
    <w:r>
      <w:fldChar w:fldCharType="end"/>
    </w:r>
  </w:p>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20" w:lineRule="auto"/>
        <w:ind w:firstLine="560"/>
      </w:pPr>
      <w:r>
        <w:separator/>
      </w:r>
    </w:p>
  </w:footnote>
  <w:footnote w:type="continuationSeparator" w:id="1">
    <w:p>
      <w:pPr>
        <w:spacing w:line="42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D2766"/>
    <w:multiLevelType w:val="singleLevel"/>
    <w:tmpl w:val="9FFD2766"/>
    <w:lvl w:ilvl="0" w:tentative="0">
      <w:start w:val="1"/>
      <w:numFmt w:val="decimal"/>
      <w:suff w:val="nothing"/>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3863566"/>
    <w:rsid w:val="33B66329"/>
    <w:rsid w:val="3BFB87B9"/>
    <w:rsid w:val="7D6FCCD0"/>
    <w:rsid w:val="FE5F9B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auto"/>
      <w:ind w:firstLine="883" w:firstLineChars="200"/>
    </w:pPr>
    <w:rPr>
      <w:rFonts w:ascii="Times New Roman" w:hAnsi="Times New Roman" w:eastAsia="宋体" w:cs="Times New Roman"/>
      <w:kern w:val="2"/>
      <w:sz w:val="28"/>
      <w:szCs w:val="24"/>
      <w:lang w:val="en-US" w:eastAsia="zh-CN" w:bidi="ar-SA"/>
    </w:rPr>
  </w:style>
  <w:style w:type="paragraph" w:styleId="2">
    <w:name w:val="heading 1"/>
    <w:basedOn w:val="1"/>
    <w:next w:val="1"/>
    <w:link w:val="26"/>
    <w:qFormat/>
    <w:uiPriority w:val="9"/>
    <w:pPr>
      <w:keepNext/>
      <w:keepLines/>
      <w:spacing w:before="120" w:line="554" w:lineRule="exact"/>
      <w:outlineLvl w:val="0"/>
    </w:pPr>
    <w:rPr>
      <w:rFonts w:ascii="黑体" w:hAnsi="黑体" w:eastAsia="黑体"/>
      <w:bCs/>
      <w:kern w:val="44"/>
      <w:sz w:val="32"/>
      <w:szCs w:val="44"/>
    </w:rPr>
  </w:style>
  <w:style w:type="paragraph" w:styleId="3">
    <w:name w:val="heading 2"/>
    <w:basedOn w:val="1"/>
    <w:next w:val="1"/>
    <w:qFormat/>
    <w:uiPriority w:val="9"/>
    <w:pPr>
      <w:keepNext/>
      <w:keepLines/>
      <w:spacing w:line="554" w:lineRule="exact"/>
      <w:outlineLvl w:val="1"/>
    </w:pPr>
    <w:rPr>
      <w:rFonts w:ascii="宋体" w:hAnsi="宋体"/>
    </w:rPr>
  </w:style>
  <w:style w:type="paragraph" w:styleId="4">
    <w:name w:val="heading 3"/>
    <w:basedOn w:val="1"/>
    <w:next w:val="1"/>
    <w:qFormat/>
    <w:uiPriority w:val="9"/>
    <w:pPr>
      <w:keepNext/>
      <w:keepLines/>
      <w:spacing w:line="556" w:lineRule="exact"/>
      <w:outlineLvl w:val="2"/>
    </w:pPr>
    <w:rPr>
      <w:rFonts w:ascii="宋体" w:hAnsi="宋体"/>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7"/>
    <w:unhideWhenUsed/>
    <w:qFormat/>
    <w:uiPriority w:val="99"/>
    <w:rPr>
      <w:rFonts w:ascii="宋体"/>
      <w:sz w:val="18"/>
      <w:szCs w:val="18"/>
    </w:rPr>
  </w:style>
  <w:style w:type="paragraph" w:styleId="6">
    <w:name w:val="annotation text"/>
    <w:basedOn w:val="1"/>
    <w:link w:val="24"/>
    <w:unhideWhenUsed/>
    <w:qFormat/>
    <w:uiPriority w:val="99"/>
  </w:style>
  <w:style w:type="paragraph" w:styleId="7">
    <w:name w:val="toc 3"/>
    <w:basedOn w:val="1"/>
    <w:next w:val="1"/>
    <w:unhideWhenUsed/>
    <w:qFormat/>
    <w:uiPriority w:val="39"/>
    <w:pPr>
      <w:ind w:left="840" w:leftChars="400"/>
    </w:pPr>
  </w:style>
  <w:style w:type="paragraph" w:styleId="8">
    <w:name w:val="Balloon Text"/>
    <w:basedOn w:val="1"/>
    <w:link w:val="30"/>
    <w:unhideWhenUsed/>
    <w:qFormat/>
    <w:uiPriority w:val="99"/>
    <w:rPr>
      <w:kern w:val="0"/>
      <w:sz w:val="18"/>
      <w:szCs w:val="18"/>
    </w:rPr>
  </w:style>
  <w:style w:type="paragraph" w:styleId="9">
    <w:name w:val="footer"/>
    <w:basedOn w:val="1"/>
    <w:link w:val="25"/>
    <w:unhideWhenUsed/>
    <w:qFormat/>
    <w:uiPriority w:val="99"/>
    <w:pPr>
      <w:tabs>
        <w:tab w:val="center" w:pos="4153"/>
        <w:tab w:val="right" w:pos="8306"/>
      </w:tabs>
      <w:snapToGrid w:val="0"/>
      <w:spacing w:line="240" w:lineRule="auto"/>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link w:val="23"/>
    <w:unhideWhenUsed/>
    <w:qFormat/>
    <w:uiPriority w:val="99"/>
    <w:rPr>
      <w:b/>
      <w:bCs/>
    </w:rPr>
  </w:style>
  <w:style w:type="character" w:styleId="17">
    <w:name w:val="Hyperlink"/>
    <w:basedOn w:val="16"/>
    <w:unhideWhenUsed/>
    <w:qFormat/>
    <w:uiPriority w:val="99"/>
    <w:rPr>
      <w:color w:val="0000FF"/>
      <w:u w:val="single"/>
    </w:rPr>
  </w:style>
  <w:style w:type="character" w:styleId="18">
    <w:name w:val="annotation reference"/>
    <w:basedOn w:val="16"/>
    <w:unhideWhenUsed/>
    <w:qFormat/>
    <w:uiPriority w:val="99"/>
    <w:rPr>
      <w:sz w:val="21"/>
      <w:szCs w:val="21"/>
    </w:rPr>
  </w:style>
  <w:style w:type="paragraph" w:customStyle="1" w:styleId="19">
    <w:name w:val="No Spacing"/>
    <w:link w:val="29"/>
    <w:qFormat/>
    <w:uiPriority w:val="1"/>
    <w:rPr>
      <w:rFonts w:ascii="等线" w:hAnsi="等线" w:eastAsia="等线" w:cs="Times New Roman"/>
      <w:sz w:val="22"/>
      <w:szCs w:val="22"/>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3">
    <w:name w:val="批注主题 Char"/>
    <w:basedOn w:val="24"/>
    <w:link w:val="14"/>
    <w:qFormat/>
    <w:uiPriority w:val="0"/>
    <w:rPr>
      <w:kern w:val="2"/>
      <w:sz w:val="28"/>
      <w:szCs w:val="24"/>
    </w:rPr>
  </w:style>
  <w:style w:type="character" w:customStyle="1" w:styleId="24">
    <w:name w:val="批注文字 Char"/>
    <w:basedOn w:val="16"/>
    <w:link w:val="6"/>
    <w:qFormat/>
    <w:uiPriority w:val="99"/>
    <w:rPr>
      <w:kern w:val="2"/>
      <w:sz w:val="28"/>
      <w:szCs w:val="24"/>
    </w:rPr>
  </w:style>
  <w:style w:type="character" w:customStyle="1" w:styleId="25">
    <w:name w:val="页脚 Char"/>
    <w:link w:val="9"/>
    <w:qFormat/>
    <w:uiPriority w:val="99"/>
    <w:rPr>
      <w:kern w:val="2"/>
      <w:sz w:val="18"/>
      <w:szCs w:val="18"/>
    </w:rPr>
  </w:style>
  <w:style w:type="character" w:customStyle="1" w:styleId="26">
    <w:name w:val="标题 1 Char"/>
    <w:link w:val="2"/>
    <w:qFormat/>
    <w:uiPriority w:val="9"/>
    <w:rPr>
      <w:rFonts w:ascii="黑体" w:hAnsi="黑体" w:eastAsia="黑体" w:cs="Times New Roman"/>
      <w:bCs/>
      <w:kern w:val="44"/>
      <w:sz w:val="32"/>
      <w:szCs w:val="44"/>
    </w:rPr>
  </w:style>
  <w:style w:type="character" w:customStyle="1" w:styleId="27">
    <w:name w:val="文档结构图 Char"/>
    <w:basedOn w:val="16"/>
    <w:link w:val="5"/>
    <w:semiHidden/>
    <w:qFormat/>
    <w:uiPriority w:val="99"/>
    <w:rPr>
      <w:rFonts w:ascii="宋体"/>
      <w:kern w:val="2"/>
      <w:sz w:val="18"/>
      <w:szCs w:val="18"/>
    </w:rPr>
  </w:style>
  <w:style w:type="character" w:customStyle="1" w:styleId="28">
    <w:name w:val="页眉 Char"/>
    <w:link w:val="10"/>
    <w:qFormat/>
    <w:uiPriority w:val="99"/>
    <w:rPr>
      <w:kern w:val="2"/>
      <w:sz w:val="18"/>
      <w:szCs w:val="18"/>
    </w:rPr>
  </w:style>
  <w:style w:type="character" w:customStyle="1" w:styleId="29">
    <w:name w:val="无间隔 Char"/>
    <w:link w:val="19"/>
    <w:qFormat/>
    <w:uiPriority w:val="1"/>
    <w:rPr>
      <w:rFonts w:ascii="等线" w:hAnsi="等线" w:eastAsia="等线"/>
      <w:sz w:val="22"/>
      <w:szCs w:val="22"/>
      <w:lang w:val="en-US" w:eastAsia="zh-CN" w:bidi="ar-SA"/>
    </w:rPr>
  </w:style>
  <w:style w:type="character" w:customStyle="1" w:styleId="30">
    <w:name w:val="批注框文本 Char"/>
    <w:link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2565</Words>
  <Characters>14622</Characters>
  <Lines>121</Lines>
  <Paragraphs>34</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2020-10-06T01:53:00Z</dcterms:created>
  <dc:creator>咕咕</dc:creator>
  <cp:lastModifiedBy>高山四月</cp:lastModifiedBy>
  <cp:lastPrinted>2021-09-17T10:44:00Z</cp:lastPrinted>
  <dcterms:modified xsi:type="dcterms:W3CDTF">2021-09-26T03:06:59Z</dcterms:modified>
  <dc:title>天津市燃气突发事件应急预案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A8B9DE8EA9674480ACE9F01B6B12DF5B</vt:lpwstr>
  </property>
</Properties>
</file>